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660" w:right="152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2008</w:t>
      </w: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320"/>
          </w:cols>
          <w:pgMar w:left="240" w:top="1188" w:right="339" w:bottom="1440" w:gutter="0" w:footer="0" w:header="0"/>
        </w:sectPr>
      </w:pPr>
    </w:p>
    <w:p>
      <w:pPr>
        <w:spacing w:after="0" w:line="35" w:lineRule="exact"/>
        <w:rPr>
          <w:sz w:val="24"/>
          <w:szCs w:val="24"/>
          <w:color w:val="auto"/>
        </w:rPr>
      </w:pPr>
    </w:p>
    <w:p>
      <w:pPr>
        <w:ind w:left="66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320"/>
          </w:cols>
          <w:pgMar w:left="240" w:top="1188" w:right="339" w:bottom="1440" w:gutter="0" w:footer="0" w:header="0"/>
          <w:type w:val="continuous"/>
        </w:sectPr>
      </w:pP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000-22418</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ITRON, INC.</w:t>
      </w:r>
    </w:p>
    <w:p>
      <w:pPr>
        <w:jc w:val="center"/>
        <w:ind w:right="-9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320"/>
          </w:cols>
          <w:pgMar w:left="240" w:top="1188" w:right="339" w:bottom="1440" w:gutter="0" w:footer="0" w:header="0"/>
          <w:type w:val="continuous"/>
        </w:sectPr>
      </w:pPr>
    </w:p>
    <w:p>
      <w:pPr>
        <w:spacing w:after="0" w:line="200" w:lineRule="exact"/>
        <w:rPr>
          <w:sz w:val="24"/>
          <w:szCs w:val="24"/>
          <w:color w:val="auto"/>
        </w:rPr>
      </w:pPr>
    </w:p>
    <w:p>
      <w:pPr>
        <w:spacing w:after="0" w:line="258"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280" w:space="720"/>
            <w:col w:w="4320"/>
          </w:cols>
          <w:pgMar w:left="240" w:top="1188" w:right="339" w:bottom="1440" w:gutter="0" w:footer="0" w:header="0"/>
          <w:type w:val="continuous"/>
        </w:sectPr>
      </w:pP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20"/>
          </w:cols>
          <w:pgMar w:left="240" w:top="1188" w:right="339" w:bottom="1440" w:gutter="0" w:footer="0" w:header="0"/>
          <w:type w:val="continuous"/>
        </w:sectPr>
      </w:pPr>
    </w:p>
    <w:p>
      <w:pPr>
        <w:spacing w:after="0" w:line="390"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Large accelerated filier x</w:t>
      </w:r>
    </w:p>
    <w:p>
      <w:pPr>
        <w:spacing w:after="0" w:line="23" w:lineRule="exact"/>
        <w:rPr>
          <w:sz w:val="24"/>
          <w:szCs w:val="24"/>
          <w:color w:val="auto"/>
        </w:rPr>
      </w:pPr>
    </w:p>
    <w:p>
      <w:pPr>
        <w:ind w:left="120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60" w:space="720"/>
            <w:col w:w="3740"/>
          </w:cols>
          <w:pgMar w:left="240" w:top="1188" w:right="339" w:bottom="1440" w:gutter="0" w:footer="0" w:header="0"/>
          <w:type w:val="continuous"/>
        </w:sectPr>
      </w:pPr>
    </w:p>
    <w:p>
      <w:pPr>
        <w:spacing w:after="0" w:line="1" w:lineRule="exact"/>
        <w:rPr>
          <w:sz w:val="24"/>
          <w:szCs w:val="24"/>
          <w:color w:val="auto"/>
        </w:rPr>
      </w:pPr>
    </w:p>
    <w:p>
      <w:pPr>
        <w:spacing w:after="0" w:line="207" w:lineRule="exact"/>
        <w:tabs>
          <w:tab w:leader="none" w:pos="81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2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October 31, 2008, there were outstanding 34,474,211shares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1161415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gridSpan w:val="3"/>
          </w:tcPr>
          <w:p>
            <w:pPr>
              <w:jc w:val="center"/>
              <w:ind w:right="4120"/>
              <w:spacing w:after="0"/>
              <w:rPr>
                <w:sz w:val="20"/>
                <w:szCs w:val="20"/>
                <w:color w:val="auto"/>
              </w:rPr>
            </w:pPr>
            <w:r>
              <w:rPr>
                <w:rFonts w:ascii="Arial" w:cs="Arial" w:eastAsia="Arial" w:hAnsi="Arial"/>
                <w:sz w:val="18"/>
                <w:szCs w:val="18"/>
                <w:b w:val="1"/>
                <w:bCs w:val="1"/>
                <w:color w:val="auto"/>
                <w:w w:val="96"/>
              </w:rPr>
              <w:t>Itron, Inc.</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062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620" w:type="dxa"/>
            <w:vAlign w:val="bottom"/>
            <w:gridSpan w:val="16"/>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0160" w:type="dxa"/>
            <w:vAlign w:val="bottom"/>
            <w:gridSpan w:val="15"/>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0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04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w:t>
              </w:r>
            </w:hyperlink>
          </w:p>
        </w:tc>
        <w:tc>
          <w:tcPr>
            <w:tcW w:w="60" w:type="dxa"/>
            <w:vAlign w:val="bottom"/>
            <w:tcBorders>
              <w:top w:val="single" w:sz="8" w:color="0000EE"/>
            </w:tcBorders>
          </w:tcPr>
          <w:p>
            <w:pPr>
              <w:spacing w:after="0"/>
              <w:rPr>
                <w:sz w:val="17"/>
                <w:szCs w:val="17"/>
                <w:color w:val="auto"/>
              </w:rPr>
            </w:pPr>
          </w:p>
        </w:tc>
        <w:tc>
          <w:tcPr>
            <w:tcW w:w="676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160" w:type="dxa"/>
            <w:vAlign w:val="bottom"/>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2: Management's Discussion and Analysis of Financial Condition and Results of Operations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3: Quantitative and Qualitative Disclosures About Market Risk</w:t>
              </w:r>
            </w:hyperlink>
          </w:p>
        </w:tc>
        <w:tc>
          <w:tcPr>
            <w:tcW w:w="3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7"/>
          </w:tcPr>
          <w:p>
            <w:pPr>
              <w:spacing w:after="0"/>
              <w:rPr>
                <w:sz w:val="17"/>
                <w:szCs w:val="17"/>
                <w:color w:val="auto"/>
              </w:rPr>
            </w:pPr>
          </w:p>
        </w:tc>
        <w:tc>
          <w:tcPr>
            <w:tcW w:w="524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38"/>
        </w:trPr>
        <w:tc>
          <w:tcPr>
            <w:tcW w:w="1062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0160" w:type="dxa"/>
            <w:vAlign w:val="bottom"/>
            <w:gridSpan w:val="15"/>
          </w:tcPr>
          <w:p>
            <w:pPr>
              <w:spacing w:after="0" w:line="190" w:lineRule="exact"/>
              <w:rPr>
                <w:rFonts w:ascii="Arial" w:cs="Arial" w:eastAsia="Arial" w:hAnsi="Arial"/>
                <w:sz w:val="18"/>
                <w:szCs w:val="18"/>
                <w:color w:val="0000EE"/>
              </w:rPr>
            </w:pPr>
            <w:hyperlink w:anchor="page50">
              <w:r>
                <w:rPr>
                  <w:rFonts w:ascii="Arial" w:cs="Arial" w:eastAsia="Arial" w:hAnsi="Arial"/>
                  <w:sz w:val="18"/>
                  <w:szCs w:val="18"/>
                  <w:color w:val="0000EE"/>
                </w:rPr>
                <w:t>Item 1: Legal Proceedings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1A: Risk Factors</w:t>
              </w:r>
            </w:hyperlink>
          </w:p>
        </w:tc>
        <w:tc>
          <w:tcPr>
            <w:tcW w:w="826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3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Item 4: Submission of Matters to a Vote of Security Holders</w:t>
              </w:r>
            </w:hyperlink>
          </w:p>
        </w:tc>
        <w:tc>
          <w:tcPr>
            <w:tcW w:w="582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160" w:type="dxa"/>
            <w:vAlign w:val="bottom"/>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6: Exhibits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20" w:type="dxa"/>
            <w:vAlign w:val="bottom"/>
            <w:gridSpan w:val="16"/>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SIGNATURE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165"/>
        </w:trPr>
        <w:tc>
          <w:tcPr>
            <w:tcW w:w="460" w:type="dxa"/>
            <w:vAlign w:val="bottom"/>
            <w:tcBorders>
              <w:top w:val="single" w:sz="8" w:color="0000EE"/>
              <w:bottom w:val="single" w:sz="8" w:color="808080"/>
            </w:tcBorders>
          </w:tcPr>
          <w:p>
            <w:pPr>
              <w:spacing w:after="0"/>
              <w:rPr>
                <w:sz w:val="24"/>
                <w:szCs w:val="24"/>
                <w:color w:val="auto"/>
              </w:rPr>
            </w:pPr>
          </w:p>
        </w:tc>
        <w:tc>
          <w:tcPr>
            <w:tcW w:w="46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(in thousands, except per share data)</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484,818</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434,034</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1,477,225</w:t>
            </w:r>
          </w:p>
        </w:tc>
        <w:tc>
          <w:tcPr>
            <w:tcW w:w="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983,504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Cost of revenues</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321,858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289,224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975,496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652,655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162,960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144,810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501,729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330,849</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340"/>
              <w:spacing w:after="0" w:line="149" w:lineRule="exact"/>
              <w:rPr>
                <w:sz w:val="20"/>
                <w:szCs w:val="20"/>
                <w:color w:val="auto"/>
              </w:rPr>
            </w:pPr>
            <w:r>
              <w:rPr>
                <w:rFonts w:ascii="Arial" w:cs="Arial" w:eastAsia="Arial" w:hAnsi="Arial"/>
                <w:sz w:val="14"/>
                <w:szCs w:val="14"/>
                <w:color w:val="auto"/>
              </w:rPr>
              <w:t>Sales and marketing</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41,363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35,677</w:t>
            </w:r>
          </w:p>
        </w:tc>
        <w:tc>
          <w:tcPr>
            <w:tcW w:w="2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127,534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Product development</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31,781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26,495</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92,283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340"/>
              <w:spacing w:after="0" w:line="149" w:lineRule="exact"/>
              <w:rPr>
                <w:sz w:val="20"/>
                <w:szCs w:val="20"/>
                <w:color w:val="auto"/>
              </w:rPr>
            </w:pPr>
            <w:r>
              <w:rPr>
                <w:rFonts w:ascii="Arial" w:cs="Arial" w:eastAsia="Arial" w:hAnsi="Arial"/>
                <w:sz w:val="14"/>
                <w:szCs w:val="14"/>
                <w:color w:val="auto"/>
              </w:rPr>
              <w:t>General and administrative</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34,088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27,503</w:t>
            </w:r>
          </w:p>
        </w:tc>
        <w:tc>
          <w:tcPr>
            <w:tcW w:w="2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Amortization of intangible assets</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30,395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25,864</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93,114</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340"/>
              <w:spacing w:after="0" w:line="149" w:lineRule="exact"/>
              <w:rPr>
                <w:sz w:val="20"/>
                <w:szCs w:val="20"/>
                <w:color w:val="auto"/>
              </w:rPr>
            </w:pPr>
            <w:r>
              <w:rPr>
                <w:rFonts w:ascii="Arial" w:cs="Arial" w:eastAsia="Arial" w:hAnsi="Arial"/>
                <w:sz w:val="14"/>
                <w:szCs w:val="14"/>
                <w:color w:val="auto"/>
              </w:rPr>
              <w:t>In-process research and development</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shd w:val="clear" w:color="auto" w:fill="CCEEFF"/>
          </w:tcPr>
          <w:p>
            <w:pPr>
              <w:ind w:left="780"/>
              <w:spacing w:after="0" w:line="142" w:lineRule="exact"/>
              <w:rPr>
                <w:sz w:val="20"/>
                <w:szCs w:val="20"/>
                <w:color w:val="auto"/>
              </w:rPr>
            </w:pPr>
            <w:r>
              <w:rPr>
                <w:rFonts w:ascii="Arial" w:cs="Arial" w:eastAsia="Arial" w:hAnsi="Arial"/>
                <w:sz w:val="14"/>
                <w:szCs w:val="14"/>
                <w:color w:val="auto"/>
              </w:rPr>
              <w:t>Total operating expenses</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137,627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115,808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412,931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315,908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29,002</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88,798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14,941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Interest income</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4,846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340"/>
              <w:spacing w:after="0" w:line="149" w:lineRule="exact"/>
              <w:rPr>
                <w:sz w:val="20"/>
                <w:szCs w:val="20"/>
                <w:color w:val="auto"/>
              </w:rPr>
            </w:pPr>
            <w:r>
              <w:rPr>
                <w:rFonts w:ascii="Arial" w:cs="Arial" w:eastAsia="Arial" w:hAnsi="Arial"/>
                <w:sz w:val="14"/>
                <w:szCs w:val="14"/>
                <w:color w:val="auto"/>
              </w:rPr>
              <w:t>Interest expense</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(34,852)</w:t>
            </w:r>
          </w:p>
        </w:tc>
        <w:tc>
          <w:tcPr>
            <w:tcW w:w="2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(65,367)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income (expense), net</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(873)</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ind w:left="780"/>
              <w:spacing w:after="0" w:line="142" w:lineRule="exact"/>
              <w:rPr>
                <w:sz w:val="20"/>
                <w:szCs w:val="20"/>
                <w:color w:val="auto"/>
              </w:rPr>
            </w:pPr>
            <w:r>
              <w:rPr>
                <w:rFonts w:ascii="Arial" w:cs="Arial" w:eastAsia="Arial" w:hAnsi="Arial"/>
                <w:sz w:val="14"/>
                <w:szCs w:val="14"/>
                <w:color w:val="auto"/>
              </w:rPr>
              <w:t>Total other income (expense)</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(15,963)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(35,140)</w:t>
            </w:r>
          </w:p>
        </w:tc>
        <w:tc>
          <w:tcPr>
            <w:tcW w:w="260" w:type="dxa"/>
            <w:vAlign w:val="bottom"/>
          </w:tcPr>
          <w:p>
            <w:pPr>
              <w:spacing w:after="0"/>
              <w:rPr>
                <w:sz w:val="12"/>
                <w:szCs w:val="12"/>
                <w:color w:val="auto"/>
              </w:rPr>
            </w:pP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(62,459)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(48,318)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(6,138)</w:t>
            </w:r>
          </w:p>
        </w:tc>
        <w:tc>
          <w:tcPr>
            <w:tcW w:w="2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26,339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2,692</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(2,586)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7,675</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(3,446)</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23,753</w:t>
            </w:r>
          </w:p>
        </w:tc>
        <w:tc>
          <w:tcPr>
            <w:tcW w:w="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Earnings (loss) per share</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340"/>
              <w:spacing w:after="0" w:line="149" w:lineRule="exact"/>
              <w:rPr>
                <w:sz w:val="20"/>
                <w:szCs w:val="20"/>
                <w:color w:val="auto"/>
              </w:rPr>
            </w:pPr>
            <w:r>
              <w:rPr>
                <w:rFonts w:ascii="Arial" w:cs="Arial" w:eastAsia="Arial" w:hAnsi="Arial"/>
                <w:sz w:val="14"/>
                <w:szCs w:val="14"/>
                <w:color w:val="auto"/>
              </w:rPr>
              <w:t>Basic</w:t>
            </w:r>
          </w:p>
        </w:tc>
        <w:tc>
          <w:tcPr>
            <w:tcW w:w="1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0.22</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(0.11)</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0.73</w:t>
            </w:r>
          </w:p>
        </w:tc>
        <w:tc>
          <w:tcPr>
            <w:tcW w:w="4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Diluted</w:t>
            </w:r>
          </w:p>
        </w:tc>
        <w:tc>
          <w:tcPr>
            <w:tcW w:w="19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0.21</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(0.11)</w:t>
            </w: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0.68</w:t>
            </w:r>
          </w:p>
        </w:tc>
        <w:tc>
          <w:tcPr>
            <w:tcW w:w="4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shares outstanding</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340"/>
              <w:spacing w:after="0" w:line="149" w:lineRule="exact"/>
              <w:rPr>
                <w:sz w:val="20"/>
                <w:szCs w:val="20"/>
                <w:color w:val="auto"/>
              </w:rPr>
            </w:pPr>
            <w:r>
              <w:rPr>
                <w:rFonts w:ascii="Arial" w:cs="Arial" w:eastAsia="Arial" w:hAnsi="Arial"/>
                <w:sz w:val="14"/>
                <w:szCs w:val="14"/>
                <w:color w:val="auto"/>
              </w:rPr>
              <w:t>Basic</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34,385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30,415</w:t>
            </w:r>
          </w:p>
        </w:tc>
        <w:tc>
          <w:tcPr>
            <w:tcW w:w="2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32,632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Diluted</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36,872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30,415</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34,991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29,239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vMerge w:val="restart"/>
          </w:tcPr>
          <w:p>
            <w:pPr>
              <w:ind w:left="4000"/>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147,391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339,308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743,721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653,436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317,598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525,400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1,316,904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3,052,399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3,050,566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380"/>
              <w:spacing w:after="0"/>
              <w:rPr>
                <w:sz w:val="20"/>
                <w:szCs w:val="20"/>
                <w:color w:val="auto"/>
              </w:rPr>
            </w:pPr>
            <w:r>
              <w:rPr>
                <w:rFonts w:ascii="Arial" w:cs="Arial" w:eastAsia="Arial" w:hAnsi="Arial"/>
                <w:sz w:val="18"/>
                <w:szCs w:val="18"/>
                <w:b w:val="1"/>
                <w:bCs w:val="1"/>
                <w:color w:val="auto"/>
              </w:rPr>
              <w:t>LIABILITIES AND SHAREHOLDERS' 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Trade payables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217,754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Wages and benefits payable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86,177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payable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355,944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warranty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798,307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403,857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Long-term debt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848,917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Pension plan benefits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61,869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obligations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51,489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1,945,412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945,886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115,116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440"/>
              <w:spacing w:after="0"/>
              <w:rPr>
                <w:sz w:val="20"/>
                <w:szCs w:val="20"/>
                <w:color w:val="auto"/>
              </w:rPr>
            </w:pPr>
            <w:r>
              <w:rPr>
                <w:rFonts w:ascii="Arial" w:cs="Arial" w:eastAsia="Arial" w:hAnsi="Arial"/>
                <w:sz w:val="18"/>
                <w:szCs w:val="18"/>
                <w:color w:val="auto"/>
              </w:rPr>
              <w:t>Total shareholders' 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1,106,987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758,802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shareholders' equity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3,052,399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4"/>
              </w:rPr>
              <w:t>2007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(in</w:t>
            </w:r>
          </w:p>
        </w:tc>
        <w:tc>
          <w:tcPr>
            <w:tcW w:w="62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w w:val="71"/>
              </w:rPr>
              <w:t>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40" w:type="dxa"/>
            <w:vAlign w:val="bottom"/>
            <w:gridSpan w:val="2"/>
          </w:tcPr>
          <w:p>
            <w:pPr>
              <w:spacing w:after="0"/>
              <w:rPr>
                <w:sz w:val="20"/>
                <w:szCs w:val="20"/>
                <w:color w:val="auto"/>
              </w:rPr>
            </w:pPr>
            <w:r>
              <w:rPr>
                <w:rFonts w:ascii="Arial" w:cs="Arial" w:eastAsia="Arial" w:hAnsi="Arial"/>
                <w:sz w:val="16"/>
                <w:szCs w:val="16"/>
                <w:color w:val="auto"/>
              </w:rPr>
              <w:t>Operating activities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23,753</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(20,146)</w:t>
            </w:r>
          </w:p>
        </w:tc>
        <w:tc>
          <w:tcPr>
            <w:tcW w:w="0" w:type="dxa"/>
            <w:vAlign w:val="bottom"/>
          </w:tcPr>
          <w:p>
            <w:pPr>
              <w:spacing w:after="0"/>
              <w:rPr>
                <w:sz w:val="1"/>
                <w:szCs w:val="1"/>
                <w:color w:val="auto"/>
              </w:rPr>
            </w:pPr>
          </w:p>
        </w:tc>
      </w:tr>
      <w:tr>
        <w:trPr>
          <w:trHeight w:val="213"/>
        </w:trPr>
        <w:tc>
          <w:tcPr>
            <w:tcW w:w="7240" w:type="dxa"/>
            <w:vAlign w:val="bottom"/>
            <w:gridSpan w:val="2"/>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Depreciation and amortization</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133,295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440"/>
              <w:spacing w:after="0"/>
              <w:rPr>
                <w:sz w:val="20"/>
                <w:szCs w:val="20"/>
                <w:color w:val="auto"/>
              </w:rPr>
            </w:pPr>
            <w:r>
              <w:rPr>
                <w:rFonts w:ascii="Arial" w:cs="Arial" w:eastAsia="Arial" w:hAnsi="Arial"/>
                <w:sz w:val="16"/>
                <w:szCs w:val="16"/>
                <w:color w:val="auto"/>
              </w:rPr>
              <w:t>In-process research and development</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35,820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Employee stock plans income tax benefit</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4"/>
              <w:spacing w:after="0"/>
              <w:rPr>
                <w:sz w:val="20"/>
                <w:szCs w:val="20"/>
                <w:color w:val="auto"/>
              </w:rPr>
            </w:pPr>
            <w:r>
              <w:rPr>
                <w:rFonts w:ascii="Arial" w:cs="Arial" w:eastAsia="Arial" w:hAnsi="Arial"/>
                <w:sz w:val="16"/>
                <w:szCs w:val="16"/>
                <w:color w:val="auto"/>
              </w:rPr>
              <w:t>12,560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Amortization of prepaid debt fees</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7,665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440"/>
              <w:spacing w:after="0"/>
              <w:rPr>
                <w:sz w:val="20"/>
                <w:szCs w:val="20"/>
                <w:color w:val="auto"/>
              </w:rPr>
            </w:pPr>
            <w:r>
              <w:rPr>
                <w:rFonts w:ascii="Arial" w:cs="Arial" w:eastAsia="Arial" w:hAnsi="Arial"/>
                <w:sz w:val="16"/>
                <w:szCs w:val="16"/>
                <w:color w:val="auto"/>
              </w:rPr>
              <w:t>Deferred income taxes, net</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(27,473)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(47,418)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net</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13"/>
        </w:trPr>
        <w:tc>
          <w:tcPr>
            <w:tcW w:w="724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 net of acquisitions: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1,834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(19,100)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payables, accrued expenses and taxes payable</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15,373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Wages and benefits payable</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4"/>
              <w:spacing w:after="0"/>
              <w:rPr>
                <w:sz w:val="20"/>
                <w:szCs w:val="20"/>
                <w:color w:val="auto"/>
              </w:rPr>
            </w:pPr>
            <w:r>
              <w:rPr>
                <w:rFonts w:ascii="Arial" w:cs="Arial" w:eastAsia="Arial" w:hAnsi="Arial"/>
                <w:sz w:val="16"/>
                <w:szCs w:val="16"/>
                <w:color w:val="auto"/>
              </w:rPr>
              <w:t>15,549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Unearned revenue</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5,339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Warranty</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4"/>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Effect of foreign exchange rate changes</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(2,214)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(10,696)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provided by operating activities</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156,224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89,654</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Proceeds from the maturities of investments, held to maturity</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 of property, plant and equipment</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(41,422)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Business acquisitions, net of cash and cash equivalents acquired</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(1,716,138)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1,380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ind w:left="440"/>
              <w:spacing w:after="0"/>
              <w:rPr>
                <w:sz w:val="20"/>
                <w:szCs w:val="20"/>
                <w:color w:val="auto"/>
              </w:rPr>
            </w:pPr>
            <w:r>
              <w:rPr>
                <w:rFonts w:ascii="Arial" w:cs="Arial" w:eastAsia="Arial" w:hAnsi="Arial"/>
                <w:sz w:val="16"/>
                <w:szCs w:val="16"/>
                <w:color w:val="auto"/>
              </w:rPr>
              <w:t>Net cash used in investing activities</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(40,137)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(1,711,258)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gridSpan w:val="2"/>
          </w:tcPr>
          <w:p>
            <w:pPr>
              <w:spacing w:after="0"/>
              <w:rPr>
                <w:sz w:val="20"/>
                <w:szCs w:val="20"/>
                <w:color w:val="auto"/>
              </w:rPr>
            </w:pPr>
            <w:r>
              <w:rPr>
                <w:rFonts w:ascii="Arial" w:cs="Arial" w:eastAsia="Arial" w:hAnsi="Arial"/>
                <w:sz w:val="16"/>
                <w:szCs w:val="16"/>
                <w:color w:val="auto"/>
              </w:rPr>
              <w:t>Financing activities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1,159,027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Payments on debt</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(384,426)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(37,278)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323,424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Prepaid debt fees</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ind w:left="440"/>
              <w:spacing w:after="0"/>
              <w:rPr>
                <w:sz w:val="20"/>
                <w:szCs w:val="20"/>
                <w:color w:val="auto"/>
              </w:rPr>
            </w:pPr>
            <w:r>
              <w:rPr>
                <w:rFonts w:ascii="Arial" w:cs="Arial" w:eastAsia="Arial" w:hAnsi="Arial"/>
                <w:sz w:val="16"/>
                <w:szCs w:val="16"/>
                <w:color w:val="auto"/>
              </w:rPr>
              <w:t>Net cash (used in) provided by financing activities</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(61,253)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1,342,886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4"/>
              <w:spacing w:after="0"/>
              <w:rPr>
                <w:sz w:val="20"/>
                <w:szCs w:val="20"/>
                <w:color w:val="auto"/>
              </w:rPr>
            </w:pPr>
            <w:r>
              <w:rPr>
                <w:rFonts w:ascii="Arial" w:cs="Arial" w:eastAsia="Arial" w:hAnsi="Arial"/>
                <w:sz w:val="16"/>
                <w:szCs w:val="16"/>
                <w:color w:val="auto"/>
              </w:rPr>
              <w:t>569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cash and cash equivalents</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55,403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(276,270)</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4"/>
              <w:spacing w:after="0"/>
              <w:rPr>
                <w:sz w:val="20"/>
                <w:szCs w:val="20"/>
                <w:color w:val="auto"/>
              </w:rPr>
            </w:pPr>
            <w:r>
              <w:rPr>
                <w:rFonts w:ascii="Arial" w:cs="Arial" w:eastAsia="Arial" w:hAnsi="Arial"/>
                <w:sz w:val="16"/>
                <w:szCs w:val="16"/>
                <w:color w:val="auto"/>
              </w:rPr>
              <w:t>91,988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361,405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147,391</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Non-cash transactions: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220"/>
              <w:spacing w:after="0"/>
              <w:rPr>
                <w:sz w:val="20"/>
                <w:szCs w:val="20"/>
                <w:color w:val="auto"/>
              </w:rPr>
            </w:pPr>
            <w:r>
              <w:rPr>
                <w:rFonts w:ascii="Arial" w:cs="Arial" w:eastAsia="Arial" w:hAnsi="Arial"/>
                <w:sz w:val="16"/>
                <w:szCs w:val="16"/>
                <w:color w:val="auto"/>
              </w:rPr>
              <w:t>Fixed assets purchased but not yet paid</w:t>
            </w: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4"/>
              <w:spacing w:after="0"/>
              <w:rPr>
                <w:sz w:val="20"/>
                <w:szCs w:val="20"/>
                <w:color w:val="auto"/>
              </w:rPr>
            </w:pPr>
            <w:r>
              <w:rPr>
                <w:rFonts w:ascii="Arial" w:cs="Arial" w:eastAsia="Arial" w:hAnsi="Arial"/>
                <w:sz w:val="16"/>
                <w:szCs w:val="16"/>
                <w:color w:val="auto"/>
              </w:rPr>
              <w:t>5,282</w:t>
            </w:r>
          </w:p>
        </w:tc>
        <w:tc>
          <w:tcPr>
            <w:tcW w:w="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gridSpan w:val="2"/>
          </w:tcPr>
          <w:p>
            <w:pPr>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during the period for:</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440"/>
              <w:spacing w:after="0"/>
              <w:rPr>
                <w:sz w:val="20"/>
                <w:szCs w:val="20"/>
                <w:color w:val="auto"/>
              </w:rPr>
            </w:pPr>
            <w:r>
              <w:rPr>
                <w:rFonts w:ascii="Arial" w:cs="Arial" w:eastAsia="Arial" w:hAnsi="Arial"/>
                <w:sz w:val="16"/>
                <w:szCs w:val="16"/>
                <w:color w:val="auto"/>
              </w:rPr>
              <w:t>Income taxes</w:t>
            </w: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4"/>
              <w:spacing w:after="0"/>
              <w:rPr>
                <w:sz w:val="20"/>
                <w:szCs w:val="20"/>
                <w:color w:val="auto"/>
              </w:rPr>
            </w:pPr>
            <w:r>
              <w:rPr>
                <w:rFonts w:ascii="Arial" w:cs="Arial" w:eastAsia="Arial" w:hAnsi="Arial"/>
                <w:sz w:val="16"/>
                <w:szCs w:val="16"/>
                <w:color w:val="auto"/>
              </w:rPr>
              <w:t>16,699</w:t>
            </w:r>
          </w:p>
        </w:tc>
        <w:tc>
          <w:tcPr>
            <w:tcW w:w="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 net of amounts capitalized</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58,195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50,449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condensed consolidated financial statements presented in this Quarterly Report on Form 10-Q are unaudited and reflect entries necessary for the fair presentation of the Condensed Consolidated Statements of Operations for the three and nine months ended September 30, 2008 and 2007, Condensed Consolidated Balance Sheets as of September 30, 2008 and December 31, 2007 and Condensed Consolidated Statements of Cash Flows for the nine months ended September 30, 2008 and 2007 of Itron, Inc. and its subsidiaries. All entries required for the fair presentation of the financial statements are of a normal recurring nature. Intercompany transactions and balances are eliminated upon consolidation.</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information and note disclosures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2007 audited financial statements and notes included in our Annual Report on Form 10-K, as filed with the SEC on February 26, 2008. The results of operations for the three and nine months ended September 30, 2008 are not necessarily indicative of the results expected for the full fiscal year or for any other fiscal period.</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where we do not exercise significant influence are accounted for under the cost method. We consider for consolidation any variable interest entity of which we are the primary beneficiary. At September 30, 2008, we had no material investments in variable interest entities.</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18, 2007, we completed the acquisition of Actaris Metering Systems SA (Actaris), which is reported as our Actaris operating segment. The operating results of this acquisition are included in our condensed consolidated financial statements commencing on the date of the acquisition. At March 31, 2008, we completed allocations of the purchase price to the assets acquired and liabilities assumed.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 Cash equivalents are recorded at cost, which approximates fair value.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We account for derivative instruments and hedging activities in accordance with Statement of Financial Accounting Standards (SFAS) 133,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as amended. All derivative instruments, whether designated in hedging relationships or not, are recorded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Condensed Consolidated Balance Sheets at fair value as either assets or liabilities. The components and fair values of our derivative instruments are determined using the fair value measurements of significant other observable inputs (Level 2), as defined by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We use observable market inputs based on the type of derivative and the nature of the underlying instrument. We also measure our counterparty credit risk based on current published credit default swap rates when determining the fair value of our derivatives.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If the derivative is a net investment hedge, the effective portion of any unrealized gain or loss is reported in accumulated other comprehensive income as a net unrealized gain or loss on derivative instruments. Ineffective portions of fair value changes or derivative instruments that do not qualify for hedging activities are recognized in other income (expense) in the Condensed Consolidated Statement of Operations. We classify cash flows from our derivative programs as cash flows from operating activities in the Condensed Consolidated Statements of Cash Flows. Derivatives are not used for trading or speculative purposes. Counterparties to our currency exchange and interest rate derivatives consist of major international financial institutions. We monitor our positions and include the credit risk of our counterparties when valuing our derivatives.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 end. Accounts receivable are written-off against the allowance when we believe an account, or a portion thereof, is no longer collectible.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capitalized and amortized over the term of the applicable lease, including renewable periods if reasonably assured, or over the useful lives, whichever is shorter. Costs related to internally developed software and software purchased for internal uses are capitalized in accordance with Statement of Position 98-1, </w:t>
      </w:r>
      <w:r>
        <w:rPr>
          <w:rFonts w:ascii="Arial" w:cs="Arial" w:eastAsia="Arial" w:hAnsi="Arial"/>
          <w:sz w:val="17"/>
          <w:szCs w:val="17"/>
          <w:i w:val="1"/>
          <w:iCs w:val="1"/>
          <w:color w:val="auto"/>
        </w:rPr>
        <w:t xml:space="preserve">Accounting for Costs of Computer Software Developed or Obtained for Internal Use, </w:t>
      </w:r>
      <w:r>
        <w:rPr>
          <w:rFonts w:ascii="Arial" w:cs="Arial" w:eastAsia="Arial" w:hAnsi="Arial"/>
          <w:sz w:val="17"/>
          <w:szCs w:val="17"/>
          <w:color w:val="auto"/>
        </w:rPr>
        <w:t>and are amortized over the estimated useful lives of the assets. Repair</w:t>
      </w:r>
      <w:r>
        <w:rPr>
          <w:rFonts w:ascii="Arial" w:cs="Arial" w:eastAsia="Arial" w:hAnsi="Arial"/>
          <w:sz w:val="17"/>
          <w:szCs w:val="17"/>
          <w:i w:val="1"/>
          <w:iCs w:val="1"/>
          <w:color w:val="auto"/>
        </w:rPr>
        <w:t xml:space="preserve"> </w:t>
      </w:r>
      <w:r>
        <w:rPr>
          <w:rFonts w:ascii="Arial" w:cs="Arial" w:eastAsia="Arial" w:hAnsi="Arial"/>
          <w:sz w:val="17"/>
          <w:szCs w:val="17"/>
          <w:color w:val="auto"/>
        </w:rPr>
        <w:t>and maintenance costs are expensed as incurred. We have no major planned maintenance activities.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review long-lived assets for impairment whenever events or circumstances indicate the carrying amount of an asset (or asset group as defined by SFAS 144, </w:t>
      </w:r>
      <w:r>
        <w:rPr>
          <w:rFonts w:ascii="Arial" w:cs="Arial" w:eastAsia="Arial" w:hAnsi="Arial"/>
          <w:sz w:val="17"/>
          <w:szCs w:val="17"/>
          <w:i w:val="1"/>
          <w:iCs w:val="1"/>
          <w:color w:val="auto"/>
        </w:rPr>
        <w:t>Accounting for the Impairment of Disposal of Long-Lived Assets</w:t>
      </w:r>
      <w:r>
        <w:rPr>
          <w:rFonts w:ascii="Arial" w:cs="Arial" w:eastAsia="Arial" w:hAnsi="Arial"/>
          <w:sz w:val="17"/>
          <w:szCs w:val="17"/>
          <w:color w:val="auto"/>
        </w:rPr>
        <w:t>) may not be recoverable. If there was an indication of impairment, management would prepare an estimate of future undiscounted cash flows expected to result from the use of the asset over its remaining economic life and its eventual disposition. If these cash flows were less than the carrying amount of the asset, an impairment loss would be recognized to write down the asset to its estimated fair value. There were no significant impairments of long-lived assets in the three and nine months ended September 30, 2008 and 2007. Assets held for sale are classified within other current assets in the Condensed Consolidated Balance Sheets and are reported at the lower of the carrying amount or fair value less costs to sell, and are no longer depreciated.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using the effective interest method. When debt is repaid early, or first becomes convertible as in the case of our convertible senior subordinated notes (convertible notes), the related portion of unamortized prepaid debt fees is written-off and included in interest expense in the Condensed Consolidated Statements of Operations.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accordance with SFAS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include in our results of operations the results of an acquired business from the date of acquisition. Net assets of the company acquired and intangible assets that arise from contractual/legal rights, or are capable of being separated, are recorded at their fair values as of the date of acquisition. The residual balance of the purchase price, after fair value allocations to all identified assets and liabilities, represents goodwill. Amounts allocated to in-process research and development (IPR&amp;D) are expensed in the period of acquisition. Costs to complete the IPR&amp;D are expensed in the subsequent periods as incurred.</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Goodwill and intangible assets result from our acquisitions. Goodwill is tested for impairment as of October 1 of each year, or more frequently, if a significant impairment indicator occurs under the guidance of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is assigned to our reporting units based on the expected benefit from the synergies arising from each business combination, determined by using certain financial metrics, including the incremental discounted cash flows associated with each reporting unit. Intangible assets with a finite life are amortized based on estimated discounted cash flows. Intangible assets are tested for impairment when events or changes in circumstances indicate the carrying value may not be recoverable. We use estimates in determining and assigning the fair value of goodwill and intangible assets, including estimates of useful lives of intangible assets, discounted future cash flows and fair values of the related operations. In testing goodwill for impairment, we forecast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projected warranty claims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 The long-term warranty balance includes estimated warranty claims beyond one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4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7"/>
                <w:szCs w:val="17"/>
                <w:color w:val="auto"/>
              </w:rPr>
            </w:pPr>
          </w:p>
        </w:tc>
      </w:tr>
      <w:tr>
        <w:trPr>
          <w:trHeight w:val="210"/>
        </w:trPr>
        <w:tc>
          <w:tcPr>
            <w:tcW w:w="4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2300" w:type="dxa"/>
            <w:vAlign w:val="bottom"/>
            <w:gridSpan w:val="2"/>
            <w:shd w:val="clear" w:color="auto" w:fill="CCEEFF"/>
          </w:tcPr>
          <w:p>
            <w:pPr>
              <w:jc w:val="right"/>
              <w:ind w:right="58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42,184</w:t>
            </w:r>
          </w:p>
        </w:tc>
        <w:tc>
          <w:tcPr>
            <w:tcW w:w="4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36,190</w:t>
            </w:r>
          </w:p>
        </w:tc>
        <w:tc>
          <w:tcPr>
            <w:tcW w:w="3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32,841</w:t>
            </w:r>
          </w:p>
        </w:tc>
        <w:tc>
          <w:tcPr>
            <w:tcW w:w="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18,148</w:t>
            </w:r>
          </w:p>
        </w:tc>
      </w:tr>
      <w:tr>
        <w:trPr>
          <w:trHeight w:val="176"/>
        </w:trPr>
        <w:tc>
          <w:tcPr>
            <w:tcW w:w="4500" w:type="dxa"/>
            <w:vAlign w:val="bottom"/>
          </w:tcPr>
          <w:p>
            <w:pPr>
              <w:spacing w:after="0" w:line="176" w:lineRule="exact"/>
              <w:rPr>
                <w:sz w:val="20"/>
                <w:szCs w:val="20"/>
                <w:color w:val="auto"/>
              </w:rPr>
            </w:pPr>
            <w:r>
              <w:rPr>
                <w:rFonts w:ascii="Arial" w:cs="Arial" w:eastAsia="Arial" w:hAnsi="Arial"/>
                <w:sz w:val="14"/>
                <w:szCs w:val="14"/>
                <w:color w:val="auto"/>
              </w:rPr>
              <w:t xml:space="preserve">Actaris acquisition opening balance/adjustments </w:t>
            </w:r>
            <w:r>
              <w:rPr>
                <w:rFonts w:ascii="Arial" w:cs="Arial" w:eastAsia="Arial" w:hAnsi="Arial"/>
                <w:sz w:val="20"/>
                <w:szCs w:val="20"/>
                <w:color w:val="auto"/>
                <w:vertAlign w:val="superscript"/>
              </w:rPr>
              <w:t>(1)</w:t>
            </w:r>
          </w:p>
        </w:tc>
        <w:tc>
          <w:tcPr>
            <w:tcW w:w="1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(57)</w:t>
            </w:r>
          </w:p>
        </w:tc>
        <w:tc>
          <w:tcPr>
            <w:tcW w:w="3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7,655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17,833</w:t>
            </w: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product warranties</w:t>
            </w:r>
          </w:p>
        </w:tc>
        <w:tc>
          <w:tcPr>
            <w:tcW w:w="15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1,974</w:t>
            </w: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5,789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3,703</w:t>
            </w: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Other changes/adjustments to warranties</w:t>
            </w:r>
          </w:p>
        </w:tc>
        <w:tc>
          <w:tcPr>
            <w:tcW w:w="1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1,433</w:t>
            </w:r>
          </w:p>
        </w:tc>
        <w:tc>
          <w:tcPr>
            <w:tcW w:w="3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5,405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4,687</w:t>
            </w: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Claims activity</w:t>
            </w:r>
          </w:p>
        </w:tc>
        <w:tc>
          <w:tcPr>
            <w:tcW w:w="15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(3,908)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(3,786)</w:t>
            </w: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(11,424)</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(8,663)</w:t>
            </w: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Effect of change in exchange rates</w:t>
            </w:r>
          </w:p>
        </w:tc>
        <w:tc>
          <w:tcPr>
            <w:tcW w:w="1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417</w:t>
            </w:r>
          </w:p>
        </w:tc>
      </w:tr>
      <w:tr>
        <w:trPr>
          <w:trHeight w:val="20"/>
        </w:trPr>
        <w:tc>
          <w:tcPr>
            <w:tcW w:w="4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Ending balance</w:t>
            </w:r>
          </w:p>
        </w:tc>
        <w:tc>
          <w:tcPr>
            <w:tcW w:w="15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40,600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36,125</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40,600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36,125</w:t>
            </w: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Less: current portion of warranty</w:t>
            </w:r>
          </w:p>
        </w:tc>
        <w:tc>
          <w:tcPr>
            <w:tcW w:w="1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8"/>
              </w:rPr>
              <w:t>(25,911)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(17,687)</w:t>
            </w:r>
          </w:p>
        </w:tc>
        <w:tc>
          <w:tcPr>
            <w:tcW w:w="3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(25,911)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(17,687)</w:t>
            </w:r>
          </w:p>
        </w:tc>
      </w:tr>
      <w:tr>
        <w:trPr>
          <w:trHeight w:val="20"/>
        </w:trPr>
        <w:tc>
          <w:tcPr>
            <w:tcW w:w="4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Long-term warranty</w:t>
            </w:r>
          </w:p>
        </w:tc>
        <w:tc>
          <w:tcPr>
            <w:tcW w:w="2300" w:type="dxa"/>
            <w:vAlign w:val="bottom"/>
            <w:gridSpan w:val="2"/>
            <w:shd w:val="clear" w:color="auto" w:fill="CCEEFF"/>
          </w:tcPr>
          <w:p>
            <w:pPr>
              <w:jc w:val="right"/>
              <w:ind w:right="588"/>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7"/>
              </w:rPr>
              <w:t>14,689</w:t>
            </w:r>
          </w:p>
        </w:tc>
        <w:tc>
          <w:tcPr>
            <w:tcW w:w="46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18,438</w:t>
            </w:r>
          </w:p>
        </w:tc>
        <w:tc>
          <w:tcPr>
            <w:tcW w:w="380" w:type="dxa"/>
            <w:vAlign w:val="bottom"/>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14,689</w:t>
            </w:r>
          </w:p>
        </w:tc>
        <w:tc>
          <w:tcPr>
            <w:tcW w:w="4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18,438</w:t>
            </w:r>
          </w:p>
        </w:tc>
      </w:tr>
      <w:tr>
        <w:trPr>
          <w:trHeight w:val="20"/>
        </w:trPr>
        <w:tc>
          <w:tcPr>
            <w:tcW w:w="45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12"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The acquisition adjustment for the three months ended September 30, 2008 reflects a reclassification from other liabilities.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warranty expense, which consists of new product warranties issued and other changes and adjustments to warranties, totaled approximately $3.2 million and $3.4 million for the three months ended September 30, 2008 and 2007, and approximately $11.2 million and $8.4 million for the nine months ended September 30, 2008 and 2007, respectively.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self insured for a substantial portion of the cost of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were approximately $4.8 million and $3.7 million for the three months ended September 30, 2008 and 2007, and $14.3 million and $11.6 million for the nine months ended September 30, 2008 and 2007, respectively. The IBNR accrual, which is included in wages and benefits payable, was $2.8 million and $2.1 million at September 30, 2008 and December 31, 2007, respectively. Our IBNR accrual and expenses can fluctuate due to the number of plan participants, claims activity and deductible limits. Our U.S. employees from the Actaris acquisition were transferred from a fully insured plan and added to our self-insured group health insurance at the beginning of 2008, resulting in higher 2008 self-insurance expenses compared with 2007. For our employees located outside of the United States, health benefits are provided primarily through governmental social plans, which are funded through employee and employer tax withholdings.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the ultimate loss. Changes in these factors and related estimates could materially affect our financial position and results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sponsor both funded and unfunded non-U.S. defined benefit pension plans. SFAS 87, </w:t>
      </w:r>
      <w:r>
        <w:rPr>
          <w:rFonts w:ascii="Arial" w:cs="Arial" w:eastAsia="Arial" w:hAnsi="Arial"/>
          <w:sz w:val="17"/>
          <w:szCs w:val="17"/>
          <w:i w:val="1"/>
          <w:iCs w:val="1"/>
          <w:color w:val="auto"/>
        </w:rPr>
        <w:t>Employers' Accounting for Pensions</w:t>
      </w:r>
      <w:r>
        <w:rPr>
          <w:rFonts w:ascii="Arial" w:cs="Arial" w:eastAsia="Arial" w:hAnsi="Arial"/>
          <w:sz w:val="17"/>
          <w:szCs w:val="17"/>
          <w:color w:val="auto"/>
        </w:rPr>
        <w:t xml:space="preserve">, as amended by SFAS 158, </w:t>
      </w:r>
      <w:r>
        <w:rPr>
          <w:rFonts w:ascii="Arial" w:cs="Arial" w:eastAsia="Arial" w:hAnsi="Arial"/>
          <w:sz w:val="17"/>
          <w:szCs w:val="17"/>
          <w:i w:val="1"/>
          <w:iCs w:val="1"/>
          <w:color w:val="auto"/>
        </w:rPr>
        <w:t>Employers' Accounting for Defined Benefit Pension and Other Postretirement Plans</w:t>
      </w:r>
      <w:r>
        <w:rPr>
          <w:rFonts w:ascii="Arial" w:cs="Arial" w:eastAsia="Arial" w:hAnsi="Arial"/>
          <w:sz w:val="17"/>
          <w:szCs w:val="17"/>
          <w:color w:val="auto"/>
        </w:rPr>
        <w:t>, requires the assets acquired and liabilities assumed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to include a liability for the projected benefit obligation in excess of plan assets or an asset for plan assets in excess of the projected benefit obligation. SFAS 158 also requires employers to recognize the funded status of their defined benefit pension plans on their consolidated balance sheet and recognize as a component of other comprehensive income, net of tax, the actuarial gains or losses, prior service costs or credits and transition assets or obligations, if any, that arise during the period but are not recognized as components of net periodic benefit cost.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Income taxes are accounted for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Under this method, deferred income taxes are recorded for the temporary differences between the financial reporting basis and tax basis of our assets and liabilities in each of the tax jurisdictions in which we operate. These deferred taxes are measured using the tax rates expected to be in effect when the temporary differences reverse. We establish a valuation allowance for a portion of the deferred tax asset when we believe it is more likely than not that a portion of the deferred tax asset will not be utilized. Deferred tax liabilities have not been recorded on undistributed earnings of international subsidiaries that are permanently reinvested.</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evaluate whether our tax benefits claimed or expected to be claimed on a tax return should be recorded in the financial statements in accordance with Financial Accounting Standards Board (FASB) Interpretation 48, </w:t>
      </w:r>
      <w:r>
        <w:rPr>
          <w:rFonts w:ascii="Arial" w:cs="Arial" w:eastAsia="Arial" w:hAnsi="Arial"/>
          <w:sz w:val="16"/>
          <w:szCs w:val="16"/>
          <w:i w:val="1"/>
          <w:iCs w:val="1"/>
          <w:color w:val="auto"/>
        </w:rPr>
        <w:t>Accounting for Uncertainty in Income Taxes – an Interpretation of FASB 109</w:t>
      </w:r>
      <w:r>
        <w:rPr>
          <w:rFonts w:ascii="Arial" w:cs="Arial" w:eastAsia="Arial" w:hAnsi="Arial"/>
          <w:sz w:val="16"/>
          <w:szCs w:val="16"/>
          <w:color w:val="auto"/>
        </w:rPr>
        <w:t xml:space="preserve"> (FIN 48). Under FIN 48, we recognize the tax benefit from an uncertain tax position only if it is more likely than not that the tax position will be sustained upon examination by the taxing authorities based solely on the technical merits of the position. The tax benefits recognized in the financial statements from such a position should be measured based on the largest benefit that has a greater than fifty percent likelihood of being realized upon ultimate settlement. We classify interest expense and penalties related to unrecognized tax benefits and interest income on tax overpayments as components of income tax expense.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condensed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Revenues and expenses for these subsidiaries are translated to U.S. dollars using an average rate for the relevant reporting period. Translation adjustments resulting from this process are included, net of tax, in accumulated other comprehensive income in shareholders’ equity. Gains and losses that arise from exchange rate fluctuations for balances that are not denominated in the functional currency are included in the Condensed Consolidated Statements of Operations. Currency gains and losses of intercompany balances deemed to be long-term in nature or considered to be hedges of the net investment in international subsidiaries are included, net of tax, in accumulated other comprehensive income in shareholders’ equity.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Revenues consist primarily of hardware sales, software license fees, software implementation, project management services, installation, consulting and post-sale maintenance support. In determining appropriate revenue recognition, we primarily consider the provisions of the following accounting pronouncements: Staff Accounting Bulletin 104, </w:t>
      </w:r>
      <w:r>
        <w:rPr>
          <w:rFonts w:ascii="Arial" w:cs="Arial" w:eastAsia="Arial" w:hAnsi="Arial"/>
          <w:sz w:val="17"/>
          <w:szCs w:val="17"/>
          <w:i w:val="1"/>
          <w:iCs w:val="1"/>
          <w:color w:val="auto"/>
        </w:rPr>
        <w:t>Revenue Recognition in Financial Statements</w:t>
      </w:r>
      <w:r>
        <w:rPr>
          <w:rFonts w:ascii="Arial" w:cs="Arial" w:eastAsia="Arial" w:hAnsi="Arial"/>
          <w:sz w:val="17"/>
          <w:szCs w:val="17"/>
          <w:color w:val="auto"/>
        </w:rPr>
        <w:t xml:space="preserve">, FASB’s Emerging Issues Task Force (EITF) 00-21, </w:t>
      </w:r>
      <w:r>
        <w:rPr>
          <w:rFonts w:ascii="Arial" w:cs="Arial" w:eastAsia="Arial" w:hAnsi="Arial"/>
          <w:sz w:val="17"/>
          <w:szCs w:val="17"/>
          <w:i w:val="1"/>
          <w:iCs w:val="1"/>
          <w:color w:val="auto"/>
        </w:rPr>
        <w:t>Revenue Arrangements with</w:t>
      </w:r>
      <w:r>
        <w:rPr>
          <w:rFonts w:ascii="Arial" w:cs="Arial" w:eastAsia="Arial" w:hAnsi="Arial"/>
          <w:sz w:val="17"/>
          <w:szCs w:val="17"/>
          <w:color w:val="auto"/>
        </w:rPr>
        <w:t xml:space="preserve"> </w:t>
      </w:r>
      <w:r>
        <w:rPr>
          <w:rFonts w:ascii="Arial" w:cs="Arial" w:eastAsia="Arial" w:hAnsi="Arial"/>
          <w:sz w:val="17"/>
          <w:szCs w:val="17"/>
          <w:i w:val="1"/>
          <w:iCs w:val="1"/>
          <w:color w:val="auto"/>
        </w:rPr>
        <w:t>Multiple Deliverables</w:t>
      </w:r>
      <w:r>
        <w:rPr>
          <w:rFonts w:ascii="Arial" w:cs="Arial" w:eastAsia="Arial" w:hAnsi="Arial"/>
          <w:sz w:val="17"/>
          <w:szCs w:val="17"/>
          <w:color w:val="auto"/>
        </w:rPr>
        <w:t>, Statement of Position (SOP) 97-2,</w:t>
      </w:r>
      <w:r>
        <w:rPr>
          <w:rFonts w:ascii="Arial" w:cs="Arial" w:eastAsia="Arial" w:hAnsi="Arial"/>
          <w:sz w:val="17"/>
          <w:szCs w:val="17"/>
          <w:i w:val="1"/>
          <w:iCs w:val="1"/>
          <w:color w:val="auto"/>
        </w:rPr>
        <w:t xml:space="preserve"> Software Revenue Recognition, </w:t>
      </w:r>
      <w:r>
        <w:rPr>
          <w:rFonts w:ascii="Arial" w:cs="Arial" w:eastAsia="Arial" w:hAnsi="Arial"/>
          <w:sz w:val="17"/>
          <w:szCs w:val="17"/>
          <w:color w:val="auto"/>
        </w:rPr>
        <w:t>SOP 81-1,</w:t>
      </w:r>
      <w:r>
        <w:rPr>
          <w:rFonts w:ascii="Arial" w:cs="Arial" w:eastAsia="Arial" w:hAnsi="Arial"/>
          <w:sz w:val="17"/>
          <w:szCs w:val="17"/>
          <w:i w:val="1"/>
          <w:iCs w:val="1"/>
          <w:color w:val="auto"/>
        </w:rPr>
        <w:t xml:space="preserve"> Accounting for Performance of Construction-Type and Certain Production-Type Contracts </w:t>
      </w:r>
      <w:r>
        <w:rPr>
          <w:rFonts w:ascii="Arial" w:cs="Arial" w:eastAsia="Arial" w:hAnsi="Arial"/>
          <w:sz w:val="17"/>
          <w:szCs w:val="17"/>
          <w:color w:val="auto"/>
        </w:rPr>
        <w:t>and EITF 03-5,</w:t>
      </w:r>
      <w:r>
        <w:rPr>
          <w:rFonts w:ascii="Arial" w:cs="Arial" w:eastAsia="Arial" w:hAnsi="Arial"/>
          <w:sz w:val="17"/>
          <w:szCs w:val="17"/>
          <w:i w:val="1"/>
          <w:iCs w:val="1"/>
          <w:color w:val="auto"/>
        </w:rPr>
        <w:t xml:space="preserve"> Applicability of AICPA Statement of Position 97-2 to Non-Software Deliverables in an Arrangement Containing More-Than-Incidental Software </w:t>
      </w:r>
      <w:r>
        <w:rPr>
          <w:rFonts w:ascii="Arial" w:cs="Arial" w:eastAsia="Arial" w:hAnsi="Arial"/>
          <w:sz w:val="17"/>
          <w:szCs w:val="17"/>
          <w:color w:val="auto"/>
        </w:rPr>
        <w:t>in determining the appropriate revenue recognition policy.</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arrangements with multiple deliverables are divided into separate units of accounting if the delivered item(s) have value to the customer on a standalone basis, there is objective and reliable evidence of fair value of both the delivered and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without being contingent upon the delivery/performance of additional items.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percentage-of-completion methodology if project costs can be estimated or the completed contract methodology if project costs cannot be reliably estimated. Hardware and software post-sale maintenance support fees are recognized ratably over the life of the related service contract.</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is recorded for products or services for which cash has been received from a customer, but for which the criteria for revenue recognition have not been met as of the balance sheet date. Shipping and handling costs and incidental expenses, which are commonly referred to as "out-of-pocket" expenses, billed to customers are recorded as revenue, with the associated cost charged to cost of revenues. We record sales, use and value added taxes billed to our customers on a net basis in our Condensed Consolidated Statements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Product and software development costs primarily include employee compensation and third party contracting fees. For software we develop to be marketed or sold, SFAS 86, </w:t>
      </w:r>
      <w:r>
        <w:rPr>
          <w:rFonts w:ascii="Arial" w:cs="Arial" w:eastAsia="Arial" w:hAnsi="Arial"/>
          <w:sz w:val="16"/>
          <w:szCs w:val="16"/>
          <w:i w:val="1"/>
          <w:iCs w:val="1"/>
          <w:color w:val="auto"/>
        </w:rPr>
        <w:t>Accounting for the Costs of Computer Software to be Sold, Leased or Otherwise Marketed (as amended)</w:t>
      </w:r>
      <w:r>
        <w:rPr>
          <w:rFonts w:ascii="Arial" w:cs="Arial" w:eastAsia="Arial" w:hAnsi="Arial"/>
          <w:sz w:val="16"/>
          <w:szCs w:val="16"/>
          <w:color w:val="auto"/>
        </w:rPr>
        <w:t>, requires the capitalization of development costs 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SFAS 123(R), </w:t>
      </w:r>
      <w:r>
        <w:rPr>
          <w:rFonts w:ascii="Arial" w:cs="Arial" w:eastAsia="Arial" w:hAnsi="Arial"/>
          <w:sz w:val="17"/>
          <w:szCs w:val="17"/>
          <w:i w:val="1"/>
          <w:iCs w:val="1"/>
          <w:color w:val="auto"/>
        </w:rPr>
        <w:t>Share-Based Payment</w:t>
      </w:r>
      <w:r>
        <w:rPr>
          <w:rFonts w:ascii="Arial" w:cs="Arial" w:eastAsia="Arial" w:hAnsi="Arial"/>
          <w:sz w:val="17"/>
          <w:szCs w:val="17"/>
          <w:color w:val="auto"/>
        </w:rPr>
        <w:t>, requires the measurement and recognition of compensation expense for all stock-based awards made to employees and directors, based on estimated fair values. We record stock-based compensation expenses under SFAS 123(R) for awards of stock options, our Employee Stock Purchase Plan (ESPP) and issuance of restricted and unrestricted stock awards and units. The fair value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expense stock-based compensation using the straight-line method over the requisite service period. A substantial portion of our stock-based compensation cannot be expensed for tax purposes. If we were to have tax deductions in excess of the compensation cost, they would be classified as financing cash inflows in the Condensed Consolidated Statements of Cash Flows.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SFAS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became effective on January 1, 2008 and establishes a framework for measuring fair value, expands disclosures about fair value measurements of our financial assets and liabilities and specifies a hierarchy of valuation techniques based on whether the inputs used are observable or unobservable. The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The disclosure requirements include the fair value measurement at the reporting date and the level within the fair value hierarchy in which the fair value measurements fall. For fair value measurements using Level 3 inputs, a reconciliation of the beginning and ending balances is required.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December 2007, the FASB issued SFAS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which replaces SFAS 141. SFAS 141(R) retains the fundamental purchase method of accounting for acquisitions, but requires a number of changes, including the way assets and liabilities are recognized in purchase accounting. SFAS 141(R) requires the recognition of assets acquired and liabilities assumed arising from contingencies to be recorded at fair value on the acquisition date; that IPR&amp;D be capitalized as an intangible asset and amortized over its estimated useful life; and that acquisition-related costs are expensed as incurred. SFAS 141(R) also requires that restructuring costs generally be expensed in periods subsequent to the acquisition date and that changes in accounting for deferred tax asset valuation allowances and acquired income tax uncertainties after the measurement period be recognized as a component of provision for taxes. SFAS 141(R) is effective for business combinations for which the acquisition date is on or after the beginning of the first annual reporting period beginning on or after December 15, 2008. We will apply SFAS 141(R) to any acquisition after the date of adoption.</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February 2008, the FASB issued FASB Staff Position (FSP)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which delays the effective date of SFAS 157 for nonfinancial assets and nonfinancial liabilities, except those that are recognized or disclosed at fair value in the financial statements on a recurring basis (at least annually) to fiscal years beginning after November 15, 2008 and interim periods within those fiscal years (see Note 1,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We are currently assessing the impact of SFAS 157 for nonfinancial assets and nonfinancial liabilities on our condensed consolidated financial statements.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2007, the FASB issued SFAS 160, </w:t>
      </w:r>
      <w:r>
        <w:rPr>
          <w:rFonts w:ascii="Arial" w:cs="Arial" w:eastAsia="Arial" w:hAnsi="Arial"/>
          <w:sz w:val="17"/>
          <w:szCs w:val="17"/>
          <w:i w:val="1"/>
          <w:iCs w:val="1"/>
          <w:color w:val="auto"/>
        </w:rPr>
        <w:t>Noncontrolling Interests in Consolidated Financial Statements - an amendment of ARB No. 51</w:t>
      </w:r>
      <w:r>
        <w:rPr>
          <w:rFonts w:ascii="Arial" w:cs="Arial" w:eastAsia="Arial" w:hAnsi="Arial"/>
          <w:sz w:val="17"/>
          <w:szCs w:val="17"/>
          <w:color w:val="auto"/>
        </w:rPr>
        <w:t>, which changes the accounting and reporting for minority interests. Minority interests will be re-characterized as noncontrolling interests and will be reported as a component of equity, separate from the parent’s equity, and purchases or sales of equity interests that do not result in a change in control will be accounted for as equity transactions. In addition, net income attributable to the noncontrolling interest will be included in consolidated net income on the face of the income statement and upon a loss of control, the interest sold, as well as any interest retained, will be recorded at fair value with any gain or loss recognized in earnings. SFAS 160 is effective for fiscal years beginning after December 15, 2008, and will be adopted by us in the first quarter of 2009. SFAS 160 is currently not expected to have a material effect on our condensed consolidated financial statements.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2008, the FASB issued SFAS 161, </w:t>
      </w:r>
      <w:r>
        <w:rPr>
          <w:rFonts w:ascii="Arial" w:cs="Arial" w:eastAsia="Arial" w:hAnsi="Arial"/>
          <w:sz w:val="17"/>
          <w:szCs w:val="17"/>
          <w:i w:val="1"/>
          <w:iCs w:val="1"/>
          <w:color w:val="auto"/>
        </w:rPr>
        <w:t>Disclosures about Derivative Instruments and Hedging Activities – an amendment of FASB Statement 133</w:t>
      </w:r>
      <w:r>
        <w:rPr>
          <w:rFonts w:ascii="Arial" w:cs="Arial" w:eastAsia="Arial" w:hAnsi="Arial"/>
          <w:sz w:val="17"/>
          <w:szCs w:val="17"/>
          <w:color w:val="auto"/>
        </w:rPr>
        <w:t>, which requires enhanced disclosures about how and why derivative instruments are used, how derivative instruments and related hedged items are accounted for under SFAS 133 and its related interpretations and how derivative instruments and related hedged items affect an entity’s financial position, financial performance and cash flows. SFAS 161 also requires the fair values of derivative instruments and their gains and losses to be disclosed in a tabular format. SFAS 161 does not change how we record and account for derivative instruments. SFAS 161 is effective for fiscal years and interim periods beginning after November 15, 2008 and will be adopted by us in the first quarter of 2009.</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2008, the FASB issued FSP APB 14-1, </w:t>
      </w:r>
      <w:r>
        <w:rPr>
          <w:rFonts w:ascii="Arial" w:cs="Arial" w:eastAsia="Arial" w:hAnsi="Arial"/>
          <w:sz w:val="17"/>
          <w:szCs w:val="17"/>
          <w:i w:val="1"/>
          <w:iCs w:val="1"/>
          <w:color w:val="auto"/>
        </w:rPr>
        <w:t>Accounting for Convertible Debt Instruments That May Be Settled in Cash upon Conversion</w:t>
      </w:r>
      <w:r>
        <w:rPr>
          <w:rFonts w:ascii="Arial" w:cs="Arial" w:eastAsia="Arial" w:hAnsi="Arial"/>
          <w:sz w:val="17"/>
          <w:szCs w:val="17"/>
          <w:color w:val="auto"/>
        </w:rPr>
        <w:t>, addressing convertible instruments that may be settled in cash upon conversion. This FSP requires, among other things, the issuer to separately account for the liability and equity components of the convertible instrument in a manner that reflects the issuer’s non-convertible debt borrowing rate. This FSP is effective for financial statements issued for fiscal years and interim periods beginning after December 15, 2008 and must be applied retrospectively to all periods presented at the time of adoption. We will adopt the FSP on January 1, 2009. We expect the impact of the FSP to be material to our condensed consolidated financial statements and are currently evaluating and quantifying the impact on specific accounts and disclosures.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EPS.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2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w w:val="98"/>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(in thousands, except per share data)</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available to common shareholders</w:t>
            </w:r>
          </w:p>
        </w:tc>
        <w:tc>
          <w:tcPr>
            <w:tcW w:w="2080" w:type="dxa"/>
            <w:vAlign w:val="bottom"/>
            <w:gridSpan w:val="2"/>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7,675</w:t>
            </w:r>
          </w:p>
        </w:tc>
        <w:tc>
          <w:tcPr>
            <w:tcW w:w="840" w:type="dxa"/>
            <w:vAlign w:val="bottom"/>
            <w:gridSpan w:val="2"/>
            <w:shd w:val="clear" w:color="auto" w:fill="CCEEFF"/>
          </w:tcPr>
          <w:p>
            <w:pPr>
              <w:jc w:val="right"/>
              <w:ind w:right="58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(3,446)</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23,753</w:t>
            </w:r>
          </w:p>
        </w:tc>
        <w:tc>
          <w:tcPr>
            <w:tcW w:w="5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shares outstanding - Basic</w:t>
            </w:r>
          </w:p>
        </w:tc>
        <w:tc>
          <w:tcPr>
            <w:tcW w:w="1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34,385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30,415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32,632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Dilutive effect of stock-based awards and convertible notes</w:t>
            </w:r>
          </w:p>
        </w:tc>
        <w:tc>
          <w:tcPr>
            <w:tcW w:w="1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2,487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2,359</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Weighted average number of shares outstanding - Diluted</w:t>
            </w:r>
          </w:p>
        </w:tc>
        <w:tc>
          <w:tcPr>
            <w:tcW w:w="1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36,872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30,415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34,991</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29,239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20" w:type="dxa"/>
            <w:vAlign w:val="bottom"/>
          </w:tcPr>
          <w:p>
            <w:pPr>
              <w:spacing w:after="0" w:line="142" w:lineRule="exact"/>
              <w:rPr>
                <w:sz w:val="20"/>
                <w:szCs w:val="20"/>
                <w:color w:val="auto"/>
              </w:rPr>
            </w:pPr>
            <w:r>
              <w:rPr>
                <w:rFonts w:ascii="Arial" w:cs="Arial" w:eastAsia="Arial" w:hAnsi="Arial"/>
                <w:sz w:val="14"/>
                <w:szCs w:val="14"/>
                <w:color w:val="auto"/>
              </w:rPr>
              <w:t>Basic earnings (loss) per common share</w:t>
            </w:r>
          </w:p>
        </w:tc>
        <w:tc>
          <w:tcPr>
            <w:tcW w:w="2080" w:type="dxa"/>
            <w:vAlign w:val="bottom"/>
            <w:gridSpan w:val="2"/>
          </w:tcPr>
          <w:p>
            <w:pPr>
              <w:jc w:val="right"/>
              <w:ind w:right="608"/>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0.22</w:t>
            </w:r>
          </w:p>
        </w:tc>
        <w:tc>
          <w:tcPr>
            <w:tcW w:w="840" w:type="dxa"/>
            <w:vAlign w:val="bottom"/>
            <w:gridSpan w:val="2"/>
          </w:tcPr>
          <w:p>
            <w:pPr>
              <w:jc w:val="right"/>
              <w:ind w:right="588"/>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(0.11)</w:t>
            </w:r>
          </w:p>
        </w:tc>
        <w:tc>
          <w:tcPr>
            <w:tcW w:w="26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0.73</w:t>
            </w:r>
          </w:p>
        </w:tc>
        <w:tc>
          <w:tcPr>
            <w:tcW w:w="5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Diluted earnings (loss) per common share</w:t>
            </w:r>
          </w:p>
        </w:tc>
        <w:tc>
          <w:tcPr>
            <w:tcW w:w="2080" w:type="dxa"/>
            <w:vAlign w:val="bottom"/>
            <w:gridSpan w:val="2"/>
            <w:shd w:val="clear" w:color="auto" w:fill="CCEEFF"/>
          </w:tcPr>
          <w:p>
            <w:pPr>
              <w:jc w:val="right"/>
              <w:ind w:right="608"/>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0.21</w:t>
            </w:r>
          </w:p>
        </w:tc>
        <w:tc>
          <w:tcPr>
            <w:tcW w:w="840" w:type="dxa"/>
            <w:vAlign w:val="bottom"/>
            <w:gridSpan w:val="2"/>
            <w:shd w:val="clear" w:color="auto" w:fill="CCEEFF"/>
          </w:tcPr>
          <w:p>
            <w:pPr>
              <w:jc w:val="right"/>
              <w:ind w:right="588"/>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(0.11)</w:t>
            </w: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0.68</w:t>
            </w:r>
          </w:p>
        </w:tc>
        <w:tc>
          <w:tcPr>
            <w:tcW w:w="5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Weighted average common shares outstanding, assuming dilution, include the incremental shares that would be issued upon the assumed exercise of stock-based awards. At September 30, 2008 and 2007, we had stock-based awards outstanding of approximately 1.4 million and 1.6 million at weighted average option exercise prices of $51.26 and $36.56, respectively. The number of anti-dilutive stock-based awards excluded from the calculation of diluted EPS was 268,000 and 759,000 for the three months ended September 30, 2008 and 2007 and 178,000 and 785,000 for the nine months ended September 30, 2008 and 2007, respectively. These stock-based awards could be dilutive in future periods.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For our $345 million convertible notes, the dilutive effect is calculated under the net share settlement method in accordance with EITF 04-8, </w:t>
      </w:r>
      <w:r>
        <w:rPr>
          <w:rFonts w:ascii="Arial" w:cs="Arial" w:eastAsia="Arial" w:hAnsi="Arial"/>
          <w:sz w:val="16"/>
          <w:szCs w:val="16"/>
          <w:i w:val="1"/>
          <w:iCs w:val="1"/>
          <w:color w:val="auto"/>
        </w:rPr>
        <w:t>The Effect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Contingently Convertible Instruments on Diluted Earnings per Share. </w:t>
      </w:r>
      <w:r>
        <w:rPr>
          <w:rFonts w:ascii="Arial" w:cs="Arial" w:eastAsia="Arial" w:hAnsi="Arial"/>
          <w:sz w:val="16"/>
          <w:szCs w:val="16"/>
          <w:color w:val="auto"/>
        </w:rPr>
        <w:t>We are required, pursuant to the indenture for the convertible notes, to settle the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the convertible notes in cash and may elect to settle the remaining conversion obligation (stock price in excess of conversion price) in cash, shares or a combination. Under the net share settlement method, if the average closing stock price for a quarter exceeds the conversion price of $65.15, we include the amount of shares it would take to satisfy the conversion obligation, assuming that all of the convertible notes are converted. The average closing price of our common stock for the three months ended September 30, 2008 exceeded the conversion price of $65.16 and therefore, approximately 1.7 million shares have been included in the calculation of diluted EPS. The number of shares calculated each quarter is included in the year-to-date calculation on a weighted-average basis. For the nine months ended September 30, 2008, approximately 1.6 million shares have been included in the diluted EPS calculation. For the three and nine months ended September 30, 2007, if we had net income and included the dilutive shares in the calculation of diluted EPS for those periods, approximately 1.2 million and 521,000 shares, respectively, would have been included.</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On May 6, 2008, we sold 3.4 million shares of common stock, no par value, at a public offering price of $91.52 per share, resulting in net proceeds of $310.9 million. The proceeds were primarily used to repay a portion of our non-convertible debt (see Note 6,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authorized 10 million shares of preferred stock with no par value. In the event of a liquidation, dissolution or winding up of the affairs of the corporation, whether voluntary or involuntary, the holders of any outstanding stock will be entitled to be paid a preferential amount per share to be determined by the Board of Directors prior to any payment to holders of common stock. Shares of preferred stock may be converted into common stock based on terms, conditions, rates and subject to such adjustments set by the Board of Directors. There was no preferred stock issued or outstanding at September 30, 2008 and 2007.</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3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Note 3:  Certain Balance Sheet Components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i w:val="1"/>
                <w:iCs w:val="1"/>
                <w:color w:val="auto"/>
              </w:rPr>
              <w:t>Accounts receivable, net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rPr>
              <w:t>At September 30,</w:t>
            </w:r>
          </w:p>
        </w:tc>
        <w:tc>
          <w:tcPr>
            <w:tcW w:w="80" w:type="dxa"/>
            <w:vAlign w:val="bottom"/>
          </w:tcPr>
          <w:p>
            <w:pPr>
              <w:spacing w:after="0"/>
              <w:rPr>
                <w:sz w:val="24"/>
                <w:szCs w:val="24"/>
                <w:color w:val="auto"/>
              </w:rPr>
            </w:pPr>
          </w:p>
        </w:tc>
        <w:tc>
          <w:tcPr>
            <w:tcW w:w="1720" w:type="dxa"/>
            <w:vAlign w:val="bottom"/>
            <w:gridSpan w:val="6"/>
          </w:tcPr>
          <w:p>
            <w:pPr>
              <w:ind w:left="14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4"/>
              </w:rPr>
              <w:t>2008</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 (net of allowance of $6,304 and $6,391)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320,746</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324,425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accounts receivable,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339,308</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339,018</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40" w:type="dxa"/>
            <w:vAlign w:val="bottom"/>
            <w:gridSpan w:val="3"/>
          </w:tcPr>
          <w:p>
            <w:pPr>
              <w:spacing w:after="0"/>
              <w:rPr>
                <w:sz w:val="20"/>
                <w:szCs w:val="20"/>
                <w:color w:val="auto"/>
              </w:rPr>
            </w:pPr>
            <w:r>
              <w:rPr>
                <w:rFonts w:ascii="Arial" w:cs="Arial" w:eastAsia="Arial" w:hAnsi="Arial"/>
                <w:sz w:val="18"/>
                <w:szCs w:val="18"/>
                <w:color w:val="auto"/>
                <w:w w:val="94"/>
              </w:rPr>
              <w:t>A summary of the allowance for doubtful accounts activity is as follows: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auto"/>
            </w:tcBorders>
            <w:gridSpan w:val="8"/>
          </w:tcPr>
          <w:p>
            <w:pPr>
              <w:jc w:val="right"/>
              <w:ind w:right="23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ind w:right="215"/>
              <w:spacing w:after="0"/>
              <w:rPr>
                <w:sz w:val="20"/>
                <w:szCs w:val="20"/>
                <w:color w:val="auto"/>
              </w:rPr>
            </w:pPr>
            <w:r>
              <w:rPr>
                <w:rFonts w:ascii="Arial" w:cs="Arial" w:eastAsia="Arial" w:hAnsi="Arial"/>
                <w:sz w:val="14"/>
                <w:szCs w:val="14"/>
                <w:b w:val="1"/>
                <w:bCs w:val="1"/>
                <w:color w:val="auto"/>
                <w:w w:val="98"/>
              </w:rPr>
              <w:t>Nine Months Ended September 30,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7"/>
          </w:tcPr>
          <w:p>
            <w:pPr>
              <w:jc w:val="right"/>
              <w:ind w:right="71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100" w:type="dxa"/>
            <w:vAlign w:val="bottom"/>
            <w:gridSpan w:val="2"/>
            <w:shd w:val="clear" w:color="auto" w:fill="CCEEFF"/>
          </w:tcPr>
          <w:p>
            <w:pPr>
              <w:jc w:val="right"/>
              <w:ind w:right="84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6,408</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5,679</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5"/>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6,391</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Actaris acquisition opening balance/adjustments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741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(471)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5,632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doubtful accounts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623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5"/>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w:t>
            </w: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Accounts charged off</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4"/>
          </w:tcPr>
          <w:p>
            <w:pPr>
              <w:jc w:val="right"/>
              <w:ind w:right="79"/>
              <w:spacing w:after="0" w:line="149" w:lineRule="exact"/>
              <w:rPr>
                <w:sz w:val="20"/>
                <w:szCs w:val="20"/>
                <w:color w:val="auto"/>
              </w:rPr>
            </w:pPr>
            <w:r>
              <w:rPr>
                <w:rFonts w:ascii="Arial" w:cs="Arial" w:eastAsia="Arial" w:hAnsi="Arial"/>
                <w:sz w:val="14"/>
                <w:szCs w:val="14"/>
                <w:color w:val="auto"/>
              </w:rPr>
              <w:t>(231)</w:t>
            </w:r>
          </w:p>
        </w:tc>
        <w:tc>
          <w:tcPr>
            <w:tcW w:w="180" w:type="dxa"/>
            <w:vAlign w:val="bottom"/>
          </w:tcPr>
          <w:p>
            <w:pPr>
              <w:spacing w:after="0"/>
              <w:rPr>
                <w:sz w:val="12"/>
                <w:szCs w:val="12"/>
                <w:color w:val="auto"/>
              </w:rPr>
            </w:pPr>
          </w:p>
        </w:tc>
        <w:tc>
          <w:tcPr>
            <w:tcW w:w="12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(661)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change in exchange rates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(313)</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3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6"/>
              </w:rPr>
              <w:t>(12)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320" w:type="dxa"/>
            <w:vAlign w:val="bottom"/>
            <w:gridSpan w:val="2"/>
          </w:tcPr>
          <w:p>
            <w:pPr>
              <w:spacing w:after="0" w:line="142" w:lineRule="exact"/>
              <w:rPr>
                <w:sz w:val="20"/>
                <w:szCs w:val="20"/>
                <w:color w:val="auto"/>
              </w:rPr>
            </w:pPr>
            <w:r>
              <w:rPr>
                <w:rFonts w:ascii="Arial" w:cs="Arial" w:eastAsia="Arial" w:hAnsi="Arial"/>
                <w:sz w:val="14"/>
                <w:szCs w:val="14"/>
                <w:color w:val="auto"/>
              </w:rPr>
              <w:t>Ending balance, September 30</w:t>
            </w:r>
          </w:p>
        </w:tc>
        <w:tc>
          <w:tcPr>
            <w:tcW w:w="1100" w:type="dxa"/>
            <w:vAlign w:val="bottom"/>
            <w:gridSpan w:val="2"/>
          </w:tcPr>
          <w:p>
            <w:pPr>
              <w:jc w:val="right"/>
              <w:ind w:right="848"/>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6,304</w:t>
            </w:r>
          </w:p>
        </w:tc>
        <w:tc>
          <w:tcPr>
            <w:tcW w:w="4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7,031</w:t>
            </w:r>
          </w:p>
        </w:tc>
        <w:tc>
          <w:tcPr>
            <w:tcW w:w="3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260" w:type="dxa"/>
            <w:vAlign w:val="bottom"/>
            <w:gridSpan w:val="5"/>
          </w:tcPr>
          <w:p>
            <w:pPr>
              <w:jc w:val="right"/>
              <w:ind w:right="10"/>
              <w:spacing w:after="0" w:line="142" w:lineRule="exact"/>
              <w:rPr>
                <w:sz w:val="20"/>
                <w:szCs w:val="20"/>
                <w:color w:val="auto"/>
              </w:rPr>
            </w:pPr>
            <w:r>
              <w:rPr>
                <w:rFonts w:ascii="Arial" w:cs="Arial" w:eastAsia="Arial" w:hAnsi="Arial"/>
                <w:sz w:val="14"/>
                <w:szCs w:val="14"/>
                <w:color w:val="auto"/>
              </w:rPr>
              <w:t>6,304</w:t>
            </w:r>
          </w:p>
        </w:tc>
        <w:tc>
          <w:tcPr>
            <w:tcW w:w="3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7,031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320" w:type="dxa"/>
            <w:vAlign w:val="bottom"/>
            <w:gridSpan w:val="2"/>
          </w:tcPr>
          <w:p>
            <w:pPr>
              <w:ind w:left="320"/>
              <w:spacing w:after="0"/>
              <w:rPr>
                <w:sz w:val="20"/>
                <w:szCs w:val="20"/>
                <w:color w:val="auto"/>
              </w:rPr>
            </w:pPr>
            <w:r>
              <w:rPr>
                <w:rFonts w:ascii="Arial" w:cs="Arial" w:eastAsia="Arial" w:hAnsi="Arial"/>
                <w:sz w:val="18"/>
                <w:szCs w:val="18"/>
                <w:i w:val="1"/>
                <w:iCs w:val="1"/>
                <w:color w:val="auto"/>
              </w:rPr>
              <w:t>Inventories</w:t>
            </w:r>
          </w:p>
        </w:tc>
        <w:tc>
          <w:tcPr>
            <w:tcW w:w="1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gridSpan w:val="3"/>
          </w:tcPr>
          <w:p>
            <w:pPr>
              <w:spacing w:after="0"/>
              <w:rPr>
                <w:sz w:val="20"/>
                <w:szCs w:val="20"/>
                <w:color w:val="auto"/>
              </w:rPr>
            </w:pPr>
            <w:r>
              <w:rPr>
                <w:rFonts w:ascii="Arial" w:cs="Arial" w:eastAsia="Arial" w:hAnsi="Arial"/>
                <w:sz w:val="18"/>
                <w:szCs w:val="18"/>
                <w:color w:val="auto"/>
              </w:rPr>
              <w:t>A summary of the inventory balances is as follows: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At 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9"/>
              </w:rPr>
              <w:t>At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(in</w:t>
            </w:r>
          </w:p>
        </w:tc>
        <w:tc>
          <w:tcPr>
            <w:tcW w:w="66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w w:val="71"/>
              </w:rPr>
              <w:t>thousands)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95,078</w:t>
            </w:r>
          </w:p>
        </w:tc>
        <w:tc>
          <w:tcPr>
            <w:tcW w:w="320" w:type="dxa"/>
            <w:vAlign w:val="bottom"/>
            <w:tcBorders>
              <w:lef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16,071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77,075</w:t>
            </w: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Total inventories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188,224</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169,238</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69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80" w:type="dxa"/>
            <w:vAlign w:val="bottom"/>
            <w:gridSpan w:val="14"/>
          </w:tcPr>
          <w:p>
            <w:pPr>
              <w:spacing w:after="0"/>
              <w:rPr>
                <w:sz w:val="20"/>
                <w:szCs w:val="20"/>
                <w:color w:val="auto"/>
              </w:rPr>
            </w:pPr>
            <w:r>
              <w:rPr>
                <w:rFonts w:ascii="Arial" w:cs="Arial" w:eastAsia="Arial" w:hAnsi="Arial"/>
                <w:sz w:val="18"/>
                <w:szCs w:val="18"/>
                <w:color w:val="auto"/>
                <w:w w:val="93"/>
              </w:rPr>
              <w:t>Our inventory levels may vary period to period as a result of our factory scheduling and timing of contract fulfillments.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i w:val="1"/>
                <w:iCs w:val="1"/>
                <w:color w:val="auto"/>
              </w:rPr>
              <w:t>Property, plant and equipment, net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95"/>
              </w:rPr>
              <w:t>At 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5"/>
          </w:tcPr>
          <w:p>
            <w:pPr>
              <w:ind w:left="2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b w:val="1"/>
                <w:bCs w:val="1"/>
                <w:color w:val="auto"/>
                <w:w w:val="94"/>
              </w:rPr>
              <w:t>2007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76"/>
              </w:rPr>
              <w:t>thousands)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223,336</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192,562</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Computers and purchased software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70,630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furniture and improvements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129,330</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140,386</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cost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461,799</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441,110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(144,201)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(118,107)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317,598</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323,003</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$13.5 million and $12.3 million for the three months ended September 30, 2008 and 2007, and $40.2 million and $27.2 million for the nine months ended September 30, 2008 and 2007,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b w:val="1"/>
                <w:bCs w:val="1"/>
                <w:color w:val="auto"/>
              </w:rPr>
              <w:t>At September 30, 2008</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rPr>
              <w:t>At December 31, 2007</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2"/>
              </w:rPr>
              <w:t>Gross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87"/>
              </w:rPr>
              <w:t>Gross Assets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401,827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(174,893)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226,934</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403,665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(126,488)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277,177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contracts and relationships</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310,101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(50,302)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259,799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312,709</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(25,151)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287,558</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(41,833)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154,760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127,883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(22,568)</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24,845</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(21,563)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3,282</w:t>
            </w:r>
          </w:p>
        </w:tc>
      </w:tr>
      <w:tr>
        <w:trPr>
          <w:trHeight w:val="20"/>
        </w:trPr>
        <w:tc>
          <w:tcPr>
            <w:tcW w:w="3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814,996</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(289,596)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525,400</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895,979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(200,079)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695,900</w:t>
            </w:r>
          </w:p>
        </w:tc>
      </w:tr>
      <w:tr>
        <w:trPr>
          <w:trHeight w:val="20"/>
        </w:trPr>
        <w:tc>
          <w:tcPr>
            <w:tcW w:w="3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 summary of the intangible asset account activity is as follows: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4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r>
      <w:tr>
        <w:trPr>
          <w:trHeight w:val="210"/>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48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w w:val="71"/>
              </w:rPr>
              <w:t>thousands)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intangible assets, gross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864,049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775,073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895,979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231,868</w:t>
            </w:r>
          </w:p>
        </w:tc>
      </w:tr>
      <w:tr>
        <w:trPr>
          <w:trHeight w:val="216"/>
        </w:trPr>
        <w:tc>
          <w:tcPr>
            <w:tcW w:w="5360" w:type="dxa"/>
            <w:vAlign w:val="bottom"/>
          </w:tcPr>
          <w:p>
            <w:pPr>
              <w:ind w:left="580"/>
              <w:spacing w:after="0"/>
              <w:rPr>
                <w:sz w:val="20"/>
                <w:szCs w:val="20"/>
                <w:color w:val="auto"/>
              </w:rPr>
            </w:pPr>
            <w:r>
              <w:rPr>
                <w:rFonts w:ascii="Arial" w:cs="Arial" w:eastAsia="Arial" w:hAnsi="Arial"/>
                <w:sz w:val="18"/>
                <w:szCs w:val="18"/>
                <w:color w:val="auto"/>
              </w:rPr>
              <w:t>Intangible assets acquired</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76,135</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623,242</w:t>
            </w:r>
          </w:p>
        </w:tc>
      </w:tr>
      <w:tr>
        <w:trPr>
          <w:trHeight w:val="216"/>
        </w:trPr>
        <w:tc>
          <w:tcPr>
            <w:tcW w:w="5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Adjustment of previous acquisitions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w:t>
            </w:r>
          </w:p>
        </w:tc>
      </w:tr>
      <w:tr>
        <w:trPr>
          <w:trHeight w:val="216"/>
        </w:trPr>
        <w:tc>
          <w:tcPr>
            <w:tcW w:w="5360" w:type="dxa"/>
            <w:vAlign w:val="bottom"/>
          </w:tcPr>
          <w:p>
            <w:pPr>
              <w:ind w:left="580"/>
              <w:spacing w:after="0"/>
              <w:rPr>
                <w:sz w:val="20"/>
                <w:szCs w:val="20"/>
                <w:color w:val="auto"/>
              </w:rPr>
            </w:pPr>
            <w:r>
              <w:rPr>
                <w:rFonts w:ascii="Arial" w:cs="Arial" w:eastAsia="Arial" w:hAnsi="Arial"/>
                <w:sz w:val="18"/>
                <w:szCs w:val="18"/>
                <w:color w:val="auto"/>
              </w:rPr>
              <w:t>Effect of change in exchange rates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(49,053)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31,526</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28,844</w:t>
            </w:r>
          </w:p>
        </w:tc>
      </w:tr>
      <w:tr>
        <w:trPr>
          <w:trHeight w:val="20"/>
        </w:trPr>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intangible assets, gross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814,996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882,734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814,996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882,734</w:t>
            </w:r>
          </w:p>
        </w:tc>
      </w:tr>
      <w:tr>
        <w:trPr>
          <w:trHeight w:val="20"/>
        </w:trPr>
        <w:tc>
          <w:tcPr>
            <w:tcW w:w="53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intangible assets acquired in 2007 relate to the Actaris acquisition. During the first quarter of 2008, intangible assets were adjusted by $70.0 million for trademarks and trade names based on our completion of our fair value assessment associated with the Actaris acquisition. Intangible assets decreased by $1.2 million in the first nine months of 2007 due to an adjustment to intangible assets for the Flow Metrix acquisition based on the final determination of fair values of intangible assets acquired.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Intangible assets are recorded in the functional currency of our international subsidiaries; therefore, the carrying amount of intangible assets increase or decrease, with a corresponding change in accumulated other comprehensive income, due to changes in foreign currency exchange rates for those intangible assets owned by our international subsidiaries. Intangible asset amortization expense was $30.4 million and $25.9 million for the three months ended September 30, 2008 and 2007, and $93.1 million and $58.1 million for the nine months ended September 30, 2008 and 2007,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49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9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Annual</w:t>
            </w:r>
          </w:p>
        </w:tc>
      </w:t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r>
      <w:tr>
        <w:trPr>
          <w:trHeight w:val="210"/>
        </w:trPr>
        <w:tc>
          <w:tcPr>
            <w:tcW w:w="4960" w:type="dxa"/>
            <w:vAlign w:val="bottom"/>
            <w:tcBorders>
              <w:top w:val="single" w:sz="8" w:color="auto"/>
            </w:tcBorders>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2008 (from October 1, 2008)</w:t>
            </w:r>
          </w:p>
        </w:tc>
        <w:tc>
          <w:tcPr>
            <w:tcW w:w="5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2009</w:t>
            </w: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102,406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74,210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2011</w:t>
            </w: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63,522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Beyond 2012</w:t>
            </w: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206,464</w:t>
            </w:r>
          </w:p>
        </w:tc>
        <w:tc>
          <w:tcPr>
            <w:tcW w:w="100" w:type="dxa"/>
            <w:vAlign w:val="bottom"/>
          </w:tcPr>
          <w:p>
            <w:pPr>
              <w:spacing w:after="0"/>
              <w:rPr>
                <w:sz w:val="18"/>
                <w:szCs w:val="18"/>
                <w:color w:val="auto"/>
              </w:rPr>
            </w:pPr>
          </w:p>
        </w:tc>
      </w:tr>
      <w:tr>
        <w:trPr>
          <w:trHeight w:val="21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intangible assets, net</w:t>
            </w:r>
          </w:p>
        </w:tc>
        <w:tc>
          <w:tcPr>
            <w:tcW w:w="5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525,400</w:t>
            </w:r>
          </w:p>
        </w:tc>
      </w:tr>
      <w:tr>
        <w:trPr>
          <w:trHeight w:val="696"/>
        </w:trPr>
        <w:tc>
          <w:tcPr>
            <w:tcW w:w="4960" w:type="dxa"/>
            <w:vAlign w:val="bottom"/>
            <w:tcBorders>
              <w:top w:val="single" w:sz="8" w:color="CCEEFF"/>
            </w:tcBorders>
          </w:tcPr>
          <w:p>
            <w:pPr>
              <w:spacing w:after="0"/>
              <w:rPr>
                <w:sz w:val="24"/>
                <w:szCs w:val="24"/>
                <w:color w:val="auto"/>
              </w:rPr>
            </w:pPr>
          </w:p>
        </w:tc>
        <w:tc>
          <w:tcPr>
            <w:tcW w:w="5100" w:type="dxa"/>
            <w:vAlign w:val="bottom"/>
            <w:tcBorders>
              <w:top w:val="single" w:sz="8" w:color="CCEEFF"/>
            </w:tcBorders>
          </w:tcPr>
          <w:p>
            <w:pPr>
              <w:jc w:val="right"/>
              <w:ind w:right="417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4960" w:type="dxa"/>
            <w:vAlign w:val="bottom"/>
            <w:tcBorders>
              <w:bottom w:val="single" w:sz="8" w:color="808080"/>
            </w:tcBorders>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goodwill allocated to each reporting segment during the nine months ended September 30, 2008 and 2007, respectively.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Itron North</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America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Actaris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January 1,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125,855</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Goodwill acquired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1,043,821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1,043,821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to previous acquisitions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Effect of change in exchange rates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45,458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47,311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September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1,089,690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1,218,378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1,137,804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Adjustment of previous acquisitions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55,370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change in exchange rates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 balance at September 30, 2008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1,189,238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1,316,904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during 2007 was due to the goodwill acquired in the Actaris acquisition on April 18, 2007. Goodwill was adjusted in 2008 and 2007 based on our final determination of certain fair values of assets acquired and the payment of additional consideration for our 2007 and 2006 acquisitions. Goodwill is recorded in the functional currency of our international subsidiaries; therefore, goodwill balances may increase or decrease, with a corresponding change in accumulated other comprehensive income, due to changes in foreign currency exchange rates.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2008, we consolidated certain operations between our two operating segments as a result of our continued integration of the Actaris acquisition. The allocation of goodwill to our reporting units is based on the new segment reporting structure and in accordance with SFAS 142, goodwill of $411,000 at January 1, 2007 has been reallocated between the segments to conform to the new segment reporting structure.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Note 6:  Debt</w:t>
            </w: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200" w:type="dxa"/>
            <w:vAlign w:val="bottom"/>
            <w:gridSpan w:val="2"/>
          </w:tcPr>
          <w:p>
            <w:pPr>
              <w:spacing w:after="0"/>
              <w:rPr>
                <w:sz w:val="20"/>
                <w:szCs w:val="20"/>
                <w:color w:val="auto"/>
              </w:rPr>
            </w:pPr>
            <w:r>
              <w:rPr>
                <w:rFonts w:ascii="Arial" w:cs="Arial" w:eastAsia="Arial" w:hAnsi="Arial"/>
                <w:sz w:val="18"/>
                <w:szCs w:val="18"/>
                <w:color w:val="auto"/>
              </w:rPr>
              <w:t>The components of our borrowings are as follows:</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9"/>
              </w:rPr>
              <w:t>At September 30,</w:t>
            </w:r>
          </w:p>
        </w:tc>
        <w:tc>
          <w:tcPr>
            <w:tcW w:w="180" w:type="dxa"/>
            <w:vAlign w:val="bottom"/>
          </w:tcPr>
          <w:p>
            <w:pPr>
              <w:spacing w:after="0"/>
              <w:rPr>
                <w:sz w:val="24"/>
                <w:szCs w:val="24"/>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At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220" w:type="dxa"/>
            <w:vAlign w:val="bottom"/>
          </w:tcPr>
          <w:p>
            <w:pPr>
              <w:spacing w:after="0"/>
              <w:rPr>
                <w:sz w:val="19"/>
                <w:szCs w:val="19"/>
                <w:color w:val="auto"/>
              </w:rPr>
            </w:pPr>
          </w:p>
        </w:tc>
        <w:tc>
          <w:tcPr>
            <w:tcW w:w="4000" w:type="dxa"/>
            <w:vAlign w:val="bottom"/>
            <w:gridSpan w:val="5"/>
          </w:tcPr>
          <w:p>
            <w:pPr>
              <w:jc w:val="right"/>
              <w:ind w:right="16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7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USD denominated term loan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40"/>
              <w:spacing w:after="0"/>
              <w:rPr>
                <w:sz w:val="20"/>
                <w:szCs w:val="20"/>
                <w:color w:val="auto"/>
              </w:rPr>
            </w:pPr>
            <w:r>
              <w:rPr>
                <w:rFonts w:ascii="Arial" w:cs="Arial" w:eastAsia="Arial" w:hAnsi="Arial"/>
                <w:sz w:val="18"/>
                <w:szCs w:val="18"/>
                <w:color w:val="auto"/>
              </w:rPr>
              <w:t>EUR denominated term loan</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372,443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445,228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GBP denominated term loan</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Convertible senior subordinated notes</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345,000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110,162</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1,204,861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1,590,541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2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(355,944)</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848,917</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1,578,561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Actaris acquisition in 2007 was financed in part by a $1.2 billion credit facility. The credit facility, dated April 18, 2007, was comprised of a $605.1 million first lien U.S. dollar denominated term loan; a €335 million first lien euro denominated term loan; a £50 million first lien pound sterling denominated term loan (collectively the term loans); and a $115 million multicurrency revolving line-of-credit (revolver). Our loan balances denominated in currencies other than the U.S. dollar fluctuate due to currency exchange rates. Interest rates on the credit facility are based on the respective borrowing’s denominated London Inter Bank Offering Rate (LIBOR) or the Wells Fargo Bank, National Association’s prime rate, plus an additional margin subject to factors including our consolidated leverage ratio. In accordance with our Credit Agreement, when our consolidated leverage ratio decreases below 4.5 times, the applicable margin decreases from 2.0% to 1.75%. On August 5, 2008, upon completion of our quarterly compliance certificate, our applicable margin decreased to 1.75%.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Prepaid debt fees are amortized using the effective interest method through the term loans’ earliest maturity date, as defined by the credit agreement. The credit facility is secured by substantially all of the assets of Itron, Inc., our operating subsidiaries, except our international subsidiaries, and contains covenants, which contain certain financial ratios and place restrictions on the incurrence of debt, the payment of dividends, certain investments, incurrence of capital expenditures above a set limit and mergers. We were in compliance with these debt covenants at September 30, 2008. At September 30, 2008, there were no borrowings outstanding under the revolver and $49.1 million was utilized by outstanding standby letters of credit resulting in $65.9 million being available for additional borrowings.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repaid $34.7 million in borrowings during the three months ended September 30, 2008 and $384.4 million in borrowings during the nine months ended September 30, 2008. These repayments were made with cash flows from operations and $311 million in net proceeds from the completed sale of 3.4 million shares of our common stock.</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Subordinated Notes</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2004, we issued $125 million of 7.75% senior subordinated notes (subordinated notes) due in 2012, which were discounted to a price of 99.265 to yield 7.875%. The subordinated notes are registered with the SEC and are generally transferable. Fixed interest payments are required every six months, in May and November. The notes are subordinated to our credit facility (senior secured borrowings) and are guaranteed by all of our operating subsidiaries, except for our international subsidiaries. The subordinated notes contain covenants, which place restrictions on the incurrence of debt, the payment of dividends, certain investments and mergers. We were in compliance with these debt covenants at September 30, 2008. From time to time, we may reacquire a portion of the subordinated notes on the open market, resulting in the early extinguishment of debt. During 2008, we reacquired $14.4 million in principal amount of the subordinated notes. The balance of the subordinated notes, including accreted discount, was $110.2 million at September 30, 2008. Some or all of the subordinated notes may be redeemed at our option at any time on or after May 15, 2008 at a face value redemption price of 103.875% of the principal amount, decreasing to 101.938% on May 15, 2009 and 100.000% on May 15, 2010.</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August 4, 2006, we issued $345 million of 2.50%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EITF 05-2, </w:t>
      </w:r>
      <w:r>
        <w:rPr>
          <w:rFonts w:ascii="Arial" w:cs="Arial" w:eastAsia="Arial" w:hAnsi="Arial"/>
          <w:sz w:val="16"/>
          <w:szCs w:val="16"/>
          <w:i w:val="1"/>
          <w:iCs w:val="1"/>
          <w:color w:val="auto"/>
        </w:rPr>
        <w:t>The Meaning of</w:t>
      </w:r>
      <w:r>
        <w:rPr>
          <w:rFonts w:ascii="Arial" w:cs="Arial" w:eastAsia="Arial" w:hAnsi="Arial"/>
          <w:sz w:val="16"/>
          <w:szCs w:val="16"/>
          <w:color w:val="auto"/>
        </w:rPr>
        <w:t xml:space="preserve"> </w:t>
      </w:r>
      <w:r>
        <w:rPr>
          <w:rFonts w:ascii="Arial" w:cs="Arial" w:eastAsia="Arial" w:hAnsi="Arial"/>
          <w:sz w:val="16"/>
          <w:szCs w:val="16"/>
          <w:i w:val="1"/>
          <w:iCs w:val="1"/>
          <w:color w:val="auto"/>
        </w:rPr>
        <w:t>“Conventional Convertible Debt Instruments” in Issue 00-19</w:t>
      </w:r>
      <w:r>
        <w:rPr>
          <w:rFonts w:ascii="Arial" w:cs="Arial" w:eastAsia="Arial" w:hAnsi="Arial"/>
          <w:sz w:val="16"/>
          <w:szCs w:val="16"/>
          <w:color w:val="auto"/>
        </w:rPr>
        <w:t>, as the number of shares, or cash, to be received by the holders was not fixed at the inception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obligation. We have concluded that the conversion feature of our convertible notes does not require bifurcation from the host contract in accordance with SFAS 133, as the conversion feature is indexed to the Company’s own stock and would be classified within stockholders’ equity if it were a freestanding instrument as provided by EITF 00-19,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convertible notes contain purchase options, at the option of the holders, which may require us to repurchase all or a portion of the convertible notes on August 1, 2011, August 1, 2016 and August 1, 2021 at 100% of the principal amount, plus accrued and unpaid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convertible notes may be converted at the option of the holder at a conversion rate of 15.3478 shares of our common stock for each $1,000 principal amount of the convertible notes, under the following circumstances, as defined in the indenture (filed with the SEC on November 6, 2006 as Exhibit 4.16 our Quarterly Report on Form 10-Q):</w:t>
      </w:r>
    </w:p>
    <w:p>
      <w:pPr>
        <w:spacing w:after="0" w:line="208" w:lineRule="exact"/>
        <w:rPr>
          <w:sz w:val="20"/>
          <w:szCs w:val="20"/>
          <w:color w:val="auto"/>
        </w:rPr>
      </w:pPr>
    </w:p>
    <w:p>
      <w:pPr>
        <w:jc w:val="both"/>
        <w:ind w:left="980" w:hanging="323"/>
        <w:spacing w:after="0" w:line="249" w:lineRule="auto"/>
        <w:tabs>
          <w:tab w:leader="none" w:pos="98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during any fiscal quarter commencing after September 30, 2006, if the closing sale price per share of our common stock exceeds $78.19, which is 120% of the conversion price of $65.16, for at least 20 trading days in the 30 consecutive trading day period ending on the last trading day of the preceding fiscal quarter;</w:t>
      </w:r>
    </w:p>
    <w:p>
      <w:pPr>
        <w:spacing w:after="0" w:line="1" w:lineRule="exact"/>
        <w:rPr>
          <w:rFonts w:ascii="Courier New" w:cs="Courier New" w:eastAsia="Courier New" w:hAnsi="Courier New"/>
          <w:sz w:val="18"/>
          <w:szCs w:val="18"/>
          <w:color w:val="auto"/>
        </w:rPr>
      </w:pPr>
    </w:p>
    <w:p>
      <w:pPr>
        <w:ind w:left="980" w:hanging="323"/>
        <w:spacing w:after="0" w:line="232" w:lineRule="auto"/>
        <w:tabs>
          <w:tab w:leader="none" w:pos="98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between July 1, 2011 and August 1, 2011, and any time after August 1, 2024;</w:t>
      </w:r>
    </w:p>
    <w:p>
      <w:pPr>
        <w:ind w:left="980" w:hanging="323"/>
        <w:spacing w:after="0" w:line="241" w:lineRule="auto"/>
        <w:tabs>
          <w:tab w:leader="none" w:pos="98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323"/>
        <w:spacing w:after="0" w:line="232" w:lineRule="auto"/>
        <w:tabs>
          <w:tab w:leader="none" w:pos="98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if the convertible notes are called for redemption;</w:t>
      </w:r>
    </w:p>
    <w:p>
      <w:pPr>
        <w:ind w:left="980" w:hanging="323"/>
        <w:spacing w:after="0" w:line="232" w:lineRule="auto"/>
        <w:tabs>
          <w:tab w:leader="none" w:pos="98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if a fundamental change occurs; or</w:t>
      </w:r>
    </w:p>
    <w:p>
      <w:pPr>
        <w:ind w:left="980" w:hanging="323"/>
        <w:spacing w:after="0" w:line="232" w:lineRule="auto"/>
        <w:tabs>
          <w:tab w:leader="none" w:pos="98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upon the occurrence of defined corporate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principal amount will be less than the $1,000 principle amount and will be settled in cash.</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convertible notes are unsecured and subordinate to all of our existing and future senior secured borrowings. The convertible notes are unconditionally guaranteed, joint and severally, by all of our operating subsidiaries, except for our international subsidiaries, all of which are wholly owned. The convertible notes contain covenants, which place restrictions on the incurrence of debt and certain mergers. We were in compliance with these debt covenants at September 30, 2008.</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September 30, 2008, the contingent conversion threshold was exceeded as the closing sale price per share of our common stock on the NASDAQ Global Select Market exceeded $78.19, which is 120% of the conversion price of $65.16, for at least 20 trading days in the 30 consecutive trading day period ending September 30, 2008. As a result, the notes are convertible at the option of the holder through the fourth quarter of 2008, and accordingly, the aggregate principal amount of the convertible notes at September 30, 2008 is included in the current portion of long-term debt. At December 31, 2007, the contingent conversion threshold was not exceeded and, therefore, the aggregate principal amount of the convertible notes is included in long-term debt. As our stock price is subject to fluctuation, the contingent conversion threshold may be exceeded during any quarter prior to July 2011, and the notes subject to conversion.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May 2008, the FASB issued FSP APB 14-1, </w:t>
      </w:r>
      <w:r>
        <w:rPr>
          <w:rFonts w:ascii="Arial" w:cs="Arial" w:eastAsia="Arial" w:hAnsi="Arial"/>
          <w:sz w:val="18"/>
          <w:szCs w:val="18"/>
          <w:i w:val="1"/>
          <w:iCs w:val="1"/>
          <w:color w:val="auto"/>
        </w:rPr>
        <w:t>Accounting for Convertible Debt Instruments That May Be Settled in Cash upon Conversion</w:t>
      </w:r>
      <w:r>
        <w:rPr>
          <w:rFonts w:ascii="Arial" w:cs="Arial" w:eastAsia="Arial" w:hAnsi="Arial"/>
          <w:sz w:val="18"/>
          <w:szCs w:val="18"/>
          <w:color w:val="auto"/>
        </w:rPr>
        <w:t xml:space="preserve">, addressing convertible instruments that may be settled in cash upon conversion (see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Prepaid Debt Fees &amp; Interest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Prepaid debt fees for our outstanding borrowings are amortized over the respective terms using the effective interest method. Total unamortized prepaid debt fees were approximately $14.1 million and $21.6 million at September 30, 2008 and December 31, 2007, respectively. Accrued interest expense was $4.5 million and $5.0 million at September 30, 2008 and December 31, 2007, respectively.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 and Hedging Activities</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Our objective is to offset gains and losses resulting from these exposures with losses and gains on the derivative contracts used to hedge them, thereby reducing the impact of volatility on earnings or protecting fair values of assets and liabilities.</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30, 2008, we entered into a one-year interest rate swap to convert $200 million of our USD term loan, which had a remaining balance of $377 million at September 30, 2008, under our Credit Agreement dated April 18, 2007, from a floating 1-month LIBOR interest rate to a fixed 3.01% interest rate. Our interest rate will continue to contain an additional margin per the credit facility agreement.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was $200 million and the fair value, recorded as a short-term asset, was $349,000 at September 30, 2008. The amount of net gains expected to be reclassified into earnings through the remaining contract of nine months is approximately $1.9 million based on the Wells Fargo swap yield curve as of October 1, 2008.</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third quarter of 2007, we entered into an interest rate swap to convert our €335 million euro denominated variable rate term loan to a fixed-rate debt obligation at a rate of 6.59% for the term of the debt, including expected prepayments.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is reduced each quarter in accordance with scheduled prepayments. The notional amount of the swap was $372 million (€255 million) and the fair value, recorded as a long-term liability, was $113,000 at September 30, 2008. The amount of net gains expected to be reclassified into earnings in the next twelve months is approximately $2.5 million based on the Wells Fargo swap yield curve as of October 1, 2008.</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second quarter of 2008, we began entering into certain foreign exchange forward contracts with the intent to reduce volatility of certain intercompany financing transactions. These contracts are not designated as accounting hedges and are de minimis in fair value and notional amounts.</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second quarter of 2007, we designated certain portions of our foreign currency denominated term loans as hedges of our net investment in international operations. Net gains of $32 million ($20 million after-tax) were reported as a net unrealized gain on derivative instruments, a component of accumulated other comprehensive income, which represented effective hedges of net investments for the three months ended September 30, 2008. Net losses of $366,000 ($8,000 after-tax) were reported as a net unrealized loss on derivative instruments, a component of accumulated other comprehensive income, which represented effective hedges of net investments, for the nine months ended September 30, 2008. We had no hedge ineffectiveness.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2008, we repaid the £50 million pound sterling denominated term loan. We realized a $208,000 loss in other income (expense) from the termination of the cross currency interest rate swap, which we entered into in the third quarter of 2007.</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2007, we completed the acquisition of Actaris and realized a $2.8 million gain in other income (expense) from the termination of the foreign currency range forward contracts. In the first quarter of 2007, we signed a stock purchase agreement to acquire Actaris and entered into foreign currency range forward contracts (transactions where put options were sold and call options were purchased) to reduce our exposure to declines in the value of the U.S. dollar and pound sterling relative to the euro denominated purchase price. Under SFAS 133, the Actaris stock purchase agreement was considered an unrecognized firm commitment for a business acquisition; therefore, these foreign currency range forward contracts could not be designated as fair value hedges.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components and fair values of our derivative instruments are determined using the fair value measurements of significant other observable inputs (Level 2), as defined by SFAS 157. We have used observable market inputs based on the type of derivative and the nature of the underlying instrument. The key inputs used at September 30, 2008 included interest rate yield curves, foreign exchange rates, the spot price of the underlying instrument and related volatility, all of which are considered to be available in an active market. The key inputs used at September 30, 2008 were considered Level 2 inputs. We have utilized the mid-market pricing convention for these inputs, which represents the mid-point of the observable rates in an active market at the reporting date. The fair values also included a measure of our counterparty credit risk based on current published credit default swap rates. We have one counterparty for our outstanding derivatives for which we have a master netting agreement. We believe the netting agreement reduces our counterparty credit exposure. At September 30, 2008, the net fair value of our derivatives was an asset of $222,000. We anticipate that our counterparty will be able to fully satisfy their obligations under our outstanding derivative contracts.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our derivative instruments determined using the fair value measurement of significant other observable inputs (Level 2)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9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At September 30, 2008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4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$200 million USD term loan interest rate swap</w:t>
            </w:r>
          </w:p>
        </w:tc>
        <w:tc>
          <w:tcPr>
            <w:tcW w:w="2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Accrued expenses: Foreign exchange forward contracts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Long-term other obligations: $372 million EUR term loan interest rate swap</w:t>
            </w:r>
          </w:p>
        </w:tc>
        <w:tc>
          <w:tcPr>
            <w:tcW w:w="1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Net fair value of derivative instruments valued using Level 2 inputs</w:t>
            </w:r>
          </w:p>
        </w:tc>
        <w:tc>
          <w:tcPr>
            <w:tcW w:w="2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-8255</wp:posOffset>
            </wp:positionV>
            <wp:extent cx="11836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Pension Plan Benefits</w:t>
      </w:r>
    </w:p>
    <w:p>
      <w:pPr>
        <w:spacing w:after="0" w:line="2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sponsor both funded and unfunded non-U.S. defined benefit pension plans offering death and disability, retirement and special termination benefits to employees in Germany, France, Spain, Italy, Belgium, Chile, Portugal, Hungary and Indonesia. These plans were assumed with the acquisition of Actaris on April 18, 2007. Our general funding policy for these qualified pension plans is to contribute amounts at least sufficient to satisfy regulatory funding standards of the respective countries for each plan. For 2008, we expect to contribute a total of $500,000 to our defined benefit pension plans. Our expected contribution assumes that actual plan asset returns are consistent with our expected rate of return and that interest rates remain constant. For the three and nine months ended September 30, 2008, we contributed approximately $33,000 and $126,000, respectively, to the defined benefit pension plans.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18, 2007 Through</w:t>
            </w:r>
          </w:p>
        </w:tc>
      </w:tr>
      <w:tr>
        <w:trPr>
          <w:trHeight w:val="188"/>
        </w:trPr>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2008</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2007</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3"/>
              </w:rPr>
              <w:t>September 30, 2008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3"/>
              </w:rPr>
              <w:t>September 30, 2007</w:t>
            </w:r>
          </w:p>
        </w:tc>
        <w:tc>
          <w:tcPr>
            <w:tcW w:w="100" w:type="dxa"/>
            <w:vAlign w:val="bottom"/>
          </w:tcPr>
          <w:p>
            <w:pPr>
              <w:spacing w:after="0"/>
              <w:rPr>
                <w:sz w:val="16"/>
                <w:szCs w:val="16"/>
                <w:color w:val="auto"/>
              </w:rPr>
            </w:pPr>
          </w:p>
        </w:tc>
      </w:tr>
      <w:tr>
        <w:trPr>
          <w:trHeight w:val="210"/>
        </w:trPr>
        <w:tc>
          <w:tcPr>
            <w:tcW w:w="3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6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1980" w:type="dxa"/>
            <w:vAlign w:val="bottom"/>
            <w:gridSpan w:val="2"/>
            <w:shd w:val="clear" w:color="auto" w:fill="CCEEFF"/>
          </w:tcPr>
          <w:p>
            <w:pPr>
              <w:jc w:val="right"/>
              <w:ind w:right="88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438</w:t>
            </w:r>
          </w:p>
        </w:tc>
        <w:tc>
          <w:tcPr>
            <w:tcW w:w="1140" w:type="dxa"/>
            <w:vAlign w:val="bottom"/>
            <w:gridSpan w:val="2"/>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1,616</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928</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955</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1,456</w:t>
            </w: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Settlements and curtailments</w:t>
            </w: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(227)</w:t>
            </w: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actuarial net gain</w:t>
            </w:r>
          </w:p>
        </w:tc>
        <w:tc>
          <w:tcPr>
            <w:tcW w:w="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Amortization of unrecognized prior service costs</w:t>
            </w: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periodic benefit cost</w:t>
            </w:r>
          </w:p>
        </w:tc>
        <w:tc>
          <w:tcPr>
            <w:tcW w:w="9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8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1,284</w:t>
            </w:r>
          </w:p>
        </w:tc>
        <w:tc>
          <w:tcPr>
            <w:tcW w:w="1140" w:type="dxa"/>
            <w:vAlign w:val="bottom"/>
            <w:gridSpan w:val="2"/>
            <w:shd w:val="clear" w:color="auto" w:fill="CCEEFF"/>
          </w:tcPr>
          <w:p>
            <w:pPr>
              <w:jc w:val="right"/>
              <w:ind w:right="908"/>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1,138</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4,136</w:t>
            </w:r>
          </w:p>
        </w:tc>
        <w:tc>
          <w:tcPr>
            <w:tcW w:w="1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2,050</w:t>
            </w:r>
          </w:p>
        </w:tc>
      </w:tr>
      <w:tr>
        <w:trPr>
          <w:trHeight w:val="20"/>
        </w:trPr>
        <w:tc>
          <w:tcPr>
            <w:tcW w:w="37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 stock-based compensation expense under SFAS 123(R) for awards of stock options, our ESPP and issuance of restricted and unrestricted stock awards and units. We expense stock-based compensation using the straight-line method over the requisite service period. For the three months ended September 30, 2008 and 2007, stock-based compensation expense was $4.5 million and $3.1 million and the related tax benefit was $1.1 million and $809,000, respectively. For the nine months ended September 30, 2008 and 2007, stock-based compensation expense was $12.5 million and $9.0 million and the related tax benefit was $2.9 million and $2.2 million, respectively. We have capitalized no stock-based compensation expense. We issue new shares of common stock upon the exercise of stock options or when vesting conditions on restricted awards are fully satisfied. Cash received from the exercise of stock options and similar awards was $5.8 million and $7.9 million for the three months ended September 30, 2008 and 2007, and $12.4 million and $18.9 million for the nine months ended September 30, 2008 and 2007, respectively.</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stock options and ESPP awards issued were estimated at the date of grant using the Black-Scholes option-pricing model with the following weighted average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620" w:type="dxa"/>
            <w:vAlign w:val="bottom"/>
          </w:tcPr>
          <w:p>
            <w:pPr>
              <w:spacing w:after="0"/>
              <w:rPr>
                <w:sz w:val="24"/>
                <w:szCs w:val="24"/>
                <w:color w:val="auto"/>
              </w:rPr>
            </w:pPr>
          </w:p>
        </w:tc>
        <w:tc>
          <w:tcPr>
            <w:tcW w:w="26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 xml:space="preserve">Employee Stock Options </w:t>
            </w:r>
            <w:r>
              <w:rPr>
                <w:rFonts w:ascii="Arial" w:cs="Arial" w:eastAsia="Arial" w:hAnsi="Arial"/>
                <w:sz w:val="25"/>
                <w:szCs w:val="25"/>
                <w:b w:val="1"/>
                <w:bCs w:val="1"/>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3620" w:type="dxa"/>
            <w:vAlign w:val="bottom"/>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95"/>
              </w:rPr>
              <w:t>Nine Months Ended September 30,</w:t>
            </w:r>
          </w:p>
        </w:tc>
        <w:tc>
          <w:tcPr>
            <w:tcW w:w="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44.8%</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38.4%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w w:val="96"/>
              </w:rPr>
              <w:t>4.94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3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rPr>
              <w:t>ESPP</w:t>
            </w: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3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8"/>
          </w:tcPr>
          <w:p>
            <w:pPr>
              <w:jc w:val="center"/>
              <w:ind w:right="840"/>
              <w:spacing w:after="0" w:line="191" w:lineRule="exact"/>
              <w:rPr>
                <w:sz w:val="20"/>
                <w:szCs w:val="20"/>
                <w:color w:val="auto"/>
              </w:rPr>
            </w:pPr>
            <w:r>
              <w:rPr>
                <w:rFonts w:ascii="Arial" w:cs="Arial" w:eastAsia="Arial" w:hAnsi="Arial"/>
                <w:sz w:val="18"/>
                <w:szCs w:val="18"/>
                <w:b w:val="1"/>
                <w:bCs w:val="1"/>
                <w:color w:val="auto"/>
                <w:w w:val="92"/>
              </w:rPr>
              <w:t>Three Months Ended</w:t>
            </w:r>
          </w:p>
        </w:tc>
        <w:tc>
          <w:tcPr>
            <w:tcW w:w="2300" w:type="dxa"/>
            <w:vAlign w:val="bottom"/>
            <w:gridSpan w:val="3"/>
          </w:tcPr>
          <w:p>
            <w:pPr>
              <w:jc w:val="right"/>
              <w:ind w:right="410"/>
              <w:spacing w:after="0" w:line="191" w:lineRule="exact"/>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gridSpan w:val="7"/>
          </w:tcPr>
          <w:p>
            <w:pPr>
              <w:jc w:val="center"/>
              <w:ind w:right="1220"/>
              <w:spacing w:after="0"/>
              <w:rPr>
                <w:sz w:val="20"/>
                <w:szCs w:val="20"/>
                <w:color w:val="auto"/>
              </w:rPr>
            </w:pPr>
            <w:r>
              <w:rPr>
                <w:rFonts w:ascii="Arial" w:cs="Arial" w:eastAsia="Arial" w:hAnsi="Arial"/>
                <w:sz w:val="18"/>
                <w:szCs w:val="18"/>
                <w:b w:val="1"/>
                <w:bCs w:val="1"/>
                <w:color w:val="auto"/>
                <w:w w:val="89"/>
              </w:rPr>
              <w:t>September 30,</w:t>
            </w:r>
          </w:p>
        </w:tc>
        <w:tc>
          <w:tcPr>
            <w:tcW w:w="24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3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4"/>
              </w:rPr>
              <w:t>2008</w:t>
            </w: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36.8%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2"/>
        </w:trPr>
        <w:tc>
          <w:tcPr>
            <w:tcW w:w="460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5"/>
          </w:tcPr>
          <w:p>
            <w:pPr>
              <w:jc w:val="right"/>
              <w:ind w:right="260"/>
              <w:spacing w:after="0"/>
              <w:rPr>
                <w:sz w:val="20"/>
                <w:szCs w:val="20"/>
                <w:color w:val="auto"/>
              </w:rPr>
            </w:pPr>
            <w:r>
              <w:rPr>
                <w:rFonts w:ascii="Arial" w:cs="Arial" w:eastAsia="Arial" w:hAnsi="Arial"/>
                <w:sz w:val="18"/>
                <w:szCs w:val="18"/>
                <w:color w:val="auto"/>
              </w:rPr>
              <w:t>0.25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r>
    </w:tbl>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There were no Employee Stock Options granted for the three months ended September 30, 2008 and 2007.</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2008 and 2007, expected price volatility is based on a combination of historical volatility of our common stock and the implied volatility of our traded options for the related vesting period. We believe this combined approach is reflective of current and historical market conditions and an appropriate indicator of expected volatility. The risk-free interest rate is the rate available as of the award date on zero-coupon U.S. government issues with a remaining term equal to the expected life of the award. The expected life is the weighted average expected life for the entire award based on the fixed period of time between the date the award is granted and the date the award is fully exercised. Factors to be considered in estimating the expected life include historical experience of similar awards, with consideration to the contractual terms, vesting schedules and expectations of future employee behavior. We have not paid dividends in the past and do not plan to pay any dividends in the foreseeable future.</w:t>
      </w:r>
    </w:p>
    <w:p>
      <w:pPr>
        <w:sectPr>
          <w:pgSz w:w="11900" w:h="16838" w:orient="portrait"/>
          <w:cols w:equalWidth="0" w:num="1">
            <w:col w:w="11420"/>
          </w:cols>
          <w:pgMar w:left="240" w:top="122" w:right="239" w:bottom="1440" w:gutter="0" w:footer="0" w:header="0"/>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Subject to stock splits, dividends and other similar events, 5,875,000 shares of common stock are reserved and authorized for issuance under our Amended and Restated 2000 Stock Incentive Plan, of which 534,201 shares remain available for issuance at September 30, 2008. In addition, of the authorized shares under the plan, no more than 1.0 million shares can be issued as non-stock options (awards). Awards consist of restricted stock units, restricted stock awards and unrestricted stock awards. Shares remaining for issuance as awards were 614,858 at September 30, 2008.</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options to purchase the Company’s common stock are granted to employees and the Board of Directors with an exercise price equal to the fair market value of the stock on the date of grant upon approval by our Board of Directors. Options generally become exercisable in three or four equal installments beginning one year from the date of grant and generally expire 10 years from the date of grant.</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each stock option granted is estimated on the date of grant using the Black-Scholes option-pricing model. No stock options were granted during the three months ended September 30, 2008 and 2007. The weighted average grant date fair values of the stock options granted during the nine months ended September 30, 2008 and 2007 were $39.07 and $27.21 per share, respectively. Compensation expense related to stock options recognized under SFAS 123(R) for the three months ended September 30, 2008 and 2007 was $2.2 million and $2.4 million and $6.8 million and $7.2 million for the nine months ended September 30, 2008 and 2007, respectively. Compensation expense is recognized only for those options expected to vest, with forfeitures estimated based on our historical experience and future expectations.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nine months ended September 30, 2008 and 2007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per</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January 1, 2007</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2,225</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29.78</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7.46</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49,469</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66.94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23.76</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4"/>
                <w:szCs w:val="14"/>
                <w:color w:val="auto"/>
              </w:rPr>
              <w:t>Forfeited</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44.01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Expired</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42.62</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tcPr>
          <w:p>
            <w:pPr>
              <w:spacing w:after="0" w:line="142" w:lineRule="exact"/>
              <w:rPr>
                <w:sz w:val="20"/>
                <w:szCs w:val="20"/>
                <w:color w:val="auto"/>
              </w:rPr>
            </w:pPr>
            <w:r>
              <w:rPr>
                <w:rFonts w:ascii="Arial" w:cs="Arial" w:eastAsia="Arial" w:hAnsi="Arial"/>
                <w:sz w:val="14"/>
                <w:szCs w:val="14"/>
                <w:color w:val="auto"/>
              </w:rPr>
              <w:t>Outstanding, September 30, 2007</w:t>
            </w: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1,631</w:t>
            </w:r>
          </w:p>
        </w:tc>
        <w:tc>
          <w:tcPr>
            <w:tcW w:w="140" w:type="dxa"/>
            <w:vAlign w:val="bottom"/>
          </w:tcPr>
          <w:p>
            <w:pPr>
              <w:spacing w:after="0"/>
              <w:rPr>
                <w:sz w:val="12"/>
                <w:szCs w:val="12"/>
                <w:color w:val="auto"/>
              </w:rPr>
            </w:pPr>
          </w:p>
        </w:tc>
        <w:tc>
          <w:tcPr>
            <w:tcW w:w="32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36.56</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7.29</w:t>
            </w:r>
          </w:p>
        </w:tc>
        <w:tc>
          <w:tcPr>
            <w:tcW w:w="2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92,142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Exercisable and expected to vest, September 30, 2007</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1,472</w:t>
            </w:r>
          </w:p>
        </w:tc>
        <w:tc>
          <w:tcPr>
            <w:tcW w:w="140" w:type="dxa"/>
            <w:vAlign w:val="bottom"/>
          </w:tcPr>
          <w:p>
            <w:pPr>
              <w:spacing w:after="0"/>
              <w:rPr>
                <w:sz w:val="12"/>
                <w:szCs w:val="12"/>
                <w:color w:val="auto"/>
              </w:rPr>
            </w:pPr>
          </w:p>
        </w:tc>
        <w:tc>
          <w:tcPr>
            <w:tcW w:w="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35.18</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7.14</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Exercisable, September 30, 2007</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839</w:t>
            </w:r>
          </w:p>
        </w:tc>
        <w:tc>
          <w:tcPr>
            <w:tcW w:w="140" w:type="dxa"/>
            <w:vAlign w:val="bottom"/>
          </w:tcPr>
          <w:p>
            <w:pPr>
              <w:spacing w:after="0"/>
              <w:rPr>
                <w:sz w:val="12"/>
                <w:szCs w:val="12"/>
                <w:color w:val="auto"/>
              </w:rPr>
            </w:pPr>
          </w:p>
        </w:tc>
        <w:tc>
          <w:tcPr>
            <w:tcW w:w="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24.18</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5.98</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57,825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Outstanding, January 1, 2008</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1,561</w:t>
            </w:r>
          </w:p>
        </w:tc>
        <w:tc>
          <w:tcPr>
            <w:tcW w:w="140" w:type="dxa"/>
            <w:vAlign w:val="bottom"/>
          </w:tcPr>
          <w:p>
            <w:pPr>
              <w:spacing w:after="0"/>
              <w:rPr>
                <w:sz w:val="12"/>
                <w:szCs w:val="12"/>
                <w:color w:val="auto"/>
              </w:rPr>
            </w:pPr>
          </w:p>
        </w:tc>
        <w:tc>
          <w:tcPr>
            <w:tcW w:w="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37.81</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95.79</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4"/>
                <w:szCs w:val="14"/>
                <w:color w:val="auto"/>
              </w:rPr>
              <w:t>Exercised</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26.37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46.71</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tcPr>
          <w:p>
            <w:pPr>
              <w:spacing w:after="0" w:line="142" w:lineRule="exact"/>
              <w:rPr>
                <w:sz w:val="20"/>
                <w:szCs w:val="20"/>
                <w:color w:val="auto"/>
              </w:rPr>
            </w:pPr>
            <w:r>
              <w:rPr>
                <w:rFonts w:ascii="Arial" w:cs="Arial" w:eastAsia="Arial" w:hAnsi="Arial"/>
                <w:sz w:val="14"/>
                <w:szCs w:val="14"/>
                <w:color w:val="auto"/>
              </w:rPr>
              <w:t>Outstanding, September 30, 2008</w:t>
            </w: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1,390</w:t>
            </w:r>
          </w:p>
        </w:tc>
        <w:tc>
          <w:tcPr>
            <w:tcW w:w="140" w:type="dxa"/>
            <w:vAlign w:val="bottom"/>
          </w:tcPr>
          <w:p>
            <w:pPr>
              <w:spacing w:after="0"/>
              <w:rPr>
                <w:sz w:val="12"/>
                <w:szCs w:val="12"/>
                <w:color w:val="auto"/>
              </w:rPr>
            </w:pPr>
          </w:p>
        </w:tc>
        <w:tc>
          <w:tcPr>
            <w:tcW w:w="32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51.26</w:t>
            </w: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7.25</w:t>
            </w:r>
          </w:p>
        </w:tc>
        <w:tc>
          <w:tcPr>
            <w:tcW w:w="2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53,578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Exercisable and expected to vest, September 30, 2008</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1,324</w:t>
            </w:r>
          </w:p>
        </w:tc>
        <w:tc>
          <w:tcPr>
            <w:tcW w:w="140" w:type="dxa"/>
            <w:vAlign w:val="bottom"/>
          </w:tcPr>
          <w:p>
            <w:pPr>
              <w:spacing w:after="0"/>
              <w:rPr>
                <w:sz w:val="12"/>
                <w:szCs w:val="12"/>
                <w:color w:val="auto"/>
              </w:rPr>
            </w:pPr>
          </w:p>
        </w:tc>
        <w:tc>
          <w:tcPr>
            <w:tcW w:w="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49.90</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7.16</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52,683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Exercisable, September 30, 2008</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804</w:t>
            </w:r>
          </w:p>
        </w:tc>
        <w:tc>
          <w:tcPr>
            <w:tcW w:w="140" w:type="dxa"/>
            <w:vAlign w:val="bottom"/>
          </w:tcPr>
          <w:p>
            <w:pPr>
              <w:spacing w:after="0"/>
              <w:rPr>
                <w:sz w:val="12"/>
                <w:szCs w:val="12"/>
                <w:color w:val="auto"/>
              </w:rPr>
            </w:pPr>
          </w:p>
        </w:tc>
        <w:tc>
          <w:tcPr>
            <w:tcW w:w="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34.88</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6.12</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aggregate intrinsic value in the table above is the amount by which the market value of the underlying stock exceeded the exercise price of the outstanding options before applicable income taxes, based on our closing stock price as of the last business day of the period, which represents amounts that would have been received by the optionees had all options been exercised on that date. As of September 30, 2008, total unrecognized stock-based compensation expense related to nonvested stock options, net of estimated forfeitures, was approximately $11.9 million, which is expected to be recognized over a weighted average period of approximately 21 months. During the three months ended September 30, 2008 and 2007, the total intrinsic value of stock options exercised was $12.9 million and $17.7 million, respectively. During the nine months ended September 30, 2008 and 2007, total intrinsic value of stock options exercised was $28.2 million and $37.1 million, respectively.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employees and senior management receive Restricted Stock Units or Restricted Stock Awards (collectively “Restricted Awards”) as a portion of their total compensation. The Restricted Awards issued under the Long-Term Performance Plan (LTPP) are contingent on the attainment of yearly goals. Generally, the Restricted Awards have a cliff vesting period in which employees become 100% vested three years from the anniversary of the grant date. Upon vesting, the Restricted Awards are converted into shares of the Company’s common stock on a one-for-one basis and issued to employees. Compensation expense is generally recognized over the vesting period from the date of grant and is recognized only for those awards expected to vest, with forfeitures estimated based on our historical experience and future expectations. The fair value is the market close price of our common stock on the date of grant. The Company is entitled to an income tax deduction in an amount equal to the taxable income reported by the holder upon vesting of the Restricted Awards.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maximum LTPP awards attainable for the 2008 performance period is 53,119 shares at a grant date fair value of $77.74 per share. The LTPP awards issued for the 2007 plan consisted of 21,392 shares at a grant date fair value of $62.52 per share.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and nine months ended September 30, 2008, we granted 10,250 and 192,250 Restricted Awards, respectively. During the three and nine months ended September 30, 2007, we granted 1,500 and 62,167 Restricted Awards, respectively. Total compensation expense recognized for the Restricted Awards was $2.0 million and $490,000 for the three months ended September 30, 2008 and 2007, and $5.1 million and $1.3 million for the nine months ended September 30, 2008 and 2007, respectively. As of September 30, 2008, unrecognized compensation expense, net of estimated forfeitures, was $16.2 million, which is expected to be recognized over a weighted average period of approximately 23 months. The aggregate intrinsic value of our Restricted Awards outstanding was $27.6 million and $10.0 million at September 30, 2008 and 2007,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3"/>
          </w:tcPr>
          <w:p>
            <w:pPr>
              <w:spacing w:after="0"/>
              <w:rPr>
                <w:sz w:val="20"/>
                <w:szCs w:val="20"/>
                <w:color w:val="auto"/>
              </w:rPr>
            </w:pPr>
            <w:r>
              <w:rPr>
                <w:rFonts w:ascii="Arial" w:cs="Arial" w:eastAsia="Arial" w:hAnsi="Arial"/>
                <w:sz w:val="18"/>
                <w:szCs w:val="18"/>
                <w:color w:val="auto"/>
              </w:rPr>
              <w:t>The following table summarizes Restricted Award activity for the nine months ended September 30, 2008 and 2007: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8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Awards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January 1, 2007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Issued</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Forfeited</w:t>
            </w:r>
          </w:p>
        </w:tc>
        <w:tc>
          <w:tcPr>
            <w:tcW w:w="8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Nonvested, September 30, 2007</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January 1, 2008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Issued</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Forfeited</w:t>
            </w:r>
          </w:p>
        </w:tc>
        <w:tc>
          <w:tcPr>
            <w:tcW w:w="8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Nonvested, September 30, 2008</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issue unrestricted stock awards to our Board of Directors as part of the Board of Directors’ compensation. Awards are fully vested at issuance and are expensed when issued. The fair value of unrestricted stock awards is the market close price of our common stock on the date of grant. During the three months ended September 30, 2008 and 2007, we issued a total of 1,184 and 1,728 shares of these awards with a weighted average grant date fair value of $100.74 and $78.00 per share, respectively. During the nine months ended September 30, 2008 and 2007, we issued a total of 2,744 and 4,938 shares of these awards with a weighted average grant date fair value of $97.94 and $61.61 per share, respectively. The expense related to these awards was $119,000 and $134,000 for the three months ended September 30, 2008 and 2007, and $269,000 and $304,000 for the nine months ended September 30, 2008 and 2007, respectively.</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Eligible employees who have completed three months of service, work more than 20 hours each week and are employed more than five months in any calendar year are eligible to participate in our ESPP. Employees who own 5% or more of our common stock are not eligible to participate in the ESPP. Under the terms of the ESPP, eligible employees can choose payroll deductions each year of up to 10% of their regular cash compensation. Such deductions are applied toward the discounted purchase price of our common stock. The purchase price of the common stock is 85% of the fair market value of the stock at the end of each fiscal quarter. Under the ESPP, we sold 8,672 and 9,600 shares to employees in the three months ended September 30, 2008 and 2007, and 24,647 and 32,920 shares to employees in the nine months ended September 30, 2008 and 2007, respectively. The fair value of ESPP awards issued is estimated using the Black-Scholes option-pricing model. The weighted average fair value of the ESPP awards issued in the three months ended September 30, 2008 and 2007 was $16.20 and $12.24 per share and $15.94 and $9.78 per share for the nine months ended September 30, 2008 and 2007, respectively. The expense related to ESPP recognized under SFAS 123(R) for the three months ended September 30, 2008 and 2007 was $138,000 and $85,000, respectively. The expense related to ESPP recognized under SFAS 123(R) for the nine months ended September 30, 2008 and 2007 was $406,000 and $277,000, respectively. We had no unrecognized compensation cost at September 30, 2008 associated with the awards issued under the ESPP. There were approximately 317,000 shares of common stock available for future issuance under the ESPP at September 30, 2008.</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tax provision (benefit) as a percentage of income (loss) before tax typically differs from the federal statutory rate of 35%, and can vary from period to period, due to fluctuations in operating results, new or revised tax legislation and accounting pronouncements, changes in the level of business conducted in domestic and international jurisdictions, IPR&amp;D, research credits, state income taxes and adjustments to valuation allowances, among other items.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tax provision (benefit) as a percentage of income (loss) before tax was 18% and 10% for the three and nine months ended September 30, 2008, compared with 44% and 40% for the same periods in 2007. Our tax provisions for the three and nine months ended September 30, 2008 are lower than those in 2007 as 2008 reflects a benefit associated with lower effective tax rates on international earnings. We made an election under Internal Revenue Code Section 338 with respect to the Actaris acquisition, which resulted in a reduced global effective tax rate. Additionally, our reduced international tax liability reflects the benefit of international interest expense deductions.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Unrecognized tax benefits in accordance with FIN 48 were $35.4 million and $34.8 million at September 30, 2008 and December 31, 2007, respectively. We classify interest expense and penalties related to unrecognized tax benefits and interest income on tax overpayments as components of income tax expense. During the three and nine months ended September 30, 2008, we recognized a benefit of $305,000 and expense of $725,000, respectively, in interest and penalties. At September 30, 2007, we had accrued approximately $7.9 million in interest and penalties, which was primarily the result of the acquisition of Actaris on April 18, 2007. At September 30, 2008 and December 31, 2007, accrued interest was $3.1 million and $2.7 million and accrued penalties were $1.4 million and $2.2 million, respectively. Unrecognized tax benefits that would affect our tax provision at September 30, 2008 and December 31, 2007 were $9.7 million and $8.4 million, respectively. At September 30, 2008, we expect to pay $4.8 million in income tax obligations related to FIN 48 over the next twelve months. We are not able to reasonably estimate the timing of future cash flows relating to the remaining balance.</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 2008, the Emergency Economic Stabilization Act of 2008 was signed into law, extending the research tax credit for qualified research expenses incurred throughout 2008 and 2009. In the fourth quarter of 2008, we expect to record approximately $2.5 million in federal and state research credits, which will reduce our tax provision.</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FASB Interpretation 45, </w:t>
      </w:r>
      <w:r>
        <w:rPr>
          <w:rFonts w:ascii="Arial" w:cs="Arial" w:eastAsia="Arial" w:hAnsi="Arial"/>
          <w:sz w:val="18"/>
          <w:szCs w:val="18"/>
          <w:i w:val="1"/>
          <w:iCs w:val="1"/>
          <w:color w:val="auto"/>
        </w:rPr>
        <w:t>Guarantor’s Accounting and Disclosure Requirements for Guarantees, Including Indirect Guarantees of Indebtedness of</w:t>
      </w:r>
      <w:r>
        <w:rPr>
          <w:rFonts w:ascii="Arial" w:cs="Arial" w:eastAsia="Arial" w:hAnsi="Arial"/>
          <w:sz w:val="18"/>
          <w:szCs w:val="18"/>
          <w:color w:val="auto"/>
        </w:rPr>
        <w:t xml:space="preserve"> </w:t>
      </w:r>
      <w:r>
        <w:rPr>
          <w:rFonts w:ascii="Arial" w:cs="Arial" w:eastAsia="Arial" w:hAnsi="Arial"/>
          <w:sz w:val="18"/>
          <w:szCs w:val="18"/>
          <w:i w:val="1"/>
          <w:iCs w:val="1"/>
          <w:color w:val="auto"/>
        </w:rPr>
        <w:t>Others</w:t>
      </w:r>
      <w:r>
        <w:rPr>
          <w:rFonts w:ascii="Arial" w:cs="Arial" w:eastAsia="Arial" w:hAnsi="Arial"/>
          <w:sz w:val="18"/>
          <w:szCs w:val="18"/>
          <w:color w:val="auto"/>
        </w:rPr>
        <w:t>, we record a liability for certain types of guarantees and indemnifications for agreements entered into or amended subsequent to December 31, 2002.</w:t>
      </w:r>
      <w:r>
        <w:rPr>
          <w:rFonts w:ascii="Arial" w:cs="Arial" w:eastAsia="Arial" w:hAnsi="Arial"/>
          <w:sz w:val="18"/>
          <w:szCs w:val="18"/>
          <w:i w:val="1"/>
          <w:iCs w:val="1"/>
          <w:color w:val="auto"/>
        </w:rPr>
        <w:t xml:space="preserve"> </w:t>
      </w:r>
      <w:r>
        <w:rPr>
          <w:rFonts w:ascii="Arial" w:cs="Arial" w:eastAsia="Arial" w:hAnsi="Arial"/>
          <w:sz w:val="18"/>
          <w:szCs w:val="18"/>
          <w:color w:val="auto"/>
        </w:rPr>
        <w:t>We had no such guarantees or indemnifications as of September 30, 2008 and December 31, 2007.</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In addition to the outstanding standby letters of credit of $49.1 million issued under our credit facility’s $115 million multicurrency revolver, our Actaris operating segment has a total of $26.5 million of unsecured multicurrency revolving lines of credit with various financial institutions with total outstanding standby letters of credit of $5.9 million at September 30, 2008. Unsecured surety bonds in force were $12.7 million and $13.8 million at September 30, 2008 and December 31, 2007, respectively. In the event any such bonds or letters of credit are called, we would be obligated to reimburse the issuer of the letter of credit or bond; however, we do not believe that any currently outstanding bonds or letters of credit will be called.</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and related pronouncements. In accordance with SFAS 5, a liability is recorded and charged to operating expense when we determine that a loss is probable and the amount can be reasonably estimated. Additionally, we disclose contingencies for which a material loss is reasonably possible, but not probable. Legal contingencies at September 30, 2008 were not material to our financial condition or results of operations.</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PT Mecoindo is a joint venture in Indonesia between PT Berca and one of the Actaris subsidiaries. PT Berca is the minority shareholder in PT Mecoindo and has sued several Actaris subsidiaries and the successor in interest to another company previously owned by Schlumberger. PT Berca claims that it had preemptive rights in the joint venture and has sought to nullify the transaction in 2001 whereby Schlumberger transferred its ownership interest in PT Mecoindo to an Actaris subsidiary. The plaintiff also seeks to collect damages for the earnings it otherwise would have earned had its alleged preemptive rights been observed. The Indonesian courts have awarded 129.6 billion rupiahs ($13.8 million) in damages, plus accrued interest at 18% annually, against the defendants and have invalidated the 2001 transfer of the Mecoindo interest to a subsidiary of Actaris. All of the parties have appealed the matter and it is currently pending before the Indonesian Supreme Court. We intend to continue vigorously defending our interest. In addition, Actaris has notified Schlumberger that it will seek to have Schlumberger indemnify Actaris from any damages it may incur as a result of this claim. In any event, we do not believe that an adverse outcome is likely to have a material adverse impact to our financial condition or results of operations.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2008, IP Co. LLC filed a complaint in the U.S. District Court for the Eastern District of Texas against Itron, Inc., CenterPoint Energy and Eaton Corp. alleging infringement of a patent owned by IP Co. LLC. The complaint alleges that one U.S. patent, concerning wireless mesh networking systems that optimize data sent across a general area, is being infringed by the defendants. The complaint seeks unspecified damages as well as injunctive relief. We believe these claims are without merit and we intend to vigorously defend our interests. In any event, we do not believe an adverse outcome is likely nor do we believe an adverse outcome will have a material adverse impact to our financial condition or results of operations.</w:t>
      </w:r>
    </w:p>
    <w:p>
      <w:pPr>
        <w:spacing w:after="0" w:line="1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Other Comprehensive Income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comprehensive income (loss) is reflected as an increase (decrease) to shareholders’ equity and is not reflected in our results of operations. Other comprehensive income (loss) during the reporting periods, net of tax,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2880" w:type="dxa"/>
            <w:vAlign w:val="bottom"/>
            <w:gridSpan w:val="7"/>
          </w:tcPr>
          <w:p>
            <w:pPr>
              <w:jc w:val="right"/>
              <w:ind w:right="219"/>
              <w:spacing w:after="0"/>
              <w:rPr>
                <w:sz w:val="20"/>
                <w:szCs w:val="20"/>
                <w:color w:val="auto"/>
              </w:rPr>
            </w:pPr>
            <w:r>
              <w:rPr>
                <w:rFonts w:ascii="Arial" w:cs="Arial" w:eastAsia="Arial" w:hAnsi="Arial"/>
                <w:sz w:val="16"/>
                <w:szCs w:val="16"/>
                <w:b w:val="1"/>
                <w:bCs w:val="1"/>
                <w:color w:val="auto"/>
                <w:w w:val="94"/>
              </w:rPr>
              <w:t>Three Months Ended September 30,</w:t>
            </w:r>
          </w:p>
        </w:tc>
        <w:tc>
          <w:tcPr>
            <w:tcW w:w="120" w:type="dxa"/>
            <w:vAlign w:val="bottom"/>
          </w:tcPr>
          <w:p>
            <w:pPr>
              <w:spacing w:after="0"/>
              <w:rPr>
                <w:sz w:val="18"/>
                <w:szCs w:val="18"/>
                <w:color w:val="auto"/>
              </w:rPr>
            </w:pPr>
          </w:p>
        </w:tc>
        <w:tc>
          <w:tcPr>
            <w:tcW w:w="276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02"/>
        </w:trPr>
        <w:tc>
          <w:tcPr>
            <w:tcW w:w="56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2008</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2008</w:t>
            </w:r>
          </w:p>
        </w:tc>
        <w:tc>
          <w:tcPr>
            <w:tcW w:w="24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7"/>
                <w:szCs w:val="17"/>
                <w:color w:val="auto"/>
              </w:rPr>
            </w:pPr>
          </w:p>
        </w:tc>
      </w:tr>
      <w:tr>
        <w:trPr>
          <w:trHeight w:val="204"/>
        </w:trPr>
        <w:tc>
          <w:tcPr>
            <w:tcW w:w="5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(in</w:t>
            </w:r>
          </w:p>
        </w:tc>
        <w:tc>
          <w:tcPr>
            <w:tcW w:w="146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w w:val="74"/>
              </w:rPr>
              <w:t>thousands)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(3,446)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(20,146)</w:t>
            </w:r>
          </w:p>
        </w:tc>
      </w:tr>
      <w:tr>
        <w:trPr>
          <w:trHeight w:val="203"/>
        </w:trPr>
        <w:tc>
          <w:tcPr>
            <w:tcW w:w="56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(179,516)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94,543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(14,272)</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88,791</w:t>
            </w:r>
          </w:p>
        </w:tc>
        <w:tc>
          <w:tcPr>
            <w:tcW w:w="12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Net unrealized gain (loss) on derivative instruments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(25,074)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7,260</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(25,074)</w:t>
            </w:r>
          </w:p>
        </w:tc>
      </w:tr>
      <w:tr>
        <w:trPr>
          <w:trHeight w:val="203"/>
        </w:trPr>
        <w:tc>
          <w:tcPr>
            <w:tcW w:w="5660" w:type="dxa"/>
            <w:vAlign w:val="bottom"/>
          </w:tcPr>
          <w:p>
            <w:pPr>
              <w:spacing w:after="0"/>
              <w:rPr>
                <w:sz w:val="20"/>
                <w:szCs w:val="20"/>
                <w:color w:val="auto"/>
              </w:rPr>
            </w:pPr>
            <w:r>
              <w:rPr>
                <w:rFonts w:ascii="Arial" w:cs="Arial" w:eastAsia="Arial" w:hAnsi="Arial"/>
                <w:sz w:val="16"/>
                <w:szCs w:val="16"/>
                <w:color w:val="auto"/>
              </w:rPr>
              <w:t>Net hedging gains reclassified into net income</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Pension plan benefits liability adjustment</w:t>
            </w: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6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660" w:type="dxa"/>
            <w:vAlign w:val="bottom"/>
          </w:tcPr>
          <w:p>
            <w:pPr>
              <w:ind w:left="360"/>
              <w:spacing w:after="0"/>
              <w:rPr>
                <w:sz w:val="20"/>
                <w:szCs w:val="20"/>
                <w:color w:val="auto"/>
              </w:rPr>
            </w:pPr>
            <w:r>
              <w:rPr>
                <w:rFonts w:ascii="Arial" w:cs="Arial" w:eastAsia="Arial" w:hAnsi="Arial"/>
                <w:sz w:val="16"/>
                <w:szCs w:val="16"/>
                <w:color w:val="auto"/>
              </w:rPr>
              <w:t>Other comprehensive (loss) income before income taxes</w:t>
            </w:r>
          </w:p>
        </w:tc>
        <w:tc>
          <w:tcPr>
            <w:tcW w:w="3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(142,966)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66,161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17,090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43,709</w:t>
            </w:r>
          </w:p>
        </w:tc>
        <w:tc>
          <w:tcPr>
            <w:tcW w:w="12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(4,889)</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8,646</w:t>
            </w:r>
          </w:p>
        </w:tc>
        <w:tc>
          <w:tcPr>
            <w:tcW w:w="120" w:type="dxa"/>
            <w:vAlign w:val="bottom"/>
            <w:shd w:val="clear" w:color="auto" w:fill="CCEEFF"/>
          </w:tcPr>
          <w:p>
            <w:pPr>
              <w:spacing w:after="0"/>
              <w:rPr>
                <w:sz w:val="17"/>
                <w:szCs w:val="17"/>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660" w:type="dxa"/>
            <w:vAlign w:val="bottom"/>
          </w:tcPr>
          <w:p>
            <w:pPr>
              <w:ind w:left="460"/>
              <w:spacing w:after="0"/>
              <w:rPr>
                <w:sz w:val="20"/>
                <w:szCs w:val="20"/>
                <w:color w:val="auto"/>
              </w:rPr>
            </w:pPr>
            <w:r>
              <w:rPr>
                <w:rFonts w:ascii="Arial" w:cs="Arial" w:eastAsia="Arial" w:hAnsi="Arial"/>
                <w:sz w:val="16"/>
                <w:szCs w:val="16"/>
                <w:color w:val="auto"/>
              </w:rPr>
              <w:t>Other comprehensive income (loss), net</w:t>
            </w: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(128,839)</w:t>
            </w:r>
          </w:p>
        </w:tc>
        <w:tc>
          <w:tcPr>
            <w:tcW w:w="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75,365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12,201</w:t>
            </w:r>
          </w:p>
        </w:tc>
        <w:tc>
          <w:tcPr>
            <w:tcW w:w="24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52,355</w:t>
            </w:r>
          </w:p>
        </w:tc>
        <w:tc>
          <w:tcPr>
            <w:tcW w:w="12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Accumulated other comprehensive income, net of income taxes, was approximately $115.1 million and $126.7 million at September 30, 2008 and December 31, 2007, respectively, and consisted of the adjustments for foreign currency translation, the unrealized loss on our derivative instruments, the hedging gain and the pension liability adjustment as indicated above.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Actaris operating segment consists primarily of the operations from the Actaris acquisition, which occurred on April 18, 2007, as well as other Itron operations not located in North America that are now included in the Actaris segment. The operations of the Actaris operating segment are primarily located in Europe, with approximately 5% of operations located in the United States and approximately 20% located throughout the rest of the world. The remainder of our operations, primarily located in the United States and Canada, has been combined into a single operating segment called Itron North America. As we continue to integrate the Actaris acquisition, certain refinements of our segments may occur. The operating segment information as set forth below is based on our current segment reporting structure. In accordance with SFAS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historical segment information has been restated from the segment information previously provided to conform to the segment reporting structure after the April 18, 2007 Actaris acquisition and our January 1, 2008 refinement.</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other income (expense) and income tax expense (benefit) are not allocated to the segments, nor included in the measure of segment profit or loss. Assets and liabilities are not used in our measurement of segment performance and, therefore, are not allocated to our segments. Substantially all depreciation expense is allocated to our segments.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Segment Products</w:t>
            </w: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120" w:type="dxa"/>
            <w:vAlign w:val="bottom"/>
            <w:gridSpan w:val="2"/>
          </w:tcPr>
          <w:p>
            <w:pPr>
              <w:spacing w:after="0"/>
              <w:rPr>
                <w:sz w:val="20"/>
                <w:szCs w:val="20"/>
                <w:color w:val="auto"/>
              </w:rPr>
            </w:pPr>
            <w:r>
              <w:rPr>
                <w:rFonts w:ascii="Arial" w:cs="Arial" w:eastAsia="Arial" w:hAnsi="Arial"/>
                <w:sz w:val="18"/>
                <w:szCs w:val="18"/>
                <w:i w:val="1"/>
                <w:iCs w:val="1"/>
                <w:color w:val="auto"/>
              </w:rPr>
              <w:t>Itron North America</w:t>
            </w:r>
          </w:p>
        </w:tc>
        <w:tc>
          <w:tcPr>
            <w:tcW w:w="9300" w:type="dxa"/>
            <w:vAlign w:val="bottom"/>
            <w:gridSpan w:val="16"/>
          </w:tcPr>
          <w:p>
            <w:pPr>
              <w:ind w:left="40"/>
              <w:spacing w:after="0"/>
              <w:rPr>
                <w:sz w:val="20"/>
                <w:szCs w:val="20"/>
                <w:color w:val="auto"/>
              </w:rPr>
            </w:pPr>
            <w:r>
              <w:rPr>
                <w:rFonts w:ascii="Arial" w:cs="Arial" w:eastAsia="Arial" w:hAnsi="Arial"/>
                <w:sz w:val="18"/>
                <w:szCs w:val="18"/>
                <w:color w:val="auto"/>
                <w:w w:val="91"/>
              </w:rPr>
              <w:t>Electronic electricity meters with and without automated meter reading (AMR); gas and water AMR modules; handheld, mobile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300" w:type="dxa"/>
            <w:vAlign w:val="bottom"/>
            <w:gridSpan w:val="16"/>
          </w:tcPr>
          <w:p>
            <w:pPr>
              <w:ind w:left="40"/>
              <w:spacing w:after="0"/>
              <w:rPr>
                <w:sz w:val="20"/>
                <w:szCs w:val="20"/>
                <w:color w:val="auto"/>
              </w:rPr>
            </w:pPr>
            <w:r>
              <w:rPr>
                <w:rFonts w:ascii="Arial" w:cs="Arial" w:eastAsia="Arial" w:hAnsi="Arial"/>
                <w:sz w:val="18"/>
                <w:szCs w:val="18"/>
                <w:color w:val="auto"/>
                <w:w w:val="94"/>
              </w:rPr>
              <w:t>and network AMR data collection technologies; advanced metering infrastructure (AMI) technologies; software, installation,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20" w:type="dxa"/>
            <w:vAlign w:val="bottom"/>
            <w:gridSpan w:val="6"/>
          </w:tcPr>
          <w:p>
            <w:pPr>
              <w:ind w:left="40"/>
              <w:spacing w:after="0"/>
              <w:rPr>
                <w:sz w:val="20"/>
                <w:szCs w:val="20"/>
                <w:color w:val="auto"/>
              </w:rPr>
            </w:pPr>
            <w:r>
              <w:rPr>
                <w:rFonts w:ascii="Arial" w:cs="Arial" w:eastAsia="Arial" w:hAnsi="Arial"/>
                <w:sz w:val="18"/>
                <w:szCs w:val="18"/>
                <w:color w:val="auto"/>
                <w:w w:val="92"/>
              </w:rPr>
              <w:t>implementation, consulting, maintenance support and other services.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i w:val="1"/>
                <w:iCs w:val="1"/>
                <w:color w:val="auto"/>
              </w:rPr>
              <w:t>Actaris</w:t>
            </w:r>
          </w:p>
        </w:tc>
        <w:tc>
          <w:tcPr>
            <w:tcW w:w="9300" w:type="dxa"/>
            <w:vAlign w:val="bottom"/>
            <w:gridSpan w:val="16"/>
          </w:tcPr>
          <w:p>
            <w:pPr>
              <w:ind w:left="40"/>
              <w:spacing w:after="0"/>
              <w:rPr>
                <w:sz w:val="20"/>
                <w:szCs w:val="20"/>
                <w:color w:val="auto"/>
              </w:rPr>
            </w:pPr>
            <w:r>
              <w:rPr>
                <w:rFonts w:ascii="Arial" w:cs="Arial" w:eastAsia="Arial" w:hAnsi="Arial"/>
                <w:sz w:val="18"/>
                <w:szCs w:val="18"/>
                <w:color w:val="auto"/>
                <w:w w:val="92"/>
              </w:rPr>
              <w:t>Electromechanical and electronic electricity meters; mechanical and ultrasonic water and heat meters; diaphragm, turbine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300" w:type="dxa"/>
            <w:vAlign w:val="bottom"/>
            <w:gridSpan w:val="16"/>
          </w:tcPr>
          <w:p>
            <w:pPr>
              <w:ind w:left="40"/>
              <w:spacing w:after="0"/>
              <w:rPr>
                <w:sz w:val="20"/>
                <w:szCs w:val="20"/>
                <w:color w:val="auto"/>
              </w:rPr>
            </w:pPr>
            <w:r>
              <w:rPr>
                <w:rFonts w:ascii="Arial" w:cs="Arial" w:eastAsia="Arial" w:hAnsi="Arial"/>
                <w:sz w:val="18"/>
                <w:szCs w:val="18"/>
                <w:color w:val="auto"/>
                <w:w w:val="91"/>
              </w:rPr>
              <w:t>rotary gas meters; one-way and two-way electricity prepayment systems, including smart key, keypad and smart card; two-way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300" w:type="dxa"/>
            <w:vAlign w:val="bottom"/>
            <w:gridSpan w:val="16"/>
          </w:tcPr>
          <w:p>
            <w:pPr>
              <w:ind w:left="40"/>
              <w:spacing w:after="0"/>
              <w:rPr>
                <w:sz w:val="20"/>
                <w:szCs w:val="20"/>
                <w:color w:val="auto"/>
              </w:rPr>
            </w:pPr>
            <w:r>
              <w:rPr>
                <w:rFonts w:ascii="Arial" w:cs="Arial" w:eastAsia="Arial" w:hAnsi="Arial"/>
                <w:sz w:val="18"/>
                <w:szCs w:val="18"/>
                <w:color w:val="auto"/>
              </w:rPr>
              <w:t>gas prepayment systems using smart card; AMR and AMI data collection technologies; installation, implementation,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240" w:type="dxa"/>
            <w:vAlign w:val="bottom"/>
            <w:gridSpan w:val="4"/>
          </w:tcPr>
          <w:p>
            <w:pPr>
              <w:ind w:left="40"/>
              <w:spacing w:after="0"/>
              <w:rPr>
                <w:sz w:val="20"/>
                <w:szCs w:val="20"/>
                <w:color w:val="auto"/>
              </w:rPr>
            </w:pPr>
            <w:r>
              <w:rPr>
                <w:rFonts w:ascii="Arial" w:cs="Arial" w:eastAsia="Arial" w:hAnsi="Arial"/>
                <w:sz w:val="18"/>
                <w:szCs w:val="18"/>
                <w:color w:val="auto"/>
              </w:rPr>
              <w:t>maintenance support and other managed services.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Segment Information</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2008</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52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20" w:type="dxa"/>
            <w:vAlign w:val="bottom"/>
            <w:gridSpan w:val="2"/>
            <w:vMerge w:val="continue"/>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7"/>
              </w:rPr>
              <w:t>Itron North America</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160,096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474,956</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426,374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Pr>
          <w:p>
            <w:pPr>
              <w:ind w:left="560"/>
              <w:spacing w:after="0"/>
              <w:rPr>
                <w:sz w:val="20"/>
                <w:szCs w:val="20"/>
                <w:color w:val="auto"/>
              </w:rPr>
            </w:pPr>
            <w:r>
              <w:rPr>
                <w:rFonts w:ascii="Arial" w:cs="Arial" w:eastAsia="Arial" w:hAnsi="Arial"/>
                <w:sz w:val="18"/>
                <w:szCs w:val="18"/>
                <w:color w:val="auto"/>
              </w:rPr>
              <w:t>Actaris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324,722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291,328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1,002,269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557,130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Total Company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484,818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434,034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1,477,225</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983,504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560"/>
              <w:spacing w:after="0"/>
              <w:rPr>
                <w:sz w:val="20"/>
                <w:szCs w:val="20"/>
                <w:color w:val="auto"/>
              </w:rPr>
            </w:pPr>
            <w:r>
              <w:rPr>
                <w:rFonts w:ascii="Arial" w:cs="Arial" w:eastAsia="Arial" w:hAnsi="Arial"/>
                <w:sz w:val="18"/>
                <w:szCs w:val="18"/>
                <w:color w:val="auto"/>
                <w:w w:val="97"/>
              </w:rPr>
              <w:t>Itron North America</w:t>
            </w:r>
          </w:p>
        </w:tc>
        <w:tc>
          <w:tcPr>
            <w:tcW w:w="2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63,011</w:t>
            </w:r>
          </w:p>
        </w:tc>
        <w:tc>
          <w:tcPr>
            <w:tcW w:w="16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58,746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187,511</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179,668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Actaris</w:t>
            </w: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99,949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314,218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ind w:left="1120"/>
              <w:spacing w:after="0"/>
              <w:rPr>
                <w:sz w:val="20"/>
                <w:szCs w:val="20"/>
                <w:color w:val="auto"/>
              </w:rPr>
            </w:pPr>
            <w:r>
              <w:rPr>
                <w:rFonts w:ascii="Arial" w:cs="Arial" w:eastAsia="Arial" w:hAnsi="Arial"/>
                <w:sz w:val="18"/>
                <w:szCs w:val="18"/>
                <w:color w:val="auto"/>
              </w:rPr>
              <w:t>Total Company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162,960</w:t>
            </w:r>
          </w:p>
        </w:tc>
        <w:tc>
          <w:tcPr>
            <w:tcW w:w="16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144,810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501,729</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330,849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7"/>
              </w:rPr>
              <w:t>Itron North America</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19,774</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17,244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57,687</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560"/>
              <w:spacing w:after="0"/>
              <w:rPr>
                <w:sz w:val="20"/>
                <w:szCs w:val="20"/>
                <w:color w:val="auto"/>
              </w:rPr>
            </w:pPr>
            <w:r>
              <w:rPr>
                <w:rFonts w:ascii="Arial" w:cs="Arial" w:eastAsia="Arial" w:hAnsi="Arial"/>
                <w:sz w:val="18"/>
                <w:szCs w:val="18"/>
                <w:color w:val="auto"/>
              </w:rPr>
              <w:t>Actaris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16,567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20,209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61,682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Corporate unallocated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ind w:left="1120"/>
              <w:spacing w:after="0"/>
              <w:rPr>
                <w:sz w:val="20"/>
                <w:szCs w:val="20"/>
                <w:color w:val="auto"/>
              </w:rPr>
            </w:pPr>
            <w:r>
              <w:rPr>
                <w:rFonts w:ascii="Arial" w:cs="Arial" w:eastAsia="Arial" w:hAnsi="Arial"/>
                <w:sz w:val="18"/>
                <w:szCs w:val="18"/>
                <w:color w:val="auto"/>
              </w:rPr>
              <w:t>Total Company</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25,333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29,002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88,798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9,370</w:t>
            </w:r>
          </w:p>
        </w:tc>
        <w:tc>
          <w:tcPr>
            <w:tcW w:w="16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(6,138)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26,339</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single customer represented more than 10% of total Company revenues for the three and nine months ended September 30, 2008. One customer accounted for 12% of Itron North America revenues for the nine months ended September 30, 2008. No single customer represented more than 10% of Itron North America revenues for the three months ended September 30, 2008. No single customer accounted for more than 10% of the Actaris operating segment revenues for the three and nine months ended September 30, 2008.</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single customer represented more than 10% of total Company revenues or of operating segment revenues for the three and nine months ended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66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Three Months Ended September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 September 30,</w:t>
            </w:r>
          </w:p>
        </w:tc>
      </w:tr>
      <w:tr>
        <w:trPr>
          <w:trHeight w:val="202"/>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2008</w:t>
            </w: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2008</w:t>
            </w: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(in</w:t>
            </w:r>
          </w:p>
        </w:tc>
        <w:tc>
          <w:tcPr>
            <w:tcW w:w="146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w w:val="74"/>
              </w:rPr>
              <w:t>thousands)</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660" w:type="dxa"/>
            <w:vAlign w:val="bottom"/>
            <w:gridSpan w:val="2"/>
          </w:tcPr>
          <w:p>
            <w:pPr>
              <w:spacing w:after="0"/>
              <w:rPr>
                <w:sz w:val="20"/>
                <w:szCs w:val="20"/>
                <w:color w:val="auto"/>
              </w:rPr>
            </w:pPr>
            <w:r>
              <w:rPr>
                <w:rFonts w:ascii="Arial" w:cs="Arial" w:eastAsia="Arial" w:hAnsi="Arial"/>
                <w:sz w:val="16"/>
                <w:szCs w:val="16"/>
                <w:color w:val="auto"/>
              </w:rPr>
              <w:t>Revenues by region</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56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Europe</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232,979</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214,684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722,415</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403,134</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560"/>
              <w:spacing w:after="0"/>
              <w:rPr>
                <w:sz w:val="20"/>
                <w:szCs w:val="20"/>
                <w:color w:val="auto"/>
              </w:rPr>
            </w:pPr>
            <w:r>
              <w:rPr>
                <w:rFonts w:ascii="Arial" w:cs="Arial" w:eastAsia="Arial" w:hAnsi="Arial"/>
                <w:sz w:val="16"/>
                <w:szCs w:val="16"/>
                <w:color w:val="auto"/>
              </w:rPr>
              <w:t>United States and Canada</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161,262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148,856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488,298</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433,751</w:t>
            </w:r>
          </w:p>
        </w:tc>
        <w:tc>
          <w:tcPr>
            <w:tcW w:w="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90,577</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70,494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266,512</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146,619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Total revenues</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484,818</w:t>
            </w:r>
          </w:p>
        </w:tc>
        <w:tc>
          <w:tcPr>
            <w:tcW w:w="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434,034</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1,477,225</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983,504</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Consolidating Financial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subordinated notes and convertible notes, issued by Itron, Inc. (the Issuer) are guaranteed by our U.S. domestic subsidiaries, which are 100% owned, and any future domestic subsidiaries. The guarantees are joint and several, full, complete and unconditional. There are currently no restrictions on the ability of the subsidiary guarantors to transfer funds to the parent company.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Actaris acquisition on April 18, 2007, consisted primarily of international entities, which are considered non-guarantor subsidiaries of our subordinated notes and convertible notes.</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Condensed Consolidating Statement of Operations</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Three Months Ended September 30, 2008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Combined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Combined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Non-guarantor</w:t>
            </w:r>
          </w:p>
        </w:tc>
        <w:tc>
          <w:tcPr>
            <w:tcW w:w="14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5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155,224</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18,639</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319,800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(8,845)</w:t>
            </w: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484,818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Cost of revenues</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94,151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15,366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221,186</w:t>
            </w:r>
          </w:p>
        </w:tc>
        <w:tc>
          <w:tcPr>
            <w:tcW w:w="14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321,858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61,073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3,273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98,614</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162,960</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20"/>
              <w:spacing w:after="0" w:line="149" w:lineRule="exact"/>
              <w:rPr>
                <w:sz w:val="20"/>
                <w:szCs w:val="20"/>
                <w:color w:val="auto"/>
              </w:rPr>
            </w:pPr>
            <w:r>
              <w:rPr>
                <w:rFonts w:ascii="Arial" w:cs="Arial" w:eastAsia="Arial" w:hAnsi="Arial"/>
                <w:sz w:val="14"/>
                <w:szCs w:val="14"/>
                <w:color w:val="auto"/>
              </w:rPr>
              <w:t>Sales and marketing</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25,358</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Product development</w:t>
            </w: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12,137</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14,618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18,716</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intangible assets</w:t>
            </w: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24,734</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440"/>
              <w:spacing w:after="0" w:line="149" w:lineRule="exact"/>
              <w:rPr>
                <w:sz w:val="20"/>
                <w:szCs w:val="20"/>
                <w:color w:val="auto"/>
              </w:rPr>
            </w:pPr>
            <w:r>
              <w:rPr>
                <w:rFonts w:ascii="Arial" w:cs="Arial" w:eastAsia="Arial" w:hAnsi="Arial"/>
                <w:sz w:val="14"/>
                <w:szCs w:val="14"/>
                <w:color w:val="auto"/>
              </w:rPr>
              <w:t>Total operating expenses</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80,945</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137,627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17,669</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20"/>
              <w:spacing w:after="0" w:line="149" w:lineRule="exact"/>
              <w:rPr>
                <w:sz w:val="20"/>
                <w:szCs w:val="20"/>
                <w:color w:val="auto"/>
              </w:rPr>
            </w:pPr>
            <w:r>
              <w:rPr>
                <w:rFonts w:ascii="Arial" w:cs="Arial" w:eastAsia="Arial" w:hAnsi="Arial"/>
                <w:sz w:val="14"/>
                <w:szCs w:val="14"/>
                <w:color w:val="auto"/>
              </w:rPr>
              <w:t>Interest income</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31,529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1,720</w:t>
            </w:r>
          </w:p>
        </w:tc>
        <w:tc>
          <w:tcPr>
            <w:tcW w:w="14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(31,270)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expense</w:t>
            </w: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(31,367)</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31,270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20"/>
              <w:spacing w:after="0" w:line="149" w:lineRule="exact"/>
              <w:rPr>
                <w:sz w:val="20"/>
                <w:szCs w:val="20"/>
                <w:color w:val="auto"/>
              </w:rPr>
            </w:pPr>
            <w:r>
              <w:rPr>
                <w:rFonts w:ascii="Arial" w:cs="Arial" w:eastAsia="Arial" w:hAnsi="Arial"/>
                <w:sz w:val="14"/>
                <w:szCs w:val="14"/>
                <w:color w:val="auto"/>
              </w:rPr>
              <w:t>Other income (expense), net</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(1,065)</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rPr>
              <w:t>Total other income (expense)</w:t>
            </w: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14,706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(30,712)</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(15,963)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23,235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(13,043)</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1,298</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Equity in losses of guarantor and</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20"/>
              <w:spacing w:after="0" w:line="149" w:lineRule="exact"/>
              <w:rPr>
                <w:sz w:val="20"/>
                <w:szCs w:val="20"/>
                <w:color w:val="auto"/>
              </w:rPr>
            </w:pPr>
            <w:r>
              <w:rPr>
                <w:rFonts w:ascii="Arial" w:cs="Arial" w:eastAsia="Arial" w:hAnsi="Arial"/>
                <w:sz w:val="14"/>
                <w:szCs w:val="14"/>
                <w:color w:val="auto"/>
              </w:rPr>
              <w:t>non-guarantor subsidiaries, net</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7,675</w:t>
            </w:r>
          </w:p>
        </w:tc>
        <w:tc>
          <w:tcPr>
            <w:tcW w:w="2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515</w:t>
            </w:r>
          </w:p>
        </w:tc>
        <w:tc>
          <w:tcPr>
            <w:tcW w:w="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(11,745)</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11,230</w:t>
            </w: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408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rPr>
              <w:t>Condensed Consolidating Statement of Operations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8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Three Months Ended September 30, 2007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Combined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Combined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Non-guarantor</w:t>
            </w:r>
          </w:p>
        </w:tc>
        <w:tc>
          <w:tcPr>
            <w:tcW w:w="14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6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141,031</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15,081</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286,960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(9,038)</w:t>
            </w: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434,034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Cost of revenues</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84,674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201,492</w:t>
            </w:r>
          </w:p>
        </w:tc>
        <w:tc>
          <w:tcPr>
            <w:tcW w:w="14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289,224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56,357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3,036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85,468</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144,810</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Sales and marketing</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22,224</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Product development</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16,844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9,111</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General and administrative</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13,707</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27,503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Amortization of intangible assets</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19,228</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In-process research and development</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Total operating expenses</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47,993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64,539</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115,808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20,929</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29,002</w:t>
            </w: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4"/>
                <w:szCs w:val="14"/>
                <w:color w:val="auto"/>
              </w:rPr>
              <w:t>Other income (expense)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Interest income</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30,462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2,156</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(31,999)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Interest expense</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(32,648)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(30,927)</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31,999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(34,852)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income (expense), net</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(2,025)</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gridSpan w:val="2"/>
          </w:tcPr>
          <w:p>
            <w:pPr>
              <w:ind w:left="680"/>
              <w:spacing w:after="0" w:line="142" w:lineRule="exact"/>
              <w:rPr>
                <w:sz w:val="20"/>
                <w:szCs w:val="20"/>
                <w:color w:val="auto"/>
              </w:rPr>
            </w:pPr>
            <w:r>
              <w:rPr>
                <w:rFonts w:ascii="Arial" w:cs="Arial" w:eastAsia="Arial" w:hAnsi="Arial"/>
                <w:sz w:val="14"/>
                <w:szCs w:val="14"/>
                <w:color w:val="auto"/>
              </w:rPr>
              <w:t>Total other income (expense)</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(3,798)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(30,796)</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(35,140)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(9,867)</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benefit (provision)</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(2,086)</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2,692</w:t>
            </w: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4"/>
                <w:szCs w:val="14"/>
                <w:color w:val="auto"/>
              </w:rPr>
              <w:t>Equity in (losses) earnings of guarantor and</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non-guarantor subsidiaries, net</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00" w:type="dxa"/>
            <w:vAlign w:val="bottom"/>
            <w:gridSpan w:val="2"/>
          </w:tcPr>
          <w:p>
            <w:pPr>
              <w:spacing w:after="0" w:line="142" w:lineRule="exact"/>
              <w:rPr>
                <w:sz w:val="20"/>
                <w:szCs w:val="20"/>
                <w:color w:val="auto"/>
              </w:rPr>
            </w:pPr>
            <w:r>
              <w:rPr>
                <w:rFonts w:ascii="Arial" w:cs="Arial" w:eastAsia="Arial" w:hAnsi="Arial"/>
                <w:sz w:val="14"/>
                <w:szCs w:val="14"/>
                <w:color w:val="auto"/>
              </w:rPr>
              <w:t>Net loss</w:t>
            </w:r>
          </w:p>
        </w:tc>
        <w:tc>
          <w:tcPr>
            <w:tcW w:w="1380" w:type="dxa"/>
            <w:vAlign w:val="bottom"/>
          </w:tcPr>
          <w:p>
            <w:pPr>
              <w:spacing w:after="0"/>
              <w:rPr>
                <w:sz w:val="12"/>
                <w:szCs w:val="12"/>
                <w:color w:val="auto"/>
              </w:rPr>
            </w:pPr>
          </w:p>
        </w:tc>
        <w:tc>
          <w:tcPr>
            <w:tcW w:w="24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(3,446)</w:t>
            </w:r>
          </w:p>
        </w:tc>
        <w:tc>
          <w:tcPr>
            <w:tcW w:w="2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(2,561)</w:t>
            </w:r>
          </w:p>
        </w:tc>
        <w:tc>
          <w:tcPr>
            <w:tcW w:w="1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(11,953)</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14,514</w:t>
            </w:r>
          </w:p>
        </w:tc>
        <w:tc>
          <w:tcPr>
            <w:tcW w:w="2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(3,446)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408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rPr>
              <w:t>Condensed Consolidating Statement of Operations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8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Nine Months Ended September 30, 2008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Combined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Combined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Non-guarantor</w:t>
            </w:r>
          </w:p>
        </w:tc>
        <w:tc>
          <w:tcPr>
            <w:tcW w:w="14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6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459,504</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60,240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985,562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(28,081)</w:t>
            </w: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1,477,225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Cost of revenues</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279,154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46,499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677,864</w:t>
            </w:r>
          </w:p>
        </w:tc>
        <w:tc>
          <w:tcPr>
            <w:tcW w:w="14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975,496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180,350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13,741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307,698</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501,729</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Sales and marketing</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40,770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79,998</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Product development</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56,135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33,689</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41,272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56,746</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intangible assets</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76,127</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Total operating expenses</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155,164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246,560</w:t>
            </w:r>
          </w:p>
        </w:tc>
        <w:tc>
          <w:tcPr>
            <w:tcW w:w="14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412,931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Operating income</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25,186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61,138</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Otr income (expense)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Interest income</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94,417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3,896</w:t>
            </w:r>
          </w:p>
        </w:tc>
        <w:tc>
          <w:tcPr>
            <w:tcW w:w="14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(93,481)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expense</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(64,836)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(93,892)</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93,481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Other income (expense), net</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(3,395)</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other income (expense)</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31,771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(839)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(93,391)</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(62,459)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56,957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(32,253)</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(2,185)</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in (losses) earnings of guarantor and</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non-guarantor subsidiaries, net</w:t>
            </w: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(31,203)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30,669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23,753</w:t>
            </w:r>
          </w:p>
        </w:tc>
        <w:tc>
          <w:tcPr>
            <w:tcW w:w="2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3,769</w:t>
            </w:r>
          </w:p>
        </w:tc>
        <w:tc>
          <w:tcPr>
            <w:tcW w:w="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(34,438)</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30,669</w:t>
            </w: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23,753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33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41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rPr>
              <w:t>Condensed Consolidating Statement of Operations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1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Nine Months Ended September 30, 2007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Combined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Combined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Non-guarantor</w:t>
            </w:r>
          </w:p>
        </w:tc>
        <w:tc>
          <w:tcPr>
            <w:tcW w:w="14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6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422,370</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29,616</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561,929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(30,411)</w:t>
            </w: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983,504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Cost of revenues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249,668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23,301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409,939</w:t>
            </w:r>
          </w:p>
        </w:tc>
        <w:tc>
          <w:tcPr>
            <w:tcW w:w="14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(30,253)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652,655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172,702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6,315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151,990</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330,849</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Sales and marketing</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37,427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44,376</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Product development</w:t>
            </w: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49,997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16,957</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General and administrative</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39,733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27,595</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Amortization of intangible assets</w:t>
            </w: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38,227</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In-process research and development</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35,820</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Total operating expenses</w:t>
            </w: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147,057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162,975</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315,908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25,645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(10,985)</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14,941</w:t>
            </w: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4"/>
                <w:szCs w:val="14"/>
                <w:color w:val="auto"/>
              </w:rPr>
              <w:t>Other income (expense)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Interest income</w:t>
            </w: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62,095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3,191</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(56,406)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Interest expense</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(59,361)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(54,809)</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56,416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income (expense), net</w:t>
            </w: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(2,992)</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gridSpan w:val="2"/>
          </w:tcPr>
          <w:p>
            <w:pPr>
              <w:ind w:left="680"/>
              <w:spacing w:after="0" w:line="142" w:lineRule="exact"/>
              <w:rPr>
                <w:sz w:val="20"/>
                <w:szCs w:val="20"/>
                <w:color w:val="auto"/>
              </w:rPr>
            </w:pPr>
            <w:r>
              <w:rPr>
                <w:rFonts w:ascii="Arial" w:cs="Arial" w:eastAsia="Arial" w:hAnsi="Arial"/>
                <w:sz w:val="14"/>
                <w:szCs w:val="14"/>
                <w:color w:val="auto"/>
              </w:rPr>
              <w:t>Total other income (expense)</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12,202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(5,920)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(54,610)</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(48,318)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37,847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(65,595)</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7,534</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13,231</w:t>
            </w: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4"/>
                <w:szCs w:val="14"/>
                <w:color w:val="auto"/>
              </w:rPr>
              <w:t>Equity in losses of guarantor and</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non-guarantor subsidiaries, net</w:t>
            </w: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64,867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80" w:type="dxa"/>
            <w:vAlign w:val="bottom"/>
            <w:gridSpan w:val="2"/>
          </w:tcPr>
          <w:p>
            <w:pPr>
              <w:spacing w:after="0" w:line="142" w:lineRule="exact"/>
              <w:rPr>
                <w:sz w:val="20"/>
                <w:szCs w:val="20"/>
                <w:color w:val="auto"/>
              </w:rPr>
            </w:pPr>
            <w:r>
              <w:rPr>
                <w:rFonts w:ascii="Arial" w:cs="Arial" w:eastAsia="Arial" w:hAnsi="Arial"/>
                <w:sz w:val="14"/>
                <w:szCs w:val="14"/>
                <w:color w:val="auto"/>
              </w:rPr>
              <w:t>Net loss</w:t>
            </w:r>
          </w:p>
        </w:tc>
        <w:tc>
          <w:tcPr>
            <w:tcW w:w="1400" w:type="dxa"/>
            <w:vAlign w:val="bottom"/>
          </w:tcPr>
          <w:p>
            <w:pPr>
              <w:spacing w:after="0"/>
              <w:rPr>
                <w:sz w:val="12"/>
                <w:szCs w:val="12"/>
                <w:color w:val="auto"/>
              </w:rPr>
            </w:pPr>
          </w:p>
        </w:tc>
        <w:tc>
          <w:tcPr>
            <w:tcW w:w="24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(20,146)</w:t>
            </w:r>
          </w:p>
        </w:tc>
        <w:tc>
          <w:tcPr>
            <w:tcW w:w="2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(6,806)</w:t>
            </w:r>
          </w:p>
        </w:tc>
        <w:tc>
          <w:tcPr>
            <w:tcW w:w="1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(58,061)</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64,867</w:t>
            </w:r>
          </w:p>
        </w:tc>
        <w:tc>
          <w:tcPr>
            <w:tcW w:w="2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w:t>
      </w:r>
    </w:p>
    <w:p>
      <w:pPr>
        <w:jc w:val="center"/>
        <w:ind w:right="100"/>
        <w:spacing w:after="0"/>
        <w:rPr>
          <w:sz w:val="20"/>
          <w:szCs w:val="20"/>
          <w:color w:val="auto"/>
        </w:rPr>
      </w:pPr>
      <w:r>
        <w:rPr>
          <w:rFonts w:ascii="Arial" w:cs="Arial" w:eastAsia="Arial" w:hAnsi="Arial"/>
          <w:sz w:val="13"/>
          <w:szCs w:val="13"/>
          <w:b w:val="1"/>
          <w:bCs w:val="1"/>
          <w:color w:val="auto"/>
        </w:rPr>
        <w:t>September 30, 2008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Combined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Combined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Guarantor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Non-guarantor</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Parent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5"/>
              </w:rPr>
              <w:t>Subsidiaries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Subsidiaries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2"/>
              </w:rPr>
              <w:t>Consolidated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40"/>
              <w:spacing w:after="0"/>
              <w:rPr>
                <w:sz w:val="20"/>
                <w:szCs w:val="20"/>
                <w:color w:val="auto"/>
              </w:rPr>
            </w:pPr>
            <w:r>
              <w:rPr>
                <w:rFonts w:ascii="Arial" w:cs="Arial" w:eastAsia="Arial" w:hAnsi="Arial"/>
                <w:sz w:val="13"/>
                <w:szCs w:val="13"/>
                <w:b w:val="1"/>
                <w:bCs w:val="1"/>
                <w:color w:val="auto"/>
              </w:rPr>
              <w:t>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00" w:type="dxa"/>
            <w:vAlign w:val="bottom"/>
            <w:gridSpan w:val="2"/>
          </w:tcPr>
          <w:p>
            <w:pPr>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63,995</w:t>
            </w: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5,752</w:t>
            </w:r>
          </w:p>
        </w:tc>
        <w:tc>
          <w:tcPr>
            <w:tcW w:w="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77,644</w:t>
            </w: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147,391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Accounts receivable, net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86,540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243,467</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339,308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Intercompany accounts receivable</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12,558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5,210</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(18,341)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Inventories</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50,573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7,527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131,118</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(994)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188,224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income taxes, net</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(3,512)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7,103</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8,171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Other</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18,629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41,824</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60,627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Intercompany other</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3,874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6,313</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(10,202)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ind w:left="220"/>
              <w:spacing w:after="0" w:line="129" w:lineRule="exact"/>
              <w:rPr>
                <w:sz w:val="20"/>
                <w:szCs w:val="20"/>
                <w:color w:val="auto"/>
              </w:rPr>
            </w:pPr>
            <w:r>
              <w:rPr>
                <w:rFonts w:ascii="Arial" w:cs="Arial" w:eastAsia="Arial" w:hAnsi="Arial"/>
                <w:sz w:val="13"/>
                <w:szCs w:val="13"/>
                <w:color w:val="auto"/>
              </w:rPr>
              <w:t>Total current assets</w:t>
            </w:r>
          </w:p>
        </w:tc>
        <w:tc>
          <w:tcPr>
            <w:tcW w:w="2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232,657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27,922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512,679</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(29,537)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743,721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94,556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12,372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210,670</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317,598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debt fees</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14,142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Deferred income taxes, net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85,435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32,725</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118,160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2,516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13,845</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16,474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Intangible assets, net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60,032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465,368</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525,400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Goodwill</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113,846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1,193,132</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1,316,904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Investment in subsidiaries</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98,532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72,031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(65,716)</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(104,847)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Intercompany notes receivable</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1,752,659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2,612</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(1,755,271)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ind w:left="220"/>
              <w:spacing w:after="0" w:line="129" w:lineRule="exact"/>
              <w:rPr>
                <w:sz w:val="20"/>
                <w:szCs w:val="20"/>
                <w:color w:val="auto"/>
              </w:rPr>
            </w:pPr>
            <w:r>
              <w:rPr>
                <w:rFonts w:ascii="Arial" w:cs="Arial" w:eastAsia="Arial" w:hAnsi="Arial"/>
                <w:sz w:val="13"/>
                <w:szCs w:val="13"/>
                <w:color w:val="auto"/>
              </w:rPr>
              <w:t>Total assets</w:t>
            </w:r>
          </w:p>
        </w:tc>
        <w:tc>
          <w:tcPr>
            <w:tcW w:w="240" w:type="dxa"/>
            <w:vAlign w:val="bottom"/>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2,454,375</w:t>
            </w:r>
          </w:p>
        </w:tc>
        <w:tc>
          <w:tcPr>
            <w:tcW w:w="160" w:type="dxa"/>
            <w:vAlign w:val="bottom"/>
          </w:tcPr>
          <w:p>
            <w:pPr>
              <w:spacing w:after="0"/>
              <w:rPr>
                <w:sz w:val="11"/>
                <w:szCs w:val="11"/>
                <w:color w:val="auto"/>
              </w:rPr>
            </w:pPr>
          </w:p>
        </w:tc>
        <w:tc>
          <w:tcPr>
            <w:tcW w:w="24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122,364</w:t>
            </w:r>
          </w:p>
        </w:tc>
        <w:tc>
          <w:tcPr>
            <w:tcW w:w="20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29" w:lineRule="exact"/>
              <w:rPr>
                <w:sz w:val="20"/>
                <w:szCs w:val="20"/>
                <w:color w:val="auto"/>
              </w:rPr>
            </w:pPr>
            <w:r>
              <w:rPr>
                <w:rFonts w:ascii="Arial" w:cs="Arial" w:eastAsia="Arial" w:hAnsi="Arial"/>
                <w:sz w:val="13"/>
                <w:szCs w:val="13"/>
                <w:color w:val="auto"/>
              </w:rPr>
              <w:t>2,365,315</w:t>
            </w:r>
          </w:p>
        </w:tc>
        <w:tc>
          <w:tcPr>
            <w:tcW w:w="20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(1,889,655)</w:t>
            </w:r>
          </w:p>
        </w:tc>
        <w:tc>
          <w:tcPr>
            <w:tcW w:w="2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3,052,399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920"/>
              <w:spacing w:after="0"/>
              <w:rPr>
                <w:sz w:val="20"/>
                <w:szCs w:val="20"/>
                <w:color w:val="auto"/>
              </w:rPr>
            </w:pPr>
            <w:r>
              <w:rPr>
                <w:rFonts w:ascii="Arial" w:cs="Arial" w:eastAsia="Arial" w:hAnsi="Arial"/>
                <w:sz w:val="13"/>
                <w:szCs w:val="13"/>
                <w:b w:val="1"/>
                <w:bCs w:val="1"/>
                <w:color w:val="auto"/>
              </w:rPr>
              <w:t>LIABILITIES AND SHAREHOLDERS' EQUITY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Trade payables</w:t>
            </w: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43,768</w:t>
            </w:r>
          </w:p>
        </w:tc>
        <w:tc>
          <w:tcPr>
            <w:tcW w:w="160" w:type="dxa"/>
            <w:vAlign w:val="bottom"/>
          </w:tcPr>
          <w:p>
            <w:pPr>
              <w:spacing w:after="0"/>
              <w:rPr>
                <w:sz w:val="11"/>
                <w:szCs w:val="11"/>
                <w:color w:val="auto"/>
              </w:rPr>
            </w:pPr>
          </w:p>
        </w:tc>
        <w:tc>
          <w:tcPr>
            <w:tcW w:w="2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5,975</w:t>
            </w:r>
          </w:p>
        </w:tc>
        <w:tc>
          <w:tcPr>
            <w:tcW w:w="2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168,011</w:t>
            </w: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217,754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Accrued expenses</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7,406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52,142</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59,737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Intercompany accounts payable</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2,873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4,424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11,044</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(18,341)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Wages and benefits payable</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30,256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2,255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53,666</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86,177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Taxes payable</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1,448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22,095</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24,071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Current portion of long-term debt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355,944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355,944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Current portion of warranty</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9,208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16,554</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25,911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income taxes, net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2,941</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Short-term intercompany advances</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4,999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510</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(10,202)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Unearned revenue</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20,170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5,332</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ind w:left="220"/>
              <w:spacing w:after="0" w:line="129" w:lineRule="exact"/>
              <w:rPr>
                <w:sz w:val="20"/>
                <w:szCs w:val="20"/>
                <w:color w:val="auto"/>
              </w:rPr>
            </w:pPr>
            <w:r>
              <w:rPr>
                <w:rFonts w:ascii="Arial" w:cs="Arial" w:eastAsia="Arial" w:hAnsi="Arial"/>
                <w:sz w:val="13"/>
                <w:szCs w:val="13"/>
                <w:color w:val="auto"/>
              </w:rPr>
              <w:t>Total current liabilities</w:t>
            </w:r>
          </w:p>
        </w:tc>
        <w:tc>
          <w:tcPr>
            <w:tcW w:w="2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476,073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18,482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332,295</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(28,543)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798,307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Long-term debt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848,918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848,917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Warranty</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11,191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3,374</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14,689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Pension plan benefits</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61,869</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61,869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Intercompany notes payable</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1,752,661</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(1,755,271)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Deferred income taxes, net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170,423</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170,141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obligations</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9,806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41,647</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51,489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ind w:left="220"/>
              <w:spacing w:after="0" w:line="129" w:lineRule="exact"/>
              <w:rPr>
                <w:sz w:val="20"/>
                <w:szCs w:val="20"/>
                <w:color w:val="auto"/>
              </w:rPr>
            </w:pPr>
            <w:r>
              <w:rPr>
                <w:rFonts w:ascii="Arial" w:cs="Arial" w:eastAsia="Arial" w:hAnsi="Arial"/>
                <w:sz w:val="13"/>
                <w:szCs w:val="13"/>
                <w:color w:val="auto"/>
              </w:rPr>
              <w:t>Total liabilities</w:t>
            </w:r>
          </w:p>
        </w:tc>
        <w:tc>
          <w:tcPr>
            <w:tcW w:w="2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1,347,388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19,570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3"/>
                <w:szCs w:val="13"/>
                <w:color w:val="auto"/>
              </w:rPr>
              <w:t>2,362,268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(1,783,814)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1,945,412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3"/>
                <w:szCs w:val="13"/>
                <w:color w:val="auto"/>
              </w:rPr>
              <w:t>Shareholders' equity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Preferred stock</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Common stock</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945,886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98,547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99,961</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(198,508)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945,886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Accumulated other comprehensive income, net</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115,116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6,396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12,397</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(18,793)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115,116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Retained earnings (accumulated deficit)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45,985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(109,311)</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111,460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45,985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Total shareholders' equity</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1,106,987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102,794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3,047</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(105,841)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1,106,987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ind w:left="220"/>
              <w:spacing w:after="0" w:line="129" w:lineRule="exact"/>
              <w:rPr>
                <w:sz w:val="20"/>
                <w:szCs w:val="20"/>
                <w:color w:val="auto"/>
              </w:rPr>
            </w:pPr>
            <w:r>
              <w:rPr>
                <w:rFonts w:ascii="Arial" w:cs="Arial" w:eastAsia="Arial" w:hAnsi="Arial"/>
                <w:sz w:val="13"/>
                <w:szCs w:val="13"/>
                <w:color w:val="auto"/>
              </w:rPr>
              <w:t>Total liabilities and shareholders' equity</w:t>
            </w:r>
          </w:p>
        </w:tc>
        <w:tc>
          <w:tcPr>
            <w:tcW w:w="240" w:type="dxa"/>
            <w:vAlign w:val="bottom"/>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2,454,375</w:t>
            </w:r>
          </w:p>
        </w:tc>
        <w:tc>
          <w:tcPr>
            <w:tcW w:w="160" w:type="dxa"/>
            <w:vAlign w:val="bottom"/>
          </w:tcPr>
          <w:p>
            <w:pPr>
              <w:spacing w:after="0"/>
              <w:rPr>
                <w:sz w:val="11"/>
                <w:szCs w:val="11"/>
                <w:color w:val="auto"/>
              </w:rPr>
            </w:pPr>
          </w:p>
        </w:tc>
        <w:tc>
          <w:tcPr>
            <w:tcW w:w="24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122,364</w:t>
            </w:r>
          </w:p>
        </w:tc>
        <w:tc>
          <w:tcPr>
            <w:tcW w:w="20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29" w:lineRule="exact"/>
              <w:rPr>
                <w:sz w:val="20"/>
                <w:szCs w:val="20"/>
                <w:color w:val="auto"/>
              </w:rPr>
            </w:pPr>
            <w:r>
              <w:rPr>
                <w:rFonts w:ascii="Arial" w:cs="Arial" w:eastAsia="Arial" w:hAnsi="Arial"/>
                <w:sz w:val="13"/>
                <w:szCs w:val="13"/>
                <w:color w:val="auto"/>
              </w:rPr>
              <w:t>2,365,315</w:t>
            </w:r>
          </w:p>
        </w:tc>
        <w:tc>
          <w:tcPr>
            <w:tcW w:w="20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(1,889,655)</w:t>
            </w:r>
          </w:p>
        </w:tc>
        <w:tc>
          <w:tcPr>
            <w:tcW w:w="2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3,052,399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w:t>
      </w:r>
    </w:p>
    <w:p>
      <w:pPr>
        <w:jc w:val="center"/>
        <w:ind w:right="100"/>
        <w:spacing w:after="0"/>
        <w:rPr>
          <w:sz w:val="20"/>
          <w:szCs w:val="20"/>
          <w:color w:val="auto"/>
        </w:rPr>
      </w:pPr>
      <w:r>
        <w:rPr>
          <w:rFonts w:ascii="Arial" w:cs="Arial" w:eastAsia="Arial" w:hAnsi="Arial"/>
          <w:sz w:val="13"/>
          <w:szCs w:val="13"/>
          <w:b w:val="1"/>
          <w:bCs w:val="1"/>
          <w:color w:val="auto"/>
        </w:rPr>
        <w:t>December 31, 2007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Combined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Combined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Guarantor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Non-guarantor</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Parent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5"/>
              </w:rPr>
              <w:t>Subsidiaries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Subsidiaries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2"/>
              </w:rPr>
              <w:t>Consolidated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40"/>
              <w:spacing w:after="0"/>
              <w:rPr>
                <w:sz w:val="20"/>
                <w:szCs w:val="20"/>
                <w:color w:val="auto"/>
              </w:rPr>
            </w:pPr>
            <w:r>
              <w:rPr>
                <w:rFonts w:ascii="Arial" w:cs="Arial" w:eastAsia="Arial" w:hAnsi="Arial"/>
                <w:sz w:val="13"/>
                <w:szCs w:val="13"/>
                <w:b w:val="1"/>
                <w:bCs w:val="1"/>
                <w:color w:val="auto"/>
              </w:rPr>
              <w:t>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00" w:type="dxa"/>
            <w:vAlign w:val="bottom"/>
            <w:gridSpan w:val="2"/>
          </w:tcPr>
          <w:p>
            <w:pPr>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27,937</w:t>
            </w:r>
          </w:p>
        </w:tc>
        <w:tc>
          <w:tcPr>
            <w:tcW w:w="4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1,664</w:t>
            </w:r>
          </w:p>
        </w:tc>
        <w:tc>
          <w:tcPr>
            <w:tcW w:w="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62,387</w:t>
            </w: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91,988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Accounts receivable, net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95,908</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235,959</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339,018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Intercompany accounts receivable</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15,359</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5,855</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(21,239)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Inventories</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50,049</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6,584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113,804</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(1,199)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169,238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income taxes, net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5,528</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1,294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3,911</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10,733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Other</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13,322</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29,120</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42,459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Intercompany other</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7,729</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7,800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19,365</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(34,894)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ind w:left="220"/>
              <w:spacing w:after="0" w:line="129" w:lineRule="exact"/>
              <w:rPr>
                <w:sz w:val="20"/>
                <w:szCs w:val="20"/>
                <w:color w:val="auto"/>
              </w:rPr>
            </w:pPr>
            <w:r>
              <w:rPr>
                <w:rFonts w:ascii="Arial" w:cs="Arial" w:eastAsia="Arial" w:hAnsi="Arial"/>
                <w:sz w:val="13"/>
                <w:szCs w:val="13"/>
                <w:color w:val="auto"/>
              </w:rPr>
              <w:t>Total current assets</w:t>
            </w:r>
          </w:p>
        </w:tc>
        <w:tc>
          <w:tcPr>
            <w:tcW w:w="2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215,832</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24,535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470,401</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(57,332)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653,436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85,036</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12,543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225,424</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323,003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debt fees</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21,616</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21,616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Deferred income taxes, net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85,963</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(11,995)</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75,243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1,762</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13,458</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15,235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Intangible assets, net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77,017</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618,883</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695,900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Goodwill</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113,846</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1,142,286</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1,266,133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Investment in subsidiaries</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118,733</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71,943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(66,192)</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(124,484)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Intercompany notes receivable</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1,764,792</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8,656</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(1,776,730)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ind w:left="220"/>
              <w:spacing w:after="0" w:line="129" w:lineRule="exact"/>
              <w:rPr>
                <w:sz w:val="20"/>
                <w:szCs w:val="20"/>
                <w:color w:val="auto"/>
              </w:rPr>
            </w:pPr>
            <w:r>
              <w:rPr>
                <w:rFonts w:ascii="Arial" w:cs="Arial" w:eastAsia="Arial" w:hAnsi="Arial"/>
                <w:sz w:val="13"/>
                <w:szCs w:val="13"/>
                <w:color w:val="auto"/>
              </w:rPr>
              <w:t>Total assets</w:t>
            </w:r>
          </w:p>
        </w:tc>
        <w:tc>
          <w:tcPr>
            <w:tcW w:w="240" w:type="dxa"/>
            <w:vAlign w:val="bottom"/>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2,484,597</w:t>
            </w:r>
          </w:p>
        </w:tc>
        <w:tc>
          <w:tcPr>
            <w:tcW w:w="4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123,594</w:t>
            </w:r>
          </w:p>
        </w:tc>
        <w:tc>
          <w:tcPr>
            <w:tcW w:w="20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29" w:lineRule="exact"/>
              <w:rPr>
                <w:sz w:val="20"/>
                <w:szCs w:val="20"/>
                <w:color w:val="auto"/>
              </w:rPr>
            </w:pPr>
            <w:r>
              <w:rPr>
                <w:rFonts w:ascii="Arial" w:cs="Arial" w:eastAsia="Arial" w:hAnsi="Arial"/>
                <w:sz w:val="13"/>
                <w:szCs w:val="13"/>
                <w:color w:val="auto"/>
              </w:rPr>
              <w:t>2,400,921</w:t>
            </w:r>
          </w:p>
        </w:tc>
        <w:tc>
          <w:tcPr>
            <w:tcW w:w="20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(1,958,546)</w:t>
            </w:r>
          </w:p>
        </w:tc>
        <w:tc>
          <w:tcPr>
            <w:tcW w:w="2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3,050,566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920"/>
              <w:spacing w:after="0"/>
              <w:rPr>
                <w:sz w:val="20"/>
                <w:szCs w:val="20"/>
                <w:color w:val="auto"/>
              </w:rPr>
            </w:pPr>
            <w:r>
              <w:rPr>
                <w:rFonts w:ascii="Arial" w:cs="Arial" w:eastAsia="Arial" w:hAnsi="Arial"/>
                <w:sz w:val="13"/>
                <w:szCs w:val="13"/>
                <w:b w:val="1"/>
                <w:bCs w:val="1"/>
                <w:color w:val="auto"/>
              </w:rPr>
              <w:t>LIABILITIES AND SHAREHOLDERS' EQUITY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Trade payables</w:t>
            </w: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39,701</w:t>
            </w:r>
          </w:p>
        </w:tc>
        <w:tc>
          <w:tcPr>
            <w:tcW w:w="4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4,336</w:t>
            </w:r>
          </w:p>
        </w:tc>
        <w:tc>
          <w:tcPr>
            <w:tcW w:w="2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154,960</w:t>
            </w: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198,997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Accrued expenses</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7,124</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49,605</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57,275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Intercompany accounts payable</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4,258</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1,842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15,139</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(21,239)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Wages and benefits payable</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17,419</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1,750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51,317</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70,486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Taxes payable</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1,335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16,316</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17,493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Current portion of long-term debt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11,980</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11,980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Current portion of warranty</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8,411</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12,715</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21,277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income taxes, net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5,437</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5,437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Short-term intercompany advances</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12,807</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14,782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7,305</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(34,894)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Unearned revenue</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15,120</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5,792</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ind w:left="220"/>
              <w:spacing w:after="0" w:line="129" w:lineRule="exact"/>
              <w:rPr>
                <w:sz w:val="20"/>
                <w:szCs w:val="20"/>
                <w:color w:val="auto"/>
              </w:rPr>
            </w:pPr>
            <w:r>
              <w:rPr>
                <w:rFonts w:ascii="Arial" w:cs="Arial" w:eastAsia="Arial" w:hAnsi="Arial"/>
                <w:sz w:val="13"/>
                <w:szCs w:val="13"/>
                <w:color w:val="auto"/>
              </w:rPr>
              <w:t>Total current liabilities</w:t>
            </w:r>
          </w:p>
        </w:tc>
        <w:tc>
          <w:tcPr>
            <w:tcW w:w="2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118,155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23,249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318,586</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(56,133)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403,857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Long-term debt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1,578,563</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1,578,561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Warranty</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10,104</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1,360</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11,564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Pension plan benefits</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60,622</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60,623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Intercompany notes payable</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1,474</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7,153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1,768,103</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(1,776,730)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13"/>
                <w:szCs w:val="13"/>
                <w:color w:val="auto"/>
              </w:rPr>
              <w:t>Deferred income taxes, net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962</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172,538</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173,500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obligations</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16,536</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47,098</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63,659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ind w:left="220"/>
              <w:spacing w:after="0" w:line="129" w:lineRule="exact"/>
              <w:rPr>
                <w:sz w:val="20"/>
                <w:szCs w:val="20"/>
                <w:color w:val="auto"/>
              </w:rPr>
            </w:pPr>
            <w:r>
              <w:rPr>
                <w:rFonts w:ascii="Arial" w:cs="Arial" w:eastAsia="Arial" w:hAnsi="Arial"/>
                <w:sz w:val="13"/>
                <w:szCs w:val="13"/>
                <w:color w:val="auto"/>
              </w:rPr>
              <w:t>Total liabilities</w:t>
            </w:r>
          </w:p>
        </w:tc>
        <w:tc>
          <w:tcPr>
            <w:tcW w:w="2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1,725,795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30,527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3"/>
                <w:szCs w:val="13"/>
                <w:color w:val="auto"/>
              </w:rPr>
              <w:t>2,368,305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(1,832,863)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2,291,764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3"/>
                <w:szCs w:val="13"/>
                <w:color w:val="auto"/>
              </w:rPr>
              <w:t>Shareholders' equity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Preferred stock</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Common stock</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609,902</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90,437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97,021</w:t>
            </w:r>
          </w:p>
        </w:tc>
        <w:tc>
          <w:tcPr>
            <w:tcW w:w="16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(187,458)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609,902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Accumulated other comprehensive income, net</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126,668</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8,548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10,468</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(19,016)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126,668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ind w:left="100"/>
              <w:spacing w:after="0" w:line="135" w:lineRule="exact"/>
              <w:rPr>
                <w:sz w:val="20"/>
                <w:szCs w:val="20"/>
                <w:color w:val="auto"/>
              </w:rPr>
            </w:pPr>
            <w:r>
              <w:rPr>
                <w:rFonts w:ascii="Arial" w:cs="Arial" w:eastAsia="Arial" w:hAnsi="Arial"/>
                <w:sz w:val="13"/>
                <w:szCs w:val="13"/>
                <w:color w:val="auto"/>
              </w:rPr>
              <w:t>Retained earnings (accumulated deficit)</w:t>
            </w: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22,232</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(74,873)</w:t>
            </w:r>
          </w:p>
        </w:tc>
        <w:tc>
          <w:tcPr>
            <w:tcW w:w="1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80,791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Total shareholders' equity</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758,802</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93,067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32,616</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(125,683)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758,802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ind w:left="220"/>
              <w:spacing w:after="0" w:line="129" w:lineRule="exact"/>
              <w:rPr>
                <w:sz w:val="20"/>
                <w:szCs w:val="20"/>
                <w:color w:val="auto"/>
              </w:rPr>
            </w:pPr>
            <w:r>
              <w:rPr>
                <w:rFonts w:ascii="Arial" w:cs="Arial" w:eastAsia="Arial" w:hAnsi="Arial"/>
                <w:sz w:val="13"/>
                <w:szCs w:val="13"/>
                <w:color w:val="auto"/>
              </w:rPr>
              <w:t>Total liabilities and shareholders' equity</w:t>
            </w:r>
          </w:p>
        </w:tc>
        <w:tc>
          <w:tcPr>
            <w:tcW w:w="240" w:type="dxa"/>
            <w:vAlign w:val="bottom"/>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2,484,597</w:t>
            </w:r>
          </w:p>
        </w:tc>
        <w:tc>
          <w:tcPr>
            <w:tcW w:w="4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123,594</w:t>
            </w:r>
          </w:p>
        </w:tc>
        <w:tc>
          <w:tcPr>
            <w:tcW w:w="20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29" w:lineRule="exact"/>
              <w:rPr>
                <w:sz w:val="20"/>
                <w:szCs w:val="20"/>
                <w:color w:val="auto"/>
              </w:rPr>
            </w:pPr>
            <w:r>
              <w:rPr>
                <w:rFonts w:ascii="Arial" w:cs="Arial" w:eastAsia="Arial" w:hAnsi="Arial"/>
                <w:sz w:val="13"/>
                <w:szCs w:val="13"/>
                <w:color w:val="auto"/>
              </w:rPr>
              <w:t>2,400,921</w:t>
            </w:r>
          </w:p>
        </w:tc>
        <w:tc>
          <w:tcPr>
            <w:tcW w:w="20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(1,958,546)</w:t>
            </w:r>
          </w:p>
        </w:tc>
        <w:tc>
          <w:tcPr>
            <w:tcW w:w="2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3,050,566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1"/>
          <w:szCs w:val="11"/>
          <w:b w:val="1"/>
          <w:bCs w:val="1"/>
          <w:color w:val="auto"/>
        </w:rPr>
        <w:t>Condensed Consolidating Statement of Cash Flows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1"/>
          <w:szCs w:val="11"/>
          <w:b w:val="1"/>
          <w:bCs w:val="1"/>
          <w:color w:val="auto"/>
        </w:rPr>
        <w:t>Nine Months Ended September 30, 2008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Combined</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Combined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Non-guarantor</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Parent</w:t>
            </w: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0"/>
              </w:rPr>
              <w:t>Guarantor Subsidiaries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Subsidiaries</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w w:val="97"/>
              </w:rPr>
              <w:t>Consolidated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94"/>
              </w:rPr>
              <w:t>(in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40" w:type="dxa"/>
            <w:vAlign w:val="bottom"/>
            <w:gridSpan w:val="2"/>
          </w:tcPr>
          <w:p>
            <w:pPr>
              <w:spacing w:after="0"/>
              <w:rPr>
                <w:sz w:val="20"/>
                <w:szCs w:val="20"/>
                <w:color w:val="auto"/>
              </w:rPr>
            </w:pPr>
            <w:r>
              <w:rPr>
                <w:rFonts w:ascii="Arial" w:cs="Arial" w:eastAsia="Arial" w:hAnsi="Arial"/>
                <w:sz w:val="11"/>
                <w:szCs w:val="11"/>
                <w:color w:val="auto"/>
              </w:rPr>
              <w:t>Operating activities</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Net income (loss)</w:t>
            </w:r>
          </w:p>
        </w:tc>
        <w:tc>
          <w:tcPr>
            <w:tcW w:w="1220" w:type="dxa"/>
            <w:vAlign w:val="bottom"/>
            <w:gridSpan w:val="2"/>
            <w:shd w:val="clear" w:color="auto" w:fill="CCEEFF"/>
          </w:tcPr>
          <w:p>
            <w:pPr>
              <w:jc w:val="right"/>
              <w:ind w:right="649"/>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23,753</w:t>
            </w:r>
          </w:p>
        </w:tc>
        <w:tc>
          <w:tcPr>
            <w:tcW w:w="3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3,769</w:t>
            </w:r>
          </w:p>
        </w:tc>
        <w:tc>
          <w:tcPr>
            <w:tcW w:w="22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(34,438)</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30,669</w:t>
            </w:r>
          </w:p>
        </w:tc>
        <w:tc>
          <w:tcPr>
            <w:tcW w:w="2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23,753</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Depreciation and amortization</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30,551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1,658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101,086</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133,295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220"/>
              <w:spacing w:after="0" w:line="122" w:lineRule="exact"/>
              <w:rPr>
                <w:sz w:val="20"/>
                <w:szCs w:val="20"/>
                <w:color w:val="auto"/>
              </w:rPr>
            </w:pPr>
            <w:r>
              <w:rPr>
                <w:rFonts w:ascii="Arial" w:cs="Arial" w:eastAsia="Arial" w:hAnsi="Arial"/>
                <w:sz w:val="11"/>
                <w:szCs w:val="11"/>
                <w:color w:val="auto"/>
              </w:rPr>
              <w:t>Stock-based compensation</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12,560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12,560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Amortization of prepaid debt fees</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7,665</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7,665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220"/>
              <w:spacing w:after="0" w:line="122" w:lineRule="exact"/>
              <w:rPr>
                <w:sz w:val="20"/>
                <w:szCs w:val="20"/>
                <w:color w:val="auto"/>
              </w:rPr>
            </w:pPr>
            <w:r>
              <w:rPr>
                <w:rFonts w:ascii="Arial" w:cs="Arial" w:eastAsia="Arial" w:hAnsi="Arial"/>
                <w:sz w:val="11"/>
                <w:szCs w:val="11"/>
                <w:color w:val="auto"/>
              </w:rPr>
              <w:t>Deferred income taxes, net</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1,534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(3,023)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(25,984)</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(27,473)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Equity in (earnings) losses of guarantor and non-guarantor subsidiaries, net</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31,203</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(534)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(30,669)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220"/>
              <w:spacing w:after="0" w:line="122" w:lineRule="exact"/>
              <w:rPr>
                <w:sz w:val="20"/>
                <w:szCs w:val="20"/>
                <w:color w:val="auto"/>
              </w:rPr>
            </w:pPr>
            <w:r>
              <w:rPr>
                <w:rFonts w:ascii="Arial" w:cs="Arial" w:eastAsia="Arial" w:hAnsi="Arial"/>
                <w:sz w:val="11"/>
                <w:szCs w:val="11"/>
                <w:color w:val="auto"/>
              </w:rPr>
              <w:t>Other, net</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595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(405)</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Changes in operating assets and liabilities, net of acquisitions: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Accounts receivable</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9,368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(2,150)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(5,384)</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1,834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Inventories</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(729)</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(943)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(17,428)</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(19,100)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Trade payables, accrued expenses and taxes payable</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3,019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1,868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10,486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15,373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Wages and benefits payable</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12,837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505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2,207</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15,549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Unearned revenue</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5,480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(412)</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5,339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Warranty</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1,884</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(1,803)</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Effect of foreign exchange rate changes</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(2,214)</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(2,214)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Intercompany transactions, net</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(1,759)</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5,209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(3,450)</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Other, net</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(2,392)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(8,058)</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15" w:lineRule="exact"/>
              <w:rPr>
                <w:sz w:val="20"/>
                <w:szCs w:val="20"/>
                <w:color w:val="auto"/>
              </w:rPr>
            </w:pPr>
            <w:r>
              <w:rPr>
                <w:rFonts w:ascii="Arial" w:cs="Arial" w:eastAsia="Arial" w:hAnsi="Arial"/>
                <w:sz w:val="11"/>
                <w:szCs w:val="11"/>
                <w:color w:val="auto"/>
              </w:rPr>
              <w:t>Net cash provided by operating activities</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w w:val="95"/>
              </w:rPr>
              <w:t>135,569</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6,452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14,203</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156,224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Investing activities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Acquisitions of property, plant and equipment</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(22,439)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(1,434)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(17,549)</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(41,422)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Business acquisitions, net of cash and cash equivalents acquired</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(95)</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Cash transferred to parent</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7,806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(7,806)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Cash transferred to guarantor subsidiaries</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7,806</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(7,806)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Cash transferred to non-guarantor subsidiaries</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4,197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(4,197)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Intercompany notes, net</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(1,232)</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3,282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6,008</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(8,058)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Other, net</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(10,808)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1,721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10,467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15" w:lineRule="exact"/>
              <w:rPr>
                <w:sz w:val="20"/>
                <w:szCs w:val="20"/>
                <w:color w:val="auto"/>
              </w:rPr>
            </w:pPr>
            <w:r>
              <w:rPr>
                <w:rFonts w:ascii="Arial" w:cs="Arial" w:eastAsia="Arial" w:hAnsi="Arial"/>
                <w:sz w:val="11"/>
                <w:szCs w:val="11"/>
                <w:color w:val="auto"/>
              </w:rPr>
              <w:t>Net cash (used in) provided by investing activities</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(30,377)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11,375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6,732</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(27,867)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(40,137)</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Financing activities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Payments on debt</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89"/>
              </w:rPr>
              <w:t>(384,426)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(384,426)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Issuance of common stock</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w w:val="95"/>
              </w:rPr>
              <w:t>323,424</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323,424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Prepaid debt fees</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Cash received from parent</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(4,197)</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4,197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Cash received from guarantor subsidiaries</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(7,806)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7,806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Cash received from non-guarantor subsidiaries</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(7,806)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7,806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Intercompany notes payable</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(5,933)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(2,050)</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8,058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Other, net</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(44)</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ind w:left="220"/>
              <w:spacing w:after="0" w:line="115" w:lineRule="exact"/>
              <w:rPr>
                <w:sz w:val="20"/>
                <w:szCs w:val="20"/>
                <w:color w:val="auto"/>
              </w:rPr>
            </w:pPr>
            <w:r>
              <w:rPr>
                <w:rFonts w:ascii="Arial" w:cs="Arial" w:eastAsia="Arial" w:hAnsi="Arial"/>
                <w:sz w:val="11"/>
                <w:szCs w:val="11"/>
                <w:color w:val="auto"/>
              </w:rPr>
              <w:t>Net cash used in financing activities</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(69,134)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(13,739)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15" w:lineRule="exact"/>
              <w:rPr>
                <w:sz w:val="20"/>
                <w:szCs w:val="20"/>
                <w:color w:val="auto"/>
              </w:rPr>
            </w:pPr>
            <w:r>
              <w:rPr>
                <w:rFonts w:ascii="Arial" w:cs="Arial" w:eastAsia="Arial" w:hAnsi="Arial"/>
                <w:sz w:val="11"/>
                <w:szCs w:val="11"/>
                <w:color w:val="auto"/>
              </w:rPr>
              <w:t>(6,247)</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27,867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(61,253)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220" w:type="dxa"/>
            <w:vAlign w:val="bottom"/>
          </w:tcPr>
          <w:p>
            <w:pPr>
              <w:spacing w:after="0" w:line="122" w:lineRule="exact"/>
              <w:rPr>
                <w:sz w:val="20"/>
                <w:szCs w:val="20"/>
                <w:color w:val="auto"/>
              </w:rPr>
            </w:pPr>
            <w:r>
              <w:rPr>
                <w:rFonts w:ascii="Arial" w:cs="Arial" w:eastAsia="Arial" w:hAnsi="Arial"/>
                <w:sz w:val="11"/>
                <w:szCs w:val="11"/>
                <w:color w:val="auto"/>
              </w:rPr>
              <w:t>Effect of foreign exchange rate changes on cash and cash equivalents</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569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Increase in cash and cash equivalents</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36,058</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4,088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15,257</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55,403</w:t>
            </w:r>
          </w:p>
        </w:tc>
        <w:tc>
          <w:tcPr>
            <w:tcW w:w="0" w:type="dxa"/>
            <w:vAlign w:val="bottom"/>
          </w:tcPr>
          <w:p>
            <w:pPr>
              <w:spacing w:after="0"/>
              <w:rPr>
                <w:sz w:val="1"/>
                <w:szCs w:val="1"/>
                <w:color w:val="auto"/>
              </w:rPr>
            </w:pPr>
          </w:p>
        </w:tc>
      </w:tr>
      <w:tr>
        <w:trPr>
          <w:trHeight w:val="122"/>
        </w:trPr>
        <w:tc>
          <w:tcPr>
            <w:tcW w:w="4240" w:type="dxa"/>
            <w:vAlign w:val="bottom"/>
            <w:gridSpan w:val="2"/>
          </w:tcPr>
          <w:p>
            <w:pPr>
              <w:spacing w:after="0" w:line="122" w:lineRule="exact"/>
              <w:rPr>
                <w:sz w:val="20"/>
                <w:szCs w:val="20"/>
                <w:color w:val="auto"/>
              </w:rPr>
            </w:pPr>
            <w:r>
              <w:rPr>
                <w:rFonts w:ascii="Arial" w:cs="Arial" w:eastAsia="Arial" w:hAnsi="Arial"/>
                <w:sz w:val="11"/>
                <w:szCs w:val="11"/>
                <w:color w:val="auto"/>
              </w:rPr>
              <w:t>Cash and cash equivalents at beginning of period</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27,937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1,664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62,387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91,988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2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Cash and cash equivalents at end of period</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63,995</w:t>
            </w:r>
          </w:p>
        </w:tc>
        <w:tc>
          <w:tcPr>
            <w:tcW w:w="300" w:type="dxa"/>
            <w:vAlign w:val="bottom"/>
            <w:gridSpan w:val="2"/>
            <w:shd w:val="clear" w:color="auto" w:fill="CCEEFF"/>
          </w:tcPr>
          <w:p>
            <w:pPr>
              <w:jc w:val="right"/>
              <w:ind w:right="86"/>
              <w:spacing w:after="0" w:line="115" w:lineRule="exact"/>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5,752</w:t>
            </w:r>
          </w:p>
        </w:tc>
        <w:tc>
          <w:tcPr>
            <w:tcW w:w="220" w:type="dxa"/>
            <w:vAlign w:val="bottom"/>
            <w:gridSpan w:val="2"/>
            <w:shd w:val="clear" w:color="auto" w:fill="CCEEFF"/>
          </w:tcPr>
          <w:p>
            <w:pPr>
              <w:jc w:val="right"/>
              <w:ind w:right="60"/>
              <w:spacing w:after="0" w:line="115"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77,644</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147,391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1"/>
                <w:szCs w:val="11"/>
                <w:i w:val="1"/>
                <w:iCs w:val="1"/>
                <w:color w:val="auto"/>
              </w:rPr>
              <w:t>Non-cash transactions: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Fixed assets purchased but not yet paid</w:t>
            </w:r>
          </w:p>
        </w:tc>
        <w:tc>
          <w:tcPr>
            <w:tcW w:w="1220" w:type="dxa"/>
            <w:vAlign w:val="bottom"/>
            <w:gridSpan w:val="2"/>
          </w:tcPr>
          <w:p>
            <w:pPr>
              <w:jc w:val="right"/>
              <w:ind w:right="649"/>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2,989</w:t>
            </w:r>
          </w:p>
        </w:tc>
        <w:tc>
          <w:tcPr>
            <w:tcW w:w="3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160</w:t>
            </w:r>
          </w:p>
        </w:tc>
        <w:tc>
          <w:tcPr>
            <w:tcW w:w="2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2,133</w:t>
            </w:r>
          </w:p>
        </w:tc>
        <w:tc>
          <w:tcPr>
            <w:tcW w:w="200" w:type="dxa"/>
            <w:vAlign w:val="bottom"/>
          </w:tcPr>
          <w:p>
            <w:pPr>
              <w:spacing w:after="0"/>
              <w:rPr>
                <w:sz w:val="10"/>
                <w:szCs w:val="10"/>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1"/>
                <w:szCs w:val="11"/>
                <w:i w:val="1"/>
                <w:iCs w:val="1"/>
                <w:color w:val="auto"/>
              </w:rPr>
              <w:t>Supplemental disclosure of cash flow information:</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Cash paid during the period for:</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220"/>
              <w:spacing w:after="0" w:line="122" w:lineRule="exact"/>
              <w:rPr>
                <w:sz w:val="20"/>
                <w:szCs w:val="20"/>
                <w:color w:val="auto"/>
              </w:rPr>
            </w:pPr>
            <w:r>
              <w:rPr>
                <w:rFonts w:ascii="Arial" w:cs="Arial" w:eastAsia="Arial" w:hAnsi="Arial"/>
                <w:sz w:val="11"/>
                <w:szCs w:val="11"/>
                <w:color w:val="auto"/>
              </w:rPr>
              <w:t>Income taxes</w:t>
            </w:r>
          </w:p>
        </w:tc>
        <w:tc>
          <w:tcPr>
            <w:tcW w:w="1220" w:type="dxa"/>
            <w:vAlign w:val="bottom"/>
            <w:gridSpan w:val="2"/>
          </w:tcPr>
          <w:p>
            <w:pPr>
              <w:jc w:val="right"/>
              <w:ind w:right="649"/>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137</w:t>
            </w:r>
          </w:p>
        </w:tc>
        <w:tc>
          <w:tcPr>
            <w:tcW w:w="3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16,562</w:t>
            </w:r>
          </w:p>
        </w:tc>
        <w:tc>
          <w:tcPr>
            <w:tcW w:w="200" w:type="dxa"/>
            <w:vAlign w:val="bottom"/>
          </w:tcPr>
          <w:p>
            <w:pPr>
              <w:spacing w:after="0"/>
              <w:rPr>
                <w:sz w:val="10"/>
                <w:szCs w:val="10"/>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16,699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Interest, net of amounts capitalized</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57,668</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527</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58,195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1"/>
          <w:szCs w:val="11"/>
          <w:b w:val="1"/>
          <w:bCs w:val="1"/>
          <w:color w:val="auto"/>
        </w:rPr>
        <w:t>Condensed Consolidating Statement of Cash Flows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1"/>
          <w:szCs w:val="11"/>
          <w:b w:val="1"/>
          <w:bCs w:val="1"/>
          <w:color w:val="auto"/>
        </w:rPr>
        <w:t>Nine Months Ended September 30, 2007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Combined</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Combined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Non-guarantor</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Parent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0"/>
              </w:rPr>
              <w:t>Guarantor Subsidiaries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Subsidiaries</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w w:val="97"/>
              </w:rPr>
              <w:t>Consolidated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94"/>
              </w:rPr>
              <w:t>(in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40" w:type="dxa"/>
            <w:vAlign w:val="bottom"/>
            <w:gridSpan w:val="2"/>
          </w:tcPr>
          <w:p>
            <w:pPr>
              <w:spacing w:after="0"/>
              <w:rPr>
                <w:sz w:val="20"/>
                <w:szCs w:val="20"/>
                <w:color w:val="auto"/>
              </w:rPr>
            </w:pPr>
            <w:r>
              <w:rPr>
                <w:rFonts w:ascii="Arial" w:cs="Arial" w:eastAsia="Arial" w:hAnsi="Arial"/>
                <w:sz w:val="11"/>
                <w:szCs w:val="11"/>
                <w:color w:val="auto"/>
              </w:rPr>
              <w:t>Operating activities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Net loss</w:t>
            </w:r>
          </w:p>
        </w:tc>
        <w:tc>
          <w:tcPr>
            <w:tcW w:w="700" w:type="dxa"/>
            <w:vAlign w:val="bottom"/>
            <w:gridSpan w:val="2"/>
            <w:shd w:val="clear" w:color="auto" w:fill="CCEEFF"/>
          </w:tcPr>
          <w:p>
            <w:pPr>
              <w:jc w:val="right"/>
              <w:ind w:right="131"/>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(20,146)</w:t>
            </w:r>
          </w:p>
        </w:tc>
        <w:tc>
          <w:tcPr>
            <w:tcW w:w="300" w:type="dxa"/>
            <w:vAlign w:val="bottom"/>
            <w:gridSpan w:val="2"/>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(6,806)</w:t>
            </w:r>
          </w:p>
        </w:tc>
        <w:tc>
          <w:tcPr>
            <w:tcW w:w="22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(58,061)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64,867</w:t>
            </w:r>
          </w:p>
        </w:tc>
        <w:tc>
          <w:tcPr>
            <w:tcW w:w="2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(20,146)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1"/>
                <w:szCs w:val="11"/>
                <w:color w:val="auto"/>
              </w:rPr>
              <w:t>Adjustments to reconcile net loss to net cash provided by (used in) operating activities: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Depreciation and amortization</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32,590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933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51,806</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85,329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220"/>
              <w:spacing w:after="0" w:line="122" w:lineRule="exact"/>
              <w:rPr>
                <w:sz w:val="20"/>
                <w:szCs w:val="20"/>
                <w:color w:val="auto"/>
              </w:rPr>
            </w:pPr>
            <w:r>
              <w:rPr>
                <w:rFonts w:ascii="Arial" w:cs="Arial" w:eastAsia="Arial" w:hAnsi="Arial"/>
                <w:sz w:val="11"/>
                <w:szCs w:val="11"/>
                <w:color w:val="auto"/>
              </w:rPr>
              <w:t>In-process research and development</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35,820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35,820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Employee stock plans income tax benefits</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2,020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220"/>
              <w:spacing w:after="0" w:line="122" w:lineRule="exact"/>
              <w:rPr>
                <w:sz w:val="20"/>
                <w:szCs w:val="20"/>
                <w:color w:val="auto"/>
              </w:rPr>
            </w:pPr>
            <w:r>
              <w:rPr>
                <w:rFonts w:ascii="Arial" w:cs="Arial" w:eastAsia="Arial" w:hAnsi="Arial"/>
                <w:sz w:val="11"/>
                <w:szCs w:val="11"/>
                <w:color w:val="auto"/>
              </w:rPr>
              <w:t>Stock-based compensation</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8,998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8,998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Amortization of prepaid debt fees</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11,804</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230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12,034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220"/>
              <w:spacing w:after="0" w:line="122" w:lineRule="exact"/>
              <w:rPr>
                <w:sz w:val="20"/>
                <w:szCs w:val="20"/>
                <w:color w:val="auto"/>
              </w:rPr>
            </w:pPr>
            <w:r>
              <w:rPr>
                <w:rFonts w:ascii="Arial" w:cs="Arial" w:eastAsia="Arial" w:hAnsi="Arial"/>
                <w:sz w:val="11"/>
                <w:szCs w:val="11"/>
                <w:color w:val="auto"/>
              </w:rPr>
              <w:t>Deferred income taxes, net</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(11,660)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(2,110)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(33,648)</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(47,418)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Equity in (earnings) losses of guarantor and non-guarantor subsidiaries, net</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62,803</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1,829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(64,632)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220"/>
              <w:spacing w:after="0" w:line="122" w:lineRule="exact"/>
              <w:rPr>
                <w:sz w:val="20"/>
                <w:szCs w:val="20"/>
                <w:color w:val="auto"/>
              </w:rPr>
            </w:pPr>
            <w:r>
              <w:rPr>
                <w:rFonts w:ascii="Arial" w:cs="Arial" w:eastAsia="Arial" w:hAnsi="Arial"/>
                <w:sz w:val="11"/>
                <w:szCs w:val="11"/>
                <w:color w:val="auto"/>
              </w:rPr>
              <w:t>Other, net</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(3,759)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3,038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(235)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Changes in operating assets and liabilities, net of acquisitions: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Accounts receivable</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613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(14,306)</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(15,231)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Inventories</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(6,557)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1,025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8,333</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2,801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Trade payables, accrued expenses and taxes payable</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5,049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1,235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17,915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24,199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Wages and benefits payable</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(4,354)</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(2,305)</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(6,510)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Unearned revenue</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(5,586)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(2,804)</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(8,390)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Warranty</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(164)</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853</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764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Intercompany transactions, net</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(4,198)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3,302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896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Effect of foreign exchange rate changes</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11,307</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11,307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Other, net</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4,745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469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(193)</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15" w:lineRule="exact"/>
              <w:rPr>
                <w:sz w:val="20"/>
                <w:szCs w:val="20"/>
                <w:color w:val="auto"/>
              </w:rPr>
            </w:pPr>
            <w:r>
              <w:rPr>
                <w:rFonts w:ascii="Arial" w:cs="Arial" w:eastAsia="Arial" w:hAnsi="Arial"/>
                <w:sz w:val="11"/>
                <w:szCs w:val="11"/>
                <w:color w:val="auto"/>
              </w:rPr>
              <w:t>Net cash provided by operating activities</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72,198</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1,831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15,625</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89,654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Investing activities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Proceeds from the maturities of investments, held to maturity</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35,000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Acquisitions of property, plant and equipment</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(17,443)</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6,124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(18,854)</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(30,173)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Business acquisitions, net of cash and cash equivalents acquired</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(1,716,138)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(1,716,138)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Cash transferred to non-guarantor subsidiaries</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(22,492)</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22,492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Intercompany notes, net</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(4,399)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(47,878)</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52,277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Other, net</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(25,651)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(53,169)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78,873</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ind w:left="220"/>
              <w:spacing w:after="0" w:line="115" w:lineRule="exact"/>
              <w:rPr>
                <w:sz w:val="20"/>
                <w:szCs w:val="20"/>
                <w:color w:val="auto"/>
              </w:rPr>
            </w:pPr>
            <w:r>
              <w:rPr>
                <w:rFonts w:ascii="Arial" w:cs="Arial" w:eastAsia="Arial" w:hAnsi="Arial"/>
                <w:sz w:val="11"/>
                <w:szCs w:val="11"/>
                <w:color w:val="auto"/>
              </w:rPr>
              <w:t>Net cash (used in) provided by investing activities</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(1,751,123)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(47,045)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15" w:lineRule="exact"/>
              <w:rPr>
                <w:sz w:val="20"/>
                <w:szCs w:val="20"/>
                <w:color w:val="auto"/>
              </w:rPr>
            </w:pPr>
            <w:r>
              <w:rPr>
                <w:rFonts w:ascii="Arial" w:cs="Arial" w:eastAsia="Arial" w:hAnsi="Arial"/>
                <w:sz w:val="11"/>
                <w:szCs w:val="11"/>
                <w:color w:val="auto"/>
              </w:rPr>
              <w:t>12,141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74,769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(1,711,258)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1"/>
                <w:szCs w:val="11"/>
                <w:color w:val="auto"/>
              </w:rPr>
              <w:t>Financing activities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Proceeds from borrowings</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1,159,026</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1,159,027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Payments on debt</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(37,278)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(37,278)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Issuance of common stock</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243,146</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243,146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Prepaid debt fees</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(20,538)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(2,646)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1,175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(22,009)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Cash transferred from parent</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22,492</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(22,492)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Intercompany notes payable</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272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47,606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4,399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(52,277)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Other, net</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(1,541)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1,541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ind w:left="220"/>
              <w:spacing w:after="0" w:line="115" w:lineRule="exact"/>
              <w:rPr>
                <w:sz w:val="20"/>
                <w:szCs w:val="20"/>
                <w:color w:val="auto"/>
              </w:rPr>
            </w:pPr>
            <w:r>
              <w:rPr>
                <w:rFonts w:ascii="Arial" w:cs="Arial" w:eastAsia="Arial" w:hAnsi="Arial"/>
                <w:sz w:val="11"/>
                <w:szCs w:val="11"/>
                <w:color w:val="auto"/>
              </w:rPr>
              <w:t>Net cash provided by financing activities</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1,343,087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46,502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15" w:lineRule="exact"/>
              <w:rPr>
                <w:sz w:val="20"/>
                <w:szCs w:val="20"/>
                <w:color w:val="auto"/>
              </w:rPr>
            </w:pPr>
            <w:r>
              <w:rPr>
                <w:rFonts w:ascii="Arial" w:cs="Arial" w:eastAsia="Arial" w:hAnsi="Arial"/>
                <w:sz w:val="11"/>
                <w:szCs w:val="11"/>
                <w:color w:val="auto"/>
              </w:rPr>
              <w:t>28,066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(74,769)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1,342,886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220" w:type="dxa"/>
            <w:vAlign w:val="bottom"/>
          </w:tcPr>
          <w:p>
            <w:pPr>
              <w:spacing w:after="0" w:line="122" w:lineRule="exact"/>
              <w:rPr>
                <w:sz w:val="20"/>
                <w:szCs w:val="20"/>
                <w:color w:val="auto"/>
              </w:rPr>
            </w:pPr>
            <w:r>
              <w:rPr>
                <w:rFonts w:ascii="Arial" w:cs="Arial" w:eastAsia="Arial" w:hAnsi="Arial"/>
                <w:sz w:val="11"/>
                <w:szCs w:val="11"/>
                <w:color w:val="auto"/>
              </w:rPr>
              <w:t>Effect of foreign exchange rate changes on cash and cash equivalents</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2,448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2,448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Increase (decrease) in cash and cash equivalents</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(335,838)</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1,288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58,280</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(276,270)</w:t>
            </w:r>
          </w:p>
        </w:tc>
        <w:tc>
          <w:tcPr>
            <w:tcW w:w="0" w:type="dxa"/>
            <w:vAlign w:val="bottom"/>
          </w:tcPr>
          <w:p>
            <w:pPr>
              <w:spacing w:after="0"/>
              <w:rPr>
                <w:sz w:val="1"/>
                <w:szCs w:val="1"/>
                <w:color w:val="auto"/>
              </w:rPr>
            </w:pPr>
          </w:p>
        </w:tc>
      </w:tr>
      <w:tr>
        <w:trPr>
          <w:trHeight w:val="122"/>
        </w:trPr>
        <w:tc>
          <w:tcPr>
            <w:tcW w:w="4240" w:type="dxa"/>
            <w:vAlign w:val="bottom"/>
            <w:gridSpan w:val="2"/>
          </w:tcPr>
          <w:p>
            <w:pPr>
              <w:spacing w:after="0" w:line="122" w:lineRule="exact"/>
              <w:rPr>
                <w:sz w:val="20"/>
                <w:szCs w:val="20"/>
                <w:color w:val="auto"/>
              </w:rPr>
            </w:pPr>
            <w:r>
              <w:rPr>
                <w:rFonts w:ascii="Arial" w:cs="Arial" w:eastAsia="Arial" w:hAnsi="Arial"/>
                <w:sz w:val="11"/>
                <w:szCs w:val="11"/>
                <w:color w:val="auto"/>
              </w:rPr>
              <w:t>Cash and cash equivalents at beginning of period</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353,483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7,922</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361,405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2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Cash and cash equivalents at end of period</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17,645</w:t>
            </w:r>
          </w:p>
        </w:tc>
        <w:tc>
          <w:tcPr>
            <w:tcW w:w="300" w:type="dxa"/>
            <w:vAlign w:val="bottom"/>
            <w:gridSpan w:val="2"/>
            <w:shd w:val="clear" w:color="auto" w:fill="CCEEFF"/>
          </w:tcPr>
          <w:p>
            <w:pPr>
              <w:jc w:val="right"/>
              <w:ind w:right="86"/>
              <w:spacing w:after="0" w:line="115" w:lineRule="exact"/>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1,288</w:t>
            </w:r>
          </w:p>
        </w:tc>
        <w:tc>
          <w:tcPr>
            <w:tcW w:w="220" w:type="dxa"/>
            <w:vAlign w:val="bottom"/>
            <w:gridSpan w:val="2"/>
            <w:shd w:val="clear" w:color="auto" w:fill="CCEEFF"/>
          </w:tcPr>
          <w:p>
            <w:pPr>
              <w:jc w:val="right"/>
              <w:ind w:right="60"/>
              <w:spacing w:after="0" w:line="115"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66,202</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85,135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1"/>
                <w:szCs w:val="11"/>
                <w:i w:val="1"/>
                <w:iCs w:val="1"/>
                <w:color w:val="auto"/>
              </w:rPr>
              <w:t>Non-cash transactions: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100"/>
              <w:spacing w:after="0" w:line="122" w:lineRule="exact"/>
              <w:rPr>
                <w:sz w:val="20"/>
                <w:szCs w:val="20"/>
                <w:color w:val="auto"/>
              </w:rPr>
            </w:pPr>
            <w:r>
              <w:rPr>
                <w:rFonts w:ascii="Arial" w:cs="Arial" w:eastAsia="Arial" w:hAnsi="Arial"/>
                <w:sz w:val="11"/>
                <w:szCs w:val="11"/>
                <w:color w:val="auto"/>
              </w:rPr>
              <w:t>Fixed assets purchased but not yet paid</w:t>
            </w:r>
          </w:p>
        </w:tc>
        <w:tc>
          <w:tcPr>
            <w:tcW w:w="700" w:type="dxa"/>
            <w:vAlign w:val="bottom"/>
            <w:gridSpan w:val="2"/>
          </w:tcPr>
          <w:p>
            <w:pPr>
              <w:jc w:val="right"/>
              <w:ind w:right="131"/>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364</w:t>
            </w:r>
          </w:p>
        </w:tc>
        <w:tc>
          <w:tcPr>
            <w:tcW w:w="3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1,913</w:t>
            </w:r>
          </w:p>
        </w:tc>
        <w:tc>
          <w:tcPr>
            <w:tcW w:w="200" w:type="dxa"/>
            <w:vAlign w:val="bottom"/>
          </w:tcPr>
          <w:p>
            <w:pPr>
              <w:spacing w:after="0"/>
              <w:rPr>
                <w:sz w:val="10"/>
                <w:szCs w:val="10"/>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1"/>
                <w:szCs w:val="11"/>
                <w:i w:val="1"/>
                <w:iCs w:val="1"/>
                <w:color w:val="auto"/>
              </w:rPr>
              <w:t>Supplemental disclosure of cash flow information: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Cash paid during the period for:</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tcPr>
          <w:p>
            <w:pPr>
              <w:ind w:left="220"/>
              <w:spacing w:after="0" w:line="122" w:lineRule="exact"/>
              <w:rPr>
                <w:sz w:val="20"/>
                <w:szCs w:val="20"/>
                <w:color w:val="auto"/>
              </w:rPr>
            </w:pPr>
            <w:r>
              <w:rPr>
                <w:rFonts w:ascii="Arial" w:cs="Arial" w:eastAsia="Arial" w:hAnsi="Arial"/>
                <w:sz w:val="11"/>
                <w:szCs w:val="11"/>
                <w:color w:val="auto"/>
              </w:rPr>
              <w:t>Income taxes</w:t>
            </w:r>
          </w:p>
        </w:tc>
        <w:tc>
          <w:tcPr>
            <w:tcW w:w="700" w:type="dxa"/>
            <w:vAlign w:val="bottom"/>
            <w:gridSpan w:val="2"/>
          </w:tcPr>
          <w:p>
            <w:pPr>
              <w:jc w:val="right"/>
              <w:ind w:right="131"/>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2,703</w:t>
            </w:r>
          </w:p>
        </w:tc>
        <w:tc>
          <w:tcPr>
            <w:tcW w:w="30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9,939</w:t>
            </w:r>
          </w:p>
        </w:tc>
        <w:tc>
          <w:tcPr>
            <w:tcW w:w="200" w:type="dxa"/>
            <w:vAlign w:val="bottom"/>
          </w:tcPr>
          <w:p>
            <w:pPr>
              <w:spacing w:after="0"/>
              <w:rPr>
                <w:sz w:val="10"/>
                <w:szCs w:val="10"/>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12,642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Interest</w:t>
            </w: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46,804</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3,012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633</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50,449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discussion and analysis should be read in conjunction with the unaudited condensed consolidated financial statements and notes included in this report and with our Annual Report on Form 10-K filed with the Securities and Exchange Commission (SEC) on February 26, 2008.</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 Information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document contains forward-looking statements concerning our operations, financial performance, revenues, earnings growth, estimated stock-based compensation expense, pension liabilities, cost reduction programs and other items. These statements reflect our current plans and expectations and are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Any statements that refer to expectations, projections or other characterizations of future events or circumstances are also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or litigation, 4) our dependence on new product development and performance, 5) changes in domestic and international laws and regulations, 6) current and future business combinations, 7) changes in estimates for stock-based compensation or pension costs, 8) changes in foreign currency exchange rates, 9) international business risks, 10) availability of capital, 11) our customer’s or supplier’s access to and cost of capital and 12) other factors. You should not solely rely on these forward-looking statements as they are only valid as of the date of this Quarterly Report on Form 10-Q. We do not have any obligation to publicly update or revise any forward-looking statement in this document. For a more complete description of these and other risks, see “Risk Factors” within Item 1A included in our Annual Report on Form 10-K for the fiscal year ended December 31, 2007, which was filed with the SEC on February 26, 2008 and Item 1A included in this Form 10-Q for material changes to our risk factors as of September 30, 2008.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derive the majority of our revenues from sales of products and services to utilities. Revenues include hardware, software, post-sale maintenance and professional services. Cost of revenues includes materials, direct labor, warranty expense, other manufacturing spending, distribution and documentation costs for software applications and labor and operating costs for professional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results for the three and nine months ended September 30, 2008 reflect both the operations of Itron North America and Actaris Metering Systems SA (Actaris). Actaris was acquired on April 18, 2007; therefore our prior year 2007 operating results reflect Actaris’ operations only from the date of acquisition through September 30, 2007 and a small portion of Itron North America’s operations outside North America that were transferred to our Actaris operating segment on January 1, 2008, resulting in a restatement of prior year segment information for comparative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our quarter and nine months ended September 30, 2008 include:</w:t>
      </w:r>
    </w:p>
    <w:p>
      <w:pPr>
        <w:spacing w:after="0" w:line="252"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and nine month revenues of $485 million and $1.48 billion;</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and nine month diluted EPS of 21 cents and 68 cents per share.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bookings of $894 million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continued to make additional repayments on our borrowings, which consisted of $34.7 million during the three months ended September 30, 2008 and $384.4 million in the nine months ended September 30, 2008. These repayments were made with cash flows from operations and $311 million in net proceeds from the sale of 3.4 million shares of our common stock, which was completed in the second quarter of 2008. Cash and cash equivalents were $147.4 million at September 30, 2008.</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contingent conversion threshold of our convertible senior subordinated notes (convertible notes) was met at September 30, 2008; therefore, through the fourth quarter of 2008, the notes can be converted at the option of the holder. We believe it is unlikely that a significant portion of the convertible notes will be converted because the market value of the convertible notes continues to exceed the value that holders of the convertible notes would receive upon conversion.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ind w:left="120"/>
              <w:spacing w:after="0"/>
              <w:rPr>
                <w:sz w:val="20"/>
                <w:szCs w:val="20"/>
                <w:color w:val="auto"/>
              </w:rPr>
            </w:pPr>
            <w:r>
              <w:rPr>
                <w:rFonts w:ascii="Arial" w:cs="Arial" w:eastAsia="Arial" w:hAnsi="Arial"/>
                <w:sz w:val="16"/>
                <w:szCs w:val="16"/>
                <w:b w:val="1"/>
                <w:bCs w:val="1"/>
                <w:color w:val="auto"/>
                <w:w w:val="91"/>
              </w:rPr>
              <w:t>Three Months Ended September 30,</w:t>
            </w: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60"/>
              <w:spacing w:after="0"/>
              <w:rPr>
                <w:sz w:val="20"/>
                <w:szCs w:val="20"/>
                <w:color w:val="auto"/>
              </w:rPr>
            </w:pPr>
            <w:r>
              <w:rPr>
                <w:rFonts w:ascii="Arial" w:cs="Arial" w:eastAsia="Arial" w:hAnsi="Arial"/>
                <w:sz w:val="16"/>
                <w:szCs w:val="16"/>
                <w:b w:val="1"/>
                <w:bCs w:val="1"/>
                <w:color w:val="auto"/>
                <w:w w:val="91"/>
              </w:rPr>
              <w:t>Nine Months Ended September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2008</w:t>
            </w:r>
          </w:p>
        </w:tc>
        <w:tc>
          <w:tcPr>
            <w:tcW w:w="4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0"/>
              </w:rPr>
              <w:t>% Change</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2007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3"/>
              </w:rPr>
              <w:t>% Change</w:t>
            </w:r>
          </w:p>
        </w:tc>
        <w:tc>
          <w:tcPr>
            <w:tcW w:w="100" w:type="dxa"/>
            <w:vAlign w:val="bottom"/>
          </w:tcPr>
          <w:p>
            <w:pPr>
              <w:spacing w:after="0"/>
              <w:rPr>
                <w:sz w:val="17"/>
                <w:szCs w:val="17"/>
                <w:color w:val="auto"/>
              </w:rPr>
            </w:pPr>
          </w:p>
        </w:tc>
      </w:tr>
      <w:tr>
        <w:trPr>
          <w:trHeight w:val="207"/>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60" w:type="dxa"/>
            <w:vAlign w:val="bottom"/>
            <w:gridSpan w:val="7"/>
          </w:tcPr>
          <w:p>
            <w:pPr>
              <w:ind w:left="360"/>
              <w:spacing w:after="0"/>
              <w:rPr>
                <w:sz w:val="20"/>
                <w:szCs w:val="20"/>
                <w:color w:val="auto"/>
              </w:rPr>
            </w:pPr>
            <w:r>
              <w:rPr>
                <w:rFonts w:ascii="Arial" w:cs="Arial" w:eastAsia="Arial" w:hAnsi="Arial"/>
                <w:sz w:val="16"/>
                <w:szCs w:val="16"/>
                <w:b w:val="1"/>
                <w:bCs w:val="1"/>
                <w:color w:val="auto"/>
              </w:rPr>
              <w:t>(in millions, except gross margin)</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6"/>
          </w:tcPr>
          <w:p>
            <w:pPr>
              <w:ind w:left="120"/>
              <w:spacing w:after="0"/>
              <w:rPr>
                <w:sz w:val="20"/>
                <w:szCs w:val="20"/>
                <w:color w:val="auto"/>
              </w:rPr>
            </w:pPr>
            <w:r>
              <w:rPr>
                <w:rFonts w:ascii="Arial" w:cs="Arial" w:eastAsia="Arial" w:hAnsi="Arial"/>
                <w:sz w:val="16"/>
                <w:szCs w:val="16"/>
                <w:b w:val="1"/>
                <w:bCs w:val="1"/>
                <w:color w:val="auto"/>
              </w:rPr>
              <w:t>(in millions, except gross margin)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6"/>
        </w:trPr>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46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1,477.2</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983.5</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1"/>
                <w:szCs w:val="21"/>
                <w:color w:val="auto"/>
              </w:rPr>
            </w:pPr>
          </w:p>
        </w:tc>
      </w:tr>
      <w:tr>
        <w:trPr>
          <w:trHeight w:val="240"/>
        </w:trPr>
        <w:tc>
          <w:tcPr>
            <w:tcW w:w="1440" w:type="dxa"/>
            <w:vAlign w:val="bottom"/>
          </w:tcPr>
          <w:p>
            <w:pPr>
              <w:spacing w:after="0"/>
              <w:rPr>
                <w:sz w:val="20"/>
                <w:szCs w:val="20"/>
                <w:color w:val="auto"/>
              </w:rPr>
            </w:pPr>
            <w:r>
              <w:rPr>
                <w:rFonts w:ascii="Arial" w:cs="Arial" w:eastAsia="Arial" w:hAnsi="Arial"/>
                <w:sz w:val="16"/>
                <w:szCs w:val="16"/>
                <w:color w:val="auto"/>
              </w:rPr>
              <w:t>Gross Profit</w:t>
            </w:r>
          </w:p>
        </w:tc>
        <w:tc>
          <w:tcPr>
            <w:tcW w:w="146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162.9</w:t>
            </w:r>
          </w:p>
        </w:tc>
        <w:tc>
          <w:tcPr>
            <w:tcW w:w="280" w:type="dxa"/>
            <w:vAlign w:val="bottom"/>
          </w:tcPr>
          <w:p>
            <w:pPr>
              <w:spacing w:after="0"/>
              <w:rPr>
                <w:sz w:val="20"/>
                <w:szCs w:val="20"/>
                <w:color w:val="auto"/>
              </w:rPr>
            </w:pP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144.8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color w:val="auto"/>
              </w:rPr>
              <w:t>13%</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501.7</w:t>
            </w:r>
          </w:p>
        </w:tc>
        <w:tc>
          <w:tcPr>
            <w:tcW w:w="24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330.9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r>
      <w:tr>
        <w:trPr>
          <w:trHeight w:val="219"/>
        </w:trPr>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660" w:type="dxa"/>
            <w:vAlign w:val="bottom"/>
            <w:gridSpan w:val="7"/>
          </w:tcPr>
          <w:p>
            <w:pPr>
              <w:jc w:val="right"/>
              <w:ind w:right="41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2008</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Revenues by region</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6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0"/>
              </w:rPr>
              <w:t>millions)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96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Europe</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214.6</w:t>
            </w: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560"/>
              <w:spacing w:after="0"/>
              <w:rPr>
                <w:sz w:val="20"/>
                <w:szCs w:val="20"/>
                <w:color w:val="auto"/>
              </w:rPr>
            </w:pPr>
            <w:r>
              <w:rPr>
                <w:rFonts w:ascii="Arial" w:cs="Arial" w:eastAsia="Arial" w:hAnsi="Arial"/>
                <w:sz w:val="18"/>
                <w:szCs w:val="18"/>
                <w:color w:val="auto"/>
              </w:rPr>
              <w:t>United States and Canada</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488.3</w:t>
            </w:r>
          </w:p>
        </w:tc>
        <w:tc>
          <w:tcPr>
            <w:tcW w:w="3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266.5</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revenues</w:t>
            </w:r>
          </w:p>
        </w:tc>
        <w:tc>
          <w:tcPr>
            <w:tcW w:w="1120" w:type="dxa"/>
            <w:vAlign w:val="bottom"/>
          </w:tcPr>
          <w:p>
            <w:pPr>
              <w:jc w:val="right"/>
              <w:ind w:right="95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434.0</w:t>
            </w:r>
          </w:p>
        </w:tc>
        <w:tc>
          <w:tcPr>
            <w:tcW w:w="500" w:type="dxa"/>
            <w:vAlign w:val="bottom"/>
            <w:gridSpan w:val="2"/>
          </w:tcPr>
          <w:p>
            <w:pPr>
              <w:jc w:val="center"/>
              <w:ind w:right="18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1,477.2</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$50.8 million and $493.7 million for the three and nine months ended September 30, 2008, compared with the same periods in 2007. Revenues for the third quarter and first nine months of 2008 and the third quarter of 2007 include full periods of Actaris operations. The results for the nine months ended September 30, 2007 included Actaris results from the date of acquisition on April 18, 2007.</w:t>
      </w:r>
    </w:p>
    <w:p>
      <w:pPr>
        <w:spacing w:after="0" w:line="2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 single customer represented more than 10% of total revenues for the three and nine months ended September 30, 2008 and 2007. Our 10 largest customers accounted for 16% of total revenues for the three and nine months ended September 30, 2008. For the three and nine months ended September 30, 2007, our 10 largest customers accounted for 16% and 14% of total revenues.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margin of 34% for the third quarter of 2008 was comparable with the third quarter of 2007. For the nine months ended September 30, 2007, total company gross profit was reduced by $16 million due to business combination accounting rules, which require valuing the inventory on hand at the acquisition date at the selling price, less costs to complete plus a reasonable profit allowance for the selling effort. Without the impact of purchase accounting, gross margin for the same period in 2008 decreased two percentage points due to the full period of Actaris operations that have a higher proportion of meter-only sales, which are at lower margins, and the decrease in Itron North America gross margins.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Unit Shipments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Meters can be sold with and without automated meter reading (AMR). In addition, AMR can be sold separately from meters. Depending on customers’ preferences, we incorporate other vendors’ AMR technology in our meters. Meter and AMR shipments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660" w:type="dxa"/>
            <w:vAlign w:val="bottom"/>
            <w:gridSpan w:val="4"/>
          </w:tcPr>
          <w:p>
            <w:pPr>
              <w:jc w:val="right"/>
              <w:spacing w:after="0"/>
              <w:rPr>
                <w:sz w:val="20"/>
                <w:szCs w:val="20"/>
                <w:color w:val="auto"/>
              </w:rPr>
            </w:pPr>
            <w:r>
              <w:rPr>
                <w:rFonts w:ascii="Arial" w:cs="Arial" w:eastAsia="Arial" w:hAnsi="Arial"/>
                <w:sz w:val="16"/>
                <w:szCs w:val="16"/>
                <w:b w:val="1"/>
                <w:bCs w:val="1"/>
                <w:color w:val="auto"/>
                <w:w w:val="94"/>
              </w:rPr>
              <w:t>Three Months Ended September 30,</w:t>
            </w:r>
          </w:p>
        </w:tc>
        <w:tc>
          <w:tcPr>
            <w:tcW w:w="220" w:type="dxa"/>
            <w:vAlign w:val="bottom"/>
          </w:tcPr>
          <w:p>
            <w:pPr>
              <w:spacing w:after="0"/>
              <w:rPr>
                <w:sz w:val="18"/>
                <w:szCs w:val="18"/>
                <w:color w:val="auto"/>
              </w:rPr>
            </w:pPr>
          </w:p>
        </w:tc>
        <w:tc>
          <w:tcPr>
            <w:tcW w:w="2880" w:type="dxa"/>
            <w:vAlign w:val="bottom"/>
            <w:gridSpan w:val="4"/>
          </w:tcPr>
          <w:p>
            <w:pPr>
              <w:ind w:left="18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2"/>
        </w:trPr>
        <w:tc>
          <w:tcPr>
            <w:tcW w:w="5660" w:type="dxa"/>
            <w:vAlign w:val="bottom"/>
            <w:gridSpan w:val="2"/>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2008</w:t>
            </w:r>
          </w:p>
        </w:tc>
        <w:tc>
          <w:tcPr>
            <w:tcW w:w="4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2007</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2008</w:t>
            </w: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(in</w:t>
            </w:r>
          </w:p>
        </w:tc>
        <w:tc>
          <w:tcPr>
            <w:tcW w:w="146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w w:val="74"/>
              </w:rPr>
              <w:t>thousands)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80" w:type="dxa"/>
            <w:vAlign w:val="bottom"/>
            <w:gridSpan w:val="3"/>
          </w:tcPr>
          <w:p>
            <w:pPr>
              <w:spacing w:after="0"/>
              <w:rPr>
                <w:sz w:val="20"/>
                <w:szCs w:val="20"/>
                <w:color w:val="auto"/>
              </w:rPr>
            </w:pPr>
            <w:r>
              <w:rPr>
                <w:rFonts w:ascii="Arial" w:cs="Arial" w:eastAsia="Arial" w:hAnsi="Arial"/>
                <w:sz w:val="16"/>
                <w:szCs w:val="16"/>
                <w:color w:val="auto"/>
              </w:rPr>
              <w:t>Total meters (with or without AMR)</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Electricity - Itron North America</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1,245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gridSpan w:val="2"/>
          </w:tcPr>
          <w:p>
            <w:pPr>
              <w:ind w:left="220"/>
              <w:spacing w:after="0"/>
              <w:rPr>
                <w:sz w:val="20"/>
                <w:szCs w:val="20"/>
                <w:color w:val="auto"/>
              </w:rPr>
            </w:pPr>
            <w:r>
              <w:rPr>
                <w:rFonts w:ascii="Arial" w:cs="Arial" w:eastAsia="Arial" w:hAnsi="Arial"/>
                <w:sz w:val="16"/>
                <w:szCs w:val="16"/>
                <w:color w:val="auto"/>
              </w:rPr>
              <w:t>Electricity - Actaris</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2,060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1,825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5,760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3,450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Gas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1,045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240"/>
              <w:spacing w:after="0"/>
              <w:rPr>
                <w:sz w:val="20"/>
                <w:szCs w:val="20"/>
                <w:color w:val="auto"/>
              </w:rPr>
            </w:pPr>
            <w:r>
              <w:rPr>
                <w:rFonts w:ascii="Arial" w:cs="Arial" w:eastAsia="Arial" w:hAnsi="Arial"/>
                <w:sz w:val="16"/>
                <w:szCs w:val="16"/>
                <w:color w:val="auto"/>
              </w:rPr>
              <w:t>Water</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1,960</w:t>
            </w: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2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6,560</w:t>
            </w:r>
          </w:p>
        </w:tc>
        <w:tc>
          <w:tcPr>
            <w:tcW w:w="24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meters</w:t>
            </w:r>
          </w:p>
        </w:tc>
        <w:tc>
          <w:tcPr>
            <w:tcW w:w="8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6,310</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5,650</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19,210</w:t>
            </w: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12,225</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AMR units (Itron and Actaris)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gridSpan w:val="2"/>
          </w:tcPr>
          <w:p>
            <w:pPr>
              <w:ind w:left="220"/>
              <w:spacing w:after="0"/>
              <w:rPr>
                <w:sz w:val="20"/>
                <w:szCs w:val="20"/>
                <w:color w:val="auto"/>
              </w:rPr>
            </w:pPr>
            <w:r>
              <w:rPr>
                <w:rFonts w:ascii="Arial" w:cs="Arial" w:eastAsia="Arial" w:hAnsi="Arial"/>
                <w:sz w:val="16"/>
                <w:szCs w:val="16"/>
                <w:color w:val="auto"/>
              </w:rPr>
              <w:t>Meters with AMR</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1,170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850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3,870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AMR modules</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1,250</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60" w:type="dxa"/>
            <w:vAlign w:val="bottom"/>
            <w:gridSpan w:val="2"/>
          </w:tcPr>
          <w:p>
            <w:pPr>
              <w:ind w:left="440"/>
              <w:spacing w:after="0"/>
              <w:rPr>
                <w:sz w:val="20"/>
                <w:szCs w:val="20"/>
                <w:color w:val="auto"/>
              </w:rPr>
            </w:pPr>
            <w:r>
              <w:rPr>
                <w:rFonts w:ascii="Arial" w:cs="Arial" w:eastAsia="Arial" w:hAnsi="Arial"/>
                <w:sz w:val="16"/>
                <w:szCs w:val="16"/>
                <w:color w:val="auto"/>
              </w:rPr>
              <w:t>Total AMR units</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2,420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2,000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7,420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5,750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Meters with other vendors' AMR</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2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24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Actaris operating segment consists primarily of the operations from the Actaris acquisition, which occurred on April 18, 2007, as well as other Itron operations not located in North America that are now included in the Actaris segment. The operations of the Actaris operating segment are primarily located in Europe, with approximately 5% of operations located in the United States and approximately 20% located throughout the rest of the world. The remainder of our operations, primarily located in the United States and Canada, has been combined into a single operating segment called Itron North America. As we continue to integrate the Actaris acquisition, certain refinements of our segments may occur. The operating segment information as set forth below is based on our current segment reporting structure. In accordance with Statement of Financial Accounting Standards (SFAS) 131, </w:t>
      </w:r>
      <w:r>
        <w:rPr>
          <w:rFonts w:ascii="Arial" w:cs="Arial" w:eastAsia="Arial" w:hAnsi="Arial"/>
          <w:sz w:val="17"/>
          <w:szCs w:val="17"/>
          <w:i w:val="1"/>
          <w:iCs w:val="1"/>
          <w:color w:val="auto"/>
        </w:rPr>
        <w:t>Disclosures about Segments of an</w:t>
      </w:r>
      <w:r>
        <w:rPr>
          <w:rFonts w:ascii="Arial" w:cs="Arial" w:eastAsia="Arial" w:hAnsi="Arial"/>
          <w:sz w:val="17"/>
          <w:szCs w:val="17"/>
          <w:color w:val="auto"/>
        </w:rPr>
        <w:t xml:space="preserve"> </w:t>
      </w:r>
      <w:r>
        <w:rPr>
          <w:rFonts w:ascii="Arial" w:cs="Arial" w:eastAsia="Arial" w:hAnsi="Arial"/>
          <w:sz w:val="17"/>
          <w:szCs w:val="17"/>
          <w:i w:val="1"/>
          <w:iCs w:val="1"/>
          <w:color w:val="auto"/>
        </w:rPr>
        <w:t>Enterprise and Related Information</w:t>
      </w:r>
      <w:r>
        <w:rPr>
          <w:rFonts w:ascii="Arial" w:cs="Arial" w:eastAsia="Arial" w:hAnsi="Arial"/>
          <w:sz w:val="17"/>
          <w:szCs w:val="17"/>
          <w:color w:val="auto"/>
        </w:rPr>
        <w:t>, historical segment information has been restated from the segment information previously provided to conform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reporting structure after the April 18, 2007 Actaris acquisition and our January 1, 2008 refinement.</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other income (expense) and income tax expense (benefit) are not allocated to the segments, nor included in the measure of segment profit or loss. Assets and liabilities are not used in our measurement of segment performance and, therefore, are not allocated to our segments. Substantially all depreciation expense is allocated to our segments.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Segment Products</w:t>
            </w:r>
          </w:p>
        </w:tc>
        <w:tc>
          <w:tcPr>
            <w:tcW w:w="9600" w:type="dxa"/>
            <w:vAlign w:val="bottom"/>
          </w:tcPr>
          <w:p>
            <w:pPr>
              <w:spacing w:after="0"/>
              <w:rPr>
                <w:sz w:val="20"/>
                <w:szCs w:val="20"/>
                <w:color w:val="auto"/>
              </w:rPr>
            </w:pPr>
          </w:p>
        </w:tc>
      </w:tr>
      <w:tr>
        <w:trPr>
          <w:trHeight w:val="445"/>
        </w:trPr>
        <w:tc>
          <w:tcPr>
            <w:tcW w:w="1820" w:type="dxa"/>
            <w:vAlign w:val="bottom"/>
          </w:tcPr>
          <w:p>
            <w:pPr>
              <w:spacing w:after="0"/>
              <w:rPr>
                <w:sz w:val="20"/>
                <w:szCs w:val="20"/>
                <w:color w:val="auto"/>
              </w:rPr>
            </w:pPr>
            <w:r>
              <w:rPr>
                <w:rFonts w:ascii="Arial" w:cs="Arial" w:eastAsia="Arial" w:hAnsi="Arial"/>
                <w:sz w:val="18"/>
                <w:szCs w:val="18"/>
                <w:i w:val="1"/>
                <w:iCs w:val="1"/>
                <w:color w:val="auto"/>
              </w:rPr>
              <w:t>Itron North America</w:t>
            </w:r>
          </w:p>
        </w:tc>
        <w:tc>
          <w:tcPr>
            <w:tcW w:w="9600" w:type="dxa"/>
            <w:vAlign w:val="bottom"/>
          </w:tcPr>
          <w:p>
            <w:pPr>
              <w:ind w:left="340"/>
              <w:spacing w:after="0"/>
              <w:rPr>
                <w:sz w:val="20"/>
                <w:szCs w:val="20"/>
                <w:color w:val="auto"/>
              </w:rPr>
            </w:pPr>
            <w:r>
              <w:rPr>
                <w:rFonts w:ascii="Arial" w:cs="Arial" w:eastAsia="Arial" w:hAnsi="Arial"/>
                <w:sz w:val="18"/>
                <w:szCs w:val="18"/>
                <w:color w:val="auto"/>
                <w:w w:val="94"/>
              </w:rPr>
              <w:t>Electronic electricity meters with and without AMR; gas and water AMR modules; handheld, mobile and network AMR data</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5"/>
              </w:rPr>
              <w:t>collection  technologies;  advanced  metering  infrastructure  (AMI)  technologies;  software,  installation,  implementation,</w:t>
            </w:r>
          </w:p>
        </w:tc>
      </w:tr>
      <w:tr>
        <w:trPr>
          <w:trHeight w:val="230"/>
        </w:trPr>
        <w:tc>
          <w:tcPr>
            <w:tcW w:w="182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consulting, maintenance support and other services.</w:t>
            </w:r>
          </w:p>
        </w:tc>
      </w:tr>
      <w:tr>
        <w:trPr>
          <w:trHeight w:val="418"/>
        </w:trPr>
        <w:tc>
          <w:tcPr>
            <w:tcW w:w="1820" w:type="dxa"/>
            <w:vAlign w:val="bottom"/>
          </w:tcPr>
          <w:p>
            <w:pPr>
              <w:spacing w:after="0"/>
              <w:rPr>
                <w:sz w:val="20"/>
                <w:szCs w:val="20"/>
                <w:color w:val="auto"/>
              </w:rPr>
            </w:pPr>
            <w:r>
              <w:rPr>
                <w:rFonts w:ascii="Arial" w:cs="Arial" w:eastAsia="Arial" w:hAnsi="Arial"/>
                <w:sz w:val="18"/>
                <w:szCs w:val="18"/>
                <w:i w:val="1"/>
                <w:iCs w:val="1"/>
                <w:color w:val="auto"/>
              </w:rPr>
              <w:t>Actaris</w:t>
            </w:r>
          </w:p>
        </w:tc>
        <w:tc>
          <w:tcPr>
            <w:tcW w:w="9600" w:type="dxa"/>
            <w:vAlign w:val="bottom"/>
          </w:tcPr>
          <w:p>
            <w:pPr>
              <w:ind w:left="340"/>
              <w:spacing w:after="0"/>
              <w:rPr>
                <w:sz w:val="20"/>
                <w:szCs w:val="20"/>
                <w:color w:val="auto"/>
              </w:rPr>
            </w:pPr>
            <w:r>
              <w:rPr>
                <w:rFonts w:ascii="Arial" w:cs="Arial" w:eastAsia="Arial" w:hAnsi="Arial"/>
                <w:sz w:val="18"/>
                <w:szCs w:val="18"/>
                <w:color w:val="auto"/>
                <w:w w:val="92"/>
              </w:rPr>
              <w:t>Electromechanical and electronic electricity meters; mechanical and ultrasonic water and heat meters; diaphragm, turbine and</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1"/>
              </w:rPr>
              <w:t>rotary gas meters; one-way and two-way electricity prepayment systems, including smart key, keypad and smart card; two-way</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gas prepayment systems using smart card; AMR and AMI data collection technologies; installation, implementation,</w:t>
            </w:r>
          </w:p>
        </w:tc>
      </w:tr>
      <w:tr>
        <w:trPr>
          <w:trHeight w:val="230"/>
        </w:trPr>
        <w:tc>
          <w:tcPr>
            <w:tcW w:w="182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maintenance support and other managed services.</w:t>
            </w:r>
          </w:p>
        </w:tc>
      </w:tr>
      <w:tr>
        <w:trPr>
          <w:trHeight w:val="945"/>
        </w:trPr>
        <w:tc>
          <w:tcPr>
            <w:tcW w:w="1820" w:type="dxa"/>
            <w:vAlign w:val="bottom"/>
          </w:tcPr>
          <w:p>
            <w:pPr>
              <w:spacing w:after="0"/>
              <w:rPr>
                <w:sz w:val="24"/>
                <w:szCs w:val="24"/>
                <w:color w:val="auto"/>
              </w:rPr>
            </w:pPr>
          </w:p>
        </w:tc>
        <w:tc>
          <w:tcPr>
            <w:tcW w:w="9600" w:type="dxa"/>
            <w:vAlign w:val="bottom"/>
          </w:tcPr>
          <w:p>
            <w:pPr>
              <w:ind w:left="3800"/>
              <w:spacing w:after="0"/>
              <w:rPr>
                <w:sz w:val="20"/>
                <w:szCs w:val="20"/>
                <w:color w:val="auto"/>
              </w:rPr>
            </w:pPr>
            <w:r>
              <w:rPr>
                <w:rFonts w:ascii="Arial" w:cs="Arial" w:eastAsia="Arial" w:hAnsi="Arial"/>
                <w:sz w:val="18"/>
                <w:szCs w:val="18"/>
                <w:color w:val="auto"/>
              </w:rPr>
              <w:t>33</w:t>
            </w:r>
          </w:p>
        </w:tc>
      </w:tr>
      <w:tr>
        <w:trPr>
          <w:trHeight w:val="118"/>
        </w:trPr>
        <w:tc>
          <w:tcPr>
            <w:tcW w:w="1820" w:type="dxa"/>
            <w:vAlign w:val="bottom"/>
            <w:tcBorders>
              <w:bottom w:val="single" w:sz="8" w:color="808080"/>
            </w:tcBorders>
          </w:tcPr>
          <w:p>
            <w:pPr>
              <w:spacing w:after="0"/>
              <w:rPr>
                <w:sz w:val="10"/>
                <w:szCs w:val="10"/>
                <w:color w:val="auto"/>
              </w:rPr>
            </w:pPr>
          </w:p>
        </w:tc>
        <w:tc>
          <w:tcPr>
            <w:tcW w:w="9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discussion highlight significant changes in trends or components of each segment.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7"/>
          </w:tcPr>
          <w:p>
            <w:pPr>
              <w:jc w:val="center"/>
              <w:ind w:left="157"/>
              <w:spacing w:after="0"/>
              <w:rPr>
                <w:sz w:val="20"/>
                <w:szCs w:val="20"/>
                <w:color w:val="auto"/>
              </w:rPr>
            </w:pPr>
            <w:r>
              <w:rPr>
                <w:rFonts w:ascii="Arial" w:cs="Arial" w:eastAsia="Arial" w:hAnsi="Arial"/>
                <w:sz w:val="13"/>
                <w:szCs w:val="13"/>
                <w:b w:val="1"/>
                <w:bCs w:val="1"/>
                <w:color w:val="auto"/>
                <w:w w:val="87"/>
              </w:rPr>
              <w:t>Three Months Ended September 30,</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8"/>
          </w:tcPr>
          <w:p>
            <w:pPr>
              <w:jc w:val="center"/>
              <w:ind w:right="17"/>
              <w:spacing w:after="0"/>
              <w:rPr>
                <w:sz w:val="20"/>
                <w:szCs w:val="20"/>
                <w:color w:val="auto"/>
              </w:rPr>
            </w:pPr>
            <w:r>
              <w:rPr>
                <w:rFonts w:ascii="Arial" w:cs="Arial" w:eastAsia="Arial" w:hAnsi="Arial"/>
                <w:sz w:val="13"/>
                <w:szCs w:val="13"/>
                <w:b w:val="1"/>
                <w:bCs w:val="1"/>
                <w:color w:val="auto"/>
                <w:w w:val="87"/>
              </w:rPr>
              <w:t>Nine Months Ended September 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2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2007</w:t>
            </w:r>
          </w:p>
        </w:tc>
        <w:tc>
          <w:tcPr>
            <w:tcW w:w="24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 Change</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2007</w:t>
            </w:r>
          </w:p>
        </w:tc>
        <w:tc>
          <w:tcPr>
            <w:tcW w:w="2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 Change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87"/>
              </w:rPr>
              <w:t>(in millions)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gridSpan w:val="7"/>
          </w:tcPr>
          <w:p>
            <w:pPr>
              <w:jc w:val="right"/>
              <w:ind w:right="960"/>
              <w:spacing w:after="0"/>
              <w:rPr>
                <w:sz w:val="20"/>
                <w:szCs w:val="20"/>
                <w:color w:val="auto"/>
              </w:rPr>
            </w:pPr>
            <w:r>
              <w:rPr>
                <w:rFonts w:ascii="Arial" w:cs="Arial" w:eastAsia="Arial" w:hAnsi="Arial"/>
                <w:sz w:val="13"/>
                <w:szCs w:val="13"/>
                <w:b w:val="1"/>
                <w:bCs w:val="1"/>
                <w:color w:val="auto"/>
              </w:rPr>
              <w:t>(in millions)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2420" w:type="dxa"/>
            <w:vAlign w:val="bottom"/>
          </w:tcPr>
          <w:p>
            <w:pPr>
              <w:spacing w:after="0"/>
              <w:rPr>
                <w:sz w:val="20"/>
                <w:szCs w:val="20"/>
                <w:color w:val="auto"/>
              </w:rPr>
            </w:pPr>
            <w:r>
              <w:rPr>
                <w:rFonts w:ascii="Arial" w:cs="Arial" w:eastAsia="Arial" w:hAnsi="Arial"/>
                <w:sz w:val="13"/>
                <w:szCs w:val="13"/>
                <w:b w:val="1"/>
                <w:bCs w:val="1"/>
                <w:i w:val="1"/>
                <w:iCs w:val="1"/>
                <w:color w:val="auto"/>
              </w:rPr>
              <w:t>Segment Revenues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4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Itron North America</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142.7</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426.4</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11%</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420" w:type="dxa"/>
            <w:vAlign w:val="bottom"/>
          </w:tcPr>
          <w:p>
            <w:pPr>
              <w:ind w:left="580"/>
              <w:spacing w:after="0"/>
              <w:rPr>
                <w:sz w:val="20"/>
                <w:szCs w:val="20"/>
                <w:color w:val="auto"/>
              </w:rPr>
            </w:pPr>
            <w:r>
              <w:rPr>
                <w:rFonts w:ascii="Arial" w:cs="Arial" w:eastAsia="Arial" w:hAnsi="Arial"/>
                <w:sz w:val="13"/>
                <w:szCs w:val="13"/>
                <w:color w:val="auto"/>
              </w:rPr>
              <w:t>Actaris</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291.3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1,002.2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557.1</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4"/>
              </w:rPr>
              <w:t>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42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434.0</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500" w:type="dxa"/>
            <w:vAlign w:val="bottom"/>
            <w:gridSpan w:val="2"/>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1,477.2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983.5</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439"/>
        </w:trPr>
        <w:tc>
          <w:tcPr>
            <w:tcW w:w="2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353"/>
              <w:spacing w:after="0"/>
              <w:rPr>
                <w:sz w:val="20"/>
                <w:szCs w:val="20"/>
                <w:color w:val="auto"/>
              </w:rPr>
            </w:pPr>
            <w:r>
              <w:rPr>
                <w:rFonts w:ascii="Arial" w:cs="Arial" w:eastAsia="Arial" w:hAnsi="Arial"/>
                <w:sz w:val="13"/>
                <w:szCs w:val="13"/>
                <w:b w:val="1"/>
                <w:bCs w:val="1"/>
                <w:color w:val="auto"/>
                <w:w w:val="89"/>
              </w:rPr>
              <w:t>Three Months Ended September 30,</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3"/>
                <w:szCs w:val="13"/>
                <w:b w:val="1"/>
                <w:bCs w:val="1"/>
                <w:color w:val="auto"/>
                <w:w w:val="87"/>
              </w:rPr>
              <w:t>Nine Months Ended 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center"/>
              <w:ind w:left="717"/>
              <w:spacing w:after="0"/>
              <w:rPr>
                <w:sz w:val="20"/>
                <w:szCs w:val="20"/>
                <w:color w:val="auto"/>
              </w:rPr>
            </w:pPr>
            <w:r>
              <w:rPr>
                <w:rFonts w:ascii="Arial" w:cs="Arial" w:eastAsia="Arial" w:hAnsi="Arial"/>
                <w:sz w:val="13"/>
                <w:szCs w:val="13"/>
                <w:b w:val="1"/>
                <w:bCs w:val="1"/>
                <w:color w:val="auto"/>
                <w:w w:val="82"/>
              </w:rPr>
              <w:t>2008</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2007</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2008</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2007</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2"/>
              </w:rPr>
              <w:t>Gross Profit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i w:val="1"/>
                <w:iCs w:val="1"/>
                <w:color w:val="auto"/>
                <w:w w:val="85"/>
              </w:rPr>
              <w:t>Gross Margin</w:t>
            </w:r>
          </w:p>
        </w:tc>
        <w:tc>
          <w:tcPr>
            <w:tcW w:w="24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i w:val="1"/>
                <w:iCs w:val="1"/>
                <w:color w:val="auto"/>
                <w:w w:val="85"/>
              </w:rPr>
              <w:t>Gross Profit</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Gross Margin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Gross Profit</w:t>
            </w:r>
          </w:p>
        </w:tc>
        <w:tc>
          <w:tcPr>
            <w:tcW w:w="2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Gross Margin</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5"/>
              </w:rPr>
              <w:t>Gross Profit</w:t>
            </w:r>
          </w:p>
        </w:tc>
        <w:tc>
          <w:tcPr>
            <w:tcW w:w="2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Gross Margin</w:t>
            </w:r>
          </w:p>
        </w:tc>
        <w:tc>
          <w:tcPr>
            <w:tcW w:w="100" w:type="dxa"/>
            <w:vAlign w:val="bottom"/>
          </w:tcPr>
          <w:p>
            <w:pPr>
              <w:spacing w:after="0"/>
              <w:rPr>
                <w:sz w:val="17"/>
                <w:szCs w:val="17"/>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3"/>
                <w:szCs w:val="13"/>
                <w:b w:val="1"/>
                <w:bCs w:val="1"/>
                <w:i w:val="1"/>
                <w:iCs w:val="1"/>
                <w:color w:val="auto"/>
              </w:rPr>
              <w:t>Segment Gross Profit and Margin</w:t>
            </w: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(in millions)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center"/>
              <w:ind w:right="253"/>
              <w:spacing w:after="0"/>
              <w:rPr>
                <w:sz w:val="20"/>
                <w:szCs w:val="20"/>
                <w:color w:val="auto"/>
              </w:rPr>
            </w:pPr>
            <w:r>
              <w:rPr>
                <w:rFonts w:ascii="Arial" w:cs="Arial" w:eastAsia="Arial" w:hAnsi="Arial"/>
                <w:sz w:val="13"/>
                <w:szCs w:val="13"/>
                <w:b w:val="1"/>
                <w:bCs w:val="1"/>
                <w:color w:val="auto"/>
                <w:w w:val="87"/>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7"/>
              </w:rPr>
              <w:t>(in millions)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7"/>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4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Itron North America</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39%</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22"/>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58.7</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41%</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187.5</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179.7</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42%</w:t>
            </w:r>
          </w:p>
        </w:tc>
        <w:tc>
          <w:tcPr>
            <w:tcW w:w="100" w:type="dxa"/>
            <w:vAlign w:val="bottom"/>
            <w:shd w:val="clear" w:color="auto" w:fill="CCEEFF"/>
          </w:tcPr>
          <w:p>
            <w:pPr>
              <w:spacing w:after="0"/>
              <w:rPr>
                <w:sz w:val="21"/>
                <w:szCs w:val="21"/>
                <w:color w:val="auto"/>
              </w:rPr>
            </w:pPr>
          </w:p>
        </w:tc>
      </w:tr>
      <w:tr>
        <w:trPr>
          <w:trHeight w:val="230"/>
        </w:trPr>
        <w:tc>
          <w:tcPr>
            <w:tcW w:w="2420" w:type="dxa"/>
            <w:vAlign w:val="bottom"/>
          </w:tcPr>
          <w:p>
            <w:pPr>
              <w:ind w:left="580"/>
              <w:spacing w:after="0"/>
              <w:rPr>
                <w:sz w:val="20"/>
                <w:szCs w:val="20"/>
                <w:color w:val="auto"/>
              </w:rPr>
            </w:pPr>
            <w:r>
              <w:rPr>
                <w:rFonts w:ascii="Arial" w:cs="Arial" w:eastAsia="Arial" w:hAnsi="Arial"/>
                <w:sz w:val="13"/>
                <w:szCs w:val="13"/>
                <w:color w:val="auto"/>
              </w:rPr>
              <w:t>Actaris</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4"/>
              </w:rPr>
              <w:t>31%</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86.1</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4"/>
              </w:rPr>
              <w:t>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314.2</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4"/>
              </w:rPr>
              <w:t>31%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151.2</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4"/>
              </w:rPr>
              <w:t>27%</w:t>
            </w:r>
          </w:p>
        </w:tc>
        <w:tc>
          <w:tcPr>
            <w:tcW w:w="100" w:type="dxa"/>
            <w:vAlign w:val="bottom"/>
          </w:tcPr>
          <w:p>
            <w:pPr>
              <w:spacing w:after="0"/>
              <w:rPr>
                <w:sz w:val="19"/>
                <w:szCs w:val="19"/>
                <w:color w:val="auto"/>
              </w:rPr>
            </w:pPr>
          </w:p>
        </w:tc>
      </w:tr>
      <w:tr>
        <w:trPr>
          <w:trHeight w:val="114"/>
        </w:trPr>
        <w:tc>
          <w:tcPr>
            <w:tcW w:w="2420" w:type="dxa"/>
            <w:vAlign w:val="bottom"/>
            <w:shd w:val="clear" w:color="auto" w:fill="CCEEFF"/>
          </w:tcPr>
          <w:p>
            <w:pPr>
              <w:ind w:left="1040"/>
              <w:spacing w:after="0" w:line="114" w:lineRule="exact"/>
              <w:rPr>
                <w:sz w:val="20"/>
                <w:szCs w:val="20"/>
                <w:color w:val="auto"/>
              </w:rPr>
            </w:pPr>
            <w:r>
              <w:rPr>
                <w:rFonts w:ascii="Arial" w:cs="Arial" w:eastAsia="Arial" w:hAnsi="Arial"/>
                <w:sz w:val="13"/>
                <w:szCs w:val="13"/>
                <w:color w:val="auto"/>
              </w:rPr>
              <w:t>Total gross profit and</w:t>
            </w:r>
          </w:p>
        </w:tc>
        <w:tc>
          <w:tcPr>
            <w:tcW w:w="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49"/>
        </w:trPr>
        <w:tc>
          <w:tcPr>
            <w:tcW w:w="24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margin</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34%</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2"/>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79"/>
              </w:rPr>
              <w:t>144.8</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33%</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501.7</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330.9</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34%</w:t>
            </w:r>
          </w:p>
        </w:tc>
        <w:tc>
          <w:tcPr>
            <w:tcW w:w="100" w:type="dxa"/>
            <w:vAlign w:val="bottom"/>
            <w:shd w:val="clear" w:color="auto" w:fill="CCEEFF"/>
          </w:tcPr>
          <w:p>
            <w:pPr>
              <w:spacing w:after="0"/>
              <w:rPr>
                <w:sz w:val="12"/>
                <w:szCs w:val="12"/>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439"/>
        </w:trPr>
        <w:tc>
          <w:tcPr>
            <w:tcW w:w="2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353"/>
              <w:spacing w:after="0"/>
              <w:rPr>
                <w:sz w:val="20"/>
                <w:szCs w:val="20"/>
                <w:color w:val="auto"/>
              </w:rPr>
            </w:pPr>
            <w:r>
              <w:rPr>
                <w:rFonts w:ascii="Arial" w:cs="Arial" w:eastAsia="Arial" w:hAnsi="Arial"/>
                <w:sz w:val="13"/>
                <w:szCs w:val="13"/>
                <w:b w:val="1"/>
                <w:bCs w:val="1"/>
                <w:color w:val="auto"/>
                <w:w w:val="89"/>
              </w:rPr>
              <w:t>Three Months Ended September 30,</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3"/>
                <w:szCs w:val="13"/>
                <w:b w:val="1"/>
                <w:bCs w:val="1"/>
                <w:color w:val="auto"/>
                <w:w w:val="87"/>
              </w:rPr>
              <w:t>Nine Months Ended 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center"/>
              <w:ind w:left="717"/>
              <w:spacing w:after="0"/>
              <w:rPr>
                <w:sz w:val="20"/>
                <w:szCs w:val="20"/>
                <w:color w:val="auto"/>
              </w:rPr>
            </w:pPr>
            <w:r>
              <w:rPr>
                <w:rFonts w:ascii="Arial" w:cs="Arial" w:eastAsia="Arial" w:hAnsi="Arial"/>
                <w:sz w:val="13"/>
                <w:szCs w:val="13"/>
                <w:b w:val="1"/>
                <w:bCs w:val="1"/>
                <w:color w:val="auto"/>
                <w:w w:val="82"/>
              </w:rPr>
              <w:t>2008</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2007</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2008</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2007</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i w:val="1"/>
                <w:iCs w:val="1"/>
                <w:color w:val="auto"/>
                <w:w w:val="87"/>
              </w:rPr>
              <w:t>Operating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i w:val="1"/>
                <w:iCs w:val="1"/>
                <w:color w:val="auto"/>
                <w:w w:val="84"/>
              </w:rPr>
              <w:t>Operating</w:t>
            </w:r>
          </w:p>
        </w:tc>
        <w:tc>
          <w:tcPr>
            <w:tcW w:w="1220" w:type="dxa"/>
            <w:vAlign w:val="bottom"/>
            <w:gridSpan w:val="4"/>
          </w:tcPr>
          <w:p>
            <w:pPr>
              <w:jc w:val="center"/>
              <w:ind w:right="253"/>
              <w:spacing w:after="0"/>
              <w:rPr>
                <w:sz w:val="20"/>
                <w:szCs w:val="20"/>
                <w:color w:val="auto"/>
              </w:rPr>
            </w:pPr>
            <w:r>
              <w:rPr>
                <w:rFonts w:ascii="Arial" w:cs="Arial" w:eastAsia="Arial" w:hAnsi="Arial"/>
                <w:sz w:val="13"/>
                <w:szCs w:val="13"/>
                <w:b w:val="1"/>
                <w:bCs w:val="1"/>
                <w:i w:val="1"/>
                <w:iCs w:val="1"/>
                <w:color w:val="auto"/>
                <w:w w:val="84"/>
              </w:rPr>
              <w:t>Operating</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i w:val="1"/>
                <w:iCs w:val="1"/>
                <w:color w:val="auto"/>
                <w:w w:val="84"/>
              </w:rPr>
              <w:t>Operating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i w:val="1"/>
                <w:iCs w:val="1"/>
                <w:color w:val="auto"/>
                <w:w w:val="84"/>
              </w:rPr>
              <w:t>Operating</w:t>
            </w:r>
          </w:p>
        </w:tc>
        <w:tc>
          <w:tcPr>
            <w:tcW w:w="86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4"/>
              </w:rPr>
              <w:t>Operating</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i w:val="1"/>
                <w:iCs w:val="1"/>
                <w:color w:val="auto"/>
                <w:w w:val="84"/>
              </w:rPr>
              <w:t>Operating</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i w:val="1"/>
                <w:iCs w:val="1"/>
                <w:color w:val="auto"/>
                <w:w w:val="84"/>
              </w:rPr>
              <w:t>Operating</w:t>
            </w:r>
          </w:p>
        </w:tc>
      </w:tr>
      <w:tr>
        <w:trPr>
          <w:trHeight w:val="149"/>
        </w:trPr>
        <w:tc>
          <w:tcPr>
            <w:tcW w:w="2420" w:type="dxa"/>
            <w:vAlign w:val="bottom"/>
          </w:tcPr>
          <w:p>
            <w:pPr>
              <w:spacing w:after="0"/>
              <w:rPr>
                <w:sz w:val="20"/>
                <w:szCs w:val="20"/>
                <w:color w:val="auto"/>
              </w:rPr>
            </w:pPr>
            <w:r>
              <w:rPr>
                <w:rFonts w:ascii="Arial" w:cs="Arial" w:eastAsia="Arial" w:hAnsi="Arial"/>
                <w:sz w:val="13"/>
                <w:szCs w:val="13"/>
                <w:b w:val="1"/>
                <w:bCs w:val="1"/>
                <w:i w:val="1"/>
                <w:iCs w:val="1"/>
                <w:color w:val="auto"/>
              </w:rPr>
              <w:t>Segment Operating Income (Loss)</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3"/>
              </w:rPr>
              <w:t>Income (Loss)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9"/>
              </w:rPr>
              <w:t>Margin</w:t>
            </w: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i w:val="1"/>
                <w:iCs w:val="1"/>
                <w:color w:val="auto"/>
                <w:w w:val="86"/>
              </w:rPr>
              <w:t>Income (Loss)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3"/>
              </w:rPr>
              <w:t>Income (Loss)</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6"/>
              </w:rPr>
              <w:t>Income (Loss)</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2"/>
                <w:szCs w:val="12"/>
                <w:color w:val="auto"/>
              </w:rPr>
            </w:pPr>
          </w:p>
        </w:tc>
      </w:tr>
      <w:tr>
        <w:trPr>
          <w:trHeight w:val="210"/>
        </w:trPr>
        <w:tc>
          <w:tcPr>
            <w:tcW w:w="2420" w:type="dxa"/>
            <w:vAlign w:val="bottom"/>
          </w:tcPr>
          <w:p>
            <w:pPr>
              <w:ind w:left="1040"/>
              <w:spacing w:after="0"/>
              <w:rPr>
                <w:sz w:val="20"/>
                <w:szCs w:val="20"/>
                <w:color w:val="auto"/>
              </w:rPr>
            </w:pPr>
            <w:r>
              <w:rPr>
                <w:rFonts w:ascii="Arial" w:cs="Arial" w:eastAsia="Arial" w:hAnsi="Arial"/>
                <w:sz w:val="13"/>
                <w:szCs w:val="13"/>
                <w:b w:val="1"/>
                <w:bCs w:val="1"/>
                <w:i w:val="1"/>
                <w:iCs w:val="1"/>
                <w:color w:val="auto"/>
              </w:rPr>
              <w:t>and Operating Margin</w:t>
            </w: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(in millions)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center"/>
              <w:ind w:right="253"/>
              <w:spacing w:after="0"/>
              <w:rPr>
                <w:sz w:val="20"/>
                <w:szCs w:val="20"/>
                <w:color w:val="auto"/>
              </w:rPr>
            </w:pPr>
            <w:r>
              <w:rPr>
                <w:rFonts w:ascii="Arial" w:cs="Arial" w:eastAsia="Arial" w:hAnsi="Arial"/>
                <w:sz w:val="13"/>
                <w:szCs w:val="13"/>
                <w:b w:val="1"/>
                <w:bCs w:val="1"/>
                <w:color w:val="auto"/>
                <w:w w:val="87"/>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7"/>
              </w:rPr>
              <w:t>(in millions)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7"/>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4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Itron North America</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12%</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22"/>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17.2</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12%</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57.7</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50.7</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12%</w:t>
            </w:r>
          </w:p>
        </w:tc>
        <w:tc>
          <w:tcPr>
            <w:tcW w:w="100" w:type="dxa"/>
            <w:vAlign w:val="bottom"/>
            <w:shd w:val="clear" w:color="auto" w:fill="CCEEFF"/>
          </w:tcPr>
          <w:p>
            <w:pPr>
              <w:spacing w:after="0"/>
              <w:rPr>
                <w:sz w:val="21"/>
                <w:szCs w:val="21"/>
                <w:color w:val="auto"/>
              </w:rPr>
            </w:pPr>
          </w:p>
        </w:tc>
      </w:tr>
      <w:tr>
        <w:trPr>
          <w:trHeight w:val="243"/>
        </w:trPr>
        <w:tc>
          <w:tcPr>
            <w:tcW w:w="2420" w:type="dxa"/>
            <w:vAlign w:val="bottom"/>
          </w:tcPr>
          <w:p>
            <w:pPr>
              <w:ind w:left="580"/>
              <w:spacing w:after="0"/>
              <w:rPr>
                <w:sz w:val="20"/>
                <w:szCs w:val="20"/>
                <w:color w:val="auto"/>
              </w:rPr>
            </w:pPr>
            <w:r>
              <w:rPr>
                <w:rFonts w:ascii="Arial" w:cs="Arial" w:eastAsia="Arial" w:hAnsi="Arial"/>
                <w:sz w:val="13"/>
                <w:szCs w:val="13"/>
                <w:color w:val="auto"/>
              </w:rPr>
              <w:t>Actaris</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5"/>
              </w:rPr>
              <w:t>5%</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20.2</w:t>
            </w: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5"/>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61.7</w:t>
            </w:r>
          </w:p>
        </w:tc>
        <w:tc>
          <w:tcPr>
            <w:tcW w:w="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5"/>
              </w:rPr>
              <w:t>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(12.0)</w:t>
            </w:r>
          </w:p>
        </w:tc>
        <w:tc>
          <w:tcPr>
            <w:tcW w:w="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(2%)</w:t>
            </w:r>
          </w:p>
        </w:tc>
        <w:tc>
          <w:tcPr>
            <w:tcW w:w="100" w:type="dxa"/>
            <w:vAlign w:val="bottom"/>
          </w:tcPr>
          <w:p>
            <w:pPr>
              <w:spacing w:after="0"/>
              <w:rPr>
                <w:sz w:val="21"/>
                <w:szCs w:val="21"/>
                <w:color w:val="auto"/>
              </w:rPr>
            </w:pPr>
          </w:p>
        </w:tc>
      </w:tr>
      <w:tr>
        <w:trPr>
          <w:trHeight w:val="203"/>
        </w:trPr>
        <w:tc>
          <w:tcPr>
            <w:tcW w:w="24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Corporate unallocated</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(30.6)</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(23.8)</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2420" w:type="dxa"/>
            <w:vAlign w:val="bottom"/>
          </w:tcPr>
          <w:p>
            <w:pPr>
              <w:ind w:left="1140"/>
              <w:spacing w:after="0"/>
              <w:rPr>
                <w:sz w:val="20"/>
                <w:szCs w:val="20"/>
                <w:color w:val="auto"/>
              </w:rPr>
            </w:pPr>
            <w:r>
              <w:rPr>
                <w:rFonts w:ascii="Arial" w:cs="Arial" w:eastAsia="Arial" w:hAnsi="Arial"/>
                <w:sz w:val="13"/>
                <w:szCs w:val="13"/>
                <w:color w:val="auto"/>
              </w:rPr>
              <w:t>Total Company</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5"/>
              </w:rPr>
              <w:t>5%</w:t>
            </w:r>
          </w:p>
        </w:tc>
        <w:tc>
          <w:tcPr>
            <w:tcW w:w="240" w:type="dxa"/>
            <w:vAlign w:val="bottom"/>
          </w:tcPr>
          <w:p>
            <w:pPr>
              <w:spacing w:after="0"/>
              <w:rPr>
                <w:sz w:val="20"/>
                <w:szCs w:val="20"/>
                <w:color w:val="auto"/>
              </w:rPr>
            </w:pPr>
          </w:p>
        </w:tc>
        <w:tc>
          <w:tcPr>
            <w:tcW w:w="640" w:type="dxa"/>
            <w:vAlign w:val="bottom"/>
          </w:tcPr>
          <w:p>
            <w:pPr>
              <w:jc w:val="right"/>
              <w:ind w:right="522"/>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29.0</w:t>
            </w:r>
          </w:p>
        </w:tc>
        <w:tc>
          <w:tcPr>
            <w:tcW w:w="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5"/>
              </w:rPr>
              <w:t>7%</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88.8</w:t>
            </w:r>
          </w:p>
        </w:tc>
        <w:tc>
          <w:tcPr>
            <w:tcW w:w="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5"/>
              </w:rPr>
              <w:t>6%</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14.9</w:t>
            </w:r>
          </w:p>
        </w:tc>
        <w:tc>
          <w:tcPr>
            <w:tcW w:w="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5"/>
              </w:rPr>
              <w:t>2%</w:t>
            </w:r>
          </w:p>
        </w:tc>
        <w:tc>
          <w:tcPr>
            <w:tcW w:w="10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Itron North America</w:t>
      </w:r>
      <w:r>
        <w:rPr>
          <w:rFonts w:ascii="Arial" w:cs="Arial" w:eastAsia="Arial" w:hAnsi="Arial"/>
          <w:sz w:val="16"/>
          <w:szCs w:val="16"/>
          <w:color w:val="auto"/>
        </w:rPr>
        <w:t>: Revenues increased $17.4 million, or 12%, in the third quarter of 2008, compared with the third quarter of 2007, due to increased sales</w:t>
      </w:r>
      <w:r>
        <w:rPr>
          <w:rFonts w:ascii="Arial" w:cs="Arial" w:eastAsia="Arial" w:hAnsi="Arial"/>
          <w:sz w:val="16"/>
          <w:szCs w:val="16"/>
          <w:i w:val="1"/>
          <w:iCs w:val="1"/>
          <w:color w:val="auto"/>
        </w:rPr>
        <w:t xml:space="preserve"> </w:t>
      </w:r>
      <w:r>
        <w:rPr>
          <w:rFonts w:ascii="Arial" w:cs="Arial" w:eastAsia="Arial" w:hAnsi="Arial"/>
          <w:sz w:val="16"/>
          <w:szCs w:val="16"/>
          <w:color w:val="auto"/>
        </w:rPr>
        <w:t>for most of our products and services, with the largest increase in standalone AMR gas modules. For the nine months ended September 30, 2008, revenues increased $48.6 million, or 11%, compared with the same period in 2007, due to an 11% increase in meter shipments, increased revenues for standalone water AMR shipments and implementation and installation services. Meters equipped with our AMR technology continue to increase and represented 61% and 62% of meters sold in the three and nine months ended September 30, 2008, compared with 35% and 40% for the same periods in 2007. Gross margin decreased two and three percentage points in the three and nine months ended September 30, 2008, compared with the same periods in 2007, due to product mix, including lower commercial and industrial (C&amp;I) meter sales and costs associated with the first version of our AMI meters.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customer represented 12% of the Itron North America operating segment revenues in the nine months ended September 30, 2008. No single customer accounted for more than 10% of the Itron North America operating segment revenues for the three months ended September 30, 2008 and three and nine months ended September 30, 2007.</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Itron North America operating expenses as a percentage of revenues were 27% for the three and nine months ended September 30, 2008, compared with 29% and 30% for the same periods in 2007. This decrease is primarily the result of higher revenue in 2008 and decreasing amortization of intangible assets.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Actaris</w:t>
      </w:r>
      <w:r>
        <w:rPr>
          <w:rFonts w:ascii="Arial" w:cs="Arial" w:eastAsia="Arial" w:hAnsi="Arial"/>
          <w:sz w:val="17"/>
          <w:szCs w:val="17"/>
          <w:color w:val="auto"/>
        </w:rPr>
        <w:t>: Actaris was acquired on April 18, 2007. As we continue to integrate the Actaris acquisition and align our operations, certain operations not located in</w:t>
      </w:r>
      <w:r>
        <w:rPr>
          <w:rFonts w:ascii="Arial" w:cs="Arial" w:eastAsia="Arial" w:hAnsi="Arial"/>
          <w:sz w:val="17"/>
          <w:szCs w:val="17"/>
          <w:i w:val="1"/>
          <w:iCs w:val="1"/>
          <w:color w:val="auto"/>
        </w:rPr>
        <w:t xml:space="preserve"> </w:t>
      </w:r>
      <w:r>
        <w:rPr>
          <w:rFonts w:ascii="Arial" w:cs="Arial" w:eastAsia="Arial" w:hAnsi="Arial"/>
          <w:sz w:val="17"/>
          <w:szCs w:val="17"/>
          <w:color w:val="auto"/>
        </w:rPr>
        <w:t>North America that were previously reported within the Itron North America operating segment were moved to the Actaris operating segment on January 1, 2008. Therefore, historical segment information has been restated to conform to the January 1, 2008 reporting presentation.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Actaris revenues for the three months ended September 30, 2008 increased $33.4 million, or 11%, compared with the same period in 2007, as a result of favorable foreign exchange rates and a 13% increase in meter shipments. Actaris revenues for the nine months ended September 30, 2008 increased $445.1 million since they included a full period of results, whereas revenue for the 2007 period only included results of operations from the date of acquisition on April 18, 2007. Business line revenues for Actaris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68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Three Months Ended September</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59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0"/>
                <w:szCs w:val="20"/>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5920" w:type="dxa"/>
            <w:vAlign w:val="bottom"/>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Electricity</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164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42%</w:t>
            </w:r>
          </w:p>
        </w:tc>
        <w:tc>
          <w:tcPr>
            <w:tcW w:w="14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38%</w:t>
            </w:r>
          </w:p>
        </w:tc>
        <w:tc>
          <w:tcPr>
            <w:tcW w:w="14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43%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Gas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640" w:type="dxa"/>
            <w:vAlign w:val="bottom"/>
            <w:gridSpan w:val="3"/>
          </w:tcPr>
          <w:p>
            <w:pPr>
              <w:jc w:val="right"/>
              <w:ind w:right="330"/>
              <w:spacing w:after="0"/>
              <w:rPr>
                <w:sz w:val="20"/>
                <w:szCs w:val="20"/>
                <w:color w:val="auto"/>
              </w:rPr>
            </w:pPr>
            <w:r>
              <w:rPr>
                <w:rFonts w:ascii="Arial" w:cs="Arial" w:eastAsia="Arial" w:hAnsi="Arial"/>
                <w:sz w:val="18"/>
                <w:szCs w:val="18"/>
                <w:color w:val="auto"/>
              </w:rPr>
              <w:t>31%</w:t>
            </w:r>
          </w:p>
        </w:tc>
        <w:tc>
          <w:tcPr>
            <w:tcW w:w="1400" w:type="dxa"/>
            <w:vAlign w:val="bottom"/>
            <w:gridSpan w:val="2"/>
          </w:tcPr>
          <w:p>
            <w:pPr>
              <w:jc w:val="right"/>
              <w:ind w:right="330"/>
              <w:spacing w:after="0"/>
              <w:rPr>
                <w:sz w:val="20"/>
                <w:szCs w:val="20"/>
                <w:color w:val="auto"/>
              </w:rPr>
            </w:pPr>
            <w:r>
              <w:rPr>
                <w:rFonts w:ascii="Arial" w:cs="Arial" w:eastAsia="Arial" w:hAnsi="Arial"/>
                <w:sz w:val="18"/>
                <w:szCs w:val="18"/>
                <w:color w:val="auto"/>
              </w:rPr>
              <w:t>32%</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color w:val="auto"/>
              </w:rPr>
              <w:t>30%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64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27%</w:t>
            </w:r>
          </w:p>
        </w:tc>
        <w:tc>
          <w:tcPr>
            <w:tcW w:w="14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30%</w:t>
            </w:r>
          </w:p>
        </w:tc>
        <w:tc>
          <w:tcPr>
            <w:tcW w:w="14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margin for the third quarter of 2008 was one percentage point higher at 31%, compared with the same period in 2007, due to higher manufacturing efficiencies, increased volumes and product mix. Gross margins increased for the nine months ended September 30, 2008, compared with 2007, primarily as a result of a 3% percentage point reduction in 2007 due to the revaluation of inventory on hand at the acquisition date in accordance with business combination accounting rules, which increased cost of sales in the nine months ended September 30, 2007. Gross margins were also favorably impacted for the nine months ended September 30, 2008 by product mix and lower indirect cost of sales.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Actaris operating segment revenues for the three and nine months ended September 30, 2008 or 2007.</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for Actaris were $83.4 million and $252.5 million for the three and nine months ended September 30, 2008, or 26% and 25% of revenues, respectively. Operating expenses for the three and nine months ended September 30, 2007 were $65.9 million and $163.2 million, or 23% and 29% of revenues, respectively. Operating expenses have increased in all areas due to higher revenues, increased emphasis on product development, higher amortization of intangible asset amortization expense and foreign exchange fluctuations. Operating expenses for the nine months ended September 30, 2007 included results from the date of acquisition as well as $35.8 million of in-process research and development (IPR&amp;D) costs recorded in accordance with business combination accounting rules.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segment are classified as “Corporate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unallocated expenses increased $2.6 million and $6.8 million for the three and nine months ended September 30, 2008, compared with the same periods last year, due to increased compensation and financial integration expenses. As a percentage of total Company revenues, corporate unallocated expenses were 2% for the three and nine months ended September 30, 2008 and 2007.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quarter that have met certain conditions, such as regulatory approval. Total backlog represents committed but undelivered contracts and purchase orders at period end. Twelve-month backlog represents the portion of total backlog that we estimate will be recognized as revenue over the next twelve months. Bookings and backlog exclude maintenance-related activity. Backlog is not a complete measure of our future business as we have significant book-and-ship orders. Bookings and backlog can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Information on bookings and backlog is summarized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Ending</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Quarterly</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12-Month</w:t>
            </w: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Bookings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Total Backlog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Backlog</w:t>
            </w:r>
          </w:p>
        </w:tc>
      </w:tr>
      <w:tr>
        <w:trPr>
          <w:trHeight w:val="210"/>
        </w:trPr>
        <w:tc>
          <w:tcPr>
            <w:tcW w:w="7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June 30, 2008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March 31, 2008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December 31, 2007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June 30, 2007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we enter into AMI agreements to deploy our OpenWay® meter and communications system, we do not include these contracts in bookings and backlog until regulatory approvals are received or other certain conditions are met. At September 30, 2008, we had four signed AMI contracts. In September 2008, the California Public Utility Commission approved Southern California Edison’s (SCE) AMI project. As a result of this regulatory approval, which was a significant condition for the SCE contract, bookings and backlog for the third quarter of 2008 include $470 million related to our AMI contract with SCE.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6"/>
              </w:rPr>
              <w:t>Three Months Ended September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9"/>
              </w:rPr>
              <w:t>Nine Months Ended September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of Revenue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 of Revenue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3"/>
              </w:rPr>
              <w:t>% of Revenue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1080" w:type="dxa"/>
            <w:vAlign w:val="bottom"/>
            <w:gridSpan w:val="2"/>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8"/>
              </w:rPr>
              <w:t>9%</w:t>
            </w:r>
          </w:p>
        </w:tc>
        <w:tc>
          <w:tcPr>
            <w:tcW w:w="4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35.7</w:t>
            </w:r>
          </w:p>
        </w:tc>
        <w:tc>
          <w:tcPr>
            <w:tcW w:w="88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auto"/>
                <w:w w:val="98"/>
              </w:rPr>
              <w:t>8%</w:t>
            </w: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127.5</w:t>
            </w:r>
          </w:p>
        </w:tc>
        <w:tc>
          <w:tcPr>
            <w:tcW w:w="1040" w:type="dxa"/>
            <w:vAlign w:val="bottom"/>
            <w:gridSpan w:val="2"/>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8"/>
              </w:rPr>
              <w:t>9%</w:t>
            </w: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85.0</w:t>
            </w:r>
          </w:p>
        </w:tc>
        <w:tc>
          <w:tcPr>
            <w:tcW w:w="88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auto"/>
                <w:w w:val="98"/>
              </w:rPr>
              <w:t>8%</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Product development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1080" w:type="dxa"/>
            <w:vAlign w:val="bottom"/>
            <w:gridSpan w:val="2"/>
          </w:tcPr>
          <w:p>
            <w:pPr>
              <w:jc w:val="center"/>
              <w:ind w:left="408"/>
              <w:spacing w:after="0" w:line="149" w:lineRule="exact"/>
              <w:rPr>
                <w:sz w:val="20"/>
                <w:szCs w:val="20"/>
                <w:color w:val="auto"/>
              </w:rPr>
            </w:pPr>
            <w:r>
              <w:rPr>
                <w:rFonts w:ascii="Arial" w:cs="Arial" w:eastAsia="Arial" w:hAnsi="Arial"/>
                <w:sz w:val="14"/>
                <w:szCs w:val="14"/>
                <w:color w:val="auto"/>
                <w:w w:val="98"/>
              </w:rPr>
              <w:t>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26.5</w:t>
            </w:r>
          </w:p>
        </w:tc>
        <w:tc>
          <w:tcPr>
            <w:tcW w:w="88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8"/>
              </w:rPr>
              <w:t>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92.3</w:t>
            </w:r>
          </w:p>
        </w:tc>
        <w:tc>
          <w:tcPr>
            <w:tcW w:w="1040" w:type="dxa"/>
            <w:vAlign w:val="bottom"/>
            <w:gridSpan w:val="2"/>
          </w:tcPr>
          <w:p>
            <w:pPr>
              <w:jc w:val="center"/>
              <w:ind w:left="328"/>
              <w:spacing w:after="0" w:line="149" w:lineRule="exact"/>
              <w:rPr>
                <w:sz w:val="20"/>
                <w:szCs w:val="20"/>
                <w:color w:val="auto"/>
              </w:rPr>
            </w:pPr>
            <w:r>
              <w:rPr>
                <w:rFonts w:ascii="Arial" w:cs="Arial" w:eastAsia="Arial" w:hAnsi="Arial"/>
                <w:sz w:val="14"/>
                <w:szCs w:val="14"/>
                <w:color w:val="auto"/>
                <w:w w:val="98"/>
              </w:rPr>
              <w:t>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67.8</w:t>
            </w:r>
          </w:p>
        </w:tc>
        <w:tc>
          <w:tcPr>
            <w:tcW w:w="88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1080" w:type="dxa"/>
            <w:vAlign w:val="bottom"/>
            <w:gridSpan w:val="2"/>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8"/>
              </w:rPr>
              <w:t>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w:t>
            </w:r>
          </w:p>
        </w:tc>
        <w:tc>
          <w:tcPr>
            <w:tcW w:w="88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auto"/>
                <w:w w:val="98"/>
              </w:rPr>
              <w:t>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8"/>
              </w:rPr>
              <w:t>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69.2</w:t>
            </w:r>
          </w:p>
        </w:tc>
        <w:tc>
          <w:tcPr>
            <w:tcW w:w="88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auto"/>
                <w:w w:val="98"/>
              </w:rPr>
              <w:t>7%</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30.4</w:t>
            </w:r>
          </w:p>
        </w:tc>
        <w:tc>
          <w:tcPr>
            <w:tcW w:w="1080" w:type="dxa"/>
            <w:vAlign w:val="bottom"/>
            <w:gridSpan w:val="2"/>
          </w:tcPr>
          <w:p>
            <w:pPr>
              <w:jc w:val="center"/>
              <w:ind w:left="408"/>
              <w:spacing w:after="0" w:line="149" w:lineRule="exact"/>
              <w:rPr>
                <w:sz w:val="20"/>
                <w:szCs w:val="20"/>
                <w:color w:val="auto"/>
              </w:rPr>
            </w:pPr>
            <w:r>
              <w:rPr>
                <w:rFonts w:ascii="Arial" w:cs="Arial" w:eastAsia="Arial" w:hAnsi="Arial"/>
                <w:sz w:val="14"/>
                <w:szCs w:val="14"/>
                <w:color w:val="auto"/>
                <w:w w:val="98"/>
              </w:rPr>
              <w:t>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25.8</w:t>
            </w:r>
          </w:p>
        </w:tc>
        <w:tc>
          <w:tcPr>
            <w:tcW w:w="88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8"/>
              </w:rPr>
              <w:t>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93.1</w:t>
            </w:r>
          </w:p>
        </w:tc>
        <w:tc>
          <w:tcPr>
            <w:tcW w:w="1040" w:type="dxa"/>
            <w:vAlign w:val="bottom"/>
            <w:gridSpan w:val="2"/>
          </w:tcPr>
          <w:p>
            <w:pPr>
              <w:jc w:val="center"/>
              <w:ind w:left="328"/>
              <w:spacing w:after="0" w:line="149" w:lineRule="exact"/>
              <w:rPr>
                <w:sz w:val="20"/>
                <w:szCs w:val="20"/>
                <w:color w:val="auto"/>
              </w:rPr>
            </w:pPr>
            <w:r>
              <w:rPr>
                <w:rFonts w:ascii="Arial" w:cs="Arial" w:eastAsia="Arial" w:hAnsi="Arial"/>
                <w:sz w:val="14"/>
                <w:szCs w:val="14"/>
                <w:color w:val="auto"/>
                <w:w w:val="98"/>
              </w:rPr>
              <w:t>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58.1</w:t>
            </w:r>
          </w:p>
        </w:tc>
        <w:tc>
          <w:tcPr>
            <w:tcW w:w="88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In-process research and development</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168"/>
              <w:spacing w:after="0"/>
              <w:rPr>
                <w:sz w:val="20"/>
                <w:szCs w:val="20"/>
                <w:color w:val="auto"/>
              </w:rPr>
            </w:pPr>
            <w:r>
              <w:rPr>
                <w:rFonts w:ascii="Arial" w:cs="Arial" w:eastAsia="Arial" w:hAnsi="Arial"/>
                <w:sz w:val="14"/>
                <w:szCs w:val="14"/>
                <w:color w:val="auto"/>
                <w:w w:val="98"/>
              </w:rPr>
              <w:t>4%</w:t>
            </w:r>
          </w:p>
        </w:tc>
        <w:tc>
          <w:tcPr>
            <w:tcW w:w="0" w:type="dxa"/>
            <w:vAlign w:val="bottom"/>
          </w:tcPr>
          <w:p>
            <w:pPr>
              <w:spacing w:after="0"/>
              <w:rPr>
                <w:sz w:val="1"/>
                <w:szCs w:val="1"/>
                <w:color w:val="auto"/>
              </w:rPr>
            </w:pPr>
          </w:p>
        </w:tc>
      </w:tr>
      <w:tr>
        <w:trPr>
          <w:trHeight w:val="142"/>
        </w:trPr>
        <w:tc>
          <w:tcPr>
            <w:tcW w:w="2780" w:type="dxa"/>
            <w:vAlign w:val="bottom"/>
          </w:tcPr>
          <w:p>
            <w:pPr>
              <w:ind w:left="700"/>
              <w:spacing w:after="0" w:line="142" w:lineRule="exact"/>
              <w:rPr>
                <w:sz w:val="20"/>
                <w:szCs w:val="20"/>
                <w:color w:val="auto"/>
              </w:rPr>
            </w:pPr>
            <w:r>
              <w:rPr>
                <w:rFonts w:ascii="Arial" w:cs="Arial" w:eastAsia="Arial" w:hAnsi="Arial"/>
                <w:sz w:val="14"/>
                <w:szCs w:val="14"/>
                <w:color w:val="auto"/>
              </w:rPr>
              <w:t>Total operating expenses</w:t>
            </w: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137.6</w:t>
            </w:r>
          </w:p>
        </w:tc>
        <w:tc>
          <w:tcPr>
            <w:tcW w:w="240" w:type="dxa"/>
            <w:vAlign w:val="bottom"/>
          </w:tcPr>
          <w:p>
            <w:pPr>
              <w:spacing w:after="0"/>
              <w:rPr>
                <w:sz w:val="12"/>
                <w:szCs w:val="12"/>
                <w:color w:val="auto"/>
              </w:rPr>
            </w:pPr>
          </w:p>
        </w:tc>
        <w:tc>
          <w:tcPr>
            <w:tcW w:w="840" w:type="dxa"/>
            <w:vAlign w:val="bottom"/>
          </w:tcPr>
          <w:p>
            <w:pPr>
              <w:jc w:val="center"/>
              <w:ind w:left="145"/>
              <w:spacing w:after="0" w:line="142" w:lineRule="exact"/>
              <w:rPr>
                <w:sz w:val="20"/>
                <w:szCs w:val="20"/>
                <w:color w:val="auto"/>
              </w:rPr>
            </w:pPr>
            <w:r>
              <w:rPr>
                <w:rFonts w:ascii="Arial" w:cs="Arial" w:eastAsia="Arial" w:hAnsi="Arial"/>
                <w:sz w:val="14"/>
                <w:szCs w:val="14"/>
                <w:color w:val="auto"/>
                <w:w w:val="92"/>
              </w:rPr>
              <w:t>28%</w:t>
            </w:r>
          </w:p>
        </w:tc>
        <w:tc>
          <w:tcPr>
            <w:tcW w:w="42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115.8</w:t>
            </w:r>
          </w:p>
        </w:tc>
        <w:tc>
          <w:tcPr>
            <w:tcW w:w="880" w:type="dxa"/>
            <w:vAlign w:val="bottom"/>
          </w:tcPr>
          <w:p>
            <w:pPr>
              <w:jc w:val="center"/>
              <w:ind w:left="168"/>
              <w:spacing w:after="0" w:line="142" w:lineRule="exact"/>
              <w:rPr>
                <w:sz w:val="20"/>
                <w:szCs w:val="20"/>
                <w:color w:val="auto"/>
              </w:rPr>
            </w:pPr>
            <w:r>
              <w:rPr>
                <w:rFonts w:ascii="Arial" w:cs="Arial" w:eastAsia="Arial" w:hAnsi="Arial"/>
                <w:sz w:val="14"/>
                <w:szCs w:val="14"/>
                <w:color w:val="auto"/>
                <w:w w:val="99"/>
              </w:rPr>
              <w:t>27%</w:t>
            </w:r>
          </w:p>
        </w:tc>
        <w:tc>
          <w:tcPr>
            <w:tcW w:w="42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412.9</w:t>
            </w:r>
          </w:p>
        </w:tc>
        <w:tc>
          <w:tcPr>
            <w:tcW w:w="1040" w:type="dxa"/>
            <w:vAlign w:val="bottom"/>
            <w:gridSpan w:val="2"/>
          </w:tcPr>
          <w:p>
            <w:pPr>
              <w:jc w:val="center"/>
              <w:ind w:left="328"/>
              <w:spacing w:after="0" w:line="142" w:lineRule="exact"/>
              <w:rPr>
                <w:sz w:val="20"/>
                <w:szCs w:val="20"/>
                <w:color w:val="auto"/>
              </w:rPr>
            </w:pPr>
            <w:r>
              <w:rPr>
                <w:rFonts w:ascii="Arial" w:cs="Arial" w:eastAsia="Arial" w:hAnsi="Arial"/>
                <w:sz w:val="14"/>
                <w:szCs w:val="14"/>
                <w:color w:val="auto"/>
                <w:w w:val="99"/>
              </w:rPr>
              <w:t>28%</w:t>
            </w:r>
          </w:p>
        </w:tc>
        <w:tc>
          <w:tcPr>
            <w:tcW w:w="42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315.9</w:t>
            </w:r>
          </w:p>
        </w:tc>
        <w:tc>
          <w:tcPr>
            <w:tcW w:w="880" w:type="dxa"/>
            <w:vAlign w:val="bottom"/>
          </w:tcPr>
          <w:p>
            <w:pPr>
              <w:jc w:val="center"/>
              <w:ind w:left="188"/>
              <w:spacing w:after="0" w:line="142" w:lineRule="exact"/>
              <w:rPr>
                <w:sz w:val="20"/>
                <w:szCs w:val="20"/>
                <w:color w:val="auto"/>
              </w:rPr>
            </w:pPr>
            <w:r>
              <w:rPr>
                <w:rFonts w:ascii="Arial" w:cs="Arial" w:eastAsia="Arial" w:hAnsi="Arial"/>
                <w:sz w:val="14"/>
                <w:szCs w:val="14"/>
                <w:color w:val="auto"/>
                <w:w w:val="92"/>
              </w:rPr>
              <w:t>32%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percentage of revenues, operating expenses in most areas have remained constant period over period, except for IPR&amp;D, which was directly related to the Actaris acquisition. Amortization of intangible assets has increased $4.6 million and $35.0 million for the three and nine months ended September 30, 2008, compared with 2007, as a result of amortization based on the estimated discounted cash flows as well as a full nine months of expense in 2008, compared with 2007. General and administrative expenses for the three and nine months ended September 30, 2008 have been impacted by increased compensation and financial integration expenses. We are devoting significant resources and time to comply with the internal control over financial reporting requirements of the Sarbanes-Oxley Act of 2002. We expect these costs to continue through 2008.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acquisition of Actaris resulted in $36 million of IPR&amp;D expense in 2007, consisting primarily of next generation technology. The IPR&amp;D projects were analyzed according to exclusivity, substance, economic benefit, incompleteness, measurability and alternative future use. The primary projects are intended to make key enhancements and improve functionality of our residential and C&amp;I meters. We value IPR&amp;D using the income approach, which uses the present value of the projected cash flows that are expected to be generated over the next one to six years. The risk adjusted discount rate was 12 percent, which was based on an industry composite of weighted average cost of capital, with certain premiums for equity risk and size, and the uncertainty associated with the completion of the development effort and subsequent commercialization. These research and development projects are substantially complete at September 30,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80" w:type="dxa"/>
            <w:vAlign w:val="bottom"/>
            <w:gridSpan w:val="7"/>
          </w:tcPr>
          <w:p>
            <w:pPr>
              <w:jc w:val="right"/>
              <w:ind w:right="335"/>
              <w:spacing w:after="0"/>
              <w:rPr>
                <w:sz w:val="20"/>
                <w:szCs w:val="20"/>
                <w:color w:val="auto"/>
              </w:rPr>
            </w:pPr>
            <w:r>
              <w:rPr>
                <w:rFonts w:ascii="Arial" w:cs="Arial" w:eastAsia="Arial" w:hAnsi="Arial"/>
                <w:sz w:val="18"/>
                <w:szCs w:val="18"/>
                <w:b w:val="1"/>
                <w:bCs w:val="1"/>
                <w:color w:val="auto"/>
                <w:w w:val="99"/>
              </w:rPr>
              <w:t>Three Months Ended 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10"/>
        </w:trPr>
        <w:tc>
          <w:tcPr>
            <w:tcW w:w="3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5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8"/>
                <w:szCs w:val="18"/>
                <w:color w:val="auto"/>
              </w:rPr>
            </w:pPr>
          </w:p>
        </w:tc>
      </w:tr>
      <w:tr>
        <w:trPr>
          <w:trHeight w:val="210"/>
        </w:trPr>
        <w:tc>
          <w:tcPr>
            <w:tcW w:w="3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800" w:type="dxa"/>
            <w:vAlign w:val="bottom"/>
            <w:gridSpan w:val="4"/>
          </w:tcPr>
          <w:p>
            <w:pPr>
              <w:jc w:val="right"/>
              <w:ind w:right="1030"/>
              <w:spacing w:after="0"/>
              <w:rPr>
                <w:sz w:val="20"/>
                <w:szCs w:val="20"/>
                <w:color w:val="auto"/>
              </w:rPr>
            </w:pPr>
            <w:r>
              <w:rPr>
                <w:rFonts w:ascii="Arial" w:cs="Arial" w:eastAsia="Arial" w:hAnsi="Arial"/>
                <w:sz w:val="17"/>
                <w:szCs w:val="17"/>
                <w:b w:val="1"/>
                <w:bCs w:val="1"/>
                <w:color w:val="auto"/>
                <w:w w:val="71"/>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585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(15,864)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(25,631)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(57,700)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(51,242)</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placement fees</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(12,034)</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6,068</w:t>
            </w:r>
          </w:p>
        </w:tc>
        <w:tc>
          <w:tcPr>
            <w:tcW w:w="12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other income (expense)</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(15,963)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(35,140)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(62,459)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(48,318)</w:t>
            </w:r>
          </w:p>
        </w:tc>
      </w:tr>
      <w:tr>
        <w:trPr>
          <w:trHeight w:val="20"/>
        </w:trPr>
        <w:tc>
          <w:tcPr>
            <w:tcW w:w="35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For the three months ended September 30, 2008, our average monthly cash and cash equivalent balance was $146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$87 million for the same period last year. For the nine months ended September 30, 2008, our monthly average cash and cash equivalent balance was $118 million, compared with $194 million for the same period last year. Our cash balances have fluctuated period over period due to the timing of proceeds from the sale of common stock and repayments on borrowings. In May 2008, we sold 3.4 million shares of common stock, with net proceeds of approximately $311 million, partially offset by our repayment of borrowings in the same quarter. In August 2006, we issued $345 million 2.5% convertible notes and in February 2007 sold 4.1 million shares of common stock resulting in net proceeds of $225.2 million, which were used to fund a portion of the Actaris acquisition on April 18, 2007.</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for the three months ended September 30, 2008 decreased $9.8 million, compared with the same period last year due to</w:t>
      </w:r>
      <w:r>
        <w:rPr>
          <w:rFonts w:ascii="Arial" w:cs="Arial" w:eastAsia="Arial" w:hAnsi="Arial"/>
          <w:sz w:val="17"/>
          <w:szCs w:val="17"/>
          <w:i w:val="1"/>
          <w:iCs w:val="1"/>
          <w:color w:val="auto"/>
        </w:rPr>
        <w:t xml:space="preserve"> </w:t>
      </w:r>
      <w:r>
        <w:rPr>
          <w:rFonts w:ascii="Arial" w:cs="Arial" w:eastAsia="Arial" w:hAnsi="Arial"/>
          <w:sz w:val="17"/>
          <w:szCs w:val="17"/>
          <w:color w:val="auto"/>
        </w:rPr>
        <w:t>repayments on borrowings. Average daily debt outstanding for the third quarter of 2008 was $1.3 billion, compared with $1.6 billion for the third quarter of 2007. Interest expense increased for the nine months ended September 30, 2008, compared with the same period in 2007, as a result of a full period of interest expense from the $1.2 billion credit facility used to finance the Actaris acquisition on April 18, 2007. Average daily debt outstanding for the nine months ended September 30, 2008 was $1.4 billion, compared with $1.2 billion for the same period in 2007.</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Amortization of debt placement fees: </w:t>
      </w:r>
      <w:r>
        <w:rPr>
          <w:rFonts w:ascii="Arial" w:cs="Arial" w:eastAsia="Arial" w:hAnsi="Arial"/>
          <w:sz w:val="17"/>
          <w:szCs w:val="17"/>
          <w:color w:val="auto"/>
        </w:rPr>
        <w:t>Amortization of debt placement fees decreased for the three and nine months ended September 30, 2008,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periods last year, due to the write-off of $6.6 million associated with our convertible notes in September 2007. The debt placement fees associated with our convertible notes were amortized through the date of the earliest put or conversion option; therefore, at September 30, 2007, when our convertible notes exceeded the conversion threshold, the remaining debt placement fees were written-off. In addition, when debt is repaid early, the portion of unamortized prepaid debt fees related to the early principal repayment is written-off and included in interest expense.</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consists primarily of foreign currency gains and losses, which can vary from period to period,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non-operating items or transactions. In the three and nine months ended September 30, 2008 and the three months ended September 30, 2007, other expense, net resulted primarily from net foreign currency losses due to balances denominated in a currency other than the reporting entity’s functional currency. For the nine months ended September 30, 2007, other income, net included $3.0 million in unrealized gains on our euro denominated borrowings, which are now designated as a hedge of a net investment in foreign operations, $2.8 million in net realized gains from foreign currency hedge range forward contracts that were settled as part of the Actaris acquisition and a $1.0 million realized gain from an overnight euro rate change prior to the acquisition of Actaris.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tax provision (benefit) as a percentage of income (loss) before tax typically differs from the federal statutory rate of 35%, and can vary from period to period, due to fluctuations in operating results, new or revised tax legislation and accounting pronouncements, changes in the level of business conducted in domestic and international jurisdictions, IPR&amp;D, research credits, state income taxes and adjustments to valuation allowances, among other items.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tax provision (benefit) as a percentage of income (loss) before tax was 18% and 10% for the three and nine months ended September 30, 2008, compared with 44% and 40% for the same periods in 2007. Our tax provisions for the three and nine months ended September 30, 2008 are lower than those in 2007 as 2008 reflects a benefit associated with lower effective tax rates on international earnings. We made an election under Internal Revenue Code Section 338 with respect to the Actaris acquisition, which resulted in a reduced global effective tax rate. Additionally, our reduced international tax liability reflects the benefit of international interest expense deductions.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Unrecognized tax benefits in accordance with FASB Interpretation (FIN) 48, </w:t>
      </w:r>
      <w:r>
        <w:rPr>
          <w:rFonts w:ascii="Arial" w:cs="Arial" w:eastAsia="Arial" w:hAnsi="Arial"/>
          <w:sz w:val="17"/>
          <w:szCs w:val="17"/>
          <w:i w:val="1"/>
          <w:iCs w:val="1"/>
          <w:color w:val="auto"/>
        </w:rPr>
        <w:t>Accounting for Uncertainty in Income Taxes – an Interpretation of FASB 109,</w:t>
      </w:r>
      <w:r>
        <w:rPr>
          <w:rFonts w:ascii="Arial" w:cs="Arial" w:eastAsia="Arial" w:hAnsi="Arial"/>
          <w:sz w:val="17"/>
          <w:szCs w:val="17"/>
          <w:color w:val="auto"/>
        </w:rPr>
        <w:t xml:space="preserve"> were $35.4 million and $34.8 million at September 30, 2008 and December 31, 2007, respectively. We classify interest expense and penalties related to unrecognized tax benefits and interest income on tax overpayments as components of income tax expense. During the three and nine months ended September 30, 2008, we recognized a benefit of $305,000 and expense of $725,000, respectively, in interest and penalties. At September 30, 2007, we had accrued approximately $7.9 million in interest and penalties, which was primarily the result of the acquisition of Actaris on April 18, 2007. At September 30, 2008 and December 31, 2007, accrued interest was $3.1 million and $2.7 million and accrued penalties were $1.4 million and $2.2 million, respectively. Unrecognized tax benefits that would affect our tax provision, at September 30, 2008 and December 31, 2007 were $9.7 million and $8.4 million, respectively. At September 30, 2008, we expect to pay $4.8 million in income tax obligations related to FIN 48 over the next twelve months. We are not able to reasonably estimate the timing of future cash flows relating to the remaining balance.</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 2008, the Emergency Economic Stabilization Act of 2008 was signed into law, extending the research tax credit for qualified research expenses incurred throughout 2008 and 2009. In the fourth quarter of 2008, we expect to record approximately $2.5 million in federal and state research credits, which will reduce our tax provision.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9"/>
        </w:trPr>
        <w:tc>
          <w:tcPr>
            <w:tcW w:w="8120" w:type="dxa"/>
            <w:vAlign w:val="bottom"/>
          </w:tcPr>
          <w:p>
            <w:pPr>
              <w:spacing w:after="0"/>
              <w:rPr>
                <w:sz w:val="20"/>
                <w:szCs w:val="20"/>
                <w:color w:val="auto"/>
              </w:rPr>
            </w:pPr>
            <w:r>
              <w:rPr>
                <w:rFonts w:ascii="Arial" w:cs="Arial" w:eastAsia="Arial" w:hAnsi="Arial"/>
                <w:sz w:val="18"/>
                <w:szCs w:val="18"/>
                <w:i w:val="1"/>
                <w:iCs w:val="1"/>
                <w:color w:val="auto"/>
              </w:rPr>
              <w:t>Cash Flow Information:</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8120" w:type="dxa"/>
            <w:vAlign w:val="bottom"/>
          </w:tcPr>
          <w:p>
            <w:pPr>
              <w:spacing w:after="0"/>
              <w:rPr>
                <w:sz w:val="24"/>
                <w:szCs w:val="24"/>
                <w:color w:val="auto"/>
              </w:rPr>
            </w:pPr>
          </w:p>
        </w:tc>
        <w:tc>
          <w:tcPr>
            <w:tcW w:w="330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10"/>
        </w:trPr>
        <w:tc>
          <w:tcPr>
            <w:tcW w:w="8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8"/>
                <w:szCs w:val="18"/>
                <w:color w:val="auto"/>
              </w:rPr>
            </w:pPr>
          </w:p>
        </w:tc>
      </w:tr>
      <w:tr>
        <w:trPr>
          <w:trHeight w:val="210"/>
        </w:trPr>
        <w:tc>
          <w:tcPr>
            <w:tcW w:w="8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3"/>
              </w:rPr>
              <w:t>millions)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60" w:type="dxa"/>
            <w:vAlign w:val="bottom"/>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7"/>
              </w:rPr>
              <w:t>156.2</w:t>
            </w:r>
          </w:p>
        </w:tc>
        <w:tc>
          <w:tcPr>
            <w:tcW w:w="5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Investing activities</w:t>
            </w:r>
          </w:p>
        </w:tc>
        <w:tc>
          <w:tcPr>
            <w:tcW w:w="9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(1,711.3)</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1,342.9</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960" w:type="dxa"/>
            <w:vAlign w:val="bottom"/>
          </w:tcPr>
          <w:p>
            <w:pPr>
              <w:spacing w:after="0"/>
              <w:rPr>
                <w:sz w:val="18"/>
                <w:szCs w:val="18"/>
                <w:color w:val="auto"/>
              </w:rPr>
            </w:pP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r>
      <w:tr>
        <w:trPr>
          <w:trHeight w:val="20"/>
        </w:trPr>
        <w:tc>
          <w:tcPr>
            <w:tcW w:w="8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960" w:type="dxa"/>
            <w:vAlign w:val="bottom"/>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55.4</w:t>
            </w:r>
          </w:p>
        </w:tc>
        <w:tc>
          <w:tcPr>
            <w:tcW w:w="5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(276.3)</w:t>
            </w:r>
          </w:p>
        </w:tc>
      </w:tr>
      <w:tr>
        <w:trPr>
          <w:trHeight w:val="20"/>
        </w:trPr>
        <w:tc>
          <w:tcPr>
            <w:tcW w:w="8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increased from $92.0 million at December 31, 2007 to $147.4 million at September 30, 2008. The increase in cash was the result of strong cash flows from operations and the $311 million stock offering in May 2008, partially offset by $384 million in debt repayments.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increased by $66.5 million in the first nine months of 2008, compared with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2007. Non-cash charges for 2008 consist primarily of depreciation on property, plant and equipment, amortization of intangible assets, deferred income taxes, stock-based compensation and amortization of prepaid debt fees. Non-cash charges in 2007 also include IPR&amp;D related to the Actaris acquisition. Changes in our operating assets and liabilities during the nine months ended September 30, 2008 consisted primarily of increased payables, partially offset by increased inventories. Changes in our operating assets and liabilities during the nine months ended September 30, 2007 consisted primarily of increased payables, partially offset by increased accounts receivable. The changes in our operating assets and liabilities can fluctuate as a result of the timing of customer orders and revenues.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acquisition of property, plant and equipment increased $11.2 million in the first nine months of 2008 compared with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2007, consisting primarily of manufacturing equipment for production capacity expansion and our new AMI product line. Cash paid for the acquisition of Actaris in 2007 was approximately $1.7 billion. In the first nine months of 2007, $35.0 million in short-term investments matured with the proceeds used to partially fund the Actaris acquisition.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financed the April 18, 2007 acquisition of Actaris with proceeds from a new credit facility and sale of common stock.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facility were $1.2 billion in the first nine months of 2007, partially offset by debt placement fees of $22.0 million. Net proceeds from the sale of common stock were $311 million in 2008 and $225.3 million in 2007. The net proceeds from the 2008 sale of common stock were primarily used to repay a portion of our non-convertible debt. Cash generated from the exercise of stock-based awards was $12.4 million during the first nine months of 2008, compared with $17.8 million for the same period in 2007. During the first nine months of 2008, we repaid $384.4 million of the credit facility, compared with $37.3 million for the same period in 2007.</w:t>
      </w:r>
    </w:p>
    <w:p>
      <w:pPr>
        <w:spacing w:after="0" w:line="2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Effect of exchange rates on cash and cash equivalents</w:t>
      </w:r>
      <w:r>
        <w:rPr>
          <w:rFonts w:ascii="Arial" w:cs="Arial" w:eastAsia="Arial" w:hAnsi="Arial"/>
          <w:sz w:val="17"/>
          <w:szCs w:val="17"/>
          <w:color w:val="auto"/>
        </w:rPr>
        <w:t>: The effect of exchange rates on the cash balances of currencies held in foreign denominations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euros) for the nine months ended September 30, 2008 was an increase of $569,000 compared with $2.4 million for the same period in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had no off-balance sheet financing agreements or guarantees at September 30, 2008 and December 31, 2007 that we believe were reasonably likely to have a current or future effect on our financial condition, results of operations or cash flows.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Operating cash flows can fluctuate and are sensitive to many factors including changes in working capital and the timing and magnitude of capital expenditures.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Actaris acquisition in 2007 was financed in part by a $1.2 billion credit facility. The credit facility, dated April 18, 2007, was comprised of a $605.1 million first lien U.S. dollar denominated term loan; a €335 million first lien euro denominated term loan; a £50 million first lien pound sterling denominated term loan (collectively the term loans); and a $115 million multicurrency revolving line-of-credit (revolver). Our loan balances denominated in currencies other than the U.S. dollar fluctuate due to currency exchange rates. Interest rates on the credit facility are based on the respective borrowing’s denominated London Inter Bank Offering Rate (LIBOR) or the Wells Fargo Bank, National Association’s prime rate, plus an additional margin subject to factors including our consolidated leverage ratio. In accordance with our Credit Agreement, when our consolidated leverage ratio decreases below 4.5 times, the applicable margin decreases from 2.0% to 1.75%. On August 5, 2008, upon completion of our quarterly compliance certificate, our applicable margin decreased to 1.75%.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Prepaid debt fees are amortized using the effective interest method through the term loans’ earliest maturity date, as defined by the credit agreement. The credit facility is secured by substantially all of the assets of Itron, Inc., our operating subsidiaries, except our international subsidiaries, and contains covenants, which contain certain financial ratios and place restrictions on the incurrence of debt, the payment of dividends, certain investments, incurrence of capital expenditures above a set limit and mergers. We were in compliance with these debt covenants at September 30, 2008. At September 30, 2008, there were no borrowings outstanding under the revolver and $49.1 million was utilized by outstanding standby letters of credit resulting in $65.9 million being available for additional borrowings.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repaid $34.7 million in borrowings during the three months ended September 30, 2008 and $384.4 million in borrowings during the nine months ended September 30, 2008. These repayments were made with cash flows from operations and $311 million in net proceeds from the completed sale of 3.4 million shares of our common stock.</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Subordinated Notes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2004, we issued $125 million of 7.75% senior subordinated notes (subordinated notes) due in 2012. The subordinated notes are registered with the SEC and are generally transferable. Fixed interest payments are required every six months, in May and November. The notes are subordinated to our credit facility (senior secured borrowings) and are guaranteed by all of our operating subsidiaries, except for our international subsidiaries. The subordinated notes contain covenants, which place restrictions on the incurrence of debt, the payment of dividends, certain investments and mergers. We were in compliance with these debt covenants at September 30, 2008. From time to time, we may reacquire a portion of the subordinated notes on the open market, resulting in the early extinguishment of debt. During 2008, we reacquired $14.4 million in principal amount of the subordinated notes. The balance of the subordinated notes, including accreted discount, was $110.2 million at September 30, 2008. Some or all of the subordinated notes may be redeemed at our option at any time on or after May 15, 2008 at a redemption price of 103.875% of their principal amount, decreasing to 101.938% on May 15, 2009 and 100.000% on May 15, 2010.</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4, 2006, we issued $345 million of 2.50% convertible notes due August 2026. Fixed interest payments of $4.3 million are required every six months, in February and August. The convertible notes contain purchase options, at the option of the holders, which may require us to repurchase all or a portion of the convertible notes on August 1, 2011, August 1, 2016 and August 1, 2021 at 100% of the principal amount, plus accrued and unpaid interest. The convertible notes may be converted at the option of the holder at a conversion rate of 15.3478 shares of our common stock for each $1,000 principal amount of the convertible notes, under the following circumstances, as defined in the indenture (filed with the SEC on November 6, 2006 as Exhibit 4.16 our Quarterly Report on Form 10-Q):</w:t>
      </w:r>
    </w:p>
    <w:p>
      <w:pPr>
        <w:spacing w:after="0" w:line="221" w:lineRule="exact"/>
        <w:rPr>
          <w:sz w:val="20"/>
          <w:szCs w:val="20"/>
          <w:color w:val="auto"/>
        </w:rPr>
      </w:pPr>
    </w:p>
    <w:p>
      <w:pPr>
        <w:jc w:val="both"/>
        <w:ind w:left="980" w:hanging="323"/>
        <w:spacing w:after="0" w:line="249" w:lineRule="auto"/>
        <w:tabs>
          <w:tab w:leader="none" w:pos="9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during any fiscal quarter commencing after September 30, 2006, if the closing sale price per share of our common stock exceeds $78.19, which is 120% of the conversion price of $65.16, for at least 20 trading days in the 30 consecutive trading day period ending on the last trading day of the preceding fiscal quarter;</w:t>
      </w:r>
    </w:p>
    <w:p>
      <w:pPr>
        <w:spacing w:after="0" w:line="1" w:lineRule="exact"/>
        <w:rPr>
          <w:rFonts w:ascii="Courier New" w:cs="Courier New" w:eastAsia="Courier New" w:hAnsi="Courier New"/>
          <w:sz w:val="18"/>
          <w:szCs w:val="18"/>
          <w:color w:val="auto"/>
        </w:rPr>
      </w:pPr>
    </w:p>
    <w:p>
      <w:pPr>
        <w:ind w:left="980" w:hanging="323"/>
        <w:spacing w:after="0" w:line="232" w:lineRule="auto"/>
        <w:tabs>
          <w:tab w:leader="none" w:pos="9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between July 1, 2011 and August 1, 2011, and any time after August 1, 2024;</w:t>
      </w:r>
    </w:p>
    <w:p>
      <w:pPr>
        <w:ind w:left="980" w:hanging="323"/>
        <w:spacing w:after="0" w:line="241" w:lineRule="auto"/>
        <w:tabs>
          <w:tab w:leader="none" w:pos="9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323"/>
        <w:spacing w:after="0" w:line="232" w:lineRule="auto"/>
        <w:tabs>
          <w:tab w:leader="none" w:pos="9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if the convertible notes are called for redemption;</w:t>
      </w:r>
    </w:p>
    <w:p>
      <w:pPr>
        <w:ind w:left="980" w:hanging="323"/>
        <w:spacing w:after="0" w:line="232" w:lineRule="auto"/>
        <w:tabs>
          <w:tab w:leader="none" w:pos="9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if a fundamental change occurs; or</w:t>
      </w:r>
    </w:p>
    <w:p>
      <w:pPr>
        <w:ind w:left="980" w:hanging="323"/>
        <w:spacing w:after="0" w:line="232" w:lineRule="auto"/>
        <w:tabs>
          <w:tab w:leader="none" w:pos="9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upon the occurrence of defined corporate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principal amount will be less than the $1,000 principal amount and will be settled in cash.</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convertible notes are unsecured and subordinate to all of our existing and future senior secured borrowings. The convertible notes are unconditionally guaranteed, joint and severally, by all of our operating subsidiaries, except for our international subsidiaries, all of which are wholly owned. The convertible notes contain covenants, which place restrictions on the incurrence of debt and certain mergers. We were in compliance with these debt covenants at September 30, 2008.</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September 30, 2008, the contingent conversion threshold was exceeded as the closing sale price per share of our common stock exceeded $78.19, which is 120% of the conversion price of $65.16, for at least 20 trading days in the 30 consecutive trading day period ended September 30, 2008. As a result, the notes are convertible at the option of the holder through the fourth quarter of 2008, and accordingly, the aggregate principal amount of the convertible notes at September 30, 2008 is included in the current portion of long-term debt. At December 31, 2007, the contingent conversion threshold was not exceeded and, therefore, the aggregate principal amount of the convertible notes is included in long-term debt. We believe it is unlikely that a significant portion of the convertible notes would be converted in the near-term because the market value of the convertible notes exceeds the value that holders of the convertible notes would receive upon conversion. As our stock price is subject to fluctuation, the contingent conversion threshold may be exceeded during any quarter prior to July 2011, and the notes subject to conversion.</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2008, the Financial Accounting Standards Board (FASB) issued FASB Staff Position (FSP) APB 14-1, </w:t>
      </w:r>
      <w:r>
        <w:rPr>
          <w:rFonts w:ascii="Arial" w:cs="Arial" w:eastAsia="Arial" w:hAnsi="Arial"/>
          <w:sz w:val="17"/>
          <w:szCs w:val="17"/>
          <w:i w:val="1"/>
          <w:iCs w:val="1"/>
          <w:color w:val="auto"/>
        </w:rPr>
        <w:t>Accounting for Convertible Debt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That May Be Settled in Cash upon Conversion</w:t>
      </w:r>
      <w:r>
        <w:rPr>
          <w:rFonts w:ascii="Arial" w:cs="Arial" w:eastAsia="Arial" w:hAnsi="Arial"/>
          <w:sz w:val="17"/>
          <w:szCs w:val="17"/>
          <w:color w:val="auto"/>
        </w:rPr>
        <w:t>, addressing convertible instruments that may be settled in cash upon conversion. This FSP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issued for fiscal years and interim periods beginning after December 15, 2008 and must be applied retrospectively to all periods presented at the time of adoption. We will adopt the FSP on January 1, 2009. We expect the impact of the FSP to be material to our condensed consolidated financial statements and are currently evaluating and quantifying the impact on specific accounts and disclosures.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Sources and Uses of Capital</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In addition to the outstanding standby letters of credit of $49.1 million issued under our credit facility’s $115 million multicurrency revolver, our Actaris operating segment has a total of $26.5 million of unsecured multicurrency revolving lines of credit with various financial institutions with total outstanding standby letters of credit of $5.9 million at September 30, 2008. Unsecured surety bonds in force were $12.7 million and $13.8 million at September 30, 2008 and December 31, 2007, respectively. In the event any such bonds or letters of credit are called, we would be obligated to reimburse the issuer of the letter of credit or bond; however, we do not believe that any currently outstanding bonds or letters of credit will be called.</w:t>
      </w:r>
    </w:p>
    <w:p>
      <w:pPr>
        <w:spacing w:after="0" w:line="2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net deferred tax assets consist primarily of accumulated net operating loss carryforwards, hedging activities and tax credits that can be carried forward, some of which are limited by Internal Revenue Code Sections 382 and 383. The limited deferred tax assets resulted primarily from acquisitions. Based on current projections, we expect to pay minimal U.S. federal and state taxes and approximately $24.7 million in local and foreign taxes in 2008.</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sponsor both funded and unfunded non-U.S. defined benefit pension plans offering death and disability, retirement and special termination benefits to employees in Germany, France, Spain, Italy, Belgium, Chile, Portugal, Hungary and Indonesia. These plans were assumed with the acquisition of Actaris on April 18, 2007. Our general funding policy for these qualified pension plans is to contribute amounts at least sufficient to satisfy regulatory funding standards of the respective countries for each plan. For 2008, we expect to contribute a total of $500,000 to our defined benefit pension plans. Our expected contribution assumes that actual plan asset returns are consistent with our expected rate of return and that interest rates remain constant. For the three and nine months ended September 30, 2008, we contributed approximately $33,000 and $126,000, respectively, to the defined benefit pension plans.</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Working capital, which represents current assets less current liabilities, was ($54.6) million at September 30, 2008, compared with $249.6 million at December 31, 2007. The $304.2 million decrease in working capital resulted primarily from the $345 million aggregate principal amount of convertible notes being reclassified from long-term to current debt at September 30, 2008 as the contingent conversion threshold was exceeded at September 30, 2008.</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remainder of the year and into the foreseeable future, but offer no assurances. Our liquidity could be affected by the stability of the energy and water industries, competitive pressures, international risks, intellectual property claims, capital market fluctuations and other factors described under “Risk Factors” within Item 1A of Part 1 of our Annual Report on Form 10-K for the fiscal </w:t>
      </w:r>
      <w:r>
        <w:rPr>
          <w:rFonts w:ascii="Arial" w:cs="Arial" w:eastAsia="Arial" w:hAnsi="Arial"/>
          <w:sz w:val="16"/>
          <w:szCs w:val="16"/>
          <w:color w:val="auto"/>
        </w:rPr>
        <w:t>year ended</w:t>
      </w:r>
      <w:r>
        <w:rPr>
          <w:rFonts w:ascii="Arial" w:cs="Arial" w:eastAsia="Arial" w:hAnsi="Arial"/>
          <w:sz w:val="18"/>
          <w:szCs w:val="18"/>
          <w:color w:val="auto"/>
        </w:rPr>
        <w:t xml:space="preserve"> </w:t>
      </w:r>
      <w:r>
        <w:rPr>
          <w:rFonts w:ascii="Arial" w:cs="Arial" w:eastAsia="Arial" w:hAnsi="Arial"/>
          <w:sz w:val="16"/>
          <w:szCs w:val="16"/>
          <w:color w:val="auto"/>
        </w:rPr>
        <w:t>December 31, 2007, which was filed with the SEC on February 26, 2008, as well as in our “Quantitative and Qualitative Disclosures About Market Risk” within Item 3 of Part 1, included in this Quarterly Report on Form 10-Q.</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and related pronouncements. In accordance with SFAS 5, a liability is recorded and charged to operating expense when we determine that a loss is probable and the amount can be reasonably estimated. Additionally, we disclose contingencies for which a material loss is reasonably possible, but not probable. Legal contingencies at September 30, 2008 were not material to our financial condition or results of operations.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PT Mecoindo is a joint venture in Indonesia between PT Berca and one of the Actaris subsidiaries. PT Berca is the minority shareholder in PT Mecoindo and has sued several Actaris subsidiaries and the successor in interest to another company previously owned by Schlumberger. PT Berca claims that it had preemptive rights in the joint venture and has sought to nullify the transaction in 2001 whereby Schlumberger transferred its ownership interest in PT Mecoindo to an Actaris subsidiary. The plaintiff also seeks to collect damages for the earnings it otherwise would have earned had its alleged preemptive rights been observed. The Indonesian courts have awarded 129.6 billion rupiahs ($13.8 million) in damages, plus accrued interest at 18% annually, against the defendants and have invalidated the 2001 transfer of the Mecoindo interest to a subsidiary of Actaris. All of the parties have appealed the matter and it is currently pending before the Indonesian Supreme Court. We intend to continue vigorously defending our interest. In addition, Actaris has notified Schlumberger that it will seek to have Schlumberger indemnify Actaris from any damages it may incur as a result of this claim. In any event, we do not believe that an adverse outcome is likely to have a material adverse impact to our financial condition or results of operations.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2008, IP Co. LLC filed a complaint in the U.S. District Court for the Eastern District of Texas against Itron, Inc., CenterPoint Energy and Eaton Corp. alleging infringement of a patent owned by IP Co. LLC. The complaint alleges that one U.S. patent, concerning wireless mesh networking systems that optimize data sent across a general area, is being infringed by the defendants. The complaint seeks unspecified damages as well as injunctive relief. We believe these claims are without merit and we intend to vigorously defend our interests. In any event, we do not believe an adverse outcome is likely nor do we believe an adverse outcome will have a material adverse impact to our financial condition or results of operations.</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majority of our revenues are recognized when products are shipped to or received by a customer or when services are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For arrangements involving multiple elements,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percentage-of-completion when implementation services are essential to other elements in the arrangements, 4) upon receipt of customer acceptance or 5) transfer of title. Fair values represent the estimated price charged when an item is sold separately. We review our fair values on an annual basis or more frequently if a significant trend is noted.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for delivered elements when the delivered elements have standalone value and we have objective and reliable evidence of fair value for each undelivered element. If the fair value of any undelivered element included in a multiple element arrangement cannot be objectively determined, revenue is deferred until all elements are delivered and services have been performed, or until fair value can objectively be determined for any remaining undelivered elements.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implementation services are essential to a software arrangement, revenue is recognized using either the percentage-of-completion methodology if project costs can be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 Hardware and software post-sale maintenance support fees are recognized ratably over the performance period.</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is recorded for products or services for which cash has been received from a customer but for which the criteria for revenue recognition has not been met as of the balance sheet date. Unearned revenue relates to payments received from customers in connection with product and service invoicing for which revenue recognition criteria has not been met. Shipping and handling costs and incidental expenses billed to customers are recorded as revenue, with the associated cost charged to cost of revenues.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offer standard warranties on our hardware products and large application software products. We accrue the estimated cost of projected warranty</w:t>
      </w:r>
      <w:r>
        <w:rPr>
          <w:rFonts w:ascii="Arial" w:cs="Arial" w:eastAsia="Arial" w:hAnsi="Arial"/>
          <w:sz w:val="16"/>
          <w:szCs w:val="16"/>
          <w:i w:val="1"/>
          <w:iCs w:val="1"/>
          <w:color w:val="auto"/>
        </w:rPr>
        <w:t xml:space="preserve"> </w:t>
      </w:r>
      <w:r>
        <w:rPr>
          <w:rFonts w:ascii="Arial" w:cs="Arial" w:eastAsia="Arial" w:hAnsi="Arial"/>
          <w:sz w:val="16"/>
          <w:szCs w:val="16"/>
          <w:color w:val="auto"/>
        </w:rPr>
        <w:t>claims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 The long-term warranty balance includes estimated warranty claims beyond one year.</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Items are removed from inventory using the first-in, first-out method. Inventories include raw materials, sub-assemblies and finished goods.</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 In accordance with SFAS 141,</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we record the results of operations of an acquired business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We make preliminary allocations of the purchase price to the assets acquired and liabilities assumed based on estimated fair value assessments. Until we finalize the fair values, we may have changes to the carrying values of tangible and intangible assets, goodwill, commitments and contingencies, liabilities, deferred taxes, uncertain tax positions and restructuring activities. Amounts allocated to IPR&amp;D are expensed in the period of acquisition. Costs to complete the IPR&amp;D are expensed in the subsequent period as incurred. We may experience unforeseen problems in the development or performance of the IPR&amp;D, we may not meet our product development schedules or we may not achieve market acceptance of these new products or solutions.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Goodwill and intangible assets result from our acquisitions. We use estimates in determining the value assigned to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intangible assets, including estimates of useful lives of intangible assets, discounted future cash flows and fair values of the related operations. We test goodwill for impairment each year as of October 1, under the guidance of SFAS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Our Itron North America operating segment represents one reporting unit, while our Actaris operating segment has three reporting units. We forecast discounted future cash flows at the reporting unit level based on estimated future revenues and operating costs, which take into consideration factors such as existing backlog, expected future orders, supplier contracts and general market conditions. Changes in our forecasts or cost of capital may result in asset value adjustments, which could have a significant effect on our current and future results of operations and financial condition. Intangible assets with a finite life are amortized over their estimated useful life based on estimated discounted cash flows and are tested for impairment when events or changes in circumstances indicate the carrying value may not be recoverable.</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We measure compensation cost for stock-based awards at fair value and recognize compensation cost over the service period for</w:t>
      </w:r>
      <w:r>
        <w:rPr>
          <w:rFonts w:ascii="Arial" w:cs="Arial" w:eastAsia="Arial" w:hAnsi="Arial"/>
          <w:sz w:val="17"/>
          <w:szCs w:val="17"/>
          <w:i w:val="1"/>
          <w:iCs w:val="1"/>
          <w:color w:val="auto"/>
        </w:rPr>
        <w:t xml:space="preserve"> </w:t>
      </w:r>
      <w:r>
        <w:rPr>
          <w:rFonts w:ascii="Arial" w:cs="Arial" w:eastAsia="Arial" w:hAnsi="Arial"/>
          <w:sz w:val="17"/>
          <w:szCs w:val="17"/>
          <w:color w:val="auto"/>
        </w:rPr>
        <w:t>awards expected to vest. We use the Black-Scholes option-pricing model, which requires the input of assumptions, including the estimated length of time employees will retain their vested stock options before exercising them (expected term) and the estimated volatility of our common stock’s price over the expected term. Furthermore, in calculating compensation for these awards, we are also required to estimate the approximate number of options that will be forfeited prior to completing their vesting requirement (forfeitures). We consider many factors when estimating expected forfeitures, including types of awards, employee class and historical experience. To the extent actual results or updated estimates differ from our current estimates, such amounts will be recorded as a cumulative adjustment in the period estimates are revised.</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Bonus and Profit Sharing: </w:t>
      </w:r>
      <w:r>
        <w:rPr>
          <w:rFonts w:ascii="Arial" w:cs="Arial" w:eastAsia="Arial" w:hAnsi="Arial"/>
          <w:sz w:val="18"/>
          <w:szCs w:val="18"/>
          <w:color w:val="auto"/>
        </w:rPr>
        <w:t>We have employee bonus and profit sharing plans which provide award amounts for the achievement of annual financial and</w:t>
      </w:r>
      <w:r>
        <w:rPr>
          <w:rFonts w:ascii="Arial" w:cs="Arial" w:eastAsia="Arial" w:hAnsi="Arial"/>
          <w:sz w:val="18"/>
          <w:szCs w:val="18"/>
          <w:i w:val="1"/>
          <w:iCs w:val="1"/>
          <w:color w:val="auto"/>
        </w:rPr>
        <w:t xml:space="preserve"> </w:t>
      </w:r>
      <w:r>
        <w:rPr>
          <w:rFonts w:ascii="Arial" w:cs="Arial" w:eastAsia="Arial" w:hAnsi="Arial"/>
          <w:sz w:val="18"/>
          <w:szCs w:val="18"/>
          <w:color w:val="auto"/>
        </w:rPr>
        <w:t>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Defined Benefit Pension Plans: </w:t>
      </w:r>
      <w:r>
        <w:rPr>
          <w:rFonts w:ascii="Arial" w:cs="Arial" w:eastAsia="Arial" w:hAnsi="Arial"/>
          <w:sz w:val="16"/>
          <w:szCs w:val="16"/>
          <w:color w:val="auto"/>
        </w:rPr>
        <w:t>We sponsor both funded and unfunded non-U.S. defined benefit pension plans. FASB Statement 87,</w:t>
      </w:r>
      <w:r>
        <w:rPr>
          <w:rFonts w:ascii="Arial" w:cs="Arial" w:eastAsia="Arial" w:hAnsi="Arial"/>
          <w:sz w:val="16"/>
          <w:szCs w:val="16"/>
          <w:i w:val="1"/>
          <w:iCs w:val="1"/>
          <w:color w:val="auto"/>
        </w:rPr>
        <w:t xml:space="preserve"> Employers' Accounting for Pensions</w:t>
      </w:r>
      <w:r>
        <w:rPr>
          <w:rFonts w:ascii="Arial" w:cs="Arial" w:eastAsia="Arial" w:hAnsi="Arial"/>
          <w:sz w:val="16"/>
          <w:szCs w:val="16"/>
          <w:color w:val="auto"/>
        </w:rPr>
        <w:t>, as amended by SFAS 158,</w:t>
      </w:r>
      <w:r>
        <w:rPr>
          <w:rFonts w:ascii="Arial" w:cs="Arial" w:eastAsia="Arial" w:hAnsi="Arial"/>
          <w:sz w:val="16"/>
          <w:szCs w:val="16"/>
          <w:i w:val="1"/>
          <w:iCs w:val="1"/>
          <w:color w:val="auto"/>
        </w:rPr>
        <w:t xml:space="preserve"> Employers' Accounting for Defined Benefit Pension and Other Postretirement Plans</w:t>
      </w:r>
      <w:r>
        <w:rPr>
          <w:rFonts w:ascii="Arial" w:cs="Arial" w:eastAsia="Arial" w:hAnsi="Arial"/>
          <w:sz w:val="16"/>
          <w:szCs w:val="16"/>
          <w:color w:val="auto"/>
        </w:rPr>
        <w:t>, requires the assets acquired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assumed in a business combination to include a liability for the projected benefit obligation in excess of plan assets or an asset for plan assets in excess of the projected benefit obligation. SFAS 158 also requires employers to recognize the funded status of their defined benefit pension plans on their consolidated balance sheet and recognize as a component of other comprehensive income, net of tax, the actuarial gains or losses, prior service costs or credits and transition assets or obligations, if any, that arise during the period but are not recognized as components of net periodic benefit cost. Our general funding policy for these qualified pension plans is to contribute amounts at least sufficient to satisfy regulatory funding standards of the respective countries for each plan. For 2008, we expect to contribute a total of $500,000 to our defined benefit pension plans. Our expected contribution assumes that actual plan asset returns are consistent with our expected rate of return and that interest rates remain constant. For the three and nine months ended September 30, 2008, we contributed approximately $33,000 and $126,000, respectively, to the defined benefit pension plans.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estimate income taxes in each of the taxing jurisdictions in which we operate. Changes in our effective tax rate are subject to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factors, including fluctuations in operating results, new or revised tax legislation and accounting pronouncements, changes in the level of business performed in domestic and international jurisdictions, research credits, state income taxes and adjustments to valuation allowances, among other items. Significant judgment is required in determining our annual tax rate and in evaluating our tax positions. At the end of each interim period, we make our best estimate of the effective tax rate expected to be applicable for the full fiscal year and the impact of discrete items, if any, and adjust the quarterly rate, as necessary. Income taxes are accounted for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We assess the likelihood that deferred tax assets, which include net operating loss carryforwards and temporary differences expected to be deductible in future years, will be recoverable. The realization of our deferred tax asset related to net operating loss carryforwards is supported by projections of future profitability. If recovery of the deferred tax asset is not more likely than not, we provide a valuation allowance based on estimates of future taxable income in the respective taxing jurisdiction and the amount of deferred taxes that are expected to be realizable. If future taxable income is different than expected, we will adjust the valuation allowances through income tax expense in future periods, creating variability in our calculated tax rates. We are also subject to audit in multiple taxing jurisdictions in which we operate. Tax liabilities are recorded based on estimates of additional taxes, which will be due upon the conclusion of these audits. Estimates of these tax liabilities are made based upon prior experience and are updated in light of changes in facts and circumstances. Due to the uncertain and complex application of tax regulations, it is possible that the ultimate resolution of audits may result in liabilities, which could be different from these estimates. These audits can involve complex issues, which may require an extended period of time to resolve. We believe we have recorded adequate income tax provisions and FIN 48 reserves.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We evaluate whether our tax benefits claimed or expected to be claimed on a tax return should be recorded in the financial statements in accordance with FIN</w:t>
      </w:r>
    </w:p>
    <w:p>
      <w:pPr>
        <w:spacing w:after="0" w:line="46" w:lineRule="exact"/>
        <w:rPr>
          <w:sz w:val="20"/>
          <w:szCs w:val="20"/>
          <w:color w:val="auto"/>
        </w:rPr>
      </w:pPr>
    </w:p>
    <w:p>
      <w:pPr>
        <w:jc w:val="both"/>
        <w:ind w:firstLine="8"/>
        <w:spacing w:after="0" w:line="253" w:lineRule="auto"/>
        <w:tabs>
          <w:tab w:leader="none" w:pos="282"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FIN 48, we recognize the tax benefit from an uncertain tax position only if it is more likely than not that the tax position will be sustained upon examination by the taxing authorities based solely on the technical merits of the position. The tax benefits recognized in the financial statements from such a position should be measured based on the largest benefit that has a greater than fifty percent likelihood of being realized upon ultimate settlement. We classify interest expense and penalties related to unrecognized tax benefits and interest income on tax overpayments as components of income tax expense. We believe we have recorded adequate income tax provisions.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Legal Contingencies: </w:t>
      </w:r>
      <w:r>
        <w:rPr>
          <w:rFonts w:ascii="Arial" w:cs="Arial" w:eastAsia="Arial" w:hAnsi="Arial"/>
          <w:sz w:val="17"/>
          <w:szCs w:val="17"/>
          <w:color w:val="auto"/>
        </w:rPr>
        <w:t>We are subject to various legal proceedings and claims of which the outcomes are subject to significant uncertainty. Our policy is to</w:t>
      </w:r>
      <w:r>
        <w:rPr>
          <w:rFonts w:ascii="Arial" w:cs="Arial" w:eastAsia="Arial" w:hAnsi="Arial"/>
          <w:sz w:val="17"/>
          <w:szCs w:val="17"/>
          <w:i w:val="1"/>
          <w:iCs w:val="1"/>
          <w:color w:val="auto"/>
        </w:rPr>
        <w:t xml:space="preserve"> </w:t>
      </w:r>
      <w:r>
        <w:rPr>
          <w:rFonts w:ascii="Arial" w:cs="Arial" w:eastAsia="Arial" w:hAnsi="Arial"/>
          <w:sz w:val="17"/>
          <w:szCs w:val="17"/>
          <w:color w:val="auto"/>
        </w:rPr>
        <w:t>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and related pronouncements. In accordance with SFAS 5, a liability is recorded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We account for derivative instruments and hedging activities in accordance with SFAS 133, as amended. All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whether designated in hedging relationships or not, are recorded on the Condensed Consolidated Balance Sheets at fair value as either assets or liabilities. The components and fair values of our derivative instruments are determined using the fair value measurements of significant other observable inputs (Level 2), as defined by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If the derivative is a net investment hedge, the effective portion of any unrealized gain or loss is reported in accumulated other comprehensive income as a net unrealized gain or loss on derivative instruments. Ineffective portions of fair value changes or derivative instruments that do not qualify for hedging activities are recognized in other income (expense) in the Condensed Consolidated Statement of Operations. We classify cash flows from our derivative programs as cash flows from operating activities in the Condensed Consolidated Statements of Cash Flows. Derivatives are not used for trading or speculative purposes. Counterparties to our currency exchange and interest rate derivatives consist of major international financial institutions. We monitor our positions and include the credit risk of our counterparties when valuing our derivatives.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Foreign Exchange: </w:t>
      </w:r>
      <w:r>
        <w:rPr>
          <w:rFonts w:ascii="Arial" w:cs="Arial" w:eastAsia="Arial" w:hAnsi="Arial"/>
          <w:sz w:val="16"/>
          <w:szCs w:val="16"/>
          <w:color w:val="auto"/>
        </w:rPr>
        <w:t>Our condensed consolidated financial statements are reported in U.S. dollars. Assets and liabilities of international subsidiaries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non-U.S. dollar functional currency are translated to U.S. dollars at the exchange rates in effect on the balance sheet date, or the last business day of the period, if applicable. Revenues and expenses for these subsidiaries are translated to U.S. dollars using an average rate for the relevant reporting period. Translation adjustments resulting from this process are included, net of tax, in accumulated other comprehensive income in shareholders’ equity. Gains and losses that arise from exchange rate fluctuations for balances that are not denominated in the functional currency are included in the Condensed Consolidated Statements of Operations. Currency gains and losses of intercompany balances deemed to be long-term in nature or considered to be hedges of the net investment in international subsidiaries are included, net of tax, in accumulated other comprehensive income in shareholders’ equity.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December 2007, the FASB issued SFAS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which replaces SFAS 141. SFAS 141(R) retains the fundamental purchase method of accounting for acquisitions, but requires a number of changes, including the way assets and liabilities are recognized in purchase accounting. SFAS 141(R) requires the recognition of assets acquired and liabilities assumed arising from contingencies to be recorded at fair value on the acquisition date; that IPR&amp;D be capitalized as an intangible asset and amortized over its estimated useful life; and that acquisition-related costs are expensed as incurred. SFAS 141(R) also requires that restructuring costs generally be expensed in periods subsequent to the acquisition date and that changes in accounting for deferred tax asset valuation allowances and acquired income tax uncertainties after the measurement period be recognized as a component of provision for taxes. SFAS 141(R) is effective for business combinations for which the acquisition date is on or after the beginning of the first annual reporting period beginning on or after December 15, 2008. We will apply SFAS 141(R) to any acquisition after the date of adoption.</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February 2008, the FASB issued FSP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which delays the effective date of SFAS 157 for nonfinancial assets and nonfinancial liabilities, except those that are recognized or disclosed at fair value in the financial statements on a recurring basis (at least annually) to fiscal years beginning after November 15, 2008 and interim periods within those fiscal years (see Financial Statements, Note 1). We are currently assessing the impact of SFAS 157 for nonfinancial assets and nonfinancial liabilities on our condensed consolidated financial statements.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2007, the FASB issued SFAS 160, </w:t>
      </w:r>
      <w:r>
        <w:rPr>
          <w:rFonts w:ascii="Arial" w:cs="Arial" w:eastAsia="Arial" w:hAnsi="Arial"/>
          <w:sz w:val="17"/>
          <w:szCs w:val="17"/>
          <w:i w:val="1"/>
          <w:iCs w:val="1"/>
          <w:color w:val="auto"/>
        </w:rPr>
        <w:t>Noncontrolling Interests in Consolidated Financial Statements - an amendment of ARB No. 51</w:t>
      </w:r>
      <w:r>
        <w:rPr>
          <w:rFonts w:ascii="Arial" w:cs="Arial" w:eastAsia="Arial" w:hAnsi="Arial"/>
          <w:sz w:val="17"/>
          <w:szCs w:val="17"/>
          <w:color w:val="auto"/>
        </w:rPr>
        <w:t>, which changes the accounting and reporting for minority interests. Minority interests will be re-characterized as noncontrolling interests and will be reported as a component of equity, separate from the parent’s equity, and purchases or sales of equity interests that do not result in a change in control will be accounted for as equity transactions. In addition, net income attributable to the noncontrolling interest will be included in consolidated net income on the face of the income statement and upon a loss of control, the interest sold, as well as any interest retained, will be recorded at fair value with any gain or loss recognized in earnings. SFAS 160 is effective for fiscal years beginning after December 15, 2008, and will be adopted by us in the first quarter of 2009. SFAS 160 is currently not expected to have a material effect on our condensed consolidated financial statements.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2008, the FASB issued SFAS 161, </w:t>
      </w:r>
      <w:r>
        <w:rPr>
          <w:rFonts w:ascii="Arial" w:cs="Arial" w:eastAsia="Arial" w:hAnsi="Arial"/>
          <w:sz w:val="17"/>
          <w:szCs w:val="17"/>
          <w:i w:val="1"/>
          <w:iCs w:val="1"/>
          <w:color w:val="auto"/>
        </w:rPr>
        <w:t>Disclosures about Derivative Instruments and Hedging Activities – an amendment of FASB Statement 133</w:t>
      </w:r>
      <w:r>
        <w:rPr>
          <w:rFonts w:ascii="Arial" w:cs="Arial" w:eastAsia="Arial" w:hAnsi="Arial"/>
          <w:sz w:val="17"/>
          <w:szCs w:val="17"/>
          <w:color w:val="auto"/>
        </w:rPr>
        <w:t>, which requires enhanced disclosures about how and why derivative instruments are used, how derivative instruments and related hedged items are accounted for under SFAS 133 and its related interpretations and how derivative instruments and related hedged items affect an entity’s financial position, financial performance and cash flows. SFAS 161 also requires the fair values of derivative instruments and their gains and losses to be disclosed in a tabular format. SFAS 161 does not change how we record and account for derivative instruments. SFAS 161 is effective for fiscal years and interim periods beginning after November 15, 2008 and will be adopted by us in the first quarter of 2009.</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2008, the FASB issued FSP APB 14-1, </w:t>
      </w:r>
      <w:r>
        <w:rPr>
          <w:rFonts w:ascii="Arial" w:cs="Arial" w:eastAsia="Arial" w:hAnsi="Arial"/>
          <w:sz w:val="17"/>
          <w:szCs w:val="17"/>
          <w:i w:val="1"/>
          <w:iCs w:val="1"/>
          <w:color w:val="auto"/>
        </w:rPr>
        <w:t>Accounting for Convertible Debt Instruments That May Be Settled in Cash upon Conversion</w:t>
      </w:r>
      <w:r>
        <w:rPr>
          <w:rFonts w:ascii="Arial" w:cs="Arial" w:eastAsia="Arial" w:hAnsi="Arial"/>
          <w:sz w:val="17"/>
          <w:szCs w:val="17"/>
          <w:color w:val="auto"/>
        </w:rPr>
        <w:t>, addressing convertible instruments that may be settled in cash upon conversion. This FSP requires, among other things, the issuer to separately account for the liability and equity components of the convertible instrument in a manner that reflects the issuer’s non-convertible debt borrowing rate. This FSP is effective for financial statements issued for fiscal years and interim periods beginning after December 15, 2008 and must be applied retrospectively to all periods presented at the time of adoption. We will adopt the FSP on January 1, 2009. We expect the impact of the FSP to be material to our condensed consolidated financial statements and are currently evaluating and quantifying the impact on specific accounts and disclosures.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fair values of assets and liabilities. We use derivative contracts only to manage existing underlying exposures. Accordingly, we do not use derivative contracts for speculative purposes.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table below provides information about our financial instruments that are sensitive to changes in interest rates and the scheduled minimum repayment of principal over the remaining lives of our debt at September 30, 2008. As a result or our interest rate swaps, 85% of our borrowings are at fixed rates. Weighted average variable rates in the table are based on implied forward rates in the Wells Fargo swap yield curve as of October 1, 2008, our estimated ratio of funded debt to EBITDA, which determines our rate margin, and a static foreign exchange rate at September 30, 2008.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Beyond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520" w:type="dxa"/>
            <w:vAlign w:val="bottom"/>
          </w:tcPr>
          <w:p>
            <w:pPr>
              <w:spacing w:after="0"/>
              <w:rPr>
                <w:sz w:val="20"/>
                <w:szCs w:val="20"/>
                <w:color w:val="auto"/>
              </w:rPr>
            </w:pPr>
            <w:r>
              <w:rPr>
                <w:rFonts w:ascii="Arial" w:cs="Arial" w:eastAsia="Arial" w:hAnsi="Arial"/>
                <w:sz w:val="14"/>
                <w:szCs w:val="14"/>
                <w:i w:val="1"/>
                <w:iCs w:val="1"/>
                <w:color w:val="auto"/>
              </w:rPr>
              <w:t>Fixed Rate Debt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460"/>
              <w:spacing w:after="0" w:line="176" w:lineRule="exact"/>
              <w:rPr>
                <w:sz w:val="20"/>
                <w:szCs w:val="20"/>
                <w:color w:val="auto"/>
              </w:rPr>
            </w:pPr>
            <w:r>
              <w:rPr>
                <w:rFonts w:ascii="Arial" w:cs="Arial" w:eastAsia="Arial" w:hAnsi="Arial"/>
                <w:sz w:val="14"/>
                <w:szCs w:val="14"/>
                <w:color w:val="auto"/>
              </w:rPr>
              <w:t xml:space="preserve">Convertible senior subordinated notes </w:t>
            </w:r>
            <w:r>
              <w:rPr>
                <w:rFonts w:ascii="Arial" w:cs="Arial" w:eastAsia="Arial" w:hAnsi="Arial"/>
                <w:sz w:val="20"/>
                <w:szCs w:val="20"/>
                <w:color w:val="auto"/>
                <w:vertAlign w:val="superscript"/>
              </w:rPr>
              <w:t>(1)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345.0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345.0</w:t>
            </w:r>
          </w:p>
        </w:tc>
        <w:tc>
          <w:tcPr>
            <w:tcW w:w="0" w:type="dxa"/>
            <w:vAlign w:val="bottom"/>
          </w:tcPr>
          <w:p>
            <w:pPr>
              <w:spacing w:after="0"/>
              <w:rPr>
                <w:sz w:val="1"/>
                <w:szCs w:val="1"/>
                <w:color w:val="auto"/>
              </w:rPr>
            </w:pPr>
          </w:p>
        </w:tc>
      </w:tr>
      <w:tr>
        <w:trPr>
          <w:trHeight w:val="216"/>
        </w:trPr>
        <w:tc>
          <w:tcPr>
            <w:tcW w:w="3520" w:type="dxa"/>
            <w:vAlign w:val="bottom"/>
          </w:tcPr>
          <w:p>
            <w:pPr>
              <w:ind w:left="460"/>
              <w:spacing w:after="0"/>
              <w:rPr>
                <w:sz w:val="20"/>
                <w:szCs w:val="20"/>
                <w:color w:val="auto"/>
              </w:rPr>
            </w:pPr>
            <w:r>
              <w:rPr>
                <w:rFonts w:ascii="Arial" w:cs="Arial" w:eastAsia="Arial" w:hAnsi="Arial"/>
                <w:sz w:val="14"/>
                <w:szCs w:val="14"/>
                <w:color w:val="auto"/>
              </w:rPr>
              <w:t>Interest rate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2.50%</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460"/>
              <w:spacing w:after="0" w:line="176" w:lineRule="exact"/>
              <w:rPr>
                <w:sz w:val="20"/>
                <w:szCs w:val="20"/>
                <w:color w:val="auto"/>
              </w:rPr>
            </w:pPr>
            <w:r>
              <w:rPr>
                <w:rFonts w:ascii="Arial" w:cs="Arial" w:eastAsia="Arial" w:hAnsi="Arial"/>
                <w:sz w:val="14"/>
                <w:szCs w:val="14"/>
                <w:color w:val="auto"/>
              </w:rPr>
              <w:t xml:space="preserve">Senior subordinated notes </w:t>
            </w:r>
            <w:r>
              <w:rPr>
                <w:rFonts w:ascii="Arial" w:cs="Arial" w:eastAsia="Arial" w:hAnsi="Arial"/>
                <w:sz w:val="20"/>
                <w:szCs w:val="20"/>
                <w:color w:val="auto"/>
                <w:vertAlign w:val="superscript"/>
              </w:rPr>
              <w:t>(2)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110.6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110.6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Interest rate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line="216" w:lineRule="exact"/>
              <w:rPr>
                <w:sz w:val="20"/>
                <w:szCs w:val="20"/>
                <w:color w:val="auto"/>
              </w:rPr>
            </w:pPr>
            <w:r>
              <w:rPr>
                <w:rFonts w:ascii="Arial" w:cs="Arial" w:eastAsia="Arial" w:hAnsi="Arial"/>
                <w:sz w:val="14"/>
                <w:szCs w:val="14"/>
                <w:i w:val="1"/>
                <w:iCs w:val="1"/>
                <w:color w:val="auto"/>
              </w:rPr>
              <w:t xml:space="preserve">Variable Rate Debt </w:t>
            </w:r>
            <w:r>
              <w:rPr>
                <w:rFonts w:ascii="Arial" w:cs="Arial" w:eastAsia="Arial" w:hAnsi="Arial"/>
                <w:sz w:val="20"/>
                <w:szCs w:val="20"/>
                <w:i w:val="1"/>
                <w:iCs w:val="1"/>
                <w:color w:val="auto"/>
                <w:vertAlign w:val="superscript"/>
              </w:rPr>
              <w:t>(3)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460"/>
              <w:spacing w:after="0" w:line="149" w:lineRule="exact"/>
              <w:rPr>
                <w:sz w:val="20"/>
                <w:szCs w:val="20"/>
                <w:color w:val="auto"/>
              </w:rPr>
            </w:pPr>
            <w:r>
              <w:rPr>
                <w:rFonts w:ascii="Arial" w:cs="Arial" w:eastAsia="Arial" w:hAnsi="Arial"/>
                <w:sz w:val="14"/>
                <w:szCs w:val="14"/>
                <w:color w:val="auto"/>
              </w:rPr>
              <w:t>U.S. dollar term loan</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w:t>
            </w:r>
          </w:p>
        </w:tc>
        <w:tc>
          <w:tcPr>
            <w:tcW w:w="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351.4</w:t>
            </w:r>
          </w:p>
        </w:tc>
        <w:tc>
          <w:tcPr>
            <w:tcW w:w="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377.3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Average interest rate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Euro term loan</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351.6</w:t>
            </w:r>
          </w:p>
        </w:tc>
        <w:tc>
          <w:tcPr>
            <w:tcW w:w="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372.4</w:t>
            </w:r>
          </w:p>
        </w:tc>
        <w:tc>
          <w:tcPr>
            <w:tcW w:w="0" w:type="dxa"/>
            <w:vAlign w:val="bottom"/>
          </w:tcPr>
          <w:p>
            <w:pPr>
              <w:spacing w:after="0"/>
              <w:rPr>
                <w:sz w:val="1"/>
                <w:szCs w:val="1"/>
                <w:color w:val="auto"/>
              </w:rPr>
            </w:pPr>
          </w:p>
        </w:tc>
      </w:tr>
      <w:tr>
        <w:trPr>
          <w:trHeight w:val="216"/>
        </w:trPr>
        <w:tc>
          <w:tcPr>
            <w:tcW w:w="3520" w:type="dxa"/>
            <w:vAlign w:val="bottom"/>
          </w:tcPr>
          <w:p>
            <w:pPr>
              <w:ind w:left="460"/>
              <w:spacing w:after="0"/>
              <w:rPr>
                <w:sz w:val="20"/>
                <w:szCs w:val="20"/>
                <w:color w:val="auto"/>
              </w:rPr>
            </w:pPr>
            <w:r>
              <w:rPr>
                <w:rFonts w:ascii="Arial" w:cs="Arial" w:eastAsia="Arial" w:hAnsi="Arial"/>
                <w:sz w:val="14"/>
                <w:szCs w:val="14"/>
                <w:color w:val="auto"/>
              </w:rPr>
              <w:t>Average interest rate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6.89%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6.40%</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6.41%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460"/>
              <w:spacing w:after="0" w:line="216" w:lineRule="exact"/>
              <w:rPr>
                <w:sz w:val="20"/>
                <w:szCs w:val="20"/>
                <w:color w:val="auto"/>
              </w:rPr>
            </w:pPr>
            <w:r>
              <w:rPr>
                <w:rFonts w:ascii="Arial" w:cs="Arial" w:eastAsia="Arial" w:hAnsi="Arial"/>
                <w:sz w:val="14"/>
                <w:szCs w:val="14"/>
                <w:color w:val="auto"/>
              </w:rPr>
              <w:t xml:space="preserve">Interest rate swap on euro term loan </w:t>
            </w:r>
            <w:r>
              <w:rPr>
                <w:rFonts w:ascii="Arial" w:cs="Arial" w:eastAsia="Arial" w:hAnsi="Arial"/>
                <w:sz w:val="20"/>
                <w:szCs w:val="20"/>
                <w:color w:val="auto"/>
                <w:vertAlign w:val="superscript"/>
              </w:rPr>
              <w:t>(4)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Average interest rate (Pay)</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460"/>
              <w:spacing w:after="0"/>
              <w:rPr>
                <w:sz w:val="20"/>
                <w:szCs w:val="20"/>
                <w:color w:val="auto"/>
              </w:rPr>
            </w:pPr>
            <w:r>
              <w:rPr>
                <w:rFonts w:ascii="Arial" w:cs="Arial" w:eastAsia="Arial" w:hAnsi="Arial"/>
                <w:sz w:val="14"/>
                <w:szCs w:val="14"/>
                <w:color w:val="auto"/>
              </w:rPr>
              <w:t>Average interest rate (Receive)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7.14%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6.65%</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Net/Spread</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60"/>
              <w:spacing w:after="0" w:line="216" w:lineRule="exact"/>
              <w:rPr>
                <w:sz w:val="20"/>
                <w:szCs w:val="20"/>
                <w:color w:val="auto"/>
              </w:rPr>
            </w:pPr>
            <w:r>
              <w:rPr>
                <w:rFonts w:ascii="Arial" w:cs="Arial" w:eastAsia="Arial" w:hAnsi="Arial"/>
                <w:sz w:val="14"/>
                <w:szCs w:val="14"/>
                <w:color w:val="auto"/>
              </w:rPr>
              <w:t xml:space="preserve">Interest rate swap on USD term loan </w:t>
            </w:r>
            <w:r>
              <w:rPr>
                <w:rFonts w:ascii="Arial" w:cs="Arial" w:eastAsia="Arial" w:hAnsi="Arial"/>
                <w:sz w:val="20"/>
                <w:szCs w:val="20"/>
                <w:color w:val="auto"/>
                <w:vertAlign w:val="superscript"/>
              </w:rPr>
              <w:t>(5)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460"/>
              <w:spacing w:after="0"/>
              <w:rPr>
                <w:sz w:val="20"/>
                <w:szCs w:val="20"/>
                <w:color w:val="auto"/>
              </w:rPr>
            </w:pPr>
            <w:r>
              <w:rPr>
                <w:rFonts w:ascii="Arial" w:cs="Arial" w:eastAsia="Arial" w:hAnsi="Arial"/>
                <w:sz w:val="14"/>
                <w:szCs w:val="14"/>
                <w:color w:val="auto"/>
              </w:rPr>
              <w:t>Average interest rate (Pay)</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3.01%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0.00%</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Average interest rate (Receive)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20" w:type="dxa"/>
            <w:vAlign w:val="bottom"/>
          </w:tcPr>
          <w:p>
            <w:pPr>
              <w:ind w:left="460"/>
              <w:spacing w:after="0"/>
              <w:rPr>
                <w:sz w:val="20"/>
                <w:szCs w:val="20"/>
                <w:color w:val="auto"/>
              </w:rPr>
            </w:pPr>
            <w:r>
              <w:rPr>
                <w:rFonts w:ascii="Arial" w:cs="Arial" w:eastAsia="Arial" w:hAnsi="Arial"/>
                <w:sz w:val="14"/>
                <w:szCs w:val="14"/>
                <w:color w:val="auto"/>
              </w:rPr>
              <w:t>Net/Spread</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0.89%</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0.00%</w:t>
            </w: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340" w:hanging="245"/>
        <w:spacing w:after="0" w:line="232"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$345.0 million of 2.50% convertible notes due August 2026, with fixed interest payments of $4.3 million due every six months, in February and August. On September 30, 2008, the convertible notes exceeded the conversion threshold. As a result, the notes are convertible at the option of the holder through the fourth quarter of 2008, and accordingly, the aggregate principal amount of the convertible notes is included in the current portion of long-term debt (see Note 6).</w:t>
      </w:r>
    </w:p>
    <w:p>
      <w:pPr>
        <w:ind w:left="340" w:right="20" w:hanging="245"/>
        <w:spacing w:after="0" w:line="209"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 xml:space="preserve">The $110.6 million aggregate principal amount of 7.75% subordinated notes, due in 2012, was originally discounted to 99.265 per $100 of principal to yield 7.875% (see Note 6,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 w:lineRule="exact"/>
        <w:rPr>
          <w:rFonts w:ascii="Arial" w:cs="Arial" w:eastAsia="Arial" w:hAnsi="Arial"/>
          <w:sz w:val="25"/>
          <w:szCs w:val="25"/>
          <w:color w:val="auto"/>
          <w:vertAlign w:val="superscript"/>
        </w:rPr>
      </w:pPr>
    </w:p>
    <w:p>
      <w:pPr>
        <w:ind w:left="340" w:hanging="245"/>
        <w:spacing w:after="0" w:line="209"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 xml:space="preserve">The Actaris acquisition was financed in part by a $1.2 billion senior secured credit facility, of which $750 million remains outstanding at September 30, 2008 due to prepayments (see Note 6,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 w:lineRule="exact"/>
        <w:rPr>
          <w:rFonts w:ascii="Arial" w:cs="Arial" w:eastAsia="Arial" w:hAnsi="Arial"/>
          <w:sz w:val="25"/>
          <w:szCs w:val="25"/>
          <w:color w:val="auto"/>
          <w:vertAlign w:val="superscript"/>
        </w:rPr>
      </w:pPr>
    </w:p>
    <w:p>
      <w:pPr>
        <w:jc w:val="both"/>
        <w:ind w:left="340" w:hanging="245"/>
        <w:spacing w:after="0" w:line="228"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 xml:space="preserve">Interest rate swap to convert our €335 million euro denominated variable rate term loan to a fixed-rate debt obligation at a rate of 6.59% for the term of the loan, including expected prepayments. As a result of the expected prepayments, the interest rate swap will terminate before the stated maturity of the term loan. This variable-to-fixed interest rate swap is considered a highly effective cash flow hedge (see Note 7, </w:t>
      </w:r>
      <w:r>
        <w:rPr>
          <w:rFonts w:ascii="Arial" w:cs="Arial" w:eastAsia="Arial" w:hAnsi="Arial"/>
          <w:sz w:val="18"/>
          <w:szCs w:val="18"/>
          <w:i w:val="1"/>
          <w:iCs w:val="1"/>
          <w:color w:val="auto"/>
        </w:rPr>
        <w:t>Derivative Financial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w:t>
      </w:r>
    </w:p>
    <w:p>
      <w:pPr>
        <w:spacing w:after="0" w:line="1" w:lineRule="exact"/>
        <w:rPr>
          <w:rFonts w:ascii="Arial" w:cs="Arial" w:eastAsia="Arial" w:hAnsi="Arial"/>
          <w:sz w:val="25"/>
          <w:szCs w:val="25"/>
          <w:color w:val="auto"/>
          <w:vertAlign w:val="superscript"/>
        </w:rPr>
      </w:pPr>
    </w:p>
    <w:p>
      <w:pPr>
        <w:jc w:val="both"/>
        <w:ind w:left="340" w:hanging="245"/>
        <w:spacing w:after="0" w:line="221"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 xml:space="preserve">Interest rate swap to convert $200 million of our $377 million U.S. dollar denominated term loan from a floating 1-month LIBOR interest rate, plus an additional margin, to a fixed 3.01% interest rate, plus the additional margin, for one year. This variable-to-fixed interest rate swap is considered a highly effective cash flow hedge (see Note 7, </w:t>
      </w:r>
      <w:r>
        <w:rPr>
          <w:rFonts w:ascii="Arial" w:cs="Arial" w:eastAsia="Arial" w:hAnsi="Arial"/>
          <w:sz w:val="18"/>
          <w:szCs w:val="18"/>
          <w:i w:val="1"/>
          <w:iCs w:val="1"/>
          <w:color w:val="auto"/>
        </w:rPr>
        <w:t>Derivative Financial Instruments and Hedging Activities</w:t>
      </w:r>
      <w:r>
        <w:rPr>
          <w:rFonts w:ascii="Arial" w:cs="Arial" w:eastAsia="Arial" w:hAnsi="Arial"/>
          <w:sz w:val="18"/>
          <w:szCs w:val="18"/>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Based on a sensitivity analysis as of September 30, 2008, we estimate that if market interest rates average one percentage point higher in 2008, than in the table above, our earnings before income taxes in 2008 would not be materially impacted due to our interest rate swaps in place at September 30, 2008.</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the acquisition of Actaris on April 18, 2007, we entered into a $1.2 billion credit facility, comprised of a $605.1 million first lien U.S. dollar denominated term loan; a €335 million first lien euro denominated term loan; a £50 million first lien pound sterling denominated term loan (collectively the term loans); and a $115 million multicurrency revolving line-of-credit (revolver). As of June 30, 2008, the pound sterling denominated term loan had been repaid. Interest rates on the credit facility are based on the respective borrowing’s denominated LIBOR rate (U.S. dollar or euro) or the Wells Fargo Bank, National Association’s prime rate, plus an additional margin subject to factors including our consolidated leverage ratio.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variable rate financial instruments are sensitive to changes in interest rates. On June 30, 2008, we entered into a one-year interest rate swap to convert $200 million of our USD term loan, which had a remaining balance of $377 million at September 30, 2008, from a floating 1-month LIBOR interest rate to a fixed 3.01% interest rate. Our interest rate will continue to contain an additional margin per the credit facility agreement.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declines each quarter in accordance with a contractual schedule. The notional amount of the swap was $200 million and the fair value, recorded as a short-term liability, was $349,000 at September 30, 2008. The amount of net gains expected to be reclassified into earnings in the next nine months is approximately $1.9 million based on the Wells Fargo swap yield curve as of October 1, 2008.</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third quarter of 2007, we entered into an interest rate swap to convert our €335 million euro denominated variable rate term loan to a fixed-rate debt obligation at a rate of 6.59% for the term of the debt, including expected prepayments.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was $372 million (€255 million) and the fair value, recorded as a long-term liability, was $113,000 at September 30, 2008. The amount of net gains expected to be reclassified into earnings in the next twelve months is approximately $2.5 million based on the Wells Fargo swap yield curve as of October 1, 2008.</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will monitor and assess our interest rate risk and may institute additional interest rate swaps or other derivative instruments to manage interest rate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business in a number of international countries and, therefore, face exposure to movements in foreign currency exchange rates. As a result of the Actaris acquisition, commencing in the second quarter of 2007, a majority of our revenues and operating expenses are now denominated in foreign currencies, resulting in changes in our foreign currency exchange rate exposures that could have a material effect on our financial results. Our primary foreign currency exposure relates to non-U.S. dollar denominated transactions in our international subsidiary operations, the most significant of which is the euro. International revenues were 67% of total revenues for the three and nine months ended September 30, 2008.</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second quarter of 2008, we began entering into certain foreign exchange forward contracts with the intent to reduce volatility of certain intercompany financing transactions. These contracts are not designated as accounting hedges and are de minimis in fair value and notional amounts.</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second quarter of 2007, we designated certain portions of our foreign currency denominated term loans as hedges of our net investment in international operations. Net gains of $32 million ($20 million after-tax) were reported as a net unrealized gain on derivative instruments, a component of accumulated other comprehensive income, which represented effective hedges of net investments for the three months ended September 30, 2008. Net losses of $366,000 ($8,000 after-tax) were reported as a net unrealized loss on derivative instruments, a component of accumulated other comprehensive income, which represented effective hedges of net investments, for the nine months ended September 30, 2008. We had no hedge ineffectiveness.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 Alternatively, we may choose not to hedge certain foreign currency risks associated with our foreign currency exposures if such exposures act as a natural foreign currency hedge for other offsetting amounts denominated in the same currency.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6" w:lineRule="exact"/>
        <w:rPr>
          <w:sz w:val="20"/>
          <w:szCs w:val="20"/>
          <w:color w:val="auto"/>
        </w:rPr>
      </w:pPr>
    </w:p>
    <w:p>
      <w:pPr>
        <w:jc w:val="both"/>
        <w:ind w:left="500" w:hanging="492"/>
        <w:spacing w:after="0" w:line="270"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An evaluation was performed under the supervision and with the participation of our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2008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04" w:lineRule="exact"/>
        <w:rPr>
          <w:rFonts w:ascii="Arial" w:cs="Arial" w:eastAsia="Arial" w:hAnsi="Arial"/>
          <w:sz w:val="17"/>
          <w:szCs w:val="17"/>
          <w:color w:val="auto"/>
        </w:rPr>
      </w:pPr>
    </w:p>
    <w:p>
      <w:pPr>
        <w:ind w:left="500" w:hanging="447"/>
        <w:spacing w:after="0" w:line="308" w:lineRule="auto"/>
        <w:tabs>
          <w:tab w:leader="none" w:pos="500"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There have been no changes in internal control over financial reporting during the quarter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2008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during the third quarter of 2008 from legal proceedings as previously disclosed in Item 1 included in our June 30, 2008 Quarterly Report on Form 10-Q.</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our risk factors each quarter and update them for any material changes from risk factors as previously disclosed in our Annual Report on Form 10-K. Similar to other companies, we are susceptible to macroeconomic downturns in the United States and abroad that may affect the general economic climate, our performance and the performance of our customers and suppliers. Although we have not been materially impacted by the tightening credit environment, the current economic environment may impact our customers’ and suppliers’ abilities to access credit from financial institutions that may be necessary to operate their businesses. Therefore, the following risk factors should be read in conjunction with the risk factors included in our Annual Report on Form 10-K filed with the SEC on February 26, 2008.</w:t>
      </w:r>
    </w:p>
    <w:p>
      <w:pPr>
        <w:spacing w:after="0" w:line="220" w:lineRule="exact"/>
        <w:rPr>
          <w:sz w:val="20"/>
          <w:szCs w:val="20"/>
          <w:color w:val="auto"/>
        </w:rPr>
      </w:pPr>
    </w:p>
    <w:p>
      <w:pPr>
        <w:ind w:left="660" w:hanging="139"/>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of our products may be deferred as a result of many factors, including a customer’s access to capital or access to capital on acceptable terms.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certain key vendors involves risks, including our vendors' access to capital or access to capital on acceptable terms.</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results may fluctuate substantially as a result of many factors, including limited access to capital or access to capital on acceptable terms.</w:t>
      </w:r>
    </w:p>
    <w:p>
      <w:pPr>
        <w:spacing w:after="0" w:line="20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shareholders of Itron during the third quarter of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41"/>
        </w:trPr>
        <w:tc>
          <w:tcPr>
            <w:tcW w:w="15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320" w:type="dxa"/>
            <w:vAlign w:val="bottom"/>
            <w:gridSpan w:val="2"/>
          </w:tcPr>
          <w:p>
            <w:pPr>
              <w:spacing w:after="0"/>
              <w:rPr>
                <w:sz w:val="20"/>
                <w:szCs w:val="20"/>
                <w:color w:val="auto"/>
              </w:rPr>
            </w:pPr>
          </w:p>
        </w:tc>
        <w:tc>
          <w:tcPr>
            <w:tcW w:w="9840" w:type="dxa"/>
            <w:vAlign w:val="bottom"/>
            <w:gridSpan w:val="4"/>
          </w:tcPr>
          <w:p>
            <w:pPr>
              <w:ind w:left="200"/>
              <w:spacing w:after="0"/>
              <w:rPr>
                <w:sz w:val="20"/>
                <w:szCs w:val="20"/>
                <w:color w:val="auto"/>
              </w:rPr>
            </w:pPr>
            <w:r>
              <w:rPr>
                <w:rFonts w:ascii="Arial" w:cs="Arial" w:eastAsia="Arial" w:hAnsi="Arial"/>
                <w:sz w:val="18"/>
                <w:szCs w:val="18"/>
                <w:b w:val="1"/>
                <w:bCs w:val="1"/>
                <w:color w:val="auto"/>
              </w:rPr>
              <w:t>Description of Exhibits</w:t>
            </w:r>
          </w:p>
        </w:tc>
      </w:tr>
      <w:tr>
        <w:trPr>
          <w:trHeight w:val="20"/>
        </w:trPr>
        <w:tc>
          <w:tcPr>
            <w:tcW w:w="9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r>
      <w:tr>
        <w:trPr>
          <w:trHeight w:val="385"/>
        </w:trPr>
        <w:tc>
          <w:tcPr>
            <w:tcW w:w="1260" w:type="dxa"/>
            <w:vAlign w:val="bottom"/>
            <w:gridSpan w:val="2"/>
          </w:tcPr>
          <w:p>
            <w:pPr>
              <w:jc w:val="right"/>
              <w:spacing w:after="0"/>
              <w:rPr>
                <w:sz w:val="20"/>
                <w:szCs w:val="20"/>
                <w:color w:val="auto"/>
              </w:rPr>
            </w:pPr>
            <w:r>
              <w:rPr>
                <w:rFonts w:ascii="Arial" w:cs="Arial" w:eastAsia="Arial" w:hAnsi="Arial"/>
                <w:sz w:val="18"/>
                <w:szCs w:val="18"/>
                <w:color w:val="0000EE"/>
              </w:rPr>
              <w:t>12.</w:t>
            </w:r>
            <w:r>
              <w:rPr>
                <w:rFonts w:ascii="Arial" w:cs="Arial" w:eastAsia="Arial" w:hAnsi="Arial"/>
                <w:sz w:val="18"/>
                <w:szCs w:val="18"/>
                <w:u w:val="single" w:color="auto"/>
                <w:color w:val="0000EE"/>
              </w:rPr>
              <w:t>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40" w:type="dxa"/>
            <w:vAlign w:val="bottom"/>
            <w:gridSpan w:val="4"/>
          </w:tcPr>
          <w:p>
            <w:pPr>
              <w:ind w:left="200"/>
              <w:spacing w:after="0"/>
              <w:rPr>
                <w:sz w:val="20"/>
                <w:szCs w:val="20"/>
                <w:color w:val="auto"/>
              </w:rPr>
            </w:pPr>
            <w:r>
              <w:rPr>
                <w:rFonts w:ascii="Arial" w:cs="Arial" w:eastAsia="Arial" w:hAnsi="Arial"/>
                <w:sz w:val="18"/>
                <w:szCs w:val="18"/>
                <w:color w:val="0000EE"/>
              </w:rPr>
              <w:t>Statement re Computation of Ratios.</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12"/>
        </w:trPr>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280" w:type="dxa"/>
            <w:vAlign w:val="bottom"/>
          </w:tcPr>
          <w:p>
            <w:pPr>
              <w:spacing w:after="0"/>
              <w:rPr>
                <w:sz w:val="24"/>
                <w:szCs w:val="24"/>
                <w:color w:val="auto"/>
              </w:rPr>
            </w:pPr>
          </w:p>
        </w:tc>
        <w:tc>
          <w:tcPr>
            <w:tcW w:w="9840" w:type="dxa"/>
            <w:vAlign w:val="bottom"/>
            <w:gridSpan w:val="4"/>
          </w:tcPr>
          <w:p>
            <w:pPr>
              <w:ind w:left="200"/>
              <w:spacing w:after="0"/>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12"/>
        </w:trPr>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280" w:type="dxa"/>
            <w:vAlign w:val="bottom"/>
          </w:tcPr>
          <w:p>
            <w:pPr>
              <w:spacing w:after="0"/>
              <w:rPr>
                <w:sz w:val="24"/>
                <w:szCs w:val="24"/>
                <w:color w:val="auto"/>
              </w:rPr>
            </w:pPr>
          </w:p>
        </w:tc>
        <w:tc>
          <w:tcPr>
            <w:tcW w:w="9840" w:type="dxa"/>
            <w:vAlign w:val="bottom"/>
            <w:gridSpan w:val="4"/>
          </w:tcPr>
          <w:p>
            <w:pPr>
              <w:ind w:left="200"/>
              <w:spacing w:after="0"/>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12"/>
        </w:trPr>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280" w:type="dxa"/>
            <w:vAlign w:val="bottom"/>
          </w:tcPr>
          <w:p>
            <w:pPr>
              <w:spacing w:after="0"/>
              <w:rPr>
                <w:sz w:val="24"/>
                <w:szCs w:val="24"/>
                <w:color w:val="auto"/>
              </w:rPr>
            </w:pPr>
          </w:p>
        </w:tc>
        <w:tc>
          <w:tcPr>
            <w:tcW w:w="9840" w:type="dxa"/>
            <w:vAlign w:val="bottom"/>
            <w:gridSpan w:val="4"/>
          </w:tcPr>
          <w:p>
            <w:pPr>
              <w:ind w:left="200"/>
              <w:spacing w:after="0"/>
              <w:rPr>
                <w:sz w:val="20"/>
                <w:szCs w:val="20"/>
                <w:color w:val="auto"/>
              </w:rPr>
            </w:pPr>
            <w:r>
              <w:rPr>
                <w:rFonts w:ascii="Arial" w:cs="Arial" w:eastAsia="Arial" w:hAnsi="Arial"/>
                <w:sz w:val="18"/>
                <w:szCs w:val="18"/>
                <w:color w:val="0000EE"/>
              </w:rPr>
              <w:t>Certification Pursuant to Section 906 of the Sarbanes-Oxley Act of 2002.</w:t>
            </w:r>
          </w:p>
        </w:tc>
      </w:tr>
      <w:tr>
        <w:trPr>
          <w:trHeight w:val="723"/>
        </w:trPr>
        <w:tc>
          <w:tcPr>
            <w:tcW w:w="96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Borders>
              <w:top w:val="single" w:sz="8" w:color="0000EE"/>
            </w:tcBorders>
            <w:gridSpan w:val="2"/>
          </w:tcPr>
          <w:p>
            <w:pPr>
              <w:jc w:val="right"/>
              <w:ind w:right="1260"/>
              <w:spacing w:after="0"/>
              <w:rPr>
                <w:sz w:val="20"/>
                <w:szCs w:val="20"/>
                <w:color w:val="auto"/>
              </w:rPr>
            </w:pPr>
            <w:r>
              <w:rPr>
                <w:rFonts w:ascii="Arial" w:cs="Arial" w:eastAsia="Arial" w:hAnsi="Arial"/>
                <w:sz w:val="18"/>
                <w:szCs w:val="18"/>
                <w:color w:val="auto"/>
              </w:rPr>
              <w:t>48</w:t>
            </w:r>
          </w:p>
        </w:tc>
        <w:tc>
          <w:tcPr>
            <w:tcW w:w="4360" w:type="dxa"/>
            <w:vAlign w:val="bottom"/>
          </w:tcPr>
          <w:p>
            <w:pPr>
              <w:spacing w:after="0"/>
              <w:rPr>
                <w:sz w:val="24"/>
                <w:szCs w:val="24"/>
                <w:color w:val="auto"/>
              </w:rPr>
            </w:pPr>
          </w:p>
        </w:tc>
      </w:tr>
      <w:tr>
        <w:trPr>
          <w:trHeight w:val="118"/>
        </w:trPr>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97"/>
              </w:rPr>
              <w:t>ITRON, INC.</w:t>
            </w:r>
          </w:p>
        </w:tc>
      </w:tr>
      <w:tr>
        <w:trPr>
          <w:trHeight w:val="432"/>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November 3, 2008</w:t>
            </w:r>
          </w:p>
        </w:tc>
        <w:tc>
          <w:tcPr>
            <w:tcW w:w="1800" w:type="dxa"/>
            <w:vAlign w:val="bottom"/>
          </w:tcPr>
          <w:p>
            <w:pPr>
              <w:ind w:left="1300"/>
              <w:spacing w:after="0"/>
              <w:rPr>
                <w:sz w:val="20"/>
                <w:szCs w:val="20"/>
                <w:color w:val="auto"/>
              </w:rPr>
            </w:pPr>
            <w:r>
              <w:rPr>
                <w:rFonts w:ascii="Arial" w:cs="Arial" w:eastAsia="Arial" w:hAnsi="Arial"/>
                <w:sz w:val="18"/>
                <w:szCs w:val="18"/>
                <w:color w:val="auto"/>
              </w:rPr>
              <w:t>By:</w:t>
            </w:r>
          </w:p>
        </w:tc>
        <w:tc>
          <w:tcPr>
            <w:tcW w:w="588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TEVEN</w:t>
            </w:r>
            <w:r>
              <w:rPr>
                <w:rFonts w:ascii="Arial" w:cs="Arial" w:eastAsia="Arial" w:hAnsi="Arial"/>
                <w:sz w:val="18"/>
                <w:szCs w:val="18"/>
                <w:color w:val="auto"/>
              </w:rPr>
              <w:t xml:space="preserve"> M. H</w:t>
            </w:r>
            <w:r>
              <w:rPr>
                <w:rFonts w:ascii="Arial" w:cs="Arial" w:eastAsia="Arial" w:hAnsi="Arial"/>
                <w:sz w:val="14"/>
                <w:szCs w:val="14"/>
                <w:color w:val="auto"/>
              </w:rPr>
              <w:t>ELMBRECHT</w:t>
            </w:r>
          </w:p>
        </w:tc>
      </w:tr>
      <w:tr>
        <w:trPr>
          <w:trHeight w:val="191"/>
        </w:trPr>
        <w:tc>
          <w:tcPr>
            <w:tcW w:w="3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Date</w:t>
            </w:r>
          </w:p>
        </w:tc>
        <w:tc>
          <w:tcPr>
            <w:tcW w:w="1800" w:type="dxa"/>
            <w:vAlign w:val="bottom"/>
          </w:tcPr>
          <w:p>
            <w:pPr>
              <w:spacing w:after="0"/>
              <w:rPr>
                <w:sz w:val="16"/>
                <w:szCs w:val="16"/>
                <w:color w:val="auto"/>
              </w:rPr>
            </w:pPr>
          </w:p>
        </w:tc>
        <w:tc>
          <w:tcPr>
            <w:tcW w:w="5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Steven M. Helmbrecht</w:t>
            </w:r>
          </w:p>
        </w:tc>
      </w:tr>
      <w:tr>
        <w:trPr>
          <w:trHeight w:val="234"/>
        </w:trPr>
        <w:tc>
          <w:tcPr>
            <w:tcW w:w="3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880" w:type="dxa"/>
            <w:vAlign w:val="bottom"/>
          </w:tcPr>
          <w:p>
            <w:pPr>
              <w:jc w:val="center"/>
              <w:spacing w:after="0"/>
              <w:rPr>
                <w:sz w:val="20"/>
                <w:szCs w:val="20"/>
                <w:color w:val="auto"/>
              </w:rPr>
            </w:pPr>
            <w:r>
              <w:rPr>
                <w:rFonts w:ascii="Arial" w:cs="Arial" w:eastAsia="Arial" w:hAnsi="Arial"/>
                <w:sz w:val="18"/>
                <w:szCs w:val="18"/>
                <w:b w:val="1"/>
                <w:bCs w:val="1"/>
                <w:color w:val="auto"/>
                <w:w w:val="91"/>
              </w:rPr>
              <w:t>Sr.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12.1</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STATEMENT RE COMPUTATION OF RATIOS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September 30, 2008</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6"/>
          </w:tcPr>
          <w:p>
            <w:pPr>
              <w:ind w:left="80"/>
              <w:spacing w:after="0"/>
              <w:rPr>
                <w:sz w:val="20"/>
                <w:szCs w:val="20"/>
                <w:color w:val="auto"/>
              </w:rPr>
            </w:pPr>
            <w:r>
              <w:rPr>
                <w:rFonts w:ascii="Arial" w:cs="Arial" w:eastAsia="Arial" w:hAnsi="Arial"/>
                <w:sz w:val="14"/>
                <w:szCs w:val="14"/>
                <w:b w:val="1"/>
                <w:bCs w:val="1"/>
                <w:color w:val="auto"/>
              </w:rPr>
              <w:t>(in thousands, except ratios)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3140" w:type="dxa"/>
            <w:vAlign w:val="bottom"/>
            <w:gridSpan w:val="2"/>
          </w:tcPr>
          <w:p>
            <w:pPr>
              <w:spacing w:after="0"/>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Pre-tax income (loss)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26,339</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(32,580)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52,235</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27,528</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(9,406)</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260"/>
              <w:spacing w:after="0"/>
              <w:rPr>
                <w:sz w:val="20"/>
                <w:szCs w:val="20"/>
                <w:color w:val="auto"/>
              </w:rPr>
            </w:pPr>
            <w:r>
              <w:rPr>
                <w:rFonts w:ascii="Arial" w:cs="Arial" w:eastAsia="Arial" w:hAnsi="Arial"/>
                <w:sz w:val="14"/>
                <w:szCs w:val="14"/>
                <w:color w:val="auto"/>
              </w:rPr>
              <w:t>Less: income (loss) from equity investees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(59)</w:t>
            </w:r>
          </w:p>
        </w:tc>
        <w:tc>
          <w:tcPr>
            <w:tcW w:w="2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358</w:t>
            </w:r>
          </w:p>
        </w:tc>
        <w:tc>
          <w:tcPr>
            <w:tcW w:w="1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26,398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(32,938)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52,202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27,446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(9,406)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17,820</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 xml:space="preserve">Fixed charges </w:t>
            </w:r>
            <w:r>
              <w:rPr>
                <w:rFonts w:ascii="Arial" w:cs="Arial" w:eastAsia="Arial" w:hAnsi="Arial"/>
                <w:sz w:val="20"/>
                <w:szCs w:val="20"/>
                <w:color w:val="auto"/>
                <w:vertAlign w:val="superscript"/>
              </w:rPr>
              <w:t>(1)</w:t>
            </w: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60"/>
              <w:spacing w:after="0"/>
              <w:rPr>
                <w:sz w:val="20"/>
                <w:szCs w:val="20"/>
                <w:color w:val="auto"/>
              </w:rPr>
            </w:pPr>
            <w:r>
              <w:rPr>
                <w:rFonts w:ascii="Arial" w:cs="Arial" w:eastAsia="Arial" w:hAnsi="Arial"/>
                <w:sz w:val="14"/>
                <w:szCs w:val="14"/>
                <w:color w:val="auto"/>
              </w:rPr>
              <w:t>Interest expense, gross (2)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65,366</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89,965</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17,785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18,944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13,145</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portion of rent expense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3,979</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4,098</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2,241</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2,696</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 Fixed charges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69,345</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94,063</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20,026</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21,456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15,841</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line="176" w:lineRule="exact"/>
              <w:rPr>
                <w:sz w:val="20"/>
                <w:szCs w:val="20"/>
                <w:color w:val="auto"/>
              </w:rPr>
            </w:pPr>
            <w:r>
              <w:rPr>
                <w:rFonts w:ascii="Arial" w:cs="Arial" w:eastAsia="Arial" w:hAnsi="Arial"/>
                <w:sz w:val="14"/>
                <w:szCs w:val="14"/>
                <w:color w:val="auto"/>
              </w:rPr>
              <w:t xml:space="preserve">b) Earnings for ratio </w:t>
            </w:r>
            <w:r>
              <w:rPr>
                <w:rFonts w:ascii="Arial" w:cs="Arial" w:eastAsia="Arial" w:hAnsi="Arial"/>
                <w:sz w:val="20"/>
                <w:szCs w:val="20"/>
                <w:color w:val="auto"/>
                <w:vertAlign w:val="superscript"/>
              </w:rPr>
              <w:t>(3)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95,743</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61,125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72,228</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48,902</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6,435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23,119</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Ratios: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60"/>
              <w:spacing w:after="0" w:line="216" w:lineRule="exact"/>
              <w:rPr>
                <w:sz w:val="20"/>
                <w:szCs w:val="20"/>
                <w:color w:val="auto"/>
              </w:rPr>
            </w:pPr>
            <w:r>
              <w:rPr>
                <w:rFonts w:ascii="Arial" w:cs="Arial" w:eastAsia="Arial" w:hAnsi="Arial"/>
                <w:sz w:val="14"/>
                <w:szCs w:val="14"/>
                <w:color w:val="auto"/>
              </w:rPr>
              <w:t xml:space="preserve">Earnings to fixed charges </w:t>
            </w:r>
            <w:r>
              <w:rPr>
                <w:rFonts w:ascii="Arial" w:cs="Arial" w:eastAsia="Arial" w:hAnsi="Arial"/>
                <w:sz w:val="20"/>
                <w:szCs w:val="20"/>
                <w:color w:val="auto"/>
                <w:vertAlign w:val="superscript"/>
              </w:rPr>
              <w:t>(b/a)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w:t>
            </w:r>
            <w:r>
              <w:rPr>
                <w:rFonts w:ascii="Arial" w:cs="Arial" w:eastAsia="Arial" w:hAnsi="Arial"/>
                <w:sz w:val="10"/>
                <w:szCs w:val="10"/>
                <w:color w:val="auto"/>
              </w:rPr>
              <w:t>(4)</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w:t>
            </w:r>
            <w:r>
              <w:rPr>
                <w:rFonts w:ascii="Arial" w:cs="Arial" w:eastAsia="Arial" w:hAnsi="Arial"/>
                <w:sz w:val="10"/>
                <w:szCs w:val="10"/>
                <w:color w:val="auto"/>
              </w:rPr>
              <w:t>(4)</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Deficit of earnings to fixed charges</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(32,938)</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(9,406)</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(1)</w:t>
      </w:r>
      <w:r>
        <w:rPr>
          <w:rFonts w:ascii="Arial" w:cs="Arial" w:eastAsia="Arial" w:hAnsi="Arial"/>
          <w:sz w:val="10"/>
          <w:szCs w:val="10"/>
          <w:color w:val="auto"/>
        </w:rPr>
        <w:t>Fixed charges consist of interest on indebtedness and amortization of debt issuance costs plus that portion of lease rental expense representative of the interest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9436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300"/>
        <w:spacing w:after="0" w:line="200" w:lineRule="auto"/>
        <w:rPr>
          <w:sz w:val="20"/>
          <w:szCs w:val="20"/>
          <w:color w:val="auto"/>
        </w:rPr>
      </w:pPr>
      <w:r>
        <w:rPr>
          <w:rFonts w:ascii="Arial" w:cs="Arial" w:eastAsia="Arial" w:hAnsi="Arial"/>
          <w:sz w:val="11"/>
          <w:szCs w:val="11"/>
          <w:color w:val="auto"/>
        </w:rPr>
        <w:t>Interest expense, gross includes amortization of prepaid debt fees</w:t>
      </w:r>
    </w:p>
    <w:p>
      <w:pPr>
        <w:ind w:left="140"/>
        <w:spacing w:after="0"/>
        <w:rPr>
          <w:sz w:val="20"/>
          <w:szCs w:val="20"/>
          <w:color w:val="auto"/>
        </w:rPr>
      </w:pPr>
      <w:r>
        <w:rPr>
          <w:rFonts w:ascii="Arial" w:cs="Arial" w:eastAsia="Arial" w:hAnsi="Arial"/>
          <w:sz w:val="13"/>
          <w:szCs w:val="13"/>
          <w:color w:val="auto"/>
        </w:rPr>
        <w:t>(2)</w:t>
      </w:r>
      <w:r>
        <w:rPr>
          <w:rFonts w:ascii="Arial" w:cs="Arial" w:eastAsia="Arial" w:hAnsi="Arial"/>
          <w:sz w:val="10"/>
          <w:szCs w:val="10"/>
          <w:color w:val="auto"/>
        </w:rPr>
        <w:t>and discount.</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(3)</w:t>
      </w:r>
      <w:r>
        <w:rPr>
          <w:rFonts w:ascii="Arial" w:cs="Arial" w:eastAsia="Arial" w:hAnsi="Arial"/>
          <w:sz w:val="10"/>
          <w:szCs w:val="10"/>
          <w:color w:val="auto"/>
        </w:rPr>
        <w:t>Earnings for ratio consist of income from continuing operations before income taxes, less income (loss) from equity investees, plus fixed charges.</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(4)</w:t>
      </w:r>
      <w:r>
        <w:rPr>
          <w:rFonts w:ascii="Arial" w:cs="Arial" w:eastAsia="Arial" w:hAnsi="Arial"/>
          <w:sz w:val="10"/>
          <w:szCs w:val="10"/>
          <w:color w:val="auto"/>
        </w:rPr>
        <w:t>Due to Itron's losses in the years ended December 31, 2007 and 2004, the ratio coverage was less than 1:1. Additional earnings of $32,938 and</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1"/>
          <w:szCs w:val="11"/>
          <w:color w:val="auto"/>
        </w:rPr>
        <w:t>$9,406 would have been needed to achieve a coverage of 1:1 in each of those respective years.</w:t>
      </w:r>
    </w:p>
    <w:p>
      <w:pPr>
        <w:sectPr>
          <w:pgSz w:w="11900" w:h="16838" w:orient="portrait"/>
          <w:cols w:equalWidth="0" w:num="1">
            <w:col w:w="11420"/>
          </w:cols>
          <w:pgMar w:left="240" w:top="91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252" w:lineRule="exact"/>
        <w:rPr>
          <w:sz w:val="20"/>
          <w:szCs w:val="20"/>
          <w:color w:val="auto"/>
        </w:rPr>
      </w:pPr>
    </w:p>
    <w:p>
      <w:pPr>
        <w:ind w:left="920" w:hanging="480"/>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920" w:right="20" w:hanging="480"/>
        <w:spacing w:after="0" w:line="342" w:lineRule="auto"/>
        <w:tabs>
          <w:tab w:leader="none" w:pos="1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20" w:hanging="480"/>
        <w:spacing w:after="0" w:line="277"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16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14605</wp:posOffset>
            </wp:positionV>
            <wp:extent cx="25387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2"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left="7420"/>
        <w:spacing w:after="0"/>
        <w:rPr>
          <w:sz w:val="20"/>
          <w:szCs w:val="20"/>
          <w:color w:val="auto"/>
        </w:rPr>
      </w:pPr>
      <w:r>
        <w:rPr>
          <w:rFonts w:ascii="Arial" w:cs="Arial" w:eastAsia="Arial" w:hAnsi="Arial"/>
          <w:sz w:val="16"/>
          <w:szCs w:val="16"/>
          <w:b w:val="1"/>
          <w:bCs w:val="1"/>
          <w:color w:val="auto"/>
        </w:rPr>
        <w:t>Chairman of the Board and Chief Executive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2008</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252" w:lineRule="exact"/>
        <w:rPr>
          <w:sz w:val="20"/>
          <w:szCs w:val="20"/>
          <w:color w:val="auto"/>
        </w:rPr>
      </w:pPr>
    </w:p>
    <w:p>
      <w:pPr>
        <w:ind w:left="920" w:hanging="480"/>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920" w:right="20" w:hanging="480"/>
        <w:spacing w:after="0" w:line="342" w:lineRule="auto"/>
        <w:tabs>
          <w:tab w:leader="none" w:pos="1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20" w:hanging="480"/>
        <w:spacing w:after="0" w:line="277"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6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435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35225" cy="17145"/>
                    </a:xfrm>
                    <a:prstGeom prst="rect">
                      <a:avLst/>
                    </a:prstGeom>
                    <a:noFill/>
                  </pic:spPr>
                </pic:pic>
              </a:graphicData>
            </a:graphic>
          </wp:anchor>
        </w:drawing>
      </w:r>
    </w:p>
    <w:p>
      <w:pPr>
        <w:spacing w:after="0" w:line="12"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2008</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2008 (the Report) for the purpose of complying with Rule 13a-14(b) or Rule 15d-14(b) of the Securities Exchange Act of 1934 and Section 1350 of Chapter 63 of Title 18 of the United States Code.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97" w:lineRule="exact"/>
        <w:rPr>
          <w:sz w:val="20"/>
          <w:szCs w:val="20"/>
          <w:color w:val="auto"/>
        </w:rPr>
      </w:pPr>
    </w:p>
    <w:p>
      <w:pPr>
        <w:ind w:left="920" w:hanging="480"/>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20" w:hanging="480"/>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6"/>
          <w:szCs w:val="16"/>
          <w:b w:val="1"/>
          <w:bCs w:val="1"/>
          <w:color w:val="auto"/>
        </w:rPr>
        <w:t>Chairman of the Board and Chief Executive Officer</w:t>
      </w:r>
    </w:p>
    <w:p>
      <w:pPr>
        <w:spacing w:after="0" w:line="3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November 3, 2008</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November 3, 2008</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o"/>
      <w:numFmt w:val="bullet"/>
      <w:start w:val="1"/>
    </w:lvl>
  </w:abstractNum>
  <w:abstractNum w:abstractNumId="6">
    <w:nsid w:val="4DB127F8"/>
    <w:multiLevelType w:val="hybridMultilevel"/>
    <w:lvl w:ilvl="0">
      <w:lvlJc w:val="left"/>
      <w:lvlText w:val="%1."/>
      <w:numFmt w:val="decimal"/>
      <w:start w:val="48"/>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lvl w:ilvl="1">
      <w:lvlJc w:val="left"/>
      <w:lvlText w:val="(%2)"/>
      <w:numFmt w:val="lowerLetter"/>
      <w:start w:val="2"/>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2019-12-13T15:39:20Z</dcterms:created>
  <dcterms:modified xsi:type="dcterms:W3CDTF">2019-12-13T15:39:20Z</dcterms:modified>
</cp:coreProperties>
</file>