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2522220</wp:posOffset>
            </wp:positionH>
            <wp:positionV relativeFrom="paragraph">
              <wp:posOffset>274955</wp:posOffset>
            </wp:positionV>
            <wp:extent cx="221234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23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August 5,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26035</wp:posOffset>
            </wp:positionV>
            <wp:extent cx="2178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19685</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9"/>
              </w:rPr>
              <w:t>Washington</w:t>
            </w:r>
          </w:p>
        </w:tc>
        <w:tc>
          <w:tcPr>
            <w:tcW w:w="40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90"/>
              </w:rPr>
              <w:t>000-22418</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9"/>
              </w:rPr>
              <w:t>91-1011792</w:t>
            </w:r>
          </w:p>
        </w:tc>
      </w:tr>
      <w:tr>
        <w:trPr>
          <w:trHeight w:val="21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58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(Commission File No.)</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44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66"/>
        </w:trPr>
        <w:tc>
          <w:tcPr>
            <w:tcW w:w="34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(Address of Principal Executive Offices, Zip Code)</w:t>
            </w:r>
          </w:p>
        </w:tc>
        <w:tc>
          <w:tcPr>
            <w:tcW w:w="3420" w:type="dxa"/>
            <w:vAlign w:val="bottom"/>
          </w:tcPr>
          <w:p>
            <w:pPr>
              <w:spacing w:after="0"/>
              <w:rPr>
                <w:sz w:val="20"/>
                <w:szCs w:val="20"/>
                <w:color w:val="auto"/>
              </w:rPr>
            </w:pPr>
          </w:p>
        </w:tc>
      </w:tr>
      <w:tr>
        <w:trPr>
          <w:trHeight w:val="465"/>
        </w:trPr>
        <w:tc>
          <w:tcPr>
            <w:tcW w:w="34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b w:val="1"/>
                <w:bCs w:val="1"/>
                <w:color w:val="auto"/>
                <w:w w:val="90"/>
              </w:rPr>
              <w:t>(509) 924-9900</w:t>
            </w:r>
          </w:p>
        </w:tc>
        <w:tc>
          <w:tcPr>
            <w:tcW w:w="5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(Registrant’s Telephone Number, Including Area Code)</w:t>
            </w:r>
          </w:p>
        </w:tc>
        <w:tc>
          <w:tcPr>
            <w:tcW w:w="34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spacing w:after="0"/>
        <w:tabs>
          <w:tab w:leader="none" w:pos="11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83" w:lineRule="exact"/>
        <w:rPr>
          <w:sz w:val="20"/>
          <w:szCs w:val="20"/>
          <w:color w:val="auto"/>
        </w:rPr>
      </w:pPr>
    </w:p>
    <w:p>
      <w:pPr>
        <w:ind w:left="1160" w:right="80"/>
        <w:spacing w:after="0" w:line="277" w:lineRule="auto"/>
        <w:rPr>
          <w:sz w:val="20"/>
          <w:szCs w:val="20"/>
          <w:color w:val="auto"/>
        </w:rPr>
      </w:pPr>
      <w:r>
        <w:rPr>
          <w:rFonts w:ascii="Arial" w:cs="Arial" w:eastAsia="Arial" w:hAnsi="Arial"/>
          <w:sz w:val="18"/>
          <w:szCs w:val="18"/>
          <w:color w:val="auto"/>
        </w:rPr>
        <w:t>On August 5, 2014, Itron, Inc. (the Company) issued a press release announcing its financial results for the three and six months ended June 30, 2014.</w:t>
      </w:r>
    </w:p>
    <w:p>
      <w:pPr>
        <w:spacing w:after="0" w:line="22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 copy of this press release and accompanying financial statements are attached as Exhibit 99.1.</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6" w:lineRule="exact"/>
        <w:rPr>
          <w:sz w:val="20"/>
          <w:szCs w:val="20"/>
          <w:color w:val="auto"/>
        </w:rPr>
      </w:pPr>
    </w:p>
    <w:p>
      <w:pPr>
        <w:ind w:left="420"/>
        <w:spacing w:after="0"/>
        <w:rPr>
          <w:sz w:val="20"/>
          <w:szCs w:val="20"/>
          <w:color w:val="auto"/>
        </w:rPr>
      </w:pPr>
      <w:r>
        <w:rPr>
          <w:rFonts w:ascii="Arial" w:cs="Arial" w:eastAsia="Arial" w:hAnsi="Arial"/>
          <w:sz w:val="22"/>
          <w:szCs w:val="22"/>
          <w:color w:val="auto"/>
        </w:rPr>
        <w:t>(d) Exhibits.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August 5, 2014.</w:t>
      </w:r>
    </w:p>
    <w:p>
      <w:pPr>
        <w:spacing w:after="0" w:line="200" w:lineRule="exact"/>
        <w:rPr>
          <w:sz w:val="20"/>
          <w:szCs w:val="20"/>
          <w:color w:val="auto"/>
        </w:rPr>
      </w:pPr>
    </w:p>
    <w:p>
      <w:pPr>
        <w:spacing w:after="0" w:line="275"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The information presented in this Current Report on Form 8-K may contain forward-looking statements and certain assumptions upon which such forward-looking statements are in part based. Numerous important factors, including those factors identified in Itron, Inc.’s Annual Report on Form 10-K and other of the Company’s filings with the Securities and Exchange Commission, and the fact that the assumptions set forth in this Current Report on Form 8-K could prove incorrect, could cause actual results to differ materially from those contained in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20"/>
          </w:cols>
          <w:pgMar w:left="240" w:top="135" w:right="3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ITRON, INC.</w:t>
      </w:r>
    </w:p>
    <w:p>
      <w:pPr>
        <w:spacing w:after="0" w:line="279" w:lineRule="exact"/>
        <w:rPr>
          <w:sz w:val="20"/>
          <w:szCs w:val="20"/>
          <w:color w:val="auto"/>
        </w:rPr>
      </w:pPr>
    </w:p>
    <w:p>
      <w:pPr>
        <w:spacing w:after="0"/>
        <w:tabs>
          <w:tab w:leader="none" w:pos="680" w:val="left"/>
          <w:tab w:leader="none" w:pos="4560" w:val="left"/>
          <w:tab w:leader="none" w:pos="5160" w:val="left"/>
        </w:tabs>
        <w:rPr>
          <w:sz w:val="20"/>
          <w:szCs w:val="20"/>
          <w:color w:val="auto"/>
        </w:rPr>
      </w:pPr>
      <w:r>
        <w:rPr>
          <w:rFonts w:ascii="Arial" w:cs="Arial" w:eastAsia="Arial" w:hAnsi="Arial"/>
          <w:sz w:val="18"/>
          <w:szCs w:val="18"/>
          <w:color w:val="auto"/>
        </w:rPr>
        <w:t>Dated:</w:t>
        <w:tab/>
        <w:t>August 5,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23495</wp:posOffset>
            </wp:positionV>
            <wp:extent cx="24612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Steven M. Helmbrecht</w:t>
      </w:r>
    </w:p>
    <w:p>
      <w:pPr>
        <w:spacing w:after="0" w:line="3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sectPr>
      </w:pPr>
    </w:p>
    <w:bookmarkStart w:id="3" w:name="page4"/>
    <w:bookmarkEnd w:id="3"/>
    <w:p>
      <w:pPr>
        <w:jc w:val="right"/>
        <w:ind w:right="3659"/>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August 5, 2014.</w:t>
      </w:r>
    </w:p>
    <w:p>
      <w:pPr>
        <w:sectPr>
          <w:pgSz w:w="11900" w:h="16838" w:orient="portrait"/>
          <w:cols w:equalWidth="0" w:num="1">
            <w:col w:w="10079"/>
          </w:cols>
          <w:pgMar w:left="380" w:top="11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Itron Announces Second Quarter 2014 Financial Results</w:t>
      </w:r>
    </w:p>
    <w:p>
      <w:pPr>
        <w:spacing w:after="0" w:line="212"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LIBERTY LAKE, Wash.--(BUSINESS WIRE)--August 5, 2014--Itron, Inc. (NASDAQ:ITRI) announced today financial results for its second quarter and six months ended June 30, 2014. Highlights for the quarter include:</w:t>
      </w:r>
    </w:p>
    <w:p>
      <w:pPr>
        <w:spacing w:after="0" w:line="173" w:lineRule="exact"/>
        <w:rPr>
          <w:sz w:val="20"/>
          <w:szCs w:val="20"/>
          <w:color w:val="auto"/>
        </w:rPr>
      </w:pPr>
    </w:p>
    <w:p>
      <w:pPr>
        <w:ind w:left="140" w:hanging="132"/>
        <w:spacing w:after="0"/>
        <w:tabs>
          <w:tab w:leader="none" w:pos="140" w:val="left"/>
        </w:tabs>
        <w:numPr>
          <w:ilvl w:val="0"/>
          <w:numId w:val="1"/>
        </w:numPr>
        <w:rPr>
          <w:rFonts w:ascii="Arial" w:cs="Arial" w:eastAsia="Arial" w:hAnsi="Arial"/>
          <w:sz w:val="22"/>
          <w:szCs w:val="22"/>
          <w:color w:val="auto"/>
        </w:rPr>
      </w:pPr>
      <w:r>
        <w:rPr>
          <w:rFonts w:ascii="Arial" w:cs="Arial" w:eastAsia="Arial" w:hAnsi="Arial"/>
          <w:sz w:val="22"/>
          <w:szCs w:val="22"/>
          <w:color w:val="auto"/>
        </w:rPr>
        <w:t>Quarterly revenues of $489 million, an increase of 1.5 percent over the prior year;</w:t>
      </w:r>
    </w:p>
    <w:p>
      <w:pPr>
        <w:spacing w:after="0" w:line="206" w:lineRule="exact"/>
        <w:rPr>
          <w:rFonts w:ascii="Arial" w:cs="Arial" w:eastAsia="Arial" w:hAnsi="Arial"/>
          <w:sz w:val="22"/>
          <w:szCs w:val="22"/>
          <w:color w:val="auto"/>
        </w:rPr>
      </w:pPr>
    </w:p>
    <w:p>
      <w:pPr>
        <w:ind w:left="140" w:hanging="132"/>
        <w:spacing w:after="0"/>
        <w:tabs>
          <w:tab w:leader="none" w:pos="140" w:val="left"/>
        </w:tabs>
        <w:numPr>
          <w:ilvl w:val="0"/>
          <w:numId w:val="1"/>
        </w:numPr>
        <w:rPr>
          <w:rFonts w:ascii="Arial" w:cs="Arial" w:eastAsia="Arial" w:hAnsi="Arial"/>
          <w:sz w:val="22"/>
          <w:szCs w:val="22"/>
          <w:color w:val="auto"/>
        </w:rPr>
      </w:pPr>
      <w:r>
        <w:rPr>
          <w:rFonts w:ascii="Arial" w:cs="Arial" w:eastAsia="Arial" w:hAnsi="Arial"/>
          <w:sz w:val="22"/>
          <w:szCs w:val="22"/>
          <w:color w:val="auto"/>
        </w:rPr>
        <w:t>Quarterly GAAP diluted earnings per share of 49 cents, an increase of 18 cents over the prior year;</w:t>
      </w:r>
    </w:p>
    <w:p>
      <w:pPr>
        <w:spacing w:after="0" w:line="206" w:lineRule="exact"/>
        <w:rPr>
          <w:rFonts w:ascii="Arial" w:cs="Arial" w:eastAsia="Arial" w:hAnsi="Arial"/>
          <w:sz w:val="22"/>
          <w:szCs w:val="22"/>
          <w:color w:val="auto"/>
        </w:rPr>
      </w:pPr>
    </w:p>
    <w:p>
      <w:pPr>
        <w:ind w:left="140" w:hanging="132"/>
        <w:spacing w:after="0"/>
        <w:tabs>
          <w:tab w:leader="none" w:pos="140" w:val="left"/>
        </w:tabs>
        <w:numPr>
          <w:ilvl w:val="0"/>
          <w:numId w:val="1"/>
        </w:numPr>
        <w:rPr>
          <w:rFonts w:ascii="Arial" w:cs="Arial" w:eastAsia="Arial" w:hAnsi="Arial"/>
          <w:sz w:val="22"/>
          <w:szCs w:val="22"/>
          <w:color w:val="auto"/>
        </w:rPr>
      </w:pPr>
      <w:r>
        <w:rPr>
          <w:rFonts w:ascii="Arial" w:cs="Arial" w:eastAsia="Arial" w:hAnsi="Arial"/>
          <w:sz w:val="22"/>
          <w:szCs w:val="22"/>
          <w:color w:val="auto"/>
        </w:rPr>
        <w:t>Quarterly non-GAAP diluted earnings per share of 54 cents, a decrease of 4 cents from the prior year;</w:t>
      </w:r>
    </w:p>
    <w:p>
      <w:pPr>
        <w:spacing w:after="0" w:line="206" w:lineRule="exact"/>
        <w:rPr>
          <w:rFonts w:ascii="Arial" w:cs="Arial" w:eastAsia="Arial" w:hAnsi="Arial"/>
          <w:sz w:val="22"/>
          <w:szCs w:val="22"/>
          <w:color w:val="auto"/>
        </w:rPr>
      </w:pPr>
    </w:p>
    <w:p>
      <w:pPr>
        <w:ind w:left="140" w:hanging="132"/>
        <w:spacing w:after="0"/>
        <w:tabs>
          <w:tab w:leader="none" w:pos="140" w:val="left"/>
        </w:tabs>
        <w:numPr>
          <w:ilvl w:val="0"/>
          <w:numId w:val="1"/>
        </w:numPr>
        <w:rPr>
          <w:rFonts w:ascii="Arial" w:cs="Arial" w:eastAsia="Arial" w:hAnsi="Arial"/>
          <w:sz w:val="22"/>
          <w:szCs w:val="22"/>
          <w:color w:val="auto"/>
        </w:rPr>
      </w:pPr>
      <w:r>
        <w:rPr>
          <w:rFonts w:ascii="Arial" w:cs="Arial" w:eastAsia="Arial" w:hAnsi="Arial"/>
          <w:sz w:val="22"/>
          <w:szCs w:val="22"/>
          <w:color w:val="auto"/>
        </w:rPr>
        <w:t>Quarterly adjusted EBITDA of $47 million, an increase of 6 percent over the prior year;</w:t>
      </w:r>
    </w:p>
    <w:p>
      <w:pPr>
        <w:spacing w:after="0" w:line="206" w:lineRule="exact"/>
        <w:rPr>
          <w:rFonts w:ascii="Arial" w:cs="Arial" w:eastAsia="Arial" w:hAnsi="Arial"/>
          <w:sz w:val="22"/>
          <w:szCs w:val="22"/>
          <w:color w:val="auto"/>
        </w:rPr>
      </w:pPr>
    </w:p>
    <w:p>
      <w:pPr>
        <w:ind w:left="140" w:hanging="132"/>
        <w:spacing w:after="0"/>
        <w:tabs>
          <w:tab w:leader="none" w:pos="140" w:val="left"/>
        </w:tabs>
        <w:numPr>
          <w:ilvl w:val="0"/>
          <w:numId w:val="1"/>
        </w:numPr>
        <w:rPr>
          <w:rFonts w:ascii="Arial" w:cs="Arial" w:eastAsia="Arial" w:hAnsi="Arial"/>
          <w:sz w:val="22"/>
          <w:szCs w:val="22"/>
          <w:color w:val="auto"/>
        </w:rPr>
      </w:pPr>
      <w:r>
        <w:rPr>
          <w:rFonts w:ascii="Arial" w:cs="Arial" w:eastAsia="Arial" w:hAnsi="Arial"/>
          <w:sz w:val="22"/>
          <w:szCs w:val="22"/>
          <w:color w:val="auto"/>
        </w:rPr>
        <w:t>Twelve-month backlog of $675 million and total backlog of $1.3 billion; and</w:t>
      </w:r>
    </w:p>
    <w:p>
      <w:pPr>
        <w:spacing w:after="0" w:line="206" w:lineRule="exact"/>
        <w:rPr>
          <w:rFonts w:ascii="Arial" w:cs="Arial" w:eastAsia="Arial" w:hAnsi="Arial"/>
          <w:sz w:val="22"/>
          <w:szCs w:val="22"/>
          <w:color w:val="auto"/>
        </w:rPr>
      </w:pPr>
    </w:p>
    <w:p>
      <w:pPr>
        <w:ind w:left="140" w:hanging="132"/>
        <w:spacing w:after="0"/>
        <w:tabs>
          <w:tab w:leader="none" w:pos="140" w:val="left"/>
        </w:tabs>
        <w:numPr>
          <w:ilvl w:val="0"/>
          <w:numId w:val="1"/>
        </w:numPr>
        <w:rPr>
          <w:rFonts w:ascii="Arial" w:cs="Arial" w:eastAsia="Arial" w:hAnsi="Arial"/>
          <w:sz w:val="22"/>
          <w:szCs w:val="22"/>
          <w:color w:val="auto"/>
        </w:rPr>
      </w:pPr>
      <w:r>
        <w:rPr>
          <w:rFonts w:ascii="Arial" w:cs="Arial" w:eastAsia="Arial" w:hAnsi="Arial"/>
          <w:sz w:val="22"/>
          <w:szCs w:val="22"/>
          <w:color w:val="auto"/>
        </w:rPr>
        <w:t>Quarterly bookings of $478 million.</w:t>
      </w:r>
    </w:p>
    <w:p>
      <w:pPr>
        <w:spacing w:after="0" w:line="206" w:lineRule="exact"/>
        <w:rPr>
          <w:sz w:val="20"/>
          <w:szCs w:val="20"/>
          <w:color w:val="auto"/>
        </w:rPr>
      </w:pPr>
    </w:p>
    <w:p>
      <w:pPr>
        <w:ind w:right="40"/>
        <w:spacing w:after="0" w:line="248" w:lineRule="auto"/>
        <w:rPr>
          <w:sz w:val="20"/>
          <w:szCs w:val="20"/>
          <w:color w:val="auto"/>
        </w:rPr>
      </w:pPr>
      <w:r>
        <w:rPr>
          <w:rFonts w:ascii="Arial" w:cs="Arial" w:eastAsia="Arial" w:hAnsi="Arial"/>
          <w:sz w:val="21"/>
          <w:szCs w:val="21"/>
          <w:color w:val="auto"/>
        </w:rPr>
        <w:t>“Our strong second quarter results were driven by double-digit revenue growth and solid execution in our gas and water segments,” said Philip Mezey, Itron’s president and chief executive office. “This was our third consecutive quarter of year over year growth in both revenue and adjusted EBITDA, reflecting our continued focus on delivering innovative technology and services to our customers while streamlining our operations. I am encouraged by our performance in the first half of 2014 and we have increased our financial guidance for the full year. In addition, we are making progress on the performance improvement plans for the electricity segment which will be a key driver of long-term company profitability.”</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Results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Revenues were $489 million for the quarter and $964 million for the first six months of 2014 compared with $482 million and $930</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million for the same periods in 2013. Changes in foreign currency exchange rates favorably impacted revenues by approximately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$1 million for the quarter and unfavorably impacted the first six months by $3 million. Excluding the impact from foreign currency,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revenues increased $6 million, or 1.3 percent, for the quarter and $38 million, or 4 percent, for the six month period compared with</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the same periods in 2013. The increases for the quarter and six month period were driven by growth in the Water and Gas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segments, which more than offset a decrease in the Electricity segment.</w:t>
      </w:r>
    </w:p>
    <w:p>
      <w:pPr>
        <w:spacing w:after="0" w:line="188"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Gross margin for the quarter was 33.3 percent compared with the prior year period margin of 33.1 percent. For the first six months of 2014, gross margin was 32.9 percent compared with 32.2 percent in the prior year period. The improved gross margin for both the quarter and six month period was driven by the higher relative contribution from the Water and Gas segments, which have higher gross margins than the Electricity segment.</w:t>
      </w:r>
    </w:p>
    <w:p>
      <w:pPr>
        <w:spacing w:after="0" w:line="185"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GAAP operating expenses were $131 million in the quarter compared with $142 million in the same period last year. The decrease was driven by lower restructuring expenses and reduced headcount, offset by increased variable compensation and intangible asset amortization. GAAP operating expenses for the first six months of 2014 were $281 million compared with $279 million in the 2013 period. The increase in operating expenses for the six month period was driven by increased intangible asset amortization expense, and higher general and administrative costs related to professional fees and compensation, partially offset by lower restructuring expenses and the impact of reduced headcount.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ind w:right="20"/>
        <w:spacing w:after="0" w:line="279" w:lineRule="auto"/>
        <w:rPr>
          <w:sz w:val="20"/>
          <w:szCs w:val="20"/>
          <w:color w:val="auto"/>
        </w:rPr>
      </w:pPr>
      <w:r>
        <w:rPr>
          <w:rFonts w:ascii="Arial" w:cs="Arial" w:eastAsia="Arial" w:hAnsi="Arial"/>
          <w:sz w:val="19"/>
          <w:szCs w:val="19"/>
          <w:color w:val="auto"/>
        </w:rPr>
        <w:t>GAAP operating income for the quarter was $32 million compared with $18 million in the same period last year. The increase was driven by higher revenues and lower operating expenses. GAAP net income and diluted EPS for the quarter were $19.3 million, or 49 cents per share, compared with $12 million, or 31 cents per share, in the same period in 2013. The increase in GAAP net income for the quarter was driven by higher operating income, partially offset by a higher effective tax rate. Both the GAAP and non-GAAP estimated tax rate for full year 2014 has increased compared with 2013 due to the expiration of a research and development credit in the U.S. that has not yet been reinstated for the year, and the need for a valuation allowance on certain deferred tax assets.</w:t>
      </w:r>
    </w:p>
    <w:p>
      <w:pPr>
        <w:spacing w:after="0" w:line="151"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GAAP operating income for the first six months of 2014 was $36 million compared with $20 million in the prior year period. The increase was driven by higher revenues and gross profit. GAAP net income and diluted earnings per share for the six month period were $19.0 million, or 48 cents per share, compared with net income of $15 million, or 38 cents per share, in the same period last year. The increase in GAAP net income was driven by higher operating income, partially offset by higher net interest expense, higher foreign exchange losses due to the devaluation of currencies in certain markets and a higher effective tax rate.</w:t>
      </w:r>
    </w:p>
    <w:p>
      <w:pPr>
        <w:spacing w:after="0" w:line="148"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Non-GAAP operating expenses for the quarter, which excludes amortization of intangibles, restructuring charges, acquisition related expenses and goodwill impairment, were $128 million which is consistent with the prior year period. Increased variable compensation expense in the quarter was offset by the impact of reduced headcount and lower professional fees, litigation and other reserves. For the first six months of 2014, non-GAAP operating expenses were $260 million compared with $253 million in the prior year period. The increase was driven by higher general and administrative costs associated with professional fees and compensation, which were partially offset by the impact of lower headcount.</w:t>
      </w:r>
    </w:p>
    <w:p>
      <w:pPr>
        <w:spacing w:after="0" w:line="177"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Non-GAAP operating income for the quarter was $35 million compared with $32 million in the same period last year. The increase in non-GAAP operating income was driven by higher revenue. Non-GAAP net income and diluted earnings per share for the quarter were $21 million, or 54 cents per share, compared with $23 million, or 58 cents per share, in the same period in 2013. The decrease in non-GAAP net income and earnings per share was attributable to higher operating income offset by a higher effective tax rate.</w:t>
      </w:r>
    </w:p>
    <w:p>
      <w:pPr>
        <w:spacing w:after="0" w:line="188"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Non-GAAP operating income for the first six months of 2014 was $58 million compared with $47 million in the same period in 2013. The increase in non-GAAP operating income was driven by higher revenue and gross profit. Non-GAAP net income and diluted earnings per share for the first six months of 2014 were $34 million, or 85 cents per share, compared with $35 million, or 89 cents per share, in the same period in 2013. Non-GAAP net income was impacted by higher net interest expense, higher foreign exchange losses due to the devaluation of currencies in certain markets and a higher effective tax rate in 2014.</w:t>
      </w:r>
    </w:p>
    <w:p>
      <w:pPr>
        <w:spacing w:after="0" w:line="148"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Free cash flow for the quarter was negative $10 million compared with positive $4 million in the second quarter of 2013. Free cash flow in the quarter was impacted by increased working capital primarily related to the timing of accounts receivable and accounts payable transactions, offsetting lower capital expenditures. During the first six months of 2014, free cash flow was $47.8 million, an improvement of nearly $58 million over 2013 due to higher profits, better relative working capital metrics and lower levels of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27202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ind w:right="180"/>
        <w:spacing w:after="0" w:line="329" w:lineRule="auto"/>
        <w:rPr>
          <w:sz w:val="20"/>
          <w:szCs w:val="20"/>
          <w:color w:val="auto"/>
        </w:rPr>
      </w:pPr>
      <w:r>
        <w:rPr>
          <w:rFonts w:ascii="Arial" w:cs="Arial" w:eastAsia="Arial" w:hAnsi="Arial"/>
          <w:sz w:val="19"/>
          <w:szCs w:val="19"/>
          <w:color w:val="auto"/>
        </w:rPr>
        <w:t>The company repurchased 107,477 shares of common stock during the quarter at an average price of $39.23 per share pursuant to Board authorization to repurchase up to $50 million of Itron common stock over a 12- month period beginning March 2014.</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Guidance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Itron’s guidance for the full-year 2014 is as follows:</w:t>
      </w:r>
    </w:p>
    <w:p>
      <w:pPr>
        <w:spacing w:after="0" w:line="206" w:lineRule="exact"/>
        <w:rPr>
          <w:sz w:val="20"/>
          <w:szCs w:val="20"/>
          <w:color w:val="auto"/>
        </w:rPr>
      </w:pPr>
    </w:p>
    <w:p>
      <w:pPr>
        <w:ind w:left="140" w:hanging="132"/>
        <w:spacing w:after="0"/>
        <w:tabs>
          <w:tab w:leader="none" w:pos="14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Revenue between $1.9 and $1.975 billion</w:t>
      </w:r>
    </w:p>
    <w:p>
      <w:pPr>
        <w:spacing w:after="0" w:line="8" w:lineRule="exact"/>
        <w:rPr>
          <w:rFonts w:ascii="Arial" w:cs="Arial" w:eastAsia="Arial" w:hAnsi="Arial"/>
          <w:sz w:val="22"/>
          <w:szCs w:val="22"/>
          <w:color w:val="auto"/>
        </w:rPr>
      </w:pPr>
    </w:p>
    <w:p>
      <w:pPr>
        <w:ind w:left="140" w:hanging="132"/>
        <w:spacing w:after="0"/>
        <w:tabs>
          <w:tab w:leader="none" w:pos="140" w:val="left"/>
        </w:tabs>
        <w:numPr>
          <w:ilvl w:val="0"/>
          <w:numId w:val="2"/>
        </w:numPr>
        <w:rPr>
          <w:rFonts w:ascii="Arial" w:cs="Arial" w:eastAsia="Arial" w:hAnsi="Arial"/>
          <w:sz w:val="22"/>
          <w:szCs w:val="22"/>
          <w:color w:val="auto"/>
        </w:rPr>
      </w:pPr>
      <w:r>
        <w:rPr>
          <w:rFonts w:ascii="Arial" w:cs="Arial" w:eastAsia="Arial" w:hAnsi="Arial"/>
          <w:sz w:val="22"/>
          <w:szCs w:val="22"/>
          <w:color w:val="auto"/>
        </w:rPr>
        <w:t>Non-GAAP diluted earnings per share between $1.50 and $1.80</w:t>
      </w:r>
    </w:p>
    <w:p>
      <w:pPr>
        <w:spacing w:after="0" w:line="188"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The company’s guidance for the year assumes a gross margin of approximately 31 to 32 percent, a non-GAAP effective tax rate of approximately 33 to 34 percent, average shares outstanding of approximately 39.5 million, and an average Euro to U.S. dollar exchange rate of $1.36.</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Earnings Conference Call</w:t>
      </w:r>
    </w:p>
    <w:p>
      <w:pPr>
        <w:spacing w:after="0" w:line="212" w:lineRule="exact"/>
        <w:rPr>
          <w:sz w:val="20"/>
          <w:szCs w:val="20"/>
          <w:color w:val="auto"/>
        </w:rPr>
      </w:pPr>
    </w:p>
    <w:p>
      <w:pPr>
        <w:ind w:right="140"/>
        <w:spacing w:after="0" w:line="234" w:lineRule="auto"/>
        <w:rPr>
          <w:sz w:val="20"/>
          <w:szCs w:val="20"/>
          <w:color w:val="auto"/>
        </w:rPr>
      </w:pPr>
      <w:r>
        <w:rPr>
          <w:rFonts w:ascii="Arial" w:cs="Arial" w:eastAsia="Arial" w:hAnsi="Arial"/>
          <w:sz w:val="22"/>
          <w:szCs w:val="22"/>
          <w:color w:val="auto"/>
        </w:rPr>
        <w:t xml:space="preserve">Itron will host a conference call to discuss the financial results contained in this release at 5:00 p.m. Eastern Daylight Time (EDT) on Aug. 5, 2014. The call will be webcast in a listen-only mode. Webcast information and conference call materials will be made available 10 minutes before the start of the call and are accessible on Itron’s website at </w:t>
      </w:r>
      <w:r>
        <w:rPr>
          <w:rFonts w:ascii="Arial" w:cs="Arial" w:eastAsia="Arial" w:hAnsi="Arial"/>
          <w:sz w:val="22"/>
          <w:szCs w:val="22"/>
          <w:u w:val="single" w:color="auto"/>
          <w:color w:val="auto"/>
        </w:rPr>
        <w:t>http://investors.itron.com/events.cfm</w:t>
      </w:r>
      <w:r>
        <w:rPr>
          <w:rFonts w:ascii="Arial" w:cs="Arial" w:eastAsia="Arial" w:hAnsi="Arial"/>
          <w:sz w:val="22"/>
          <w:szCs w:val="22"/>
          <w:color w:val="auto"/>
        </w:rPr>
        <w:t>. The webcast replay will be available within 90 minutes of the conclusion of the live call and will be available for two weeks. A telephone replay of the conference call will be available at 10:00 p.m. EDT on Aug. 5, 2014 through 10:00 p.m. EDT on Aug. 10, 2014. To access the telephone replay, dial (888) 203-1112 (Domestic) or (719) 457-0820 (International) and enter passcode 8607656.</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Itron</w:t>
      </w:r>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 xml:space="preserve">Itron is a world-leading technology and services company dedicated to the resourceful use of energy and water. We provide comprehensive solutions that measure, manage and analyze energy and water. Our broad product portfolio includes electricity, gas, water and thermal energy measurement devices and control technology; communications systems; software; as well as managed and consulting services. With thousands of employees supporting nearly 8,000 customers in more than 100 countries, Itron applies knowledge and technology to better manage energy and water resources. Together, we can create a more resourceful world. Join us: </w:t>
      </w:r>
      <w:r>
        <w:rPr>
          <w:rFonts w:ascii="Arial" w:cs="Arial" w:eastAsia="Arial" w:hAnsi="Arial"/>
          <w:sz w:val="22"/>
          <w:szCs w:val="22"/>
          <w:u w:val="single" w:color="auto"/>
          <w:color w:val="auto"/>
        </w:rPr>
        <w:t>www.itron.com</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Forward Looking Statements</w:t>
      </w:r>
    </w:p>
    <w:p>
      <w:pPr>
        <w:spacing w:after="0" w:line="213"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This release contains forward-looking statements concerning our expectations about operations, financial performance, sales, earnings and cash flows. These statements reflect our current plans and expectations and are based on information currently available. The statements rely on a number of assumptions and estimates, which could be inaccurate, and which are subject to risks and uncertainties that could cause our actual results to vary materially from those anticipated. Risks and uncertainties include the rate and timing of customer demand for our products, rescheduling of current customer orders, changes in estimated liabilities for product warranties, changes in laws and regulations, our dependence on new product development and intellectual property, future acquisitions, changes in estimates for stock-based and bonus compensation, increasing volatility in foreign exchange rates, international business risks and other factors that are more fully described in our Annual Report on Form 10-K for the year ended December 31, 2013 and other reports on file with the Securities and Exchange Commission. Itron undertakes no obligation to update publicly or revise any forward-looking statements, including our business outlook.</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Information</w:t>
      </w:r>
    </w:p>
    <w:p>
      <w:pPr>
        <w:spacing w:after="0" w:line="212"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To supplement our consolidated financial statements presented in accordance with GAAP, we use certain non-GAAP financial measures, including non-GAAP operating expense, non-GAAP operating income, non-GAAP net income, non-GAAP diluted EPS, adjusted EBITDA and free cash flow. We provide these non-GAAP financial measures because we believe they provide greater transparency and represent supplemental information used by management in its financial and operational decision making. Specifically, these non-GAAP financial measures are provided to enhance investors’ overall understanding of our current financial performance and our future anticipated performance by excluding infrequent or non-cash costs, particularly those associated with acquisitions. We exclude certain costs in our non-GAAP financial measures as we believe the net result is a measure of our core business. Non-GAAP performance measures should be considered in addition to, and not as a substitute for, results prepared in accordance with GAAP. Our non-GAAP financial measures may be different from those reported by other companies. A more detailed discussion of why we use non-GAAP financial measures, the limitations of using such measures, and reconciliations between non-GAAP and the nearest GAAP financial measures are included in this press release.</w:t>
      </w:r>
    </w:p>
    <w:p>
      <w:pPr>
        <w:spacing w:after="0" w:line="156"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color w:val="auto"/>
        </w:rPr>
        <w:t>Statements of operations, segment information, balance sheets, cash flow statements and reconciliations of non-GAAP financial measures to the most directly comparable GAAP financial measures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80"/>
          </w:cols>
          <w:pgMar w:left="240" w:top="111" w:right="27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60" w:type="dxa"/>
            <w:vAlign w:val="bottom"/>
          </w:tcPr>
          <w:p>
            <w:pPr>
              <w:spacing w:after="0"/>
              <w:rPr>
                <w:sz w:val="20"/>
                <w:szCs w:val="20"/>
                <w:color w:val="auto"/>
              </w:rPr>
            </w:pPr>
            <w:r>
              <w:rPr>
                <w:rFonts w:ascii="Arial" w:cs="Arial" w:eastAsia="Arial" w:hAnsi="Arial"/>
                <w:sz w:val="14"/>
                <w:szCs w:val="14"/>
                <w:color w:val="auto"/>
              </w:rPr>
              <w:t>(Unaudited, in thousands, except per share data)</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55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5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64"/>
        </w:trPr>
        <w:tc>
          <w:tcPr>
            <w:tcW w:w="5560" w:type="dxa"/>
            <w:vAlign w:val="bottom"/>
          </w:tcPr>
          <w:p>
            <w:pPr>
              <w:spacing w:after="0"/>
              <w:rPr>
                <w:sz w:val="20"/>
                <w:szCs w:val="20"/>
                <w:color w:val="auto"/>
              </w:rPr>
            </w:pPr>
            <w:r>
              <w:rPr>
                <w:rFonts w:ascii="Arial" w:cs="Arial" w:eastAsia="Arial" w:hAnsi="Arial"/>
                <w:sz w:val="14"/>
                <w:szCs w:val="14"/>
                <w:color w:val="auto"/>
              </w:rPr>
              <w:t>Revenues</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489,353</w:t>
            </w: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482,175</w:t>
            </w:r>
          </w:p>
        </w:tc>
        <w:tc>
          <w:tcPr>
            <w:tcW w:w="120" w:type="dxa"/>
            <w:vAlign w:val="bottom"/>
          </w:tcPr>
          <w:p>
            <w:pPr>
              <w:spacing w:after="0"/>
              <w:rPr>
                <w:sz w:val="14"/>
                <w:szCs w:val="14"/>
                <w:color w:val="auto"/>
              </w:rPr>
            </w:pP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964,148</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929,711</w:t>
            </w:r>
          </w:p>
        </w:tc>
        <w:tc>
          <w:tcPr>
            <w:tcW w:w="0" w:type="dxa"/>
            <w:vAlign w:val="bottom"/>
          </w:tcPr>
          <w:p>
            <w:pPr>
              <w:spacing w:after="0"/>
              <w:rPr>
                <w:sz w:val="1"/>
                <w:szCs w:val="1"/>
                <w:color w:val="auto"/>
              </w:rPr>
            </w:pPr>
          </w:p>
        </w:tc>
      </w:tr>
      <w:tr>
        <w:trPr>
          <w:trHeight w:val="181"/>
        </w:trPr>
        <w:tc>
          <w:tcPr>
            <w:tcW w:w="5560" w:type="dxa"/>
            <w:vAlign w:val="bottom"/>
          </w:tcPr>
          <w:p>
            <w:pPr>
              <w:spacing w:after="0"/>
              <w:rPr>
                <w:sz w:val="20"/>
                <w:szCs w:val="20"/>
                <w:color w:val="auto"/>
              </w:rPr>
            </w:pPr>
            <w:r>
              <w:rPr>
                <w:rFonts w:ascii="Arial" w:cs="Arial" w:eastAsia="Arial" w:hAnsi="Arial"/>
                <w:sz w:val="14"/>
                <w:szCs w:val="14"/>
                <w:color w:val="auto"/>
              </w:rPr>
              <w:t>Cost of revenues</w:t>
            </w: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326,312</w:t>
            </w: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322,587</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646,572</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630,000</w:t>
            </w:r>
          </w:p>
        </w:tc>
        <w:tc>
          <w:tcPr>
            <w:tcW w:w="0" w:type="dxa"/>
            <w:vAlign w:val="bottom"/>
          </w:tcPr>
          <w:p>
            <w:pPr>
              <w:spacing w:after="0"/>
              <w:rPr>
                <w:sz w:val="1"/>
                <w:szCs w:val="1"/>
                <w:color w:val="auto"/>
              </w:rPr>
            </w:pPr>
          </w:p>
        </w:tc>
      </w:tr>
      <w:tr>
        <w:trPr>
          <w:trHeight w:val="176"/>
        </w:trPr>
        <w:tc>
          <w:tcPr>
            <w:tcW w:w="5560" w:type="dxa"/>
            <w:vAlign w:val="bottom"/>
          </w:tcPr>
          <w:p>
            <w:pPr>
              <w:spacing w:after="0"/>
              <w:rPr>
                <w:sz w:val="20"/>
                <w:szCs w:val="20"/>
                <w:color w:val="auto"/>
              </w:rPr>
            </w:pPr>
            <w:r>
              <w:rPr>
                <w:rFonts w:ascii="Arial" w:cs="Arial" w:eastAsia="Arial" w:hAnsi="Arial"/>
                <w:sz w:val="14"/>
                <w:szCs w:val="14"/>
                <w:color w:val="auto"/>
              </w:rPr>
              <w:t>Gross profit</w:t>
            </w:r>
          </w:p>
        </w:tc>
        <w:tc>
          <w:tcPr>
            <w:tcW w:w="38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163,041</w:t>
            </w:r>
          </w:p>
        </w:tc>
        <w:tc>
          <w:tcPr>
            <w:tcW w:w="40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159,588</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317,576</w:t>
            </w: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299,711</w:t>
            </w:r>
          </w:p>
        </w:tc>
        <w:tc>
          <w:tcPr>
            <w:tcW w:w="0" w:type="dxa"/>
            <w:vAlign w:val="bottom"/>
          </w:tcPr>
          <w:p>
            <w:pPr>
              <w:spacing w:after="0"/>
              <w:rPr>
                <w:sz w:val="1"/>
                <w:szCs w:val="1"/>
                <w:color w:val="auto"/>
              </w:rPr>
            </w:pPr>
          </w:p>
        </w:tc>
      </w:tr>
      <w:tr>
        <w:trPr>
          <w:trHeight w:val="339"/>
        </w:trPr>
        <w:tc>
          <w:tcPr>
            <w:tcW w:w="5560" w:type="dxa"/>
            <w:vAlign w:val="bottom"/>
          </w:tcPr>
          <w:p>
            <w:pPr>
              <w:spacing w:after="0"/>
              <w:rPr>
                <w:sz w:val="20"/>
                <w:szCs w:val="20"/>
                <w:color w:val="auto"/>
              </w:rPr>
            </w:pPr>
            <w:r>
              <w:rPr>
                <w:rFonts w:ascii="Arial" w:cs="Arial" w:eastAsia="Arial" w:hAnsi="Arial"/>
                <w:sz w:val="14"/>
                <w:szCs w:val="14"/>
                <w:color w:val="auto"/>
              </w:rPr>
              <w:t>Operating expenses</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560" w:type="dxa"/>
            <w:vAlign w:val="bottom"/>
          </w:tcPr>
          <w:p>
            <w:pPr>
              <w:ind w:left="120"/>
              <w:spacing w:after="0"/>
              <w:rPr>
                <w:sz w:val="20"/>
                <w:szCs w:val="20"/>
                <w:color w:val="auto"/>
              </w:rPr>
            </w:pPr>
            <w:r>
              <w:rPr>
                <w:rFonts w:ascii="Arial" w:cs="Arial" w:eastAsia="Arial" w:hAnsi="Arial"/>
                <w:sz w:val="14"/>
                <w:szCs w:val="14"/>
                <w:color w:val="auto"/>
              </w:rPr>
              <w:t>Sales and marketing</w:t>
            </w:r>
          </w:p>
        </w:tc>
        <w:tc>
          <w:tcPr>
            <w:tcW w:w="38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46,119</w:t>
            </w:r>
          </w:p>
        </w:tc>
        <w:tc>
          <w:tcPr>
            <w:tcW w:w="40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46,182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93,728</w:t>
            </w: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94,398</w:t>
            </w:r>
          </w:p>
        </w:tc>
        <w:tc>
          <w:tcPr>
            <w:tcW w:w="0" w:type="dxa"/>
            <w:vAlign w:val="bottom"/>
          </w:tcPr>
          <w:p>
            <w:pPr>
              <w:spacing w:after="0"/>
              <w:rPr>
                <w:sz w:val="1"/>
                <w:szCs w:val="1"/>
                <w:color w:val="auto"/>
              </w:rPr>
            </w:pPr>
          </w:p>
        </w:tc>
      </w:tr>
      <w:tr>
        <w:trPr>
          <w:trHeight w:val="176"/>
        </w:trPr>
        <w:tc>
          <w:tcPr>
            <w:tcW w:w="5560" w:type="dxa"/>
            <w:vAlign w:val="bottom"/>
          </w:tcPr>
          <w:p>
            <w:pPr>
              <w:ind w:left="120"/>
              <w:spacing w:after="0"/>
              <w:rPr>
                <w:sz w:val="20"/>
                <w:szCs w:val="20"/>
                <w:color w:val="auto"/>
              </w:rPr>
            </w:pPr>
            <w:r>
              <w:rPr>
                <w:rFonts w:ascii="Arial" w:cs="Arial" w:eastAsia="Arial" w:hAnsi="Arial"/>
                <w:sz w:val="14"/>
                <w:szCs w:val="14"/>
                <w:color w:val="auto"/>
              </w:rPr>
              <w:t>Product development</w:t>
            </w:r>
          </w:p>
        </w:tc>
        <w:tc>
          <w:tcPr>
            <w:tcW w:w="38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43,999</w:t>
            </w:r>
          </w:p>
        </w:tc>
        <w:tc>
          <w:tcPr>
            <w:tcW w:w="40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43,481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88,408</w:t>
            </w: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87,689</w:t>
            </w:r>
          </w:p>
        </w:tc>
        <w:tc>
          <w:tcPr>
            <w:tcW w:w="0" w:type="dxa"/>
            <w:vAlign w:val="bottom"/>
          </w:tcPr>
          <w:p>
            <w:pPr>
              <w:spacing w:after="0"/>
              <w:rPr>
                <w:sz w:val="1"/>
                <w:szCs w:val="1"/>
                <w:color w:val="auto"/>
              </w:rPr>
            </w:pPr>
          </w:p>
        </w:tc>
      </w:tr>
      <w:tr>
        <w:trPr>
          <w:trHeight w:val="176"/>
        </w:trPr>
        <w:tc>
          <w:tcPr>
            <w:tcW w:w="5560" w:type="dxa"/>
            <w:vAlign w:val="bottom"/>
          </w:tcPr>
          <w:p>
            <w:pPr>
              <w:ind w:left="120"/>
              <w:spacing w:after="0"/>
              <w:rPr>
                <w:sz w:val="20"/>
                <w:szCs w:val="20"/>
                <w:color w:val="auto"/>
              </w:rPr>
            </w:pPr>
            <w:r>
              <w:rPr>
                <w:rFonts w:ascii="Arial" w:cs="Arial" w:eastAsia="Arial" w:hAnsi="Arial"/>
                <w:sz w:val="14"/>
                <w:szCs w:val="14"/>
                <w:color w:val="auto"/>
              </w:rPr>
              <w:t>General and administrative</w:t>
            </w:r>
          </w:p>
        </w:tc>
        <w:tc>
          <w:tcPr>
            <w:tcW w:w="38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37,680</w:t>
            </w:r>
          </w:p>
        </w:tc>
        <w:tc>
          <w:tcPr>
            <w:tcW w:w="40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38,317</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78,087</w:t>
            </w: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71,912</w:t>
            </w:r>
          </w:p>
        </w:tc>
        <w:tc>
          <w:tcPr>
            <w:tcW w:w="0" w:type="dxa"/>
            <w:vAlign w:val="bottom"/>
          </w:tcPr>
          <w:p>
            <w:pPr>
              <w:spacing w:after="0"/>
              <w:rPr>
                <w:sz w:val="1"/>
                <w:szCs w:val="1"/>
                <w:color w:val="auto"/>
              </w:rPr>
            </w:pPr>
          </w:p>
        </w:tc>
      </w:tr>
      <w:tr>
        <w:trPr>
          <w:trHeight w:val="176"/>
        </w:trPr>
        <w:tc>
          <w:tcPr>
            <w:tcW w:w="5560" w:type="dxa"/>
            <w:vAlign w:val="bottom"/>
          </w:tcPr>
          <w:p>
            <w:pPr>
              <w:ind w:left="120"/>
              <w:spacing w:after="0"/>
              <w:rPr>
                <w:sz w:val="20"/>
                <w:szCs w:val="20"/>
                <w:color w:val="auto"/>
              </w:rPr>
            </w:pPr>
            <w:r>
              <w:rPr>
                <w:rFonts w:ascii="Arial" w:cs="Arial" w:eastAsia="Arial" w:hAnsi="Arial"/>
                <w:sz w:val="14"/>
                <w:szCs w:val="14"/>
                <w:color w:val="auto"/>
              </w:rPr>
              <w:t>Amortization of intangible assets</w:t>
            </w:r>
          </w:p>
        </w:tc>
        <w:tc>
          <w:tcPr>
            <w:tcW w:w="38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11,109</w:t>
            </w:r>
          </w:p>
        </w:tc>
        <w:tc>
          <w:tcPr>
            <w:tcW w:w="40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10,247</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22,179</w:t>
            </w: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20,991</w:t>
            </w:r>
          </w:p>
        </w:tc>
        <w:tc>
          <w:tcPr>
            <w:tcW w:w="0" w:type="dxa"/>
            <w:vAlign w:val="bottom"/>
          </w:tcPr>
          <w:p>
            <w:pPr>
              <w:spacing w:after="0"/>
              <w:rPr>
                <w:sz w:val="1"/>
                <w:szCs w:val="1"/>
                <w:color w:val="auto"/>
              </w:rPr>
            </w:pPr>
          </w:p>
        </w:tc>
      </w:tr>
      <w:tr>
        <w:trPr>
          <w:trHeight w:val="176"/>
        </w:trPr>
        <w:tc>
          <w:tcPr>
            <w:tcW w:w="5560" w:type="dxa"/>
            <w:vAlign w:val="bottom"/>
          </w:tcPr>
          <w:p>
            <w:pPr>
              <w:ind w:left="120"/>
              <w:spacing w:after="0"/>
              <w:rPr>
                <w:sz w:val="20"/>
                <w:szCs w:val="20"/>
                <w:color w:val="auto"/>
              </w:rPr>
            </w:pPr>
            <w:r>
              <w:rPr>
                <w:rFonts w:ascii="Arial" w:cs="Arial" w:eastAsia="Arial" w:hAnsi="Arial"/>
                <w:sz w:val="14"/>
                <w:szCs w:val="14"/>
                <w:color w:val="auto"/>
              </w:rPr>
              <w:t>Restructuring expense</w:t>
            </w:r>
          </w:p>
        </w:tc>
        <w:tc>
          <w:tcPr>
            <w:tcW w:w="38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(7,793)</w:t>
            </w:r>
          </w:p>
        </w:tc>
        <w:tc>
          <w:tcPr>
            <w:tcW w:w="40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3,385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(2,269)</w:t>
            </w: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4,398</w:t>
            </w:r>
          </w:p>
        </w:tc>
        <w:tc>
          <w:tcPr>
            <w:tcW w:w="0" w:type="dxa"/>
            <w:vAlign w:val="bottom"/>
          </w:tcPr>
          <w:p>
            <w:pPr>
              <w:spacing w:after="0"/>
              <w:rPr>
                <w:sz w:val="1"/>
                <w:szCs w:val="1"/>
                <w:color w:val="auto"/>
              </w:rPr>
            </w:pPr>
          </w:p>
        </w:tc>
      </w:tr>
      <w:tr>
        <w:trPr>
          <w:trHeight w:val="181"/>
        </w:trPr>
        <w:tc>
          <w:tcPr>
            <w:tcW w:w="5560" w:type="dxa"/>
            <w:vAlign w:val="bottom"/>
          </w:tcPr>
          <w:p>
            <w:pPr>
              <w:ind w:left="120"/>
              <w:spacing w:after="0"/>
              <w:rPr>
                <w:sz w:val="20"/>
                <w:szCs w:val="20"/>
                <w:color w:val="auto"/>
              </w:rPr>
            </w:pPr>
            <w:r>
              <w:rPr>
                <w:rFonts w:ascii="Arial" w:cs="Arial" w:eastAsia="Arial" w:hAnsi="Arial"/>
                <w:sz w:val="14"/>
                <w:szCs w:val="14"/>
                <w:color w:val="auto"/>
              </w:rPr>
              <w:t>Goodwill impairment</w:t>
            </w: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977</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5560" w:type="dxa"/>
            <w:vAlign w:val="bottom"/>
          </w:tcPr>
          <w:p>
            <w:pPr>
              <w:ind w:left="300"/>
              <w:spacing w:after="0"/>
              <w:rPr>
                <w:sz w:val="20"/>
                <w:szCs w:val="20"/>
                <w:color w:val="auto"/>
              </w:rPr>
            </w:pPr>
            <w:r>
              <w:rPr>
                <w:rFonts w:ascii="Arial" w:cs="Arial" w:eastAsia="Arial" w:hAnsi="Arial"/>
                <w:sz w:val="14"/>
                <w:szCs w:val="14"/>
                <w:color w:val="auto"/>
              </w:rPr>
              <w:t>Total operating expenses</w:t>
            </w: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131,114</w:t>
            </w:r>
          </w:p>
        </w:tc>
        <w:tc>
          <w:tcPr>
            <w:tcW w:w="4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141,612</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281,110</w:t>
            </w: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279,388</w:t>
            </w:r>
          </w:p>
        </w:tc>
        <w:tc>
          <w:tcPr>
            <w:tcW w:w="0" w:type="dxa"/>
            <w:vAlign w:val="bottom"/>
          </w:tcPr>
          <w:p>
            <w:pPr>
              <w:spacing w:after="0"/>
              <w:rPr>
                <w:sz w:val="1"/>
                <w:szCs w:val="1"/>
                <w:color w:val="auto"/>
              </w:rPr>
            </w:pPr>
          </w:p>
        </w:tc>
      </w:tr>
      <w:tr>
        <w:trPr>
          <w:trHeight w:val="339"/>
        </w:trPr>
        <w:tc>
          <w:tcPr>
            <w:tcW w:w="5560" w:type="dxa"/>
            <w:vAlign w:val="bottom"/>
          </w:tcPr>
          <w:p>
            <w:pPr>
              <w:spacing w:after="0"/>
              <w:rPr>
                <w:sz w:val="20"/>
                <w:szCs w:val="20"/>
                <w:color w:val="auto"/>
              </w:rPr>
            </w:pPr>
            <w:r>
              <w:rPr>
                <w:rFonts w:ascii="Arial" w:cs="Arial" w:eastAsia="Arial" w:hAnsi="Arial"/>
                <w:sz w:val="14"/>
                <w:szCs w:val="14"/>
                <w:color w:val="auto"/>
              </w:rPr>
              <w:t>Operating income</w:t>
            </w:r>
          </w:p>
        </w:tc>
        <w:tc>
          <w:tcPr>
            <w:tcW w:w="380" w:type="dxa"/>
            <w:vAlign w:val="bottom"/>
          </w:tcPr>
          <w:p>
            <w:pPr>
              <w:spacing w:after="0"/>
              <w:rPr>
                <w:sz w:val="24"/>
                <w:szCs w:val="24"/>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31,927</w:t>
            </w:r>
          </w:p>
        </w:tc>
        <w:tc>
          <w:tcPr>
            <w:tcW w:w="400" w:type="dxa"/>
            <w:vAlign w:val="bottom"/>
          </w:tcPr>
          <w:p>
            <w:pPr>
              <w:spacing w:after="0"/>
              <w:rPr>
                <w:sz w:val="24"/>
                <w:szCs w:val="2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17,976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36,466</w:t>
            </w:r>
          </w:p>
        </w:tc>
        <w:tc>
          <w:tcPr>
            <w:tcW w:w="360" w:type="dxa"/>
            <w:vAlign w:val="bottom"/>
          </w:tcPr>
          <w:p>
            <w:pPr>
              <w:spacing w:after="0"/>
              <w:rPr>
                <w:sz w:val="24"/>
                <w:szCs w:val="2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20,323</w:t>
            </w:r>
          </w:p>
        </w:tc>
        <w:tc>
          <w:tcPr>
            <w:tcW w:w="0" w:type="dxa"/>
            <w:vAlign w:val="bottom"/>
          </w:tcPr>
          <w:p>
            <w:pPr>
              <w:spacing w:after="0"/>
              <w:rPr>
                <w:sz w:val="1"/>
                <w:szCs w:val="1"/>
                <w:color w:val="auto"/>
              </w:rPr>
            </w:pPr>
          </w:p>
        </w:tc>
      </w:tr>
      <w:tr>
        <w:trPr>
          <w:trHeight w:val="176"/>
        </w:trPr>
        <w:tc>
          <w:tcPr>
            <w:tcW w:w="5560" w:type="dxa"/>
            <w:vAlign w:val="bottom"/>
          </w:tcPr>
          <w:p>
            <w:pPr>
              <w:spacing w:after="0"/>
              <w:rPr>
                <w:sz w:val="20"/>
                <w:szCs w:val="20"/>
                <w:color w:val="auto"/>
              </w:rPr>
            </w:pPr>
            <w:r>
              <w:rPr>
                <w:rFonts w:ascii="Arial" w:cs="Arial" w:eastAsia="Arial" w:hAnsi="Arial"/>
                <w:sz w:val="14"/>
                <w:szCs w:val="14"/>
                <w:color w:val="auto"/>
              </w:rPr>
              <w:t>Other income (expense)</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60" w:type="dxa"/>
            <w:vAlign w:val="bottom"/>
          </w:tcPr>
          <w:p>
            <w:pPr>
              <w:ind w:left="120"/>
              <w:spacing w:after="0"/>
              <w:rPr>
                <w:sz w:val="20"/>
                <w:szCs w:val="20"/>
                <w:color w:val="auto"/>
              </w:rPr>
            </w:pPr>
            <w:r>
              <w:rPr>
                <w:rFonts w:ascii="Arial" w:cs="Arial" w:eastAsia="Arial" w:hAnsi="Arial"/>
                <w:sz w:val="14"/>
                <w:szCs w:val="14"/>
                <w:color w:val="auto"/>
              </w:rPr>
              <w:t>Interest income</w:t>
            </w:r>
          </w:p>
        </w:tc>
        <w:tc>
          <w:tcPr>
            <w:tcW w:w="38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53</w:t>
            </w:r>
          </w:p>
        </w:tc>
        <w:tc>
          <w:tcPr>
            <w:tcW w:w="40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150</w:t>
            </w: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1,255</w:t>
            </w:r>
          </w:p>
        </w:tc>
        <w:tc>
          <w:tcPr>
            <w:tcW w:w="0" w:type="dxa"/>
            <w:vAlign w:val="bottom"/>
          </w:tcPr>
          <w:p>
            <w:pPr>
              <w:spacing w:after="0"/>
              <w:rPr>
                <w:sz w:val="1"/>
                <w:szCs w:val="1"/>
                <w:color w:val="auto"/>
              </w:rPr>
            </w:pPr>
          </w:p>
        </w:tc>
      </w:tr>
      <w:tr>
        <w:trPr>
          <w:trHeight w:val="176"/>
        </w:trPr>
        <w:tc>
          <w:tcPr>
            <w:tcW w:w="556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38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(2,913)</w:t>
            </w:r>
          </w:p>
        </w:tc>
        <w:tc>
          <w:tcPr>
            <w:tcW w:w="4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(2,336)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(5,822)</w:t>
            </w:r>
          </w:p>
        </w:tc>
        <w:tc>
          <w:tcPr>
            <w:tcW w:w="36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(4,674)</w:t>
            </w:r>
          </w:p>
        </w:tc>
        <w:tc>
          <w:tcPr>
            <w:tcW w:w="0" w:type="dxa"/>
            <w:vAlign w:val="bottom"/>
          </w:tcPr>
          <w:p>
            <w:pPr>
              <w:spacing w:after="0"/>
              <w:rPr>
                <w:sz w:val="1"/>
                <w:szCs w:val="1"/>
                <w:color w:val="auto"/>
              </w:rPr>
            </w:pPr>
          </w:p>
        </w:tc>
      </w:tr>
      <w:tr>
        <w:trPr>
          <w:trHeight w:val="181"/>
        </w:trPr>
        <w:tc>
          <w:tcPr>
            <w:tcW w:w="5560" w:type="dxa"/>
            <w:vAlign w:val="bottom"/>
          </w:tcPr>
          <w:p>
            <w:pPr>
              <w:ind w:left="120"/>
              <w:spacing w:after="0"/>
              <w:rPr>
                <w:sz w:val="20"/>
                <w:szCs w:val="20"/>
                <w:color w:val="auto"/>
              </w:rPr>
            </w:pPr>
            <w:r>
              <w:rPr>
                <w:rFonts w:ascii="Arial" w:cs="Arial" w:eastAsia="Arial" w:hAnsi="Arial"/>
                <w:sz w:val="14"/>
                <w:szCs w:val="14"/>
                <w:color w:val="auto"/>
              </w:rPr>
              <w:t>Other income (expense), net</w:t>
            </w: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(1,375)</w:t>
            </w: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(1,742)</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(3,873)</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(2,559)</w:t>
            </w:r>
          </w:p>
        </w:tc>
        <w:tc>
          <w:tcPr>
            <w:tcW w:w="0" w:type="dxa"/>
            <w:vAlign w:val="bottom"/>
          </w:tcPr>
          <w:p>
            <w:pPr>
              <w:spacing w:after="0"/>
              <w:rPr>
                <w:sz w:val="1"/>
                <w:szCs w:val="1"/>
                <w:color w:val="auto"/>
              </w:rPr>
            </w:pPr>
          </w:p>
        </w:tc>
      </w:tr>
      <w:tr>
        <w:trPr>
          <w:trHeight w:val="169"/>
        </w:trPr>
        <w:tc>
          <w:tcPr>
            <w:tcW w:w="5560" w:type="dxa"/>
            <w:vAlign w:val="bottom"/>
          </w:tcPr>
          <w:p>
            <w:pPr>
              <w:ind w:left="300"/>
              <w:spacing w:after="0"/>
              <w:rPr>
                <w:sz w:val="20"/>
                <w:szCs w:val="20"/>
                <w:color w:val="auto"/>
              </w:rPr>
            </w:pPr>
            <w:r>
              <w:rPr>
                <w:rFonts w:ascii="Arial" w:cs="Arial" w:eastAsia="Arial" w:hAnsi="Arial"/>
                <w:sz w:val="14"/>
                <w:szCs w:val="14"/>
                <w:color w:val="auto"/>
              </w:rPr>
              <w:t>Total other income (expense)</w:t>
            </w: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(4,235)</w:t>
            </w:r>
          </w:p>
        </w:tc>
        <w:tc>
          <w:tcPr>
            <w:tcW w:w="4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(3,884)</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(9,545)</w:t>
            </w: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(5,978)</w:t>
            </w:r>
          </w:p>
        </w:tc>
        <w:tc>
          <w:tcPr>
            <w:tcW w:w="0" w:type="dxa"/>
            <w:vAlign w:val="bottom"/>
          </w:tcPr>
          <w:p>
            <w:pPr>
              <w:spacing w:after="0"/>
              <w:rPr>
                <w:sz w:val="1"/>
                <w:szCs w:val="1"/>
                <w:color w:val="auto"/>
              </w:rPr>
            </w:pPr>
          </w:p>
        </w:tc>
      </w:tr>
      <w:tr>
        <w:trPr>
          <w:trHeight w:val="339"/>
        </w:trPr>
        <w:tc>
          <w:tcPr>
            <w:tcW w:w="5560" w:type="dxa"/>
            <w:vAlign w:val="bottom"/>
          </w:tcPr>
          <w:p>
            <w:pPr>
              <w:spacing w:after="0"/>
              <w:rPr>
                <w:sz w:val="20"/>
                <w:szCs w:val="20"/>
                <w:color w:val="auto"/>
              </w:rPr>
            </w:pPr>
            <w:r>
              <w:rPr>
                <w:rFonts w:ascii="Arial" w:cs="Arial" w:eastAsia="Arial" w:hAnsi="Arial"/>
                <w:sz w:val="14"/>
                <w:szCs w:val="14"/>
                <w:color w:val="auto"/>
              </w:rPr>
              <w:t>Income before income taxes</w:t>
            </w:r>
          </w:p>
        </w:tc>
        <w:tc>
          <w:tcPr>
            <w:tcW w:w="380" w:type="dxa"/>
            <w:vAlign w:val="bottom"/>
          </w:tcPr>
          <w:p>
            <w:pPr>
              <w:spacing w:after="0"/>
              <w:rPr>
                <w:sz w:val="24"/>
                <w:szCs w:val="24"/>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27,692</w:t>
            </w:r>
          </w:p>
        </w:tc>
        <w:tc>
          <w:tcPr>
            <w:tcW w:w="400" w:type="dxa"/>
            <w:vAlign w:val="bottom"/>
          </w:tcPr>
          <w:p>
            <w:pPr>
              <w:spacing w:after="0"/>
              <w:rPr>
                <w:sz w:val="24"/>
                <w:szCs w:val="2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14,092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26,921</w:t>
            </w:r>
          </w:p>
        </w:tc>
        <w:tc>
          <w:tcPr>
            <w:tcW w:w="360" w:type="dxa"/>
            <w:vAlign w:val="bottom"/>
          </w:tcPr>
          <w:p>
            <w:pPr>
              <w:spacing w:after="0"/>
              <w:rPr>
                <w:sz w:val="24"/>
                <w:szCs w:val="2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14,345</w:t>
            </w:r>
          </w:p>
        </w:tc>
        <w:tc>
          <w:tcPr>
            <w:tcW w:w="0" w:type="dxa"/>
            <w:vAlign w:val="bottom"/>
          </w:tcPr>
          <w:p>
            <w:pPr>
              <w:spacing w:after="0"/>
              <w:rPr>
                <w:sz w:val="1"/>
                <w:szCs w:val="1"/>
                <w:color w:val="auto"/>
              </w:rPr>
            </w:pPr>
          </w:p>
        </w:tc>
      </w:tr>
      <w:tr>
        <w:trPr>
          <w:trHeight w:val="181"/>
        </w:trPr>
        <w:tc>
          <w:tcPr>
            <w:tcW w:w="5560" w:type="dxa"/>
            <w:vAlign w:val="bottom"/>
          </w:tcPr>
          <w:p>
            <w:pPr>
              <w:spacing w:after="0"/>
              <w:rPr>
                <w:sz w:val="20"/>
                <w:szCs w:val="20"/>
                <w:color w:val="auto"/>
              </w:rPr>
            </w:pPr>
            <w:r>
              <w:rPr>
                <w:rFonts w:ascii="Arial" w:cs="Arial" w:eastAsia="Arial" w:hAnsi="Arial"/>
                <w:sz w:val="14"/>
                <w:szCs w:val="14"/>
                <w:color w:val="auto"/>
              </w:rPr>
              <w:t>Income tax benefit (provision)</w:t>
            </w: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(7,848)</w:t>
            </w: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(1,896)</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(7,195)</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1,347</w:t>
            </w:r>
          </w:p>
        </w:tc>
        <w:tc>
          <w:tcPr>
            <w:tcW w:w="0" w:type="dxa"/>
            <w:vAlign w:val="bottom"/>
          </w:tcPr>
          <w:p>
            <w:pPr>
              <w:spacing w:after="0"/>
              <w:rPr>
                <w:sz w:val="1"/>
                <w:szCs w:val="1"/>
                <w:color w:val="auto"/>
              </w:rPr>
            </w:pPr>
          </w:p>
        </w:tc>
      </w:tr>
      <w:tr>
        <w:trPr>
          <w:trHeight w:val="164"/>
        </w:trPr>
        <w:tc>
          <w:tcPr>
            <w:tcW w:w="5560" w:type="dxa"/>
            <w:vAlign w:val="bottom"/>
          </w:tcPr>
          <w:p>
            <w:pPr>
              <w:spacing w:after="0"/>
              <w:rPr>
                <w:sz w:val="20"/>
                <w:szCs w:val="20"/>
                <w:color w:val="auto"/>
              </w:rPr>
            </w:pPr>
            <w:r>
              <w:rPr>
                <w:rFonts w:ascii="Arial" w:cs="Arial" w:eastAsia="Arial" w:hAnsi="Arial"/>
                <w:sz w:val="14"/>
                <w:szCs w:val="14"/>
                <w:color w:val="auto"/>
              </w:rPr>
              <w:t>Net income</w:t>
            </w:r>
          </w:p>
        </w:tc>
        <w:tc>
          <w:tcPr>
            <w:tcW w:w="38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19,844</w:t>
            </w:r>
          </w:p>
        </w:tc>
        <w:tc>
          <w:tcPr>
            <w:tcW w:w="4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12,196</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19,726</w:t>
            </w:r>
          </w:p>
        </w:tc>
        <w:tc>
          <w:tcPr>
            <w:tcW w:w="3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15,692</w:t>
            </w:r>
          </w:p>
        </w:tc>
        <w:tc>
          <w:tcPr>
            <w:tcW w:w="0" w:type="dxa"/>
            <w:vAlign w:val="bottom"/>
          </w:tcPr>
          <w:p>
            <w:pPr>
              <w:spacing w:after="0"/>
              <w:rPr>
                <w:sz w:val="1"/>
                <w:szCs w:val="1"/>
                <w:color w:val="auto"/>
              </w:rPr>
            </w:pPr>
          </w:p>
        </w:tc>
      </w:tr>
      <w:tr>
        <w:trPr>
          <w:trHeight w:val="181"/>
        </w:trPr>
        <w:tc>
          <w:tcPr>
            <w:tcW w:w="5560" w:type="dxa"/>
            <w:vAlign w:val="bottom"/>
          </w:tcPr>
          <w:p>
            <w:pPr>
              <w:ind w:left="120"/>
              <w:spacing w:after="0"/>
              <w:rPr>
                <w:sz w:val="20"/>
                <w:szCs w:val="20"/>
                <w:color w:val="auto"/>
              </w:rPr>
            </w:pPr>
            <w:r>
              <w:rPr>
                <w:rFonts w:ascii="Arial" w:cs="Arial" w:eastAsia="Arial" w:hAnsi="Arial"/>
                <w:sz w:val="14"/>
                <w:szCs w:val="14"/>
                <w:color w:val="auto"/>
              </w:rPr>
              <w:t>Net income (loss) attributable to non-controlling interests</w:t>
            </w: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585</w:t>
            </w: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721</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723</w:t>
            </w:r>
          </w:p>
        </w:tc>
        <w:tc>
          <w:tcPr>
            <w:tcW w:w="0" w:type="dxa"/>
            <w:vAlign w:val="bottom"/>
          </w:tcPr>
          <w:p>
            <w:pPr>
              <w:spacing w:after="0"/>
              <w:rPr>
                <w:sz w:val="1"/>
                <w:szCs w:val="1"/>
                <w:color w:val="auto"/>
              </w:rPr>
            </w:pPr>
          </w:p>
        </w:tc>
      </w:tr>
      <w:tr>
        <w:trPr>
          <w:trHeight w:val="169"/>
        </w:trPr>
        <w:tc>
          <w:tcPr>
            <w:tcW w:w="5560" w:type="dxa"/>
            <w:vAlign w:val="bottom"/>
          </w:tcPr>
          <w:p>
            <w:pPr>
              <w:spacing w:after="0"/>
              <w:rPr>
                <w:sz w:val="20"/>
                <w:szCs w:val="20"/>
                <w:color w:val="auto"/>
              </w:rPr>
            </w:pPr>
            <w:r>
              <w:rPr>
                <w:rFonts w:ascii="Arial" w:cs="Arial" w:eastAsia="Arial" w:hAnsi="Arial"/>
                <w:sz w:val="14"/>
                <w:szCs w:val="14"/>
                <w:color w:val="auto"/>
              </w:rPr>
              <w:t>Net income attributable to Itron, Inc.</w:t>
            </w: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19,259</w:t>
            </w:r>
          </w:p>
        </w:tc>
        <w:tc>
          <w:tcPr>
            <w:tcW w:w="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12,399</w:t>
            </w:r>
          </w:p>
        </w:tc>
        <w:tc>
          <w:tcPr>
            <w:tcW w:w="120" w:type="dxa"/>
            <w:vAlign w:val="bottom"/>
          </w:tcPr>
          <w:p>
            <w:pPr>
              <w:spacing w:after="0"/>
              <w:rPr>
                <w:sz w:val="14"/>
                <w:szCs w:val="14"/>
                <w:color w:val="auto"/>
              </w:rPr>
            </w:pP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19,005</w:t>
            </w: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14,969</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560" w:type="dxa"/>
            <w:vAlign w:val="bottom"/>
          </w:tcPr>
          <w:p>
            <w:pPr>
              <w:spacing w:after="0"/>
              <w:rPr>
                <w:sz w:val="20"/>
                <w:szCs w:val="20"/>
                <w:color w:val="auto"/>
              </w:rPr>
            </w:pPr>
            <w:r>
              <w:rPr>
                <w:rFonts w:ascii="Arial" w:cs="Arial" w:eastAsia="Arial" w:hAnsi="Arial"/>
                <w:sz w:val="14"/>
                <w:szCs w:val="14"/>
                <w:color w:val="auto"/>
              </w:rPr>
              <w:t>Earnings per common share - Basic</w:t>
            </w: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0.49</w:t>
            </w:r>
          </w:p>
        </w:tc>
        <w:tc>
          <w:tcPr>
            <w:tcW w:w="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0.31</w:t>
            </w:r>
          </w:p>
        </w:tc>
        <w:tc>
          <w:tcPr>
            <w:tcW w:w="120" w:type="dxa"/>
            <w:vAlign w:val="bottom"/>
          </w:tcPr>
          <w:p>
            <w:pPr>
              <w:spacing w:after="0"/>
              <w:rPr>
                <w:sz w:val="24"/>
                <w:szCs w:val="24"/>
                <w:color w:val="auto"/>
              </w:rPr>
            </w:pP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0.48</w:t>
            </w: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0.38</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4"/>
                <w:szCs w:val="14"/>
                <w:color w:val="auto"/>
              </w:rPr>
              <w:t>Earnings per common share - Diluted</w:t>
            </w: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560" w:type="dxa"/>
            <w:vAlign w:val="bottom"/>
            <w:vMerge w:val="continue"/>
          </w:tcPr>
          <w:p>
            <w:pPr>
              <w:spacing w:after="0"/>
              <w:rPr>
                <w:sz w:val="13"/>
                <w:szCs w:val="13"/>
                <w:color w:val="auto"/>
              </w:rPr>
            </w:pPr>
          </w:p>
        </w:tc>
        <w:tc>
          <w:tcPr>
            <w:tcW w:w="380" w:type="dxa"/>
            <w:vAlign w:val="bottom"/>
            <w:tcBorders>
              <w:top w:val="single" w:sz="8" w:color="auto"/>
              <w:bottom w:val="single" w:sz="8" w:color="auto"/>
            </w:tcBorders>
          </w:tcPr>
          <w:p>
            <w:pPr>
              <w:jc w:val="right"/>
              <w:ind w:right="128"/>
              <w:spacing w:after="0" w:line="156"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88"/>
              <w:spacing w:after="0" w:line="156" w:lineRule="exact"/>
              <w:rPr>
                <w:sz w:val="20"/>
                <w:szCs w:val="20"/>
                <w:color w:val="auto"/>
              </w:rPr>
            </w:pPr>
            <w:r>
              <w:rPr>
                <w:rFonts w:ascii="Arial" w:cs="Arial" w:eastAsia="Arial" w:hAnsi="Arial"/>
                <w:sz w:val="14"/>
                <w:szCs w:val="14"/>
                <w:color w:val="auto"/>
              </w:rPr>
              <w:t>0.49</w:t>
            </w:r>
          </w:p>
        </w:tc>
        <w:tc>
          <w:tcPr>
            <w:tcW w:w="400" w:type="dxa"/>
            <w:vAlign w:val="bottom"/>
            <w:tcBorders>
              <w:top w:val="single" w:sz="8" w:color="auto"/>
              <w:bottom w:val="single" w:sz="8" w:color="auto"/>
            </w:tcBorders>
          </w:tcPr>
          <w:p>
            <w:pPr>
              <w:jc w:val="right"/>
              <w:ind w:right="148"/>
              <w:spacing w:after="0" w:line="156"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88"/>
              <w:spacing w:after="0" w:line="156" w:lineRule="exact"/>
              <w:rPr>
                <w:sz w:val="20"/>
                <w:szCs w:val="20"/>
                <w:color w:val="auto"/>
              </w:rPr>
            </w:pPr>
            <w:r>
              <w:rPr>
                <w:rFonts w:ascii="Arial" w:cs="Arial" w:eastAsia="Arial" w:hAnsi="Arial"/>
                <w:sz w:val="14"/>
                <w:szCs w:val="14"/>
                <w:color w:val="auto"/>
              </w:rPr>
              <w:t>0.31</w:t>
            </w:r>
          </w:p>
        </w:tc>
        <w:tc>
          <w:tcPr>
            <w:tcW w:w="12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08"/>
              <w:spacing w:after="0" w:line="156"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68"/>
              <w:spacing w:after="0" w:line="156" w:lineRule="exact"/>
              <w:rPr>
                <w:sz w:val="20"/>
                <w:szCs w:val="20"/>
                <w:color w:val="auto"/>
              </w:rPr>
            </w:pPr>
            <w:r>
              <w:rPr>
                <w:rFonts w:ascii="Arial" w:cs="Arial" w:eastAsia="Arial" w:hAnsi="Arial"/>
                <w:sz w:val="14"/>
                <w:szCs w:val="14"/>
                <w:color w:val="auto"/>
              </w:rPr>
              <w:t>0.48</w:t>
            </w:r>
          </w:p>
        </w:tc>
        <w:tc>
          <w:tcPr>
            <w:tcW w:w="360" w:type="dxa"/>
            <w:vAlign w:val="bottom"/>
            <w:tcBorders>
              <w:top w:val="single" w:sz="8" w:color="auto"/>
              <w:bottom w:val="single" w:sz="8" w:color="auto"/>
            </w:tcBorders>
          </w:tcPr>
          <w:p>
            <w:pPr>
              <w:jc w:val="right"/>
              <w:ind w:right="128"/>
              <w:spacing w:after="0" w:line="156"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88"/>
              <w:spacing w:after="0" w:line="156" w:lineRule="exact"/>
              <w:rPr>
                <w:sz w:val="20"/>
                <w:szCs w:val="20"/>
                <w:color w:val="auto"/>
              </w:rPr>
            </w:pPr>
            <w:r>
              <w:rPr>
                <w:rFonts w:ascii="Arial" w:cs="Arial" w:eastAsia="Arial" w:hAnsi="Arial"/>
                <w:sz w:val="14"/>
                <w:szCs w:val="14"/>
                <w:color w:val="auto"/>
              </w:rPr>
              <w:t>0.38</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5560" w:type="dxa"/>
            <w:vAlign w:val="bottom"/>
          </w:tcPr>
          <w:p>
            <w:pPr>
              <w:spacing w:after="0"/>
              <w:rPr>
                <w:sz w:val="20"/>
                <w:szCs w:val="20"/>
                <w:color w:val="auto"/>
              </w:rPr>
            </w:pPr>
            <w:r>
              <w:rPr>
                <w:rFonts w:ascii="Arial" w:cs="Arial" w:eastAsia="Arial" w:hAnsi="Arial"/>
                <w:sz w:val="14"/>
                <w:szCs w:val="14"/>
                <w:color w:val="auto"/>
              </w:rPr>
              <w:t>Weighted average common shares outstanding - Basic</w:t>
            </w:r>
          </w:p>
        </w:tc>
        <w:tc>
          <w:tcPr>
            <w:tcW w:w="380" w:type="dxa"/>
            <w:vAlign w:val="bottom"/>
          </w:tcPr>
          <w:p>
            <w:pPr>
              <w:spacing w:after="0"/>
              <w:rPr>
                <w:sz w:val="24"/>
                <w:szCs w:val="24"/>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39,356</w:t>
            </w:r>
          </w:p>
        </w:tc>
        <w:tc>
          <w:tcPr>
            <w:tcW w:w="400" w:type="dxa"/>
            <w:vAlign w:val="bottom"/>
          </w:tcPr>
          <w:p>
            <w:pPr>
              <w:spacing w:after="0"/>
              <w:rPr>
                <w:sz w:val="24"/>
                <w:szCs w:val="2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39,431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39,296</w:t>
            </w:r>
          </w:p>
        </w:tc>
        <w:tc>
          <w:tcPr>
            <w:tcW w:w="360" w:type="dxa"/>
            <w:vAlign w:val="bottom"/>
          </w:tcPr>
          <w:p>
            <w:pPr>
              <w:spacing w:after="0"/>
              <w:rPr>
                <w:sz w:val="24"/>
                <w:szCs w:val="2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39,426</w:t>
            </w:r>
          </w:p>
        </w:tc>
        <w:tc>
          <w:tcPr>
            <w:tcW w:w="0" w:type="dxa"/>
            <w:vAlign w:val="bottom"/>
          </w:tcPr>
          <w:p>
            <w:pPr>
              <w:spacing w:after="0"/>
              <w:rPr>
                <w:sz w:val="1"/>
                <w:szCs w:val="1"/>
                <w:color w:val="auto"/>
              </w:rPr>
            </w:pPr>
          </w:p>
        </w:tc>
      </w:tr>
      <w:tr>
        <w:trPr>
          <w:trHeight w:val="182"/>
        </w:trPr>
        <w:tc>
          <w:tcPr>
            <w:tcW w:w="5560" w:type="dxa"/>
            <w:vAlign w:val="bottom"/>
          </w:tcPr>
          <w:p>
            <w:pPr>
              <w:spacing w:after="0"/>
              <w:rPr>
                <w:sz w:val="20"/>
                <w:szCs w:val="20"/>
                <w:color w:val="auto"/>
              </w:rPr>
            </w:pPr>
            <w:r>
              <w:rPr>
                <w:rFonts w:ascii="Arial" w:cs="Arial" w:eastAsia="Arial" w:hAnsi="Arial"/>
                <w:sz w:val="14"/>
                <w:szCs w:val="14"/>
                <w:color w:val="auto"/>
              </w:rPr>
              <w:t>Weighted average common shares outstanding - Diluted</w:t>
            </w:r>
          </w:p>
        </w:tc>
        <w:tc>
          <w:tcPr>
            <w:tcW w:w="38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39,544</w:t>
            </w:r>
          </w:p>
        </w:tc>
        <w:tc>
          <w:tcPr>
            <w:tcW w:w="40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39,678</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39,528</w:t>
            </w: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39,724</w:t>
            </w:r>
          </w:p>
        </w:tc>
        <w:tc>
          <w:tcPr>
            <w:tcW w:w="0" w:type="dxa"/>
            <w:vAlign w:val="bottom"/>
          </w:tcPr>
          <w:p>
            <w:pPr>
              <w:spacing w:after="0"/>
              <w:rPr>
                <w:sz w:val="1"/>
                <w:szCs w:val="1"/>
                <w:color w:val="auto"/>
              </w:rPr>
            </w:pPr>
          </w:p>
        </w:tc>
      </w:tr>
      <w:tr>
        <w:trPr>
          <w:trHeight w:val="309"/>
        </w:trPr>
        <w:tc>
          <w:tcPr>
            <w:tcW w:w="55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56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6"/>
        </w:trPr>
        <w:tc>
          <w:tcPr>
            <w:tcW w:w="4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jc w:val="center"/>
              <w:ind w:left="308"/>
              <w:spacing w:after="0"/>
              <w:rPr>
                <w:sz w:val="20"/>
                <w:szCs w:val="20"/>
                <w:color w:val="auto"/>
              </w:rPr>
            </w:pPr>
            <w:r>
              <w:rPr>
                <w:rFonts w:ascii="Arial" w:cs="Arial" w:eastAsia="Arial" w:hAnsi="Arial"/>
                <w:sz w:val="14"/>
                <w:szCs w:val="14"/>
                <w:b w:val="1"/>
                <w:bCs w:val="1"/>
                <w:color w:val="auto"/>
              </w:rPr>
              <w:t>ITRON, INC.</w:t>
            </w: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480" w:type="dxa"/>
            <w:vAlign w:val="bottom"/>
            <w:vMerge w:val="restart"/>
          </w:tcPr>
          <w:p>
            <w:pPr>
              <w:spacing w:after="0"/>
              <w:rPr>
                <w:sz w:val="20"/>
                <w:szCs w:val="20"/>
                <w:color w:val="auto"/>
              </w:rPr>
            </w:pPr>
            <w:r>
              <w:rPr>
                <w:rFonts w:ascii="Arial" w:cs="Arial" w:eastAsia="Arial" w:hAnsi="Arial"/>
                <w:sz w:val="14"/>
                <w:szCs w:val="14"/>
                <w:color w:val="auto"/>
              </w:rPr>
              <w:t>(Unaudited, in thousands)</w:t>
            </w:r>
          </w:p>
        </w:tc>
        <w:tc>
          <w:tcPr>
            <w:tcW w:w="280" w:type="dxa"/>
            <w:vAlign w:val="bottom"/>
          </w:tcPr>
          <w:p>
            <w:pPr>
              <w:spacing w:after="0"/>
              <w:rPr>
                <w:sz w:val="16"/>
                <w:szCs w:val="16"/>
                <w:color w:val="auto"/>
              </w:rPr>
            </w:pPr>
          </w:p>
        </w:tc>
        <w:tc>
          <w:tcPr>
            <w:tcW w:w="2180" w:type="dxa"/>
            <w:vAlign w:val="bottom"/>
            <w:gridSpan w:val="2"/>
          </w:tcPr>
          <w:p>
            <w:pPr>
              <w:jc w:val="center"/>
              <w:ind w:right="208"/>
              <w:spacing w:after="0"/>
              <w:rPr>
                <w:sz w:val="20"/>
                <w:szCs w:val="20"/>
                <w:color w:val="auto"/>
              </w:rPr>
            </w:pPr>
            <w:r>
              <w:rPr>
                <w:rFonts w:ascii="Arial" w:cs="Arial" w:eastAsia="Arial" w:hAnsi="Arial"/>
                <w:sz w:val="14"/>
                <w:szCs w:val="14"/>
                <w:b w:val="1"/>
                <w:bCs w:val="1"/>
                <w:color w:val="auto"/>
              </w:rPr>
              <w:t>SEGMENT INFORMATION</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4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3280" w:type="dxa"/>
            <w:vAlign w:val="bottom"/>
            <w:gridSpan w:val="3"/>
            <w:vMerge w:val="restart"/>
          </w:tcPr>
          <w:p>
            <w:pPr>
              <w:jc w:val="right"/>
              <w:ind w:right="788"/>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20" w:type="dxa"/>
            <w:vAlign w:val="bottom"/>
            <w:gridSpan w:val="3"/>
            <w:vMerge w:val="restart"/>
          </w:tcPr>
          <w:p>
            <w:pPr>
              <w:jc w:val="right"/>
              <w:ind w:right="72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4"/>
        </w:trPr>
        <w:tc>
          <w:tcPr>
            <w:tcW w:w="44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64"/>
        </w:trPr>
        <w:tc>
          <w:tcPr>
            <w:tcW w:w="448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80" w:type="dxa"/>
            <w:vAlign w:val="bottom"/>
          </w:tcPr>
          <w:p>
            <w:pPr>
              <w:ind w:left="220"/>
              <w:spacing w:after="0"/>
              <w:rPr>
                <w:sz w:val="20"/>
                <w:szCs w:val="20"/>
                <w:color w:val="auto"/>
              </w:rPr>
            </w:pPr>
            <w:r>
              <w:rPr>
                <w:rFonts w:ascii="Arial" w:cs="Arial" w:eastAsia="Arial" w:hAnsi="Arial"/>
                <w:sz w:val="14"/>
                <w:szCs w:val="14"/>
                <w:color w:val="auto"/>
              </w:rPr>
              <w:t>Electricity</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148"/>
              <w:spacing w:after="0"/>
              <w:rPr>
                <w:sz w:val="20"/>
                <w:szCs w:val="20"/>
                <w:color w:val="auto"/>
              </w:rPr>
            </w:pPr>
            <w:r>
              <w:rPr>
                <w:rFonts w:ascii="Arial" w:cs="Arial" w:eastAsia="Arial" w:hAnsi="Arial"/>
                <w:sz w:val="14"/>
                <w:szCs w:val="14"/>
                <w:color w:val="auto"/>
              </w:rPr>
              <w:t>183,755</w:t>
            </w:r>
          </w:p>
        </w:tc>
        <w:tc>
          <w:tcPr>
            <w:tcW w:w="6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213,612</w:t>
            </w:r>
          </w:p>
        </w:tc>
        <w:tc>
          <w:tcPr>
            <w:tcW w:w="5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363,973</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389,375</w:t>
            </w:r>
          </w:p>
        </w:tc>
        <w:tc>
          <w:tcPr>
            <w:tcW w:w="0" w:type="dxa"/>
            <w:vAlign w:val="bottom"/>
          </w:tcPr>
          <w:p>
            <w:pPr>
              <w:spacing w:after="0"/>
              <w:rPr>
                <w:sz w:val="1"/>
                <w:szCs w:val="1"/>
                <w:color w:val="auto"/>
              </w:rPr>
            </w:pPr>
          </w:p>
        </w:tc>
      </w:tr>
      <w:tr>
        <w:trPr>
          <w:trHeight w:val="176"/>
        </w:trPr>
        <w:tc>
          <w:tcPr>
            <w:tcW w:w="4480" w:type="dxa"/>
            <w:vAlign w:val="bottom"/>
          </w:tcPr>
          <w:p>
            <w:pPr>
              <w:ind w:left="220"/>
              <w:spacing w:after="0"/>
              <w:rPr>
                <w:sz w:val="20"/>
                <w:szCs w:val="20"/>
                <w:color w:val="auto"/>
              </w:rPr>
            </w:pPr>
            <w:r>
              <w:rPr>
                <w:rFonts w:ascii="Arial" w:cs="Arial" w:eastAsia="Arial" w:hAnsi="Arial"/>
                <w:sz w:val="14"/>
                <w:szCs w:val="14"/>
                <w:color w:val="auto"/>
              </w:rPr>
              <w:t>Gas</w:t>
            </w:r>
          </w:p>
        </w:tc>
        <w:tc>
          <w:tcPr>
            <w:tcW w:w="280" w:type="dxa"/>
            <w:vAlign w:val="bottom"/>
          </w:tcPr>
          <w:p>
            <w:pPr>
              <w:spacing w:after="0"/>
              <w:rPr>
                <w:sz w:val="15"/>
                <w:szCs w:val="15"/>
                <w:color w:val="auto"/>
              </w:rPr>
            </w:pPr>
          </w:p>
        </w:tc>
        <w:tc>
          <w:tcPr>
            <w:tcW w:w="1500" w:type="dxa"/>
            <w:vAlign w:val="bottom"/>
          </w:tcPr>
          <w:p>
            <w:pPr>
              <w:jc w:val="right"/>
              <w:ind w:right="148"/>
              <w:spacing w:after="0"/>
              <w:rPr>
                <w:sz w:val="20"/>
                <w:szCs w:val="20"/>
                <w:color w:val="auto"/>
              </w:rPr>
            </w:pPr>
            <w:r>
              <w:rPr>
                <w:rFonts w:ascii="Arial" w:cs="Arial" w:eastAsia="Arial" w:hAnsi="Arial"/>
                <w:sz w:val="14"/>
                <w:szCs w:val="14"/>
                <w:color w:val="auto"/>
              </w:rPr>
              <w:t>154,322</w:t>
            </w:r>
          </w:p>
        </w:tc>
        <w:tc>
          <w:tcPr>
            <w:tcW w:w="680" w:type="dxa"/>
            <w:vAlign w:val="bottom"/>
          </w:tcPr>
          <w:p>
            <w:pPr>
              <w:spacing w:after="0"/>
              <w:rPr>
                <w:sz w:val="15"/>
                <w:szCs w:val="15"/>
                <w:color w:val="auto"/>
              </w:rPr>
            </w:pP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136,011</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300,431</w:t>
            </w:r>
          </w:p>
        </w:tc>
        <w:tc>
          <w:tcPr>
            <w:tcW w:w="44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272,926</w:t>
            </w:r>
          </w:p>
        </w:tc>
        <w:tc>
          <w:tcPr>
            <w:tcW w:w="0" w:type="dxa"/>
            <w:vAlign w:val="bottom"/>
          </w:tcPr>
          <w:p>
            <w:pPr>
              <w:spacing w:after="0"/>
              <w:rPr>
                <w:sz w:val="1"/>
                <w:szCs w:val="1"/>
                <w:color w:val="auto"/>
              </w:rPr>
            </w:pPr>
          </w:p>
        </w:tc>
      </w:tr>
      <w:tr>
        <w:trPr>
          <w:trHeight w:val="181"/>
        </w:trPr>
        <w:tc>
          <w:tcPr>
            <w:tcW w:w="4480" w:type="dxa"/>
            <w:vAlign w:val="bottom"/>
          </w:tcPr>
          <w:p>
            <w:pPr>
              <w:ind w:left="220"/>
              <w:spacing w:after="0"/>
              <w:rPr>
                <w:sz w:val="20"/>
                <w:szCs w:val="20"/>
                <w:color w:val="auto"/>
              </w:rPr>
            </w:pPr>
            <w:r>
              <w:rPr>
                <w:rFonts w:ascii="Arial" w:cs="Arial" w:eastAsia="Arial" w:hAnsi="Arial"/>
                <w:sz w:val="14"/>
                <w:szCs w:val="14"/>
                <w:color w:val="auto"/>
              </w:rPr>
              <w:t>Water</w:t>
            </w: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151,276</w:t>
            </w:r>
          </w:p>
        </w:tc>
        <w:tc>
          <w:tcPr>
            <w:tcW w:w="6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132,552</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299,744</w:t>
            </w: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267,410</w:t>
            </w:r>
          </w:p>
        </w:tc>
        <w:tc>
          <w:tcPr>
            <w:tcW w:w="0" w:type="dxa"/>
            <w:vAlign w:val="bottom"/>
          </w:tcPr>
          <w:p>
            <w:pPr>
              <w:spacing w:after="0"/>
              <w:rPr>
                <w:sz w:val="1"/>
                <w:szCs w:val="1"/>
                <w:color w:val="auto"/>
              </w:rPr>
            </w:pPr>
          </w:p>
        </w:tc>
      </w:tr>
      <w:tr>
        <w:trPr>
          <w:trHeight w:val="169"/>
        </w:trPr>
        <w:tc>
          <w:tcPr>
            <w:tcW w:w="4480" w:type="dxa"/>
            <w:vAlign w:val="bottom"/>
          </w:tcPr>
          <w:p>
            <w:pPr>
              <w:ind w:left="420"/>
              <w:spacing w:after="0"/>
              <w:rPr>
                <w:sz w:val="20"/>
                <w:szCs w:val="20"/>
                <w:color w:val="auto"/>
              </w:rPr>
            </w:pPr>
            <w:r>
              <w:rPr>
                <w:rFonts w:ascii="Arial" w:cs="Arial" w:eastAsia="Arial" w:hAnsi="Arial"/>
                <w:sz w:val="14"/>
                <w:szCs w:val="14"/>
                <w:color w:val="auto"/>
              </w:rPr>
              <w:t>Total Company</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489,353</w:t>
            </w:r>
          </w:p>
        </w:tc>
        <w:tc>
          <w:tcPr>
            <w:tcW w:w="6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482,175</w:t>
            </w:r>
          </w:p>
        </w:tc>
        <w:tc>
          <w:tcPr>
            <w:tcW w:w="120" w:type="dxa"/>
            <w:vAlign w:val="bottom"/>
          </w:tcPr>
          <w:p>
            <w:pPr>
              <w:spacing w:after="0"/>
              <w:rPr>
                <w:sz w:val="14"/>
                <w:szCs w:val="14"/>
                <w:color w:val="auto"/>
              </w:rPr>
            </w:pP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964,148</w:t>
            </w:r>
          </w:p>
        </w:tc>
        <w:tc>
          <w:tcPr>
            <w:tcW w:w="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929,711</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auto"/>
              </w:rPr>
              <w:t>Gross profit</w:t>
            </w: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4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480" w:type="dxa"/>
            <w:vAlign w:val="bottom"/>
          </w:tcPr>
          <w:p>
            <w:pPr>
              <w:ind w:left="220"/>
              <w:spacing w:after="0"/>
              <w:rPr>
                <w:sz w:val="20"/>
                <w:szCs w:val="20"/>
                <w:color w:val="auto"/>
              </w:rPr>
            </w:pPr>
            <w:r>
              <w:rPr>
                <w:rFonts w:ascii="Arial" w:cs="Arial" w:eastAsia="Arial" w:hAnsi="Arial"/>
                <w:sz w:val="14"/>
                <w:szCs w:val="14"/>
                <w:color w:val="auto"/>
              </w:rPr>
              <w:t>Electricity</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148"/>
              <w:spacing w:after="0"/>
              <w:rPr>
                <w:sz w:val="20"/>
                <w:szCs w:val="20"/>
                <w:color w:val="auto"/>
              </w:rPr>
            </w:pPr>
            <w:r>
              <w:rPr>
                <w:rFonts w:ascii="Arial" w:cs="Arial" w:eastAsia="Arial" w:hAnsi="Arial"/>
                <w:sz w:val="14"/>
                <w:szCs w:val="14"/>
                <w:color w:val="auto"/>
              </w:rPr>
              <w:t>52,976</w:t>
            </w:r>
          </w:p>
        </w:tc>
        <w:tc>
          <w:tcPr>
            <w:tcW w:w="6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62,545</w:t>
            </w:r>
          </w:p>
        </w:tc>
        <w:tc>
          <w:tcPr>
            <w:tcW w:w="5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95,716</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107,457</w:t>
            </w:r>
          </w:p>
        </w:tc>
        <w:tc>
          <w:tcPr>
            <w:tcW w:w="0" w:type="dxa"/>
            <w:vAlign w:val="bottom"/>
          </w:tcPr>
          <w:p>
            <w:pPr>
              <w:spacing w:after="0"/>
              <w:rPr>
                <w:sz w:val="1"/>
                <w:szCs w:val="1"/>
                <w:color w:val="auto"/>
              </w:rPr>
            </w:pPr>
          </w:p>
        </w:tc>
      </w:tr>
      <w:tr>
        <w:trPr>
          <w:trHeight w:val="176"/>
        </w:trPr>
        <w:tc>
          <w:tcPr>
            <w:tcW w:w="4480" w:type="dxa"/>
            <w:vAlign w:val="bottom"/>
          </w:tcPr>
          <w:p>
            <w:pPr>
              <w:ind w:left="220"/>
              <w:spacing w:after="0"/>
              <w:rPr>
                <w:sz w:val="20"/>
                <w:szCs w:val="20"/>
                <w:color w:val="auto"/>
              </w:rPr>
            </w:pPr>
            <w:r>
              <w:rPr>
                <w:rFonts w:ascii="Arial" w:cs="Arial" w:eastAsia="Arial" w:hAnsi="Arial"/>
                <w:sz w:val="14"/>
                <w:szCs w:val="14"/>
                <w:color w:val="auto"/>
              </w:rPr>
              <w:t>Gas</w:t>
            </w:r>
          </w:p>
        </w:tc>
        <w:tc>
          <w:tcPr>
            <w:tcW w:w="280" w:type="dxa"/>
            <w:vAlign w:val="bottom"/>
          </w:tcPr>
          <w:p>
            <w:pPr>
              <w:spacing w:after="0"/>
              <w:rPr>
                <w:sz w:val="15"/>
                <w:szCs w:val="15"/>
                <w:color w:val="auto"/>
              </w:rPr>
            </w:pPr>
          </w:p>
        </w:tc>
        <w:tc>
          <w:tcPr>
            <w:tcW w:w="1500" w:type="dxa"/>
            <w:vAlign w:val="bottom"/>
          </w:tcPr>
          <w:p>
            <w:pPr>
              <w:jc w:val="right"/>
              <w:ind w:right="148"/>
              <w:spacing w:after="0"/>
              <w:rPr>
                <w:sz w:val="20"/>
                <w:szCs w:val="20"/>
                <w:color w:val="auto"/>
              </w:rPr>
            </w:pPr>
            <w:r>
              <w:rPr>
                <w:rFonts w:ascii="Arial" w:cs="Arial" w:eastAsia="Arial" w:hAnsi="Arial"/>
                <w:sz w:val="14"/>
                <w:szCs w:val="14"/>
                <w:color w:val="auto"/>
              </w:rPr>
              <w:t>56,711</w:t>
            </w:r>
          </w:p>
        </w:tc>
        <w:tc>
          <w:tcPr>
            <w:tcW w:w="680" w:type="dxa"/>
            <w:vAlign w:val="bottom"/>
          </w:tcPr>
          <w:p>
            <w:pPr>
              <w:spacing w:after="0"/>
              <w:rPr>
                <w:sz w:val="15"/>
                <w:szCs w:val="15"/>
                <w:color w:val="auto"/>
              </w:rPr>
            </w:pP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50,128</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115,117</w:t>
            </w:r>
          </w:p>
        </w:tc>
        <w:tc>
          <w:tcPr>
            <w:tcW w:w="44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100,770</w:t>
            </w:r>
          </w:p>
        </w:tc>
        <w:tc>
          <w:tcPr>
            <w:tcW w:w="0" w:type="dxa"/>
            <w:vAlign w:val="bottom"/>
          </w:tcPr>
          <w:p>
            <w:pPr>
              <w:spacing w:after="0"/>
              <w:rPr>
                <w:sz w:val="1"/>
                <w:szCs w:val="1"/>
                <w:color w:val="auto"/>
              </w:rPr>
            </w:pPr>
          </w:p>
        </w:tc>
      </w:tr>
      <w:tr>
        <w:trPr>
          <w:trHeight w:val="181"/>
        </w:trPr>
        <w:tc>
          <w:tcPr>
            <w:tcW w:w="4480" w:type="dxa"/>
            <w:vAlign w:val="bottom"/>
          </w:tcPr>
          <w:p>
            <w:pPr>
              <w:ind w:left="220"/>
              <w:spacing w:after="0"/>
              <w:rPr>
                <w:sz w:val="20"/>
                <w:szCs w:val="20"/>
                <w:color w:val="auto"/>
              </w:rPr>
            </w:pPr>
            <w:r>
              <w:rPr>
                <w:rFonts w:ascii="Arial" w:cs="Arial" w:eastAsia="Arial" w:hAnsi="Arial"/>
                <w:sz w:val="14"/>
                <w:szCs w:val="14"/>
                <w:color w:val="auto"/>
              </w:rPr>
              <w:t>Water</w:t>
            </w: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53,354</w:t>
            </w:r>
          </w:p>
        </w:tc>
        <w:tc>
          <w:tcPr>
            <w:tcW w:w="6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46,915</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106,743</w:t>
            </w: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91,484</w:t>
            </w:r>
          </w:p>
        </w:tc>
        <w:tc>
          <w:tcPr>
            <w:tcW w:w="0" w:type="dxa"/>
            <w:vAlign w:val="bottom"/>
          </w:tcPr>
          <w:p>
            <w:pPr>
              <w:spacing w:after="0"/>
              <w:rPr>
                <w:sz w:val="1"/>
                <w:szCs w:val="1"/>
                <w:color w:val="auto"/>
              </w:rPr>
            </w:pPr>
          </w:p>
        </w:tc>
      </w:tr>
      <w:tr>
        <w:trPr>
          <w:trHeight w:val="169"/>
        </w:trPr>
        <w:tc>
          <w:tcPr>
            <w:tcW w:w="4480" w:type="dxa"/>
            <w:vAlign w:val="bottom"/>
          </w:tcPr>
          <w:p>
            <w:pPr>
              <w:ind w:left="420"/>
              <w:spacing w:after="0"/>
              <w:rPr>
                <w:sz w:val="20"/>
                <w:szCs w:val="20"/>
                <w:color w:val="auto"/>
              </w:rPr>
            </w:pPr>
            <w:r>
              <w:rPr>
                <w:rFonts w:ascii="Arial" w:cs="Arial" w:eastAsia="Arial" w:hAnsi="Arial"/>
                <w:sz w:val="14"/>
                <w:szCs w:val="14"/>
                <w:color w:val="auto"/>
              </w:rPr>
              <w:t>Total Company</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163,041</w:t>
            </w:r>
          </w:p>
        </w:tc>
        <w:tc>
          <w:tcPr>
            <w:tcW w:w="6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159,588</w:t>
            </w:r>
          </w:p>
        </w:tc>
        <w:tc>
          <w:tcPr>
            <w:tcW w:w="120" w:type="dxa"/>
            <w:vAlign w:val="bottom"/>
          </w:tcPr>
          <w:p>
            <w:pPr>
              <w:spacing w:after="0"/>
              <w:rPr>
                <w:sz w:val="14"/>
                <w:szCs w:val="14"/>
                <w:color w:val="auto"/>
              </w:rPr>
            </w:pP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317,576</w:t>
            </w:r>
          </w:p>
        </w:tc>
        <w:tc>
          <w:tcPr>
            <w:tcW w:w="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299,711</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auto"/>
              </w:rPr>
              <w:t>Operating income (loss)</w:t>
            </w: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4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480" w:type="dxa"/>
            <w:vAlign w:val="bottom"/>
          </w:tcPr>
          <w:p>
            <w:pPr>
              <w:ind w:left="220"/>
              <w:spacing w:after="0"/>
              <w:rPr>
                <w:sz w:val="20"/>
                <w:szCs w:val="20"/>
                <w:color w:val="auto"/>
              </w:rPr>
            </w:pPr>
            <w:r>
              <w:rPr>
                <w:rFonts w:ascii="Arial" w:cs="Arial" w:eastAsia="Arial" w:hAnsi="Arial"/>
                <w:sz w:val="14"/>
                <w:szCs w:val="14"/>
                <w:color w:val="auto"/>
              </w:rPr>
              <w:t>Electricity</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(1,247)</w:t>
            </w:r>
          </w:p>
        </w:tc>
        <w:tc>
          <w:tcPr>
            <w:tcW w:w="6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(4,117)</w:t>
            </w:r>
          </w:p>
        </w:tc>
        <w:tc>
          <w:tcPr>
            <w:tcW w:w="5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(24,216)</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(23,167)</w:t>
            </w:r>
          </w:p>
        </w:tc>
        <w:tc>
          <w:tcPr>
            <w:tcW w:w="0" w:type="dxa"/>
            <w:vAlign w:val="bottom"/>
          </w:tcPr>
          <w:p>
            <w:pPr>
              <w:spacing w:after="0"/>
              <w:rPr>
                <w:sz w:val="1"/>
                <w:szCs w:val="1"/>
                <w:color w:val="auto"/>
              </w:rPr>
            </w:pPr>
          </w:p>
        </w:tc>
      </w:tr>
      <w:tr>
        <w:trPr>
          <w:trHeight w:val="176"/>
        </w:trPr>
        <w:tc>
          <w:tcPr>
            <w:tcW w:w="4480" w:type="dxa"/>
            <w:vAlign w:val="bottom"/>
          </w:tcPr>
          <w:p>
            <w:pPr>
              <w:ind w:left="220"/>
              <w:spacing w:after="0"/>
              <w:rPr>
                <w:sz w:val="20"/>
                <w:szCs w:val="20"/>
                <w:color w:val="auto"/>
              </w:rPr>
            </w:pPr>
            <w:r>
              <w:rPr>
                <w:rFonts w:ascii="Arial" w:cs="Arial" w:eastAsia="Arial" w:hAnsi="Arial"/>
                <w:sz w:val="14"/>
                <w:szCs w:val="14"/>
                <w:color w:val="auto"/>
              </w:rPr>
              <w:t>Gas</w:t>
            </w:r>
          </w:p>
        </w:tc>
        <w:tc>
          <w:tcPr>
            <w:tcW w:w="280" w:type="dxa"/>
            <w:vAlign w:val="bottom"/>
          </w:tcPr>
          <w:p>
            <w:pPr>
              <w:spacing w:after="0"/>
              <w:rPr>
                <w:sz w:val="15"/>
                <w:szCs w:val="15"/>
                <w:color w:val="auto"/>
              </w:rPr>
            </w:pPr>
          </w:p>
        </w:tc>
        <w:tc>
          <w:tcPr>
            <w:tcW w:w="1500" w:type="dxa"/>
            <w:vAlign w:val="bottom"/>
          </w:tcPr>
          <w:p>
            <w:pPr>
              <w:jc w:val="right"/>
              <w:ind w:right="148"/>
              <w:spacing w:after="0"/>
              <w:rPr>
                <w:sz w:val="20"/>
                <w:szCs w:val="20"/>
                <w:color w:val="auto"/>
              </w:rPr>
            </w:pPr>
            <w:r>
              <w:rPr>
                <w:rFonts w:ascii="Arial" w:cs="Arial" w:eastAsia="Arial" w:hAnsi="Arial"/>
                <w:sz w:val="14"/>
                <w:szCs w:val="14"/>
                <w:color w:val="auto"/>
              </w:rPr>
              <w:t>24,329</w:t>
            </w:r>
          </w:p>
        </w:tc>
        <w:tc>
          <w:tcPr>
            <w:tcW w:w="680" w:type="dxa"/>
            <w:vAlign w:val="bottom"/>
          </w:tcPr>
          <w:p>
            <w:pPr>
              <w:spacing w:after="0"/>
              <w:rPr>
                <w:sz w:val="15"/>
                <w:szCs w:val="15"/>
                <w:color w:val="auto"/>
              </w:rPr>
            </w:pP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18,881</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50,053</w:t>
            </w:r>
          </w:p>
        </w:tc>
        <w:tc>
          <w:tcPr>
            <w:tcW w:w="44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38,411</w:t>
            </w:r>
          </w:p>
        </w:tc>
        <w:tc>
          <w:tcPr>
            <w:tcW w:w="0" w:type="dxa"/>
            <w:vAlign w:val="bottom"/>
          </w:tcPr>
          <w:p>
            <w:pPr>
              <w:spacing w:after="0"/>
              <w:rPr>
                <w:sz w:val="1"/>
                <w:szCs w:val="1"/>
                <w:color w:val="auto"/>
              </w:rPr>
            </w:pPr>
          </w:p>
        </w:tc>
      </w:tr>
      <w:tr>
        <w:trPr>
          <w:trHeight w:val="176"/>
        </w:trPr>
        <w:tc>
          <w:tcPr>
            <w:tcW w:w="4480" w:type="dxa"/>
            <w:vAlign w:val="bottom"/>
          </w:tcPr>
          <w:p>
            <w:pPr>
              <w:ind w:left="220"/>
              <w:spacing w:after="0"/>
              <w:rPr>
                <w:sz w:val="20"/>
                <w:szCs w:val="20"/>
                <w:color w:val="auto"/>
              </w:rPr>
            </w:pPr>
            <w:r>
              <w:rPr>
                <w:rFonts w:ascii="Arial" w:cs="Arial" w:eastAsia="Arial" w:hAnsi="Arial"/>
                <w:sz w:val="14"/>
                <w:szCs w:val="14"/>
                <w:color w:val="auto"/>
              </w:rPr>
              <w:t>Water</w:t>
            </w:r>
          </w:p>
        </w:tc>
        <w:tc>
          <w:tcPr>
            <w:tcW w:w="280" w:type="dxa"/>
            <w:vAlign w:val="bottom"/>
          </w:tcPr>
          <w:p>
            <w:pPr>
              <w:spacing w:after="0"/>
              <w:rPr>
                <w:sz w:val="15"/>
                <w:szCs w:val="15"/>
                <w:color w:val="auto"/>
              </w:rPr>
            </w:pPr>
          </w:p>
        </w:tc>
        <w:tc>
          <w:tcPr>
            <w:tcW w:w="1500" w:type="dxa"/>
            <w:vAlign w:val="bottom"/>
          </w:tcPr>
          <w:p>
            <w:pPr>
              <w:jc w:val="right"/>
              <w:ind w:right="148"/>
              <w:spacing w:after="0"/>
              <w:rPr>
                <w:sz w:val="20"/>
                <w:szCs w:val="20"/>
                <w:color w:val="auto"/>
              </w:rPr>
            </w:pPr>
            <w:r>
              <w:rPr>
                <w:rFonts w:ascii="Arial" w:cs="Arial" w:eastAsia="Arial" w:hAnsi="Arial"/>
                <w:sz w:val="14"/>
                <w:szCs w:val="14"/>
                <w:color w:val="auto"/>
              </w:rPr>
              <w:t>20,519</w:t>
            </w:r>
          </w:p>
        </w:tc>
        <w:tc>
          <w:tcPr>
            <w:tcW w:w="680" w:type="dxa"/>
            <w:vAlign w:val="bottom"/>
          </w:tcPr>
          <w:p>
            <w:pPr>
              <w:spacing w:after="0"/>
              <w:rPr>
                <w:sz w:val="15"/>
                <w:szCs w:val="15"/>
                <w:color w:val="auto"/>
              </w:rPr>
            </w:pP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15,389</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41,162</w:t>
            </w:r>
          </w:p>
        </w:tc>
        <w:tc>
          <w:tcPr>
            <w:tcW w:w="44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27,964</w:t>
            </w:r>
          </w:p>
        </w:tc>
        <w:tc>
          <w:tcPr>
            <w:tcW w:w="0" w:type="dxa"/>
            <w:vAlign w:val="bottom"/>
          </w:tcPr>
          <w:p>
            <w:pPr>
              <w:spacing w:after="0"/>
              <w:rPr>
                <w:sz w:val="1"/>
                <w:szCs w:val="1"/>
                <w:color w:val="auto"/>
              </w:rPr>
            </w:pPr>
          </w:p>
        </w:tc>
      </w:tr>
      <w:tr>
        <w:trPr>
          <w:trHeight w:val="181"/>
        </w:trPr>
        <w:tc>
          <w:tcPr>
            <w:tcW w:w="4480" w:type="dxa"/>
            <w:vAlign w:val="bottom"/>
          </w:tcPr>
          <w:p>
            <w:pPr>
              <w:ind w:left="220"/>
              <w:spacing w:after="0"/>
              <w:rPr>
                <w:sz w:val="20"/>
                <w:szCs w:val="20"/>
                <w:color w:val="auto"/>
              </w:rPr>
            </w:pPr>
            <w:r>
              <w:rPr>
                <w:rFonts w:ascii="Arial" w:cs="Arial" w:eastAsia="Arial" w:hAnsi="Arial"/>
                <w:sz w:val="14"/>
                <w:szCs w:val="14"/>
                <w:color w:val="auto"/>
              </w:rPr>
              <w:t>Corporate unallocated</w:t>
            </w: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(11,674)</w:t>
            </w:r>
          </w:p>
        </w:tc>
        <w:tc>
          <w:tcPr>
            <w:tcW w:w="6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(12,177)</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(30,533)</w:t>
            </w: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(22,885)</w:t>
            </w:r>
          </w:p>
        </w:tc>
        <w:tc>
          <w:tcPr>
            <w:tcW w:w="0" w:type="dxa"/>
            <w:vAlign w:val="bottom"/>
          </w:tcPr>
          <w:p>
            <w:pPr>
              <w:spacing w:after="0"/>
              <w:rPr>
                <w:sz w:val="1"/>
                <w:szCs w:val="1"/>
                <w:color w:val="auto"/>
              </w:rPr>
            </w:pPr>
          </w:p>
        </w:tc>
      </w:tr>
      <w:tr>
        <w:trPr>
          <w:trHeight w:val="169"/>
        </w:trPr>
        <w:tc>
          <w:tcPr>
            <w:tcW w:w="4480" w:type="dxa"/>
            <w:vAlign w:val="bottom"/>
          </w:tcPr>
          <w:p>
            <w:pPr>
              <w:ind w:left="420"/>
              <w:spacing w:after="0"/>
              <w:rPr>
                <w:sz w:val="20"/>
                <w:szCs w:val="20"/>
                <w:color w:val="auto"/>
              </w:rPr>
            </w:pPr>
            <w:r>
              <w:rPr>
                <w:rFonts w:ascii="Arial" w:cs="Arial" w:eastAsia="Arial" w:hAnsi="Arial"/>
                <w:sz w:val="14"/>
                <w:szCs w:val="14"/>
                <w:color w:val="auto"/>
              </w:rPr>
              <w:t>Total Company</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31,927</w:t>
            </w:r>
          </w:p>
        </w:tc>
        <w:tc>
          <w:tcPr>
            <w:tcW w:w="6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17,976</w:t>
            </w:r>
          </w:p>
        </w:tc>
        <w:tc>
          <w:tcPr>
            <w:tcW w:w="120" w:type="dxa"/>
            <w:vAlign w:val="bottom"/>
          </w:tcPr>
          <w:p>
            <w:pPr>
              <w:spacing w:after="0"/>
              <w:rPr>
                <w:sz w:val="14"/>
                <w:szCs w:val="14"/>
                <w:color w:val="auto"/>
              </w:rPr>
            </w:pP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36,466</w:t>
            </w:r>
          </w:p>
        </w:tc>
        <w:tc>
          <w:tcPr>
            <w:tcW w:w="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20,323</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460" w:type="dxa"/>
            <w:vAlign w:val="bottom"/>
            <w:tcBorders>
              <w:bottom w:val="single" w:sz="8" w:color="auto"/>
            </w:tcBorders>
            <w:gridSpan w:val="3"/>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4480" w:type="dxa"/>
            <w:vAlign w:val="bottom"/>
            <w:vMerge w:val="restart"/>
          </w:tcPr>
          <w:p>
            <w:pPr>
              <w:spacing w:after="0"/>
              <w:rPr>
                <w:sz w:val="20"/>
                <w:szCs w:val="20"/>
                <w:color w:val="auto"/>
              </w:rPr>
            </w:pPr>
            <w:r>
              <w:rPr>
                <w:rFonts w:ascii="Arial" w:cs="Arial" w:eastAsia="Arial" w:hAnsi="Arial"/>
                <w:sz w:val="14"/>
                <w:szCs w:val="14"/>
                <w:color w:val="auto"/>
              </w:rPr>
              <w:t>(Units in thousands)</w:t>
            </w:r>
          </w:p>
        </w:tc>
        <w:tc>
          <w:tcPr>
            <w:tcW w:w="2460" w:type="dxa"/>
            <w:vAlign w:val="bottom"/>
            <w:gridSpan w:val="3"/>
          </w:tcPr>
          <w:p>
            <w:pPr>
              <w:jc w:val="center"/>
              <w:spacing w:after="0"/>
              <w:rPr>
                <w:sz w:val="20"/>
                <w:szCs w:val="20"/>
                <w:color w:val="auto"/>
              </w:rPr>
            </w:pPr>
            <w:r>
              <w:rPr>
                <w:rFonts w:ascii="Arial" w:cs="Arial" w:eastAsia="Arial" w:hAnsi="Arial"/>
                <w:sz w:val="14"/>
                <w:szCs w:val="14"/>
                <w:b w:val="1"/>
                <w:bCs w:val="1"/>
                <w:color w:val="auto"/>
              </w:rPr>
              <w:t>METER AND MODULE SUMMARY</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4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3280" w:type="dxa"/>
            <w:vAlign w:val="bottom"/>
            <w:gridSpan w:val="3"/>
            <w:vMerge w:val="restart"/>
          </w:tcPr>
          <w:p>
            <w:pPr>
              <w:jc w:val="right"/>
              <w:ind w:right="788"/>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20" w:type="dxa"/>
            <w:vAlign w:val="bottom"/>
            <w:gridSpan w:val="3"/>
            <w:vMerge w:val="restart"/>
          </w:tcPr>
          <w:p>
            <w:pPr>
              <w:jc w:val="right"/>
              <w:ind w:right="72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4"/>
        </w:trPr>
        <w:tc>
          <w:tcPr>
            <w:tcW w:w="44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64"/>
        </w:trPr>
        <w:tc>
          <w:tcPr>
            <w:tcW w:w="4480" w:type="dxa"/>
            <w:vAlign w:val="bottom"/>
          </w:tcPr>
          <w:p>
            <w:pPr>
              <w:spacing w:after="0"/>
              <w:rPr>
                <w:sz w:val="20"/>
                <w:szCs w:val="20"/>
                <w:color w:val="auto"/>
              </w:rPr>
            </w:pPr>
            <w:r>
              <w:rPr>
                <w:rFonts w:ascii="Arial" w:cs="Arial" w:eastAsia="Arial" w:hAnsi="Arial"/>
                <w:sz w:val="14"/>
                <w:szCs w:val="14"/>
                <w:b w:val="1"/>
                <w:bCs w:val="1"/>
                <w:color w:val="auto"/>
              </w:rPr>
              <w:t>Meters</w:t>
            </w: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80" w:type="dxa"/>
            <w:vAlign w:val="bottom"/>
          </w:tcPr>
          <w:p>
            <w:pPr>
              <w:ind w:left="220"/>
              <w:spacing w:after="0"/>
              <w:rPr>
                <w:sz w:val="20"/>
                <w:szCs w:val="20"/>
                <w:color w:val="auto"/>
              </w:rPr>
            </w:pPr>
            <w:r>
              <w:rPr>
                <w:rFonts w:ascii="Arial" w:cs="Arial" w:eastAsia="Arial" w:hAnsi="Arial"/>
                <w:sz w:val="14"/>
                <w:szCs w:val="14"/>
                <w:color w:val="auto"/>
              </w:rPr>
              <w:t>Standard</w:t>
            </w:r>
          </w:p>
        </w:tc>
        <w:tc>
          <w:tcPr>
            <w:tcW w:w="280" w:type="dxa"/>
            <w:vAlign w:val="bottom"/>
          </w:tcPr>
          <w:p>
            <w:pPr>
              <w:spacing w:after="0"/>
              <w:rPr>
                <w:sz w:val="15"/>
                <w:szCs w:val="15"/>
                <w:color w:val="auto"/>
              </w:rPr>
            </w:pPr>
          </w:p>
        </w:tc>
        <w:tc>
          <w:tcPr>
            <w:tcW w:w="1500" w:type="dxa"/>
            <w:vAlign w:val="bottom"/>
          </w:tcPr>
          <w:p>
            <w:pPr>
              <w:jc w:val="right"/>
              <w:ind w:right="148"/>
              <w:spacing w:after="0"/>
              <w:rPr>
                <w:sz w:val="20"/>
                <w:szCs w:val="20"/>
                <w:color w:val="auto"/>
              </w:rPr>
            </w:pPr>
            <w:r>
              <w:rPr>
                <w:rFonts w:ascii="Arial" w:cs="Arial" w:eastAsia="Arial" w:hAnsi="Arial"/>
                <w:sz w:val="14"/>
                <w:szCs w:val="14"/>
                <w:color w:val="auto"/>
              </w:rPr>
              <w:t>4,480</w:t>
            </w:r>
          </w:p>
        </w:tc>
        <w:tc>
          <w:tcPr>
            <w:tcW w:w="680" w:type="dxa"/>
            <w:vAlign w:val="bottom"/>
          </w:tcPr>
          <w:p>
            <w:pPr>
              <w:spacing w:after="0"/>
              <w:rPr>
                <w:sz w:val="15"/>
                <w:szCs w:val="15"/>
                <w:color w:val="auto"/>
              </w:rPr>
            </w:pP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4,730</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9,330</w:t>
            </w:r>
          </w:p>
        </w:tc>
        <w:tc>
          <w:tcPr>
            <w:tcW w:w="44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9,170</w:t>
            </w:r>
          </w:p>
        </w:tc>
        <w:tc>
          <w:tcPr>
            <w:tcW w:w="0" w:type="dxa"/>
            <w:vAlign w:val="bottom"/>
          </w:tcPr>
          <w:p>
            <w:pPr>
              <w:spacing w:after="0"/>
              <w:rPr>
                <w:sz w:val="1"/>
                <w:szCs w:val="1"/>
                <w:color w:val="auto"/>
              </w:rPr>
            </w:pPr>
          </w:p>
        </w:tc>
      </w:tr>
      <w:tr>
        <w:trPr>
          <w:trHeight w:val="181"/>
        </w:trPr>
        <w:tc>
          <w:tcPr>
            <w:tcW w:w="4480" w:type="dxa"/>
            <w:vAlign w:val="bottom"/>
          </w:tcPr>
          <w:p>
            <w:pPr>
              <w:ind w:left="220"/>
              <w:spacing w:after="0"/>
              <w:rPr>
                <w:sz w:val="20"/>
                <w:szCs w:val="20"/>
                <w:color w:val="auto"/>
              </w:rPr>
            </w:pPr>
            <w:r>
              <w:rPr>
                <w:rFonts w:ascii="Arial" w:cs="Arial" w:eastAsia="Arial" w:hAnsi="Arial"/>
                <w:sz w:val="14"/>
                <w:szCs w:val="14"/>
                <w:color w:val="auto"/>
              </w:rPr>
              <w:t>Advanced and Smart</w:t>
            </w: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1,360</w:t>
            </w:r>
          </w:p>
        </w:tc>
        <w:tc>
          <w:tcPr>
            <w:tcW w:w="6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1,340</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2,880</w:t>
            </w: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2,970</w:t>
            </w:r>
          </w:p>
        </w:tc>
        <w:tc>
          <w:tcPr>
            <w:tcW w:w="0" w:type="dxa"/>
            <w:vAlign w:val="bottom"/>
          </w:tcPr>
          <w:p>
            <w:pPr>
              <w:spacing w:after="0"/>
              <w:rPr>
                <w:sz w:val="1"/>
                <w:szCs w:val="1"/>
                <w:color w:val="auto"/>
              </w:rPr>
            </w:pPr>
          </w:p>
        </w:tc>
      </w:tr>
      <w:tr>
        <w:trPr>
          <w:trHeight w:val="169"/>
        </w:trPr>
        <w:tc>
          <w:tcPr>
            <w:tcW w:w="4480" w:type="dxa"/>
            <w:vAlign w:val="bottom"/>
          </w:tcPr>
          <w:p>
            <w:pPr>
              <w:ind w:left="420"/>
              <w:spacing w:after="0"/>
              <w:rPr>
                <w:sz w:val="20"/>
                <w:szCs w:val="20"/>
                <w:color w:val="auto"/>
              </w:rPr>
            </w:pPr>
            <w:r>
              <w:rPr>
                <w:rFonts w:ascii="Arial" w:cs="Arial" w:eastAsia="Arial" w:hAnsi="Arial"/>
                <w:sz w:val="14"/>
                <w:szCs w:val="14"/>
                <w:color w:val="auto"/>
              </w:rPr>
              <w:t>Total meters</w:t>
            </w: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5,840</w:t>
            </w:r>
          </w:p>
        </w:tc>
        <w:tc>
          <w:tcPr>
            <w:tcW w:w="6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6,070</w:t>
            </w:r>
          </w:p>
        </w:tc>
        <w:tc>
          <w:tcPr>
            <w:tcW w:w="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12,210</w:t>
            </w: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12,140</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auto"/>
              </w:rPr>
              <w:t>Stand-alone communication modules</w:t>
            </w: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4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480" w:type="dxa"/>
            <w:vAlign w:val="bottom"/>
          </w:tcPr>
          <w:p>
            <w:pPr>
              <w:ind w:left="420"/>
              <w:spacing w:after="0"/>
              <w:rPr>
                <w:sz w:val="20"/>
                <w:szCs w:val="20"/>
                <w:color w:val="auto"/>
              </w:rPr>
            </w:pPr>
            <w:r>
              <w:rPr>
                <w:rFonts w:ascii="Arial" w:cs="Arial" w:eastAsia="Arial" w:hAnsi="Arial"/>
                <w:sz w:val="14"/>
                <w:szCs w:val="14"/>
                <w:color w:val="auto"/>
              </w:rPr>
              <w:t>Advanced and Smart</w:t>
            </w: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1,580</w:t>
            </w:r>
          </w:p>
        </w:tc>
        <w:tc>
          <w:tcPr>
            <w:tcW w:w="6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1,350</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2,930</w:t>
            </w: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2,690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48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50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820" w:type="dxa"/>
            <w:vAlign w:val="bottom"/>
          </w:tcPr>
          <w:p>
            <w:pPr>
              <w:spacing w:after="0"/>
              <w:rPr>
                <w:sz w:val="20"/>
                <w:szCs w:val="20"/>
                <w:color w:val="auto"/>
              </w:rPr>
            </w:pPr>
            <w:r>
              <w:rPr>
                <w:rFonts w:ascii="Arial" w:cs="Arial" w:eastAsia="Arial" w:hAnsi="Arial"/>
                <w:sz w:val="14"/>
                <w:szCs w:val="14"/>
                <w:color w:val="auto"/>
              </w:rPr>
              <w:t>(Unaudited, in thousands)</w:t>
            </w:r>
          </w:p>
        </w:tc>
        <w:tc>
          <w:tcPr>
            <w:tcW w:w="340" w:type="dxa"/>
            <w:vAlign w:val="bottom"/>
          </w:tcPr>
          <w:p>
            <w:pPr>
              <w:spacing w:after="0"/>
              <w:rPr>
                <w:sz w:val="15"/>
                <w:szCs w:val="15"/>
                <w:color w:val="auto"/>
              </w:rPr>
            </w:pPr>
          </w:p>
        </w:tc>
        <w:tc>
          <w:tcPr>
            <w:tcW w:w="160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June 30, 2014</w:t>
            </w:r>
          </w:p>
        </w:tc>
        <w:tc>
          <w:tcPr>
            <w:tcW w:w="520" w:type="dxa"/>
            <w:vAlign w:val="bottom"/>
          </w:tcPr>
          <w:p>
            <w:pPr>
              <w:spacing w:after="0"/>
              <w:rPr>
                <w:sz w:val="15"/>
                <w:szCs w:val="15"/>
                <w:color w:val="auto"/>
              </w:rPr>
            </w:pPr>
          </w:p>
        </w:tc>
        <w:tc>
          <w:tcPr>
            <w:tcW w:w="2140" w:type="dxa"/>
            <w:vAlign w:val="bottom"/>
            <w:vMerge w:val="restart"/>
          </w:tcPr>
          <w:p>
            <w:pPr>
              <w:jc w:val="right"/>
              <w:ind w:right="668"/>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74"/>
        </w:trPr>
        <w:tc>
          <w:tcPr>
            <w:tcW w:w="68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6820" w:type="dxa"/>
            <w:vAlign w:val="bottom"/>
          </w:tcPr>
          <w:p>
            <w:pPr>
              <w:ind w:left="3060"/>
              <w:spacing w:after="0"/>
              <w:rPr>
                <w:sz w:val="20"/>
                <w:szCs w:val="20"/>
                <w:color w:val="auto"/>
              </w:rPr>
            </w:pPr>
            <w:r>
              <w:rPr>
                <w:rFonts w:ascii="Arial" w:cs="Arial" w:eastAsia="Arial" w:hAnsi="Arial"/>
                <w:sz w:val="14"/>
                <w:szCs w:val="14"/>
                <w:b w:val="1"/>
                <w:bCs w:val="1"/>
                <w:color w:val="auto"/>
              </w:rPr>
              <w:t>ASSETS</w:t>
            </w:r>
          </w:p>
        </w:tc>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820" w:type="dxa"/>
            <w:vAlign w:val="bottom"/>
          </w:tcPr>
          <w:p>
            <w:pPr>
              <w:spacing w:after="0"/>
              <w:rPr>
                <w:sz w:val="20"/>
                <w:szCs w:val="20"/>
                <w:color w:val="auto"/>
              </w:rPr>
            </w:pPr>
            <w:r>
              <w:rPr>
                <w:rFonts w:ascii="Arial" w:cs="Arial" w:eastAsia="Arial" w:hAnsi="Arial"/>
                <w:sz w:val="14"/>
                <w:szCs w:val="14"/>
                <w:color w:val="auto"/>
              </w:rPr>
              <w:t>Current assets</w:t>
            </w:r>
          </w:p>
        </w:tc>
        <w:tc>
          <w:tcPr>
            <w:tcW w:w="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20" w:type="dxa"/>
            <w:vAlign w:val="bottom"/>
          </w:tcPr>
          <w:p>
            <w:pPr>
              <w:ind w:left="840"/>
              <w:spacing w:after="0"/>
              <w:rPr>
                <w:sz w:val="20"/>
                <w:szCs w:val="20"/>
                <w:color w:val="auto"/>
              </w:rPr>
            </w:pPr>
            <w:r>
              <w:rPr>
                <w:rFonts w:ascii="Arial" w:cs="Arial" w:eastAsia="Arial" w:hAnsi="Arial"/>
                <w:sz w:val="14"/>
                <w:szCs w:val="14"/>
                <w:color w:val="auto"/>
              </w:rPr>
              <w:t>Cash and cash equivalents</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208"/>
              <w:spacing w:after="0"/>
              <w:rPr>
                <w:sz w:val="20"/>
                <w:szCs w:val="20"/>
                <w:color w:val="auto"/>
              </w:rPr>
            </w:pPr>
            <w:r>
              <w:rPr>
                <w:rFonts w:ascii="Arial" w:cs="Arial" w:eastAsia="Arial" w:hAnsi="Arial"/>
                <w:sz w:val="14"/>
                <w:szCs w:val="14"/>
                <w:color w:val="auto"/>
              </w:rPr>
              <w:t>114,780</w:t>
            </w:r>
          </w:p>
        </w:tc>
        <w:tc>
          <w:tcPr>
            <w:tcW w:w="5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140" w:type="dxa"/>
            <w:vAlign w:val="bottom"/>
          </w:tcPr>
          <w:p>
            <w:pPr>
              <w:jc w:val="right"/>
              <w:ind w:right="188"/>
              <w:spacing w:after="0"/>
              <w:rPr>
                <w:sz w:val="20"/>
                <w:szCs w:val="20"/>
                <w:color w:val="auto"/>
              </w:rPr>
            </w:pPr>
            <w:r>
              <w:rPr>
                <w:rFonts w:ascii="Arial" w:cs="Arial" w:eastAsia="Arial" w:hAnsi="Arial"/>
                <w:sz w:val="14"/>
                <w:szCs w:val="14"/>
                <w:color w:val="auto"/>
              </w:rPr>
              <w:t>124,805</w:t>
            </w:r>
          </w:p>
        </w:tc>
        <w:tc>
          <w:tcPr>
            <w:tcW w:w="0" w:type="dxa"/>
            <w:vAlign w:val="bottom"/>
          </w:tcPr>
          <w:p>
            <w:pPr>
              <w:spacing w:after="0"/>
              <w:rPr>
                <w:sz w:val="1"/>
                <w:szCs w:val="1"/>
                <w:color w:val="auto"/>
              </w:rPr>
            </w:pPr>
          </w:p>
        </w:tc>
      </w:tr>
      <w:tr>
        <w:trPr>
          <w:trHeight w:val="176"/>
        </w:trPr>
        <w:tc>
          <w:tcPr>
            <w:tcW w:w="6820" w:type="dxa"/>
            <w:vAlign w:val="bottom"/>
          </w:tcPr>
          <w:p>
            <w:pPr>
              <w:ind w:left="840"/>
              <w:spacing w:after="0"/>
              <w:rPr>
                <w:sz w:val="20"/>
                <w:szCs w:val="20"/>
                <w:color w:val="auto"/>
              </w:rPr>
            </w:pPr>
            <w:r>
              <w:rPr>
                <w:rFonts w:ascii="Arial" w:cs="Arial" w:eastAsia="Arial" w:hAnsi="Arial"/>
                <w:sz w:val="14"/>
                <w:szCs w:val="14"/>
                <w:color w:val="auto"/>
              </w:rPr>
              <w:t>Accounts receivable, net</w:t>
            </w:r>
          </w:p>
        </w:tc>
        <w:tc>
          <w:tcPr>
            <w:tcW w:w="340" w:type="dxa"/>
            <w:vAlign w:val="bottom"/>
          </w:tcPr>
          <w:p>
            <w:pPr>
              <w:spacing w:after="0"/>
              <w:rPr>
                <w:sz w:val="15"/>
                <w:szCs w:val="15"/>
                <w:color w:val="auto"/>
              </w:rPr>
            </w:pPr>
          </w:p>
        </w:tc>
        <w:tc>
          <w:tcPr>
            <w:tcW w:w="1600" w:type="dxa"/>
            <w:vAlign w:val="bottom"/>
          </w:tcPr>
          <w:p>
            <w:pPr>
              <w:jc w:val="right"/>
              <w:ind w:right="208"/>
              <w:spacing w:after="0"/>
              <w:rPr>
                <w:sz w:val="20"/>
                <w:szCs w:val="20"/>
                <w:color w:val="auto"/>
              </w:rPr>
            </w:pPr>
            <w:r>
              <w:rPr>
                <w:rFonts w:ascii="Arial" w:cs="Arial" w:eastAsia="Arial" w:hAnsi="Arial"/>
                <w:sz w:val="14"/>
                <w:szCs w:val="14"/>
                <w:color w:val="auto"/>
              </w:rPr>
              <w:t>369,473</w:t>
            </w:r>
          </w:p>
        </w:tc>
        <w:tc>
          <w:tcPr>
            <w:tcW w:w="520" w:type="dxa"/>
            <w:vAlign w:val="bottom"/>
          </w:tcPr>
          <w:p>
            <w:pPr>
              <w:spacing w:after="0"/>
              <w:rPr>
                <w:sz w:val="15"/>
                <w:szCs w:val="15"/>
                <w:color w:val="auto"/>
              </w:rPr>
            </w:pPr>
          </w:p>
        </w:tc>
        <w:tc>
          <w:tcPr>
            <w:tcW w:w="2140" w:type="dxa"/>
            <w:vAlign w:val="bottom"/>
          </w:tcPr>
          <w:p>
            <w:pPr>
              <w:jc w:val="right"/>
              <w:ind w:right="188"/>
              <w:spacing w:after="0"/>
              <w:rPr>
                <w:sz w:val="20"/>
                <w:szCs w:val="20"/>
                <w:color w:val="auto"/>
              </w:rPr>
            </w:pPr>
            <w:r>
              <w:rPr>
                <w:rFonts w:ascii="Arial" w:cs="Arial" w:eastAsia="Arial" w:hAnsi="Arial"/>
                <w:sz w:val="14"/>
                <w:szCs w:val="14"/>
                <w:color w:val="auto"/>
              </w:rPr>
              <w:t>356,709</w:t>
            </w:r>
          </w:p>
        </w:tc>
        <w:tc>
          <w:tcPr>
            <w:tcW w:w="0" w:type="dxa"/>
            <w:vAlign w:val="bottom"/>
          </w:tcPr>
          <w:p>
            <w:pPr>
              <w:spacing w:after="0"/>
              <w:rPr>
                <w:sz w:val="1"/>
                <w:szCs w:val="1"/>
                <w:color w:val="auto"/>
              </w:rPr>
            </w:pPr>
          </w:p>
        </w:tc>
      </w:tr>
      <w:tr>
        <w:trPr>
          <w:trHeight w:val="176"/>
        </w:trPr>
        <w:tc>
          <w:tcPr>
            <w:tcW w:w="6820" w:type="dxa"/>
            <w:vAlign w:val="bottom"/>
          </w:tcPr>
          <w:p>
            <w:pPr>
              <w:ind w:left="840"/>
              <w:spacing w:after="0"/>
              <w:rPr>
                <w:sz w:val="20"/>
                <w:szCs w:val="20"/>
                <w:color w:val="auto"/>
              </w:rPr>
            </w:pPr>
            <w:r>
              <w:rPr>
                <w:rFonts w:ascii="Arial" w:cs="Arial" w:eastAsia="Arial" w:hAnsi="Arial"/>
                <w:sz w:val="14"/>
                <w:szCs w:val="14"/>
                <w:color w:val="auto"/>
              </w:rPr>
              <w:t>Inventories</w:t>
            </w:r>
          </w:p>
        </w:tc>
        <w:tc>
          <w:tcPr>
            <w:tcW w:w="340" w:type="dxa"/>
            <w:vAlign w:val="bottom"/>
          </w:tcPr>
          <w:p>
            <w:pPr>
              <w:spacing w:after="0"/>
              <w:rPr>
                <w:sz w:val="15"/>
                <w:szCs w:val="15"/>
                <w:color w:val="auto"/>
              </w:rPr>
            </w:pPr>
          </w:p>
        </w:tc>
        <w:tc>
          <w:tcPr>
            <w:tcW w:w="1600" w:type="dxa"/>
            <w:vAlign w:val="bottom"/>
          </w:tcPr>
          <w:p>
            <w:pPr>
              <w:jc w:val="right"/>
              <w:ind w:right="208"/>
              <w:spacing w:after="0"/>
              <w:rPr>
                <w:sz w:val="20"/>
                <w:szCs w:val="20"/>
                <w:color w:val="auto"/>
              </w:rPr>
            </w:pPr>
            <w:r>
              <w:rPr>
                <w:rFonts w:ascii="Arial" w:cs="Arial" w:eastAsia="Arial" w:hAnsi="Arial"/>
                <w:sz w:val="14"/>
                <w:szCs w:val="14"/>
                <w:color w:val="auto"/>
              </w:rPr>
              <w:t>192,413</w:t>
            </w:r>
          </w:p>
        </w:tc>
        <w:tc>
          <w:tcPr>
            <w:tcW w:w="520" w:type="dxa"/>
            <w:vAlign w:val="bottom"/>
          </w:tcPr>
          <w:p>
            <w:pPr>
              <w:spacing w:after="0"/>
              <w:rPr>
                <w:sz w:val="15"/>
                <w:szCs w:val="15"/>
                <w:color w:val="auto"/>
              </w:rPr>
            </w:pPr>
          </w:p>
        </w:tc>
        <w:tc>
          <w:tcPr>
            <w:tcW w:w="2140" w:type="dxa"/>
            <w:vAlign w:val="bottom"/>
          </w:tcPr>
          <w:p>
            <w:pPr>
              <w:jc w:val="right"/>
              <w:ind w:right="188"/>
              <w:spacing w:after="0"/>
              <w:rPr>
                <w:sz w:val="20"/>
                <w:szCs w:val="20"/>
                <w:color w:val="auto"/>
              </w:rPr>
            </w:pPr>
            <w:r>
              <w:rPr>
                <w:rFonts w:ascii="Arial" w:cs="Arial" w:eastAsia="Arial" w:hAnsi="Arial"/>
                <w:sz w:val="14"/>
                <w:szCs w:val="14"/>
                <w:color w:val="auto"/>
              </w:rPr>
              <w:t>177,467</w:t>
            </w:r>
          </w:p>
        </w:tc>
        <w:tc>
          <w:tcPr>
            <w:tcW w:w="0" w:type="dxa"/>
            <w:vAlign w:val="bottom"/>
          </w:tcPr>
          <w:p>
            <w:pPr>
              <w:spacing w:after="0"/>
              <w:rPr>
                <w:sz w:val="1"/>
                <w:szCs w:val="1"/>
                <w:color w:val="auto"/>
              </w:rPr>
            </w:pPr>
          </w:p>
        </w:tc>
      </w:tr>
      <w:tr>
        <w:trPr>
          <w:trHeight w:val="176"/>
        </w:trPr>
        <w:tc>
          <w:tcPr>
            <w:tcW w:w="6820" w:type="dxa"/>
            <w:vAlign w:val="bottom"/>
          </w:tcPr>
          <w:p>
            <w:pPr>
              <w:ind w:left="840"/>
              <w:spacing w:after="0"/>
              <w:rPr>
                <w:sz w:val="20"/>
                <w:szCs w:val="20"/>
                <w:color w:val="auto"/>
              </w:rPr>
            </w:pPr>
            <w:r>
              <w:rPr>
                <w:rFonts w:ascii="Arial" w:cs="Arial" w:eastAsia="Arial" w:hAnsi="Arial"/>
                <w:sz w:val="14"/>
                <w:szCs w:val="14"/>
                <w:color w:val="auto"/>
              </w:rPr>
              <w:t>Deferred tax assets current, net</w:t>
            </w:r>
          </w:p>
        </w:tc>
        <w:tc>
          <w:tcPr>
            <w:tcW w:w="340" w:type="dxa"/>
            <w:vAlign w:val="bottom"/>
          </w:tcPr>
          <w:p>
            <w:pPr>
              <w:spacing w:after="0"/>
              <w:rPr>
                <w:sz w:val="15"/>
                <w:szCs w:val="15"/>
                <w:color w:val="auto"/>
              </w:rPr>
            </w:pPr>
          </w:p>
        </w:tc>
        <w:tc>
          <w:tcPr>
            <w:tcW w:w="1600" w:type="dxa"/>
            <w:vAlign w:val="bottom"/>
          </w:tcPr>
          <w:p>
            <w:pPr>
              <w:jc w:val="right"/>
              <w:ind w:right="208"/>
              <w:spacing w:after="0"/>
              <w:rPr>
                <w:sz w:val="20"/>
                <w:szCs w:val="20"/>
                <w:color w:val="auto"/>
              </w:rPr>
            </w:pPr>
            <w:r>
              <w:rPr>
                <w:rFonts w:ascii="Arial" w:cs="Arial" w:eastAsia="Arial" w:hAnsi="Arial"/>
                <w:sz w:val="14"/>
                <w:szCs w:val="14"/>
                <w:color w:val="auto"/>
              </w:rPr>
              <w:t>37,103</w:t>
            </w:r>
          </w:p>
        </w:tc>
        <w:tc>
          <w:tcPr>
            <w:tcW w:w="520" w:type="dxa"/>
            <w:vAlign w:val="bottom"/>
          </w:tcPr>
          <w:p>
            <w:pPr>
              <w:spacing w:after="0"/>
              <w:rPr>
                <w:sz w:val="15"/>
                <w:szCs w:val="15"/>
                <w:color w:val="auto"/>
              </w:rPr>
            </w:pPr>
          </w:p>
        </w:tc>
        <w:tc>
          <w:tcPr>
            <w:tcW w:w="2140" w:type="dxa"/>
            <w:vAlign w:val="bottom"/>
          </w:tcPr>
          <w:p>
            <w:pPr>
              <w:jc w:val="right"/>
              <w:ind w:right="188"/>
              <w:spacing w:after="0"/>
              <w:rPr>
                <w:sz w:val="20"/>
                <w:szCs w:val="20"/>
                <w:color w:val="auto"/>
              </w:rPr>
            </w:pPr>
            <w:r>
              <w:rPr>
                <w:rFonts w:ascii="Arial" w:cs="Arial" w:eastAsia="Arial" w:hAnsi="Arial"/>
                <w:sz w:val="14"/>
                <w:szCs w:val="14"/>
                <w:color w:val="auto"/>
              </w:rPr>
              <w:t>37,110</w:t>
            </w:r>
          </w:p>
        </w:tc>
        <w:tc>
          <w:tcPr>
            <w:tcW w:w="0" w:type="dxa"/>
            <w:vAlign w:val="bottom"/>
          </w:tcPr>
          <w:p>
            <w:pPr>
              <w:spacing w:after="0"/>
              <w:rPr>
                <w:sz w:val="1"/>
                <w:szCs w:val="1"/>
                <w:color w:val="auto"/>
              </w:rPr>
            </w:pPr>
          </w:p>
        </w:tc>
      </w:tr>
      <w:tr>
        <w:trPr>
          <w:trHeight w:val="181"/>
        </w:trPr>
        <w:tc>
          <w:tcPr>
            <w:tcW w:w="6820" w:type="dxa"/>
            <w:vAlign w:val="bottom"/>
          </w:tcPr>
          <w:p>
            <w:pPr>
              <w:ind w:left="840"/>
              <w:spacing w:after="0"/>
              <w:rPr>
                <w:sz w:val="20"/>
                <w:szCs w:val="20"/>
                <w:color w:val="auto"/>
              </w:rPr>
            </w:pPr>
            <w:r>
              <w:rPr>
                <w:rFonts w:ascii="Arial" w:cs="Arial" w:eastAsia="Arial" w:hAnsi="Arial"/>
                <w:sz w:val="14"/>
                <w:szCs w:val="14"/>
                <w:color w:val="auto"/>
              </w:rPr>
              <w:t>Other current assets</w:t>
            </w:r>
          </w:p>
        </w:tc>
        <w:tc>
          <w:tcPr>
            <w:tcW w:w="3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112,172</w:t>
            </w:r>
          </w:p>
        </w:tc>
        <w:tc>
          <w:tcPr>
            <w:tcW w:w="5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103,275</w:t>
            </w:r>
          </w:p>
        </w:tc>
        <w:tc>
          <w:tcPr>
            <w:tcW w:w="0" w:type="dxa"/>
            <w:vAlign w:val="bottom"/>
          </w:tcPr>
          <w:p>
            <w:pPr>
              <w:spacing w:after="0"/>
              <w:rPr>
                <w:sz w:val="1"/>
                <w:szCs w:val="1"/>
                <w:color w:val="auto"/>
              </w:rPr>
            </w:pPr>
          </w:p>
        </w:tc>
      </w:tr>
      <w:tr>
        <w:trPr>
          <w:trHeight w:val="176"/>
        </w:trPr>
        <w:tc>
          <w:tcPr>
            <w:tcW w:w="6820" w:type="dxa"/>
            <w:vAlign w:val="bottom"/>
          </w:tcPr>
          <w:p>
            <w:pPr>
              <w:ind w:left="1220"/>
              <w:spacing w:after="0"/>
              <w:rPr>
                <w:sz w:val="20"/>
                <w:szCs w:val="20"/>
                <w:color w:val="auto"/>
              </w:rPr>
            </w:pPr>
            <w:r>
              <w:rPr>
                <w:rFonts w:ascii="Arial" w:cs="Arial" w:eastAsia="Arial" w:hAnsi="Arial"/>
                <w:sz w:val="14"/>
                <w:szCs w:val="14"/>
                <w:color w:val="auto"/>
              </w:rPr>
              <w:t>Total current assets</w:t>
            </w:r>
          </w:p>
        </w:tc>
        <w:tc>
          <w:tcPr>
            <w:tcW w:w="340" w:type="dxa"/>
            <w:vAlign w:val="bottom"/>
          </w:tcPr>
          <w:p>
            <w:pPr>
              <w:spacing w:after="0"/>
              <w:rPr>
                <w:sz w:val="15"/>
                <w:szCs w:val="15"/>
                <w:color w:val="auto"/>
              </w:rPr>
            </w:pPr>
          </w:p>
        </w:tc>
        <w:tc>
          <w:tcPr>
            <w:tcW w:w="1600" w:type="dxa"/>
            <w:vAlign w:val="bottom"/>
          </w:tcPr>
          <w:p>
            <w:pPr>
              <w:jc w:val="right"/>
              <w:ind w:right="208"/>
              <w:spacing w:after="0"/>
              <w:rPr>
                <w:sz w:val="20"/>
                <w:szCs w:val="20"/>
                <w:color w:val="auto"/>
              </w:rPr>
            </w:pPr>
            <w:r>
              <w:rPr>
                <w:rFonts w:ascii="Arial" w:cs="Arial" w:eastAsia="Arial" w:hAnsi="Arial"/>
                <w:sz w:val="14"/>
                <w:szCs w:val="14"/>
                <w:color w:val="auto"/>
              </w:rPr>
              <w:t>825,941</w:t>
            </w:r>
          </w:p>
        </w:tc>
        <w:tc>
          <w:tcPr>
            <w:tcW w:w="520" w:type="dxa"/>
            <w:vAlign w:val="bottom"/>
          </w:tcPr>
          <w:p>
            <w:pPr>
              <w:spacing w:after="0"/>
              <w:rPr>
                <w:sz w:val="15"/>
                <w:szCs w:val="15"/>
                <w:color w:val="auto"/>
              </w:rPr>
            </w:pPr>
          </w:p>
        </w:tc>
        <w:tc>
          <w:tcPr>
            <w:tcW w:w="2140" w:type="dxa"/>
            <w:vAlign w:val="bottom"/>
          </w:tcPr>
          <w:p>
            <w:pPr>
              <w:jc w:val="right"/>
              <w:ind w:right="188"/>
              <w:spacing w:after="0"/>
              <w:rPr>
                <w:sz w:val="20"/>
                <w:szCs w:val="20"/>
                <w:color w:val="auto"/>
              </w:rPr>
            </w:pPr>
            <w:r>
              <w:rPr>
                <w:rFonts w:ascii="Arial" w:cs="Arial" w:eastAsia="Arial" w:hAnsi="Arial"/>
                <w:sz w:val="14"/>
                <w:szCs w:val="14"/>
                <w:color w:val="auto"/>
              </w:rPr>
              <w:t>799,366</w:t>
            </w:r>
          </w:p>
        </w:tc>
        <w:tc>
          <w:tcPr>
            <w:tcW w:w="0" w:type="dxa"/>
            <w:vAlign w:val="bottom"/>
          </w:tcPr>
          <w:p>
            <w:pPr>
              <w:spacing w:after="0"/>
              <w:rPr>
                <w:sz w:val="1"/>
                <w:szCs w:val="1"/>
                <w:color w:val="auto"/>
              </w:rPr>
            </w:pPr>
          </w:p>
        </w:tc>
      </w:tr>
      <w:tr>
        <w:trPr>
          <w:trHeight w:val="339"/>
        </w:trPr>
        <w:tc>
          <w:tcPr>
            <w:tcW w:w="6820" w:type="dxa"/>
            <w:vAlign w:val="bottom"/>
          </w:tcPr>
          <w:p>
            <w:pPr>
              <w:spacing w:after="0"/>
              <w:rPr>
                <w:sz w:val="20"/>
                <w:szCs w:val="20"/>
                <w:color w:val="auto"/>
              </w:rPr>
            </w:pPr>
            <w:r>
              <w:rPr>
                <w:rFonts w:ascii="Arial" w:cs="Arial" w:eastAsia="Arial" w:hAnsi="Arial"/>
                <w:sz w:val="14"/>
                <w:szCs w:val="14"/>
                <w:color w:val="auto"/>
              </w:rPr>
              <w:t>Property, plant, and equipment, net</w:t>
            </w:r>
          </w:p>
        </w:tc>
        <w:tc>
          <w:tcPr>
            <w:tcW w:w="340" w:type="dxa"/>
            <w:vAlign w:val="bottom"/>
          </w:tcPr>
          <w:p>
            <w:pPr>
              <w:spacing w:after="0"/>
              <w:rPr>
                <w:sz w:val="24"/>
                <w:szCs w:val="24"/>
                <w:color w:val="auto"/>
              </w:rPr>
            </w:pPr>
          </w:p>
        </w:tc>
        <w:tc>
          <w:tcPr>
            <w:tcW w:w="1600" w:type="dxa"/>
            <w:vAlign w:val="bottom"/>
          </w:tcPr>
          <w:p>
            <w:pPr>
              <w:jc w:val="right"/>
              <w:ind w:right="208"/>
              <w:spacing w:after="0"/>
              <w:rPr>
                <w:sz w:val="20"/>
                <w:szCs w:val="20"/>
                <w:color w:val="auto"/>
              </w:rPr>
            </w:pPr>
            <w:r>
              <w:rPr>
                <w:rFonts w:ascii="Arial" w:cs="Arial" w:eastAsia="Arial" w:hAnsi="Arial"/>
                <w:sz w:val="14"/>
                <w:szCs w:val="14"/>
                <w:color w:val="auto"/>
              </w:rPr>
              <w:t>234,840</w:t>
            </w:r>
          </w:p>
        </w:tc>
        <w:tc>
          <w:tcPr>
            <w:tcW w:w="520" w:type="dxa"/>
            <w:vAlign w:val="bottom"/>
          </w:tcPr>
          <w:p>
            <w:pPr>
              <w:spacing w:after="0"/>
              <w:rPr>
                <w:sz w:val="24"/>
                <w:szCs w:val="24"/>
                <w:color w:val="auto"/>
              </w:rPr>
            </w:pPr>
          </w:p>
        </w:tc>
        <w:tc>
          <w:tcPr>
            <w:tcW w:w="2140" w:type="dxa"/>
            <w:vAlign w:val="bottom"/>
          </w:tcPr>
          <w:p>
            <w:pPr>
              <w:jc w:val="right"/>
              <w:ind w:right="188"/>
              <w:spacing w:after="0"/>
              <w:rPr>
                <w:sz w:val="20"/>
                <w:szCs w:val="20"/>
                <w:color w:val="auto"/>
              </w:rPr>
            </w:pPr>
            <w:r>
              <w:rPr>
                <w:rFonts w:ascii="Arial" w:cs="Arial" w:eastAsia="Arial" w:hAnsi="Arial"/>
                <w:sz w:val="14"/>
                <w:szCs w:val="14"/>
                <w:color w:val="auto"/>
              </w:rPr>
              <w:t>246,820</w:t>
            </w:r>
          </w:p>
        </w:tc>
        <w:tc>
          <w:tcPr>
            <w:tcW w:w="0" w:type="dxa"/>
            <w:vAlign w:val="bottom"/>
          </w:tcPr>
          <w:p>
            <w:pPr>
              <w:spacing w:after="0"/>
              <w:rPr>
                <w:sz w:val="1"/>
                <w:szCs w:val="1"/>
                <w:color w:val="auto"/>
              </w:rPr>
            </w:pPr>
          </w:p>
        </w:tc>
      </w:tr>
      <w:tr>
        <w:trPr>
          <w:trHeight w:val="176"/>
        </w:trPr>
        <w:tc>
          <w:tcPr>
            <w:tcW w:w="6820" w:type="dxa"/>
            <w:vAlign w:val="bottom"/>
          </w:tcPr>
          <w:p>
            <w:pPr>
              <w:spacing w:after="0"/>
              <w:rPr>
                <w:sz w:val="20"/>
                <w:szCs w:val="20"/>
                <w:color w:val="auto"/>
              </w:rPr>
            </w:pPr>
            <w:r>
              <w:rPr>
                <w:rFonts w:ascii="Arial" w:cs="Arial" w:eastAsia="Arial" w:hAnsi="Arial"/>
                <w:sz w:val="14"/>
                <w:szCs w:val="14"/>
                <w:color w:val="auto"/>
              </w:rPr>
              <w:t>Deferred tax assets noncurrent, net</w:t>
            </w:r>
          </w:p>
        </w:tc>
        <w:tc>
          <w:tcPr>
            <w:tcW w:w="340" w:type="dxa"/>
            <w:vAlign w:val="bottom"/>
          </w:tcPr>
          <w:p>
            <w:pPr>
              <w:spacing w:after="0"/>
              <w:rPr>
                <w:sz w:val="15"/>
                <w:szCs w:val="15"/>
                <w:color w:val="auto"/>
              </w:rPr>
            </w:pPr>
          </w:p>
        </w:tc>
        <w:tc>
          <w:tcPr>
            <w:tcW w:w="1600" w:type="dxa"/>
            <w:vAlign w:val="bottom"/>
          </w:tcPr>
          <w:p>
            <w:pPr>
              <w:jc w:val="right"/>
              <w:ind w:right="208"/>
              <w:spacing w:after="0"/>
              <w:rPr>
                <w:sz w:val="20"/>
                <w:szCs w:val="20"/>
                <w:color w:val="auto"/>
              </w:rPr>
            </w:pPr>
            <w:r>
              <w:rPr>
                <w:rFonts w:ascii="Arial" w:cs="Arial" w:eastAsia="Arial" w:hAnsi="Arial"/>
                <w:sz w:val="14"/>
                <w:szCs w:val="14"/>
                <w:color w:val="auto"/>
              </w:rPr>
              <w:t>64,641</w:t>
            </w:r>
          </w:p>
        </w:tc>
        <w:tc>
          <w:tcPr>
            <w:tcW w:w="520" w:type="dxa"/>
            <w:vAlign w:val="bottom"/>
          </w:tcPr>
          <w:p>
            <w:pPr>
              <w:spacing w:after="0"/>
              <w:rPr>
                <w:sz w:val="15"/>
                <w:szCs w:val="15"/>
                <w:color w:val="auto"/>
              </w:rPr>
            </w:pPr>
          </w:p>
        </w:tc>
        <w:tc>
          <w:tcPr>
            <w:tcW w:w="2140" w:type="dxa"/>
            <w:vAlign w:val="bottom"/>
          </w:tcPr>
          <w:p>
            <w:pPr>
              <w:jc w:val="right"/>
              <w:ind w:right="188"/>
              <w:spacing w:after="0"/>
              <w:rPr>
                <w:sz w:val="20"/>
                <w:szCs w:val="20"/>
                <w:color w:val="auto"/>
              </w:rPr>
            </w:pPr>
            <w:r>
              <w:rPr>
                <w:rFonts w:ascii="Arial" w:cs="Arial" w:eastAsia="Arial" w:hAnsi="Arial"/>
                <w:sz w:val="14"/>
                <w:szCs w:val="14"/>
                <w:color w:val="auto"/>
              </w:rPr>
              <w:t>58,880</w:t>
            </w:r>
          </w:p>
        </w:tc>
        <w:tc>
          <w:tcPr>
            <w:tcW w:w="0" w:type="dxa"/>
            <w:vAlign w:val="bottom"/>
          </w:tcPr>
          <w:p>
            <w:pPr>
              <w:spacing w:after="0"/>
              <w:rPr>
                <w:sz w:val="1"/>
                <w:szCs w:val="1"/>
                <w:color w:val="auto"/>
              </w:rPr>
            </w:pPr>
          </w:p>
        </w:tc>
      </w:tr>
      <w:tr>
        <w:trPr>
          <w:trHeight w:val="176"/>
        </w:trPr>
        <w:tc>
          <w:tcPr>
            <w:tcW w:w="6820" w:type="dxa"/>
            <w:vAlign w:val="bottom"/>
          </w:tcPr>
          <w:p>
            <w:pPr>
              <w:spacing w:after="0"/>
              <w:rPr>
                <w:sz w:val="20"/>
                <w:szCs w:val="20"/>
                <w:color w:val="auto"/>
              </w:rPr>
            </w:pPr>
            <w:r>
              <w:rPr>
                <w:rFonts w:ascii="Arial" w:cs="Arial" w:eastAsia="Arial" w:hAnsi="Arial"/>
                <w:sz w:val="14"/>
                <w:szCs w:val="14"/>
                <w:color w:val="auto"/>
              </w:rPr>
              <w:t>Other long-term assets</w:t>
            </w:r>
          </w:p>
        </w:tc>
        <w:tc>
          <w:tcPr>
            <w:tcW w:w="340" w:type="dxa"/>
            <w:vAlign w:val="bottom"/>
          </w:tcPr>
          <w:p>
            <w:pPr>
              <w:spacing w:after="0"/>
              <w:rPr>
                <w:sz w:val="15"/>
                <w:szCs w:val="15"/>
                <w:color w:val="auto"/>
              </w:rPr>
            </w:pPr>
          </w:p>
        </w:tc>
        <w:tc>
          <w:tcPr>
            <w:tcW w:w="1600" w:type="dxa"/>
            <w:vAlign w:val="bottom"/>
          </w:tcPr>
          <w:p>
            <w:pPr>
              <w:jc w:val="right"/>
              <w:ind w:right="208"/>
              <w:spacing w:after="0"/>
              <w:rPr>
                <w:sz w:val="20"/>
                <w:szCs w:val="20"/>
                <w:color w:val="auto"/>
              </w:rPr>
            </w:pPr>
            <w:r>
              <w:rPr>
                <w:rFonts w:ascii="Arial" w:cs="Arial" w:eastAsia="Arial" w:hAnsi="Arial"/>
                <w:sz w:val="14"/>
                <w:szCs w:val="14"/>
                <w:color w:val="auto"/>
              </w:rPr>
              <w:t>31,862</w:t>
            </w:r>
          </w:p>
        </w:tc>
        <w:tc>
          <w:tcPr>
            <w:tcW w:w="520" w:type="dxa"/>
            <w:vAlign w:val="bottom"/>
          </w:tcPr>
          <w:p>
            <w:pPr>
              <w:spacing w:after="0"/>
              <w:rPr>
                <w:sz w:val="15"/>
                <w:szCs w:val="15"/>
                <w:color w:val="auto"/>
              </w:rPr>
            </w:pPr>
          </w:p>
        </w:tc>
        <w:tc>
          <w:tcPr>
            <w:tcW w:w="2140" w:type="dxa"/>
            <w:vAlign w:val="bottom"/>
          </w:tcPr>
          <w:p>
            <w:pPr>
              <w:jc w:val="right"/>
              <w:ind w:right="188"/>
              <w:spacing w:after="0"/>
              <w:rPr>
                <w:sz w:val="20"/>
                <w:szCs w:val="20"/>
                <w:color w:val="auto"/>
              </w:rPr>
            </w:pPr>
            <w:r>
              <w:rPr>
                <w:rFonts w:ascii="Arial" w:cs="Arial" w:eastAsia="Arial" w:hAnsi="Arial"/>
                <w:sz w:val="14"/>
                <w:szCs w:val="14"/>
                <w:color w:val="auto"/>
              </w:rPr>
              <w:t>33,027</w:t>
            </w:r>
          </w:p>
        </w:tc>
        <w:tc>
          <w:tcPr>
            <w:tcW w:w="0" w:type="dxa"/>
            <w:vAlign w:val="bottom"/>
          </w:tcPr>
          <w:p>
            <w:pPr>
              <w:spacing w:after="0"/>
              <w:rPr>
                <w:sz w:val="1"/>
                <w:szCs w:val="1"/>
                <w:color w:val="auto"/>
              </w:rPr>
            </w:pPr>
          </w:p>
        </w:tc>
      </w:tr>
      <w:tr>
        <w:trPr>
          <w:trHeight w:val="176"/>
        </w:trPr>
        <w:tc>
          <w:tcPr>
            <w:tcW w:w="6820" w:type="dxa"/>
            <w:vAlign w:val="bottom"/>
          </w:tcPr>
          <w:p>
            <w:pPr>
              <w:spacing w:after="0"/>
              <w:rPr>
                <w:sz w:val="20"/>
                <w:szCs w:val="20"/>
                <w:color w:val="auto"/>
              </w:rPr>
            </w:pPr>
            <w:r>
              <w:rPr>
                <w:rFonts w:ascii="Arial" w:cs="Arial" w:eastAsia="Arial" w:hAnsi="Arial"/>
                <w:sz w:val="14"/>
                <w:szCs w:val="14"/>
                <w:color w:val="auto"/>
              </w:rPr>
              <w:t>Intangible assets, net</w:t>
            </w:r>
          </w:p>
        </w:tc>
        <w:tc>
          <w:tcPr>
            <w:tcW w:w="340" w:type="dxa"/>
            <w:vAlign w:val="bottom"/>
          </w:tcPr>
          <w:p>
            <w:pPr>
              <w:spacing w:after="0"/>
              <w:rPr>
                <w:sz w:val="15"/>
                <w:szCs w:val="15"/>
                <w:color w:val="auto"/>
              </w:rPr>
            </w:pPr>
          </w:p>
        </w:tc>
        <w:tc>
          <w:tcPr>
            <w:tcW w:w="1600" w:type="dxa"/>
            <w:vAlign w:val="bottom"/>
          </w:tcPr>
          <w:p>
            <w:pPr>
              <w:jc w:val="right"/>
              <w:ind w:right="208"/>
              <w:spacing w:after="0"/>
              <w:rPr>
                <w:sz w:val="20"/>
                <w:szCs w:val="20"/>
                <w:color w:val="auto"/>
              </w:rPr>
            </w:pPr>
            <w:r>
              <w:rPr>
                <w:rFonts w:ascii="Arial" w:cs="Arial" w:eastAsia="Arial" w:hAnsi="Arial"/>
                <w:sz w:val="14"/>
                <w:szCs w:val="14"/>
                <w:color w:val="auto"/>
              </w:rPr>
              <w:t>172,927</w:t>
            </w:r>
          </w:p>
        </w:tc>
        <w:tc>
          <w:tcPr>
            <w:tcW w:w="520" w:type="dxa"/>
            <w:vAlign w:val="bottom"/>
          </w:tcPr>
          <w:p>
            <w:pPr>
              <w:spacing w:after="0"/>
              <w:rPr>
                <w:sz w:val="15"/>
                <w:szCs w:val="15"/>
                <w:color w:val="auto"/>
              </w:rPr>
            </w:pPr>
          </w:p>
        </w:tc>
        <w:tc>
          <w:tcPr>
            <w:tcW w:w="2140" w:type="dxa"/>
            <w:vAlign w:val="bottom"/>
          </w:tcPr>
          <w:p>
            <w:pPr>
              <w:jc w:val="right"/>
              <w:ind w:right="188"/>
              <w:spacing w:after="0"/>
              <w:rPr>
                <w:sz w:val="20"/>
                <w:szCs w:val="20"/>
                <w:color w:val="auto"/>
              </w:rPr>
            </w:pPr>
            <w:r>
              <w:rPr>
                <w:rFonts w:ascii="Arial" w:cs="Arial" w:eastAsia="Arial" w:hAnsi="Arial"/>
                <w:sz w:val="14"/>
                <w:szCs w:val="14"/>
                <w:color w:val="auto"/>
              </w:rPr>
              <w:t>195,840</w:t>
            </w:r>
          </w:p>
        </w:tc>
        <w:tc>
          <w:tcPr>
            <w:tcW w:w="0" w:type="dxa"/>
            <w:vAlign w:val="bottom"/>
          </w:tcPr>
          <w:p>
            <w:pPr>
              <w:spacing w:after="0"/>
              <w:rPr>
                <w:sz w:val="1"/>
                <w:szCs w:val="1"/>
                <w:color w:val="auto"/>
              </w:rPr>
            </w:pPr>
          </w:p>
        </w:tc>
      </w:tr>
      <w:tr>
        <w:trPr>
          <w:trHeight w:val="181"/>
        </w:trPr>
        <w:tc>
          <w:tcPr>
            <w:tcW w:w="6820" w:type="dxa"/>
            <w:vAlign w:val="bottom"/>
          </w:tcPr>
          <w:p>
            <w:pPr>
              <w:spacing w:after="0"/>
              <w:rPr>
                <w:sz w:val="20"/>
                <w:szCs w:val="20"/>
                <w:color w:val="auto"/>
              </w:rPr>
            </w:pPr>
            <w:r>
              <w:rPr>
                <w:rFonts w:ascii="Arial" w:cs="Arial" w:eastAsia="Arial" w:hAnsi="Arial"/>
                <w:sz w:val="14"/>
                <w:szCs w:val="14"/>
                <w:color w:val="auto"/>
              </w:rPr>
              <w:t>Goodwill</w:t>
            </w:r>
          </w:p>
        </w:tc>
        <w:tc>
          <w:tcPr>
            <w:tcW w:w="3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541,539</w:t>
            </w:r>
          </w:p>
        </w:tc>
        <w:tc>
          <w:tcPr>
            <w:tcW w:w="5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548,578</w:t>
            </w:r>
          </w:p>
        </w:tc>
        <w:tc>
          <w:tcPr>
            <w:tcW w:w="0" w:type="dxa"/>
            <w:vAlign w:val="bottom"/>
          </w:tcPr>
          <w:p>
            <w:pPr>
              <w:spacing w:after="0"/>
              <w:rPr>
                <w:sz w:val="1"/>
                <w:szCs w:val="1"/>
                <w:color w:val="auto"/>
              </w:rPr>
            </w:pPr>
          </w:p>
        </w:tc>
      </w:tr>
      <w:tr>
        <w:trPr>
          <w:trHeight w:val="169"/>
        </w:trPr>
        <w:tc>
          <w:tcPr>
            <w:tcW w:w="6820" w:type="dxa"/>
            <w:vAlign w:val="bottom"/>
          </w:tcPr>
          <w:p>
            <w:pPr>
              <w:ind w:left="1220"/>
              <w:spacing w:after="0"/>
              <w:rPr>
                <w:sz w:val="20"/>
                <w:szCs w:val="20"/>
                <w:color w:val="auto"/>
              </w:rPr>
            </w:pPr>
            <w:r>
              <w:rPr>
                <w:rFonts w:ascii="Arial" w:cs="Arial" w:eastAsia="Arial" w:hAnsi="Arial"/>
                <w:sz w:val="14"/>
                <w:szCs w:val="14"/>
                <w:color w:val="auto"/>
              </w:rPr>
              <w:t>Total assets</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1,871,750</w:t>
            </w:r>
          </w:p>
        </w:tc>
        <w:tc>
          <w:tcPr>
            <w:tcW w:w="5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21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1,882,511</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2420"/>
              <w:spacing w:after="0"/>
              <w:rPr>
                <w:sz w:val="20"/>
                <w:szCs w:val="20"/>
                <w:color w:val="auto"/>
              </w:rPr>
            </w:pPr>
            <w:r>
              <w:rPr>
                <w:rFonts w:ascii="Arial" w:cs="Arial" w:eastAsia="Arial" w:hAnsi="Arial"/>
                <w:sz w:val="14"/>
                <w:szCs w:val="14"/>
                <w:b w:val="1"/>
                <w:bCs w:val="1"/>
                <w:color w:val="auto"/>
              </w:rPr>
              <w:t>LIABILITIES AND EQUITY</w:t>
            </w: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8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820" w:type="dxa"/>
            <w:vAlign w:val="bottom"/>
          </w:tcPr>
          <w:p>
            <w:pPr>
              <w:spacing w:after="0"/>
              <w:rPr>
                <w:sz w:val="20"/>
                <w:szCs w:val="20"/>
                <w:color w:val="auto"/>
              </w:rPr>
            </w:pPr>
            <w:r>
              <w:rPr>
                <w:rFonts w:ascii="Arial" w:cs="Arial" w:eastAsia="Arial" w:hAnsi="Arial"/>
                <w:sz w:val="14"/>
                <w:szCs w:val="14"/>
                <w:color w:val="auto"/>
              </w:rPr>
              <w:t>Current liabilities</w:t>
            </w:r>
          </w:p>
        </w:tc>
        <w:tc>
          <w:tcPr>
            <w:tcW w:w="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20" w:type="dxa"/>
            <w:vAlign w:val="bottom"/>
          </w:tcPr>
          <w:p>
            <w:pPr>
              <w:ind w:left="840"/>
              <w:spacing w:after="0"/>
              <w:rPr>
                <w:sz w:val="20"/>
                <w:szCs w:val="20"/>
                <w:color w:val="auto"/>
              </w:rPr>
            </w:pPr>
            <w:r>
              <w:rPr>
                <w:rFonts w:ascii="Arial" w:cs="Arial" w:eastAsia="Arial" w:hAnsi="Arial"/>
                <w:sz w:val="14"/>
                <w:szCs w:val="14"/>
                <w:color w:val="auto"/>
              </w:rPr>
              <w:t>Accounts payable</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208"/>
              <w:spacing w:after="0"/>
              <w:rPr>
                <w:sz w:val="20"/>
                <w:szCs w:val="20"/>
                <w:color w:val="auto"/>
              </w:rPr>
            </w:pPr>
            <w:r>
              <w:rPr>
                <w:rFonts w:ascii="Arial" w:cs="Arial" w:eastAsia="Arial" w:hAnsi="Arial"/>
                <w:sz w:val="14"/>
                <w:szCs w:val="14"/>
                <w:color w:val="auto"/>
              </w:rPr>
              <w:t>209,080</w:t>
            </w:r>
          </w:p>
        </w:tc>
        <w:tc>
          <w:tcPr>
            <w:tcW w:w="5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140" w:type="dxa"/>
            <w:vAlign w:val="bottom"/>
          </w:tcPr>
          <w:p>
            <w:pPr>
              <w:jc w:val="right"/>
              <w:ind w:right="188"/>
              <w:spacing w:after="0"/>
              <w:rPr>
                <w:sz w:val="20"/>
                <w:szCs w:val="20"/>
                <w:color w:val="auto"/>
              </w:rPr>
            </w:pPr>
            <w:r>
              <w:rPr>
                <w:rFonts w:ascii="Arial" w:cs="Arial" w:eastAsia="Arial" w:hAnsi="Arial"/>
                <w:sz w:val="14"/>
                <w:szCs w:val="14"/>
                <w:color w:val="auto"/>
              </w:rPr>
              <w:t>199,769</w:t>
            </w:r>
          </w:p>
        </w:tc>
        <w:tc>
          <w:tcPr>
            <w:tcW w:w="0" w:type="dxa"/>
            <w:vAlign w:val="bottom"/>
          </w:tcPr>
          <w:p>
            <w:pPr>
              <w:spacing w:after="0"/>
              <w:rPr>
                <w:sz w:val="1"/>
                <w:szCs w:val="1"/>
                <w:color w:val="auto"/>
              </w:rPr>
            </w:pPr>
          </w:p>
        </w:tc>
      </w:tr>
      <w:tr>
        <w:trPr>
          <w:trHeight w:val="176"/>
        </w:trPr>
        <w:tc>
          <w:tcPr>
            <w:tcW w:w="6820" w:type="dxa"/>
            <w:vAlign w:val="bottom"/>
          </w:tcPr>
          <w:p>
            <w:pPr>
              <w:ind w:left="840"/>
              <w:spacing w:after="0"/>
              <w:rPr>
                <w:sz w:val="20"/>
                <w:szCs w:val="20"/>
                <w:color w:val="auto"/>
              </w:rPr>
            </w:pPr>
            <w:r>
              <w:rPr>
                <w:rFonts w:ascii="Arial" w:cs="Arial" w:eastAsia="Arial" w:hAnsi="Arial"/>
                <w:sz w:val="14"/>
                <w:szCs w:val="14"/>
                <w:color w:val="auto"/>
              </w:rPr>
              <w:t>Other current liabilities</w:t>
            </w:r>
          </w:p>
        </w:tc>
        <w:tc>
          <w:tcPr>
            <w:tcW w:w="340" w:type="dxa"/>
            <w:vAlign w:val="bottom"/>
          </w:tcPr>
          <w:p>
            <w:pPr>
              <w:spacing w:after="0"/>
              <w:rPr>
                <w:sz w:val="15"/>
                <w:szCs w:val="15"/>
                <w:color w:val="auto"/>
              </w:rPr>
            </w:pPr>
          </w:p>
        </w:tc>
        <w:tc>
          <w:tcPr>
            <w:tcW w:w="1600" w:type="dxa"/>
            <w:vAlign w:val="bottom"/>
          </w:tcPr>
          <w:p>
            <w:pPr>
              <w:jc w:val="right"/>
              <w:ind w:right="208"/>
              <w:spacing w:after="0"/>
              <w:rPr>
                <w:sz w:val="20"/>
                <w:szCs w:val="20"/>
                <w:color w:val="auto"/>
              </w:rPr>
            </w:pPr>
            <w:r>
              <w:rPr>
                <w:rFonts w:ascii="Arial" w:cs="Arial" w:eastAsia="Arial" w:hAnsi="Arial"/>
                <w:sz w:val="14"/>
                <w:szCs w:val="14"/>
                <w:color w:val="auto"/>
              </w:rPr>
              <w:t>69,064</w:t>
            </w:r>
          </w:p>
        </w:tc>
        <w:tc>
          <w:tcPr>
            <w:tcW w:w="520" w:type="dxa"/>
            <w:vAlign w:val="bottom"/>
          </w:tcPr>
          <w:p>
            <w:pPr>
              <w:spacing w:after="0"/>
              <w:rPr>
                <w:sz w:val="15"/>
                <w:szCs w:val="15"/>
                <w:color w:val="auto"/>
              </w:rPr>
            </w:pPr>
          </w:p>
        </w:tc>
        <w:tc>
          <w:tcPr>
            <w:tcW w:w="2140" w:type="dxa"/>
            <w:vAlign w:val="bottom"/>
          </w:tcPr>
          <w:p>
            <w:pPr>
              <w:jc w:val="right"/>
              <w:ind w:right="188"/>
              <w:spacing w:after="0"/>
              <w:rPr>
                <w:sz w:val="20"/>
                <w:szCs w:val="20"/>
                <w:color w:val="auto"/>
              </w:rPr>
            </w:pPr>
            <w:r>
              <w:rPr>
                <w:rFonts w:ascii="Arial" w:cs="Arial" w:eastAsia="Arial" w:hAnsi="Arial"/>
                <w:sz w:val="14"/>
                <w:szCs w:val="14"/>
                <w:color w:val="auto"/>
              </w:rPr>
              <w:t>70,768</w:t>
            </w:r>
          </w:p>
        </w:tc>
        <w:tc>
          <w:tcPr>
            <w:tcW w:w="0" w:type="dxa"/>
            <w:vAlign w:val="bottom"/>
          </w:tcPr>
          <w:p>
            <w:pPr>
              <w:spacing w:after="0"/>
              <w:rPr>
                <w:sz w:val="1"/>
                <w:szCs w:val="1"/>
                <w:color w:val="auto"/>
              </w:rPr>
            </w:pPr>
          </w:p>
        </w:tc>
      </w:tr>
      <w:tr>
        <w:trPr>
          <w:trHeight w:val="176"/>
        </w:trPr>
        <w:tc>
          <w:tcPr>
            <w:tcW w:w="6820" w:type="dxa"/>
            <w:vAlign w:val="bottom"/>
          </w:tcPr>
          <w:p>
            <w:pPr>
              <w:ind w:left="840"/>
              <w:spacing w:after="0"/>
              <w:rPr>
                <w:sz w:val="20"/>
                <w:szCs w:val="20"/>
                <w:color w:val="auto"/>
              </w:rPr>
            </w:pPr>
            <w:r>
              <w:rPr>
                <w:rFonts w:ascii="Arial" w:cs="Arial" w:eastAsia="Arial" w:hAnsi="Arial"/>
                <w:sz w:val="14"/>
                <w:szCs w:val="14"/>
                <w:color w:val="auto"/>
              </w:rPr>
              <w:t>Wages and benefits payable</w:t>
            </w:r>
          </w:p>
        </w:tc>
        <w:tc>
          <w:tcPr>
            <w:tcW w:w="340" w:type="dxa"/>
            <w:vAlign w:val="bottom"/>
          </w:tcPr>
          <w:p>
            <w:pPr>
              <w:spacing w:after="0"/>
              <w:rPr>
                <w:sz w:val="15"/>
                <w:szCs w:val="15"/>
                <w:color w:val="auto"/>
              </w:rPr>
            </w:pPr>
          </w:p>
        </w:tc>
        <w:tc>
          <w:tcPr>
            <w:tcW w:w="1600" w:type="dxa"/>
            <w:vAlign w:val="bottom"/>
          </w:tcPr>
          <w:p>
            <w:pPr>
              <w:jc w:val="right"/>
              <w:ind w:right="208"/>
              <w:spacing w:after="0"/>
              <w:rPr>
                <w:sz w:val="20"/>
                <w:szCs w:val="20"/>
                <w:color w:val="auto"/>
              </w:rPr>
            </w:pPr>
            <w:r>
              <w:rPr>
                <w:rFonts w:ascii="Arial" w:cs="Arial" w:eastAsia="Arial" w:hAnsi="Arial"/>
                <w:sz w:val="14"/>
                <w:szCs w:val="14"/>
                <w:color w:val="auto"/>
              </w:rPr>
              <w:t>93,069</w:t>
            </w:r>
          </w:p>
        </w:tc>
        <w:tc>
          <w:tcPr>
            <w:tcW w:w="520" w:type="dxa"/>
            <w:vAlign w:val="bottom"/>
          </w:tcPr>
          <w:p>
            <w:pPr>
              <w:spacing w:after="0"/>
              <w:rPr>
                <w:sz w:val="15"/>
                <w:szCs w:val="15"/>
                <w:color w:val="auto"/>
              </w:rPr>
            </w:pPr>
          </w:p>
        </w:tc>
        <w:tc>
          <w:tcPr>
            <w:tcW w:w="2140" w:type="dxa"/>
            <w:vAlign w:val="bottom"/>
          </w:tcPr>
          <w:p>
            <w:pPr>
              <w:jc w:val="right"/>
              <w:ind w:right="188"/>
              <w:spacing w:after="0"/>
              <w:rPr>
                <w:sz w:val="20"/>
                <w:szCs w:val="20"/>
                <w:color w:val="auto"/>
              </w:rPr>
            </w:pPr>
            <w:r>
              <w:rPr>
                <w:rFonts w:ascii="Arial" w:cs="Arial" w:eastAsia="Arial" w:hAnsi="Arial"/>
                <w:sz w:val="14"/>
                <w:szCs w:val="14"/>
                <w:color w:val="auto"/>
              </w:rPr>
              <w:t>89,314</w:t>
            </w:r>
          </w:p>
        </w:tc>
        <w:tc>
          <w:tcPr>
            <w:tcW w:w="0" w:type="dxa"/>
            <w:vAlign w:val="bottom"/>
          </w:tcPr>
          <w:p>
            <w:pPr>
              <w:spacing w:after="0"/>
              <w:rPr>
                <w:sz w:val="1"/>
                <w:szCs w:val="1"/>
                <w:color w:val="auto"/>
              </w:rPr>
            </w:pPr>
          </w:p>
        </w:tc>
      </w:tr>
      <w:tr>
        <w:trPr>
          <w:trHeight w:val="176"/>
        </w:trPr>
        <w:tc>
          <w:tcPr>
            <w:tcW w:w="6820" w:type="dxa"/>
            <w:vAlign w:val="bottom"/>
          </w:tcPr>
          <w:p>
            <w:pPr>
              <w:ind w:left="840"/>
              <w:spacing w:after="0"/>
              <w:rPr>
                <w:sz w:val="20"/>
                <w:szCs w:val="20"/>
                <w:color w:val="auto"/>
              </w:rPr>
            </w:pPr>
            <w:r>
              <w:rPr>
                <w:rFonts w:ascii="Arial" w:cs="Arial" w:eastAsia="Arial" w:hAnsi="Arial"/>
                <w:sz w:val="14"/>
                <w:szCs w:val="14"/>
                <w:color w:val="auto"/>
              </w:rPr>
              <w:t>Taxes payable</w:t>
            </w:r>
          </w:p>
        </w:tc>
        <w:tc>
          <w:tcPr>
            <w:tcW w:w="340" w:type="dxa"/>
            <w:vAlign w:val="bottom"/>
          </w:tcPr>
          <w:p>
            <w:pPr>
              <w:spacing w:after="0"/>
              <w:rPr>
                <w:sz w:val="15"/>
                <w:szCs w:val="15"/>
                <w:color w:val="auto"/>
              </w:rPr>
            </w:pPr>
          </w:p>
        </w:tc>
        <w:tc>
          <w:tcPr>
            <w:tcW w:w="1600" w:type="dxa"/>
            <w:vAlign w:val="bottom"/>
          </w:tcPr>
          <w:p>
            <w:pPr>
              <w:jc w:val="right"/>
              <w:ind w:right="208"/>
              <w:spacing w:after="0"/>
              <w:rPr>
                <w:sz w:val="20"/>
                <w:szCs w:val="20"/>
                <w:color w:val="auto"/>
              </w:rPr>
            </w:pPr>
            <w:r>
              <w:rPr>
                <w:rFonts w:ascii="Arial" w:cs="Arial" w:eastAsia="Arial" w:hAnsi="Arial"/>
                <w:sz w:val="14"/>
                <w:szCs w:val="14"/>
                <w:color w:val="auto"/>
              </w:rPr>
              <w:t>14,172</w:t>
            </w:r>
          </w:p>
        </w:tc>
        <w:tc>
          <w:tcPr>
            <w:tcW w:w="520" w:type="dxa"/>
            <w:vAlign w:val="bottom"/>
          </w:tcPr>
          <w:p>
            <w:pPr>
              <w:spacing w:after="0"/>
              <w:rPr>
                <w:sz w:val="15"/>
                <w:szCs w:val="15"/>
                <w:color w:val="auto"/>
              </w:rPr>
            </w:pPr>
          </w:p>
        </w:tc>
        <w:tc>
          <w:tcPr>
            <w:tcW w:w="2140" w:type="dxa"/>
            <w:vAlign w:val="bottom"/>
          </w:tcPr>
          <w:p>
            <w:pPr>
              <w:jc w:val="right"/>
              <w:ind w:right="188"/>
              <w:spacing w:after="0"/>
              <w:rPr>
                <w:sz w:val="20"/>
                <w:szCs w:val="20"/>
                <w:color w:val="auto"/>
              </w:rPr>
            </w:pPr>
            <w:r>
              <w:rPr>
                <w:rFonts w:ascii="Arial" w:cs="Arial" w:eastAsia="Arial" w:hAnsi="Arial"/>
                <w:sz w:val="14"/>
                <w:szCs w:val="14"/>
                <w:color w:val="auto"/>
              </w:rPr>
              <w:t>10,700</w:t>
            </w:r>
          </w:p>
        </w:tc>
        <w:tc>
          <w:tcPr>
            <w:tcW w:w="0" w:type="dxa"/>
            <w:vAlign w:val="bottom"/>
          </w:tcPr>
          <w:p>
            <w:pPr>
              <w:spacing w:after="0"/>
              <w:rPr>
                <w:sz w:val="1"/>
                <w:szCs w:val="1"/>
                <w:color w:val="auto"/>
              </w:rPr>
            </w:pPr>
          </w:p>
        </w:tc>
      </w:tr>
      <w:tr>
        <w:trPr>
          <w:trHeight w:val="176"/>
        </w:trPr>
        <w:tc>
          <w:tcPr>
            <w:tcW w:w="6820" w:type="dxa"/>
            <w:vAlign w:val="bottom"/>
          </w:tcPr>
          <w:p>
            <w:pPr>
              <w:ind w:left="840"/>
              <w:spacing w:after="0"/>
              <w:rPr>
                <w:sz w:val="20"/>
                <w:szCs w:val="20"/>
                <w:color w:val="auto"/>
              </w:rPr>
            </w:pPr>
            <w:r>
              <w:rPr>
                <w:rFonts w:ascii="Arial" w:cs="Arial" w:eastAsia="Arial" w:hAnsi="Arial"/>
                <w:sz w:val="14"/>
                <w:szCs w:val="14"/>
                <w:color w:val="auto"/>
              </w:rPr>
              <w:t>Current portion of debt</w:t>
            </w:r>
          </w:p>
        </w:tc>
        <w:tc>
          <w:tcPr>
            <w:tcW w:w="340" w:type="dxa"/>
            <w:vAlign w:val="bottom"/>
          </w:tcPr>
          <w:p>
            <w:pPr>
              <w:spacing w:after="0"/>
              <w:rPr>
                <w:sz w:val="15"/>
                <w:szCs w:val="15"/>
                <w:color w:val="auto"/>
              </w:rPr>
            </w:pPr>
          </w:p>
        </w:tc>
        <w:tc>
          <w:tcPr>
            <w:tcW w:w="1600" w:type="dxa"/>
            <w:vAlign w:val="bottom"/>
          </w:tcPr>
          <w:p>
            <w:pPr>
              <w:jc w:val="right"/>
              <w:ind w:right="208"/>
              <w:spacing w:after="0"/>
              <w:rPr>
                <w:sz w:val="20"/>
                <w:szCs w:val="20"/>
                <w:color w:val="auto"/>
              </w:rPr>
            </w:pPr>
            <w:r>
              <w:rPr>
                <w:rFonts w:ascii="Arial" w:cs="Arial" w:eastAsia="Arial" w:hAnsi="Arial"/>
                <w:sz w:val="14"/>
                <w:szCs w:val="14"/>
                <w:color w:val="auto"/>
              </w:rPr>
              <w:t>30,000</w:t>
            </w:r>
          </w:p>
        </w:tc>
        <w:tc>
          <w:tcPr>
            <w:tcW w:w="520" w:type="dxa"/>
            <w:vAlign w:val="bottom"/>
          </w:tcPr>
          <w:p>
            <w:pPr>
              <w:spacing w:after="0"/>
              <w:rPr>
                <w:sz w:val="15"/>
                <w:szCs w:val="15"/>
                <w:color w:val="auto"/>
              </w:rPr>
            </w:pPr>
          </w:p>
        </w:tc>
        <w:tc>
          <w:tcPr>
            <w:tcW w:w="2140" w:type="dxa"/>
            <w:vAlign w:val="bottom"/>
          </w:tcPr>
          <w:p>
            <w:pPr>
              <w:jc w:val="right"/>
              <w:ind w:right="188"/>
              <w:spacing w:after="0"/>
              <w:rPr>
                <w:sz w:val="20"/>
                <w:szCs w:val="20"/>
                <w:color w:val="auto"/>
              </w:rPr>
            </w:pPr>
            <w:r>
              <w:rPr>
                <w:rFonts w:ascii="Arial" w:cs="Arial" w:eastAsia="Arial" w:hAnsi="Arial"/>
                <w:sz w:val="14"/>
                <w:szCs w:val="14"/>
                <w:color w:val="auto"/>
              </w:rPr>
              <w:t>26,250</w:t>
            </w:r>
          </w:p>
        </w:tc>
        <w:tc>
          <w:tcPr>
            <w:tcW w:w="0" w:type="dxa"/>
            <w:vAlign w:val="bottom"/>
          </w:tcPr>
          <w:p>
            <w:pPr>
              <w:spacing w:after="0"/>
              <w:rPr>
                <w:sz w:val="1"/>
                <w:szCs w:val="1"/>
                <w:color w:val="auto"/>
              </w:rPr>
            </w:pPr>
          </w:p>
        </w:tc>
      </w:tr>
      <w:tr>
        <w:trPr>
          <w:trHeight w:val="176"/>
        </w:trPr>
        <w:tc>
          <w:tcPr>
            <w:tcW w:w="6820" w:type="dxa"/>
            <w:vAlign w:val="bottom"/>
          </w:tcPr>
          <w:p>
            <w:pPr>
              <w:ind w:left="840"/>
              <w:spacing w:after="0"/>
              <w:rPr>
                <w:sz w:val="20"/>
                <w:szCs w:val="20"/>
                <w:color w:val="auto"/>
              </w:rPr>
            </w:pPr>
            <w:r>
              <w:rPr>
                <w:rFonts w:ascii="Arial" w:cs="Arial" w:eastAsia="Arial" w:hAnsi="Arial"/>
                <w:sz w:val="14"/>
                <w:szCs w:val="14"/>
                <w:color w:val="auto"/>
              </w:rPr>
              <w:t>Current portion of warranty</w:t>
            </w:r>
          </w:p>
        </w:tc>
        <w:tc>
          <w:tcPr>
            <w:tcW w:w="340" w:type="dxa"/>
            <w:vAlign w:val="bottom"/>
          </w:tcPr>
          <w:p>
            <w:pPr>
              <w:spacing w:after="0"/>
              <w:rPr>
                <w:sz w:val="15"/>
                <w:szCs w:val="15"/>
                <w:color w:val="auto"/>
              </w:rPr>
            </w:pPr>
          </w:p>
        </w:tc>
        <w:tc>
          <w:tcPr>
            <w:tcW w:w="1600" w:type="dxa"/>
            <w:vAlign w:val="bottom"/>
          </w:tcPr>
          <w:p>
            <w:pPr>
              <w:jc w:val="right"/>
              <w:ind w:right="208"/>
              <w:spacing w:after="0"/>
              <w:rPr>
                <w:sz w:val="20"/>
                <w:szCs w:val="20"/>
                <w:color w:val="auto"/>
              </w:rPr>
            </w:pPr>
            <w:r>
              <w:rPr>
                <w:rFonts w:ascii="Arial" w:cs="Arial" w:eastAsia="Arial" w:hAnsi="Arial"/>
                <w:sz w:val="14"/>
                <w:szCs w:val="14"/>
                <w:color w:val="auto"/>
              </w:rPr>
              <w:t>23,689</w:t>
            </w:r>
          </w:p>
        </w:tc>
        <w:tc>
          <w:tcPr>
            <w:tcW w:w="520" w:type="dxa"/>
            <w:vAlign w:val="bottom"/>
          </w:tcPr>
          <w:p>
            <w:pPr>
              <w:spacing w:after="0"/>
              <w:rPr>
                <w:sz w:val="15"/>
                <w:szCs w:val="15"/>
                <w:color w:val="auto"/>
              </w:rPr>
            </w:pPr>
          </w:p>
        </w:tc>
        <w:tc>
          <w:tcPr>
            <w:tcW w:w="2140" w:type="dxa"/>
            <w:vAlign w:val="bottom"/>
          </w:tcPr>
          <w:p>
            <w:pPr>
              <w:jc w:val="right"/>
              <w:ind w:right="188"/>
              <w:spacing w:after="0"/>
              <w:rPr>
                <w:sz w:val="20"/>
                <w:szCs w:val="20"/>
                <w:color w:val="auto"/>
              </w:rPr>
            </w:pPr>
            <w:r>
              <w:rPr>
                <w:rFonts w:ascii="Arial" w:cs="Arial" w:eastAsia="Arial" w:hAnsi="Arial"/>
                <w:sz w:val="14"/>
                <w:szCs w:val="14"/>
                <w:color w:val="auto"/>
              </w:rPr>
              <w:t>21,048</w:t>
            </w:r>
          </w:p>
        </w:tc>
        <w:tc>
          <w:tcPr>
            <w:tcW w:w="0" w:type="dxa"/>
            <w:vAlign w:val="bottom"/>
          </w:tcPr>
          <w:p>
            <w:pPr>
              <w:spacing w:after="0"/>
              <w:rPr>
                <w:sz w:val="1"/>
                <w:szCs w:val="1"/>
                <w:color w:val="auto"/>
              </w:rPr>
            </w:pPr>
          </w:p>
        </w:tc>
      </w:tr>
      <w:tr>
        <w:trPr>
          <w:trHeight w:val="181"/>
        </w:trPr>
        <w:tc>
          <w:tcPr>
            <w:tcW w:w="6820" w:type="dxa"/>
            <w:vAlign w:val="bottom"/>
          </w:tcPr>
          <w:p>
            <w:pPr>
              <w:ind w:left="840"/>
              <w:spacing w:after="0"/>
              <w:rPr>
                <w:sz w:val="20"/>
                <w:szCs w:val="20"/>
                <w:color w:val="auto"/>
              </w:rPr>
            </w:pPr>
            <w:r>
              <w:rPr>
                <w:rFonts w:ascii="Arial" w:cs="Arial" w:eastAsia="Arial" w:hAnsi="Arial"/>
                <w:sz w:val="14"/>
                <w:szCs w:val="14"/>
                <w:color w:val="auto"/>
              </w:rPr>
              <w:t>Unearned revenue</w:t>
            </w:r>
          </w:p>
        </w:tc>
        <w:tc>
          <w:tcPr>
            <w:tcW w:w="3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53,487</w:t>
            </w:r>
          </w:p>
        </w:tc>
        <w:tc>
          <w:tcPr>
            <w:tcW w:w="5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37,163</w:t>
            </w:r>
          </w:p>
        </w:tc>
        <w:tc>
          <w:tcPr>
            <w:tcW w:w="0" w:type="dxa"/>
            <w:vAlign w:val="bottom"/>
          </w:tcPr>
          <w:p>
            <w:pPr>
              <w:spacing w:after="0"/>
              <w:rPr>
                <w:sz w:val="1"/>
                <w:szCs w:val="1"/>
                <w:color w:val="auto"/>
              </w:rPr>
            </w:pPr>
          </w:p>
        </w:tc>
      </w:tr>
      <w:tr>
        <w:trPr>
          <w:trHeight w:val="176"/>
        </w:trPr>
        <w:tc>
          <w:tcPr>
            <w:tcW w:w="6820" w:type="dxa"/>
            <w:vAlign w:val="bottom"/>
          </w:tcPr>
          <w:p>
            <w:pPr>
              <w:ind w:left="1220"/>
              <w:spacing w:after="0"/>
              <w:rPr>
                <w:sz w:val="20"/>
                <w:szCs w:val="20"/>
                <w:color w:val="auto"/>
              </w:rPr>
            </w:pPr>
            <w:r>
              <w:rPr>
                <w:rFonts w:ascii="Arial" w:cs="Arial" w:eastAsia="Arial" w:hAnsi="Arial"/>
                <w:sz w:val="14"/>
                <w:szCs w:val="14"/>
                <w:color w:val="auto"/>
              </w:rPr>
              <w:t>Total current liabilities</w:t>
            </w:r>
          </w:p>
        </w:tc>
        <w:tc>
          <w:tcPr>
            <w:tcW w:w="340" w:type="dxa"/>
            <w:vAlign w:val="bottom"/>
          </w:tcPr>
          <w:p>
            <w:pPr>
              <w:spacing w:after="0"/>
              <w:rPr>
                <w:sz w:val="15"/>
                <w:szCs w:val="15"/>
                <w:color w:val="auto"/>
              </w:rPr>
            </w:pPr>
          </w:p>
        </w:tc>
        <w:tc>
          <w:tcPr>
            <w:tcW w:w="1600" w:type="dxa"/>
            <w:vAlign w:val="bottom"/>
          </w:tcPr>
          <w:p>
            <w:pPr>
              <w:jc w:val="right"/>
              <w:ind w:right="208"/>
              <w:spacing w:after="0"/>
              <w:rPr>
                <w:sz w:val="20"/>
                <w:szCs w:val="20"/>
                <w:color w:val="auto"/>
              </w:rPr>
            </w:pPr>
            <w:r>
              <w:rPr>
                <w:rFonts w:ascii="Arial" w:cs="Arial" w:eastAsia="Arial" w:hAnsi="Arial"/>
                <w:sz w:val="14"/>
                <w:szCs w:val="14"/>
                <w:color w:val="auto"/>
              </w:rPr>
              <w:t>492,561</w:t>
            </w:r>
          </w:p>
        </w:tc>
        <w:tc>
          <w:tcPr>
            <w:tcW w:w="520" w:type="dxa"/>
            <w:vAlign w:val="bottom"/>
          </w:tcPr>
          <w:p>
            <w:pPr>
              <w:spacing w:after="0"/>
              <w:rPr>
                <w:sz w:val="15"/>
                <w:szCs w:val="15"/>
                <w:color w:val="auto"/>
              </w:rPr>
            </w:pPr>
          </w:p>
        </w:tc>
        <w:tc>
          <w:tcPr>
            <w:tcW w:w="2140" w:type="dxa"/>
            <w:vAlign w:val="bottom"/>
          </w:tcPr>
          <w:p>
            <w:pPr>
              <w:jc w:val="right"/>
              <w:ind w:right="188"/>
              <w:spacing w:after="0"/>
              <w:rPr>
                <w:sz w:val="20"/>
                <w:szCs w:val="20"/>
                <w:color w:val="auto"/>
              </w:rPr>
            </w:pPr>
            <w:r>
              <w:rPr>
                <w:rFonts w:ascii="Arial" w:cs="Arial" w:eastAsia="Arial" w:hAnsi="Arial"/>
                <w:sz w:val="14"/>
                <w:szCs w:val="14"/>
                <w:color w:val="auto"/>
              </w:rPr>
              <w:t>455,012</w:t>
            </w:r>
          </w:p>
        </w:tc>
        <w:tc>
          <w:tcPr>
            <w:tcW w:w="0" w:type="dxa"/>
            <w:vAlign w:val="bottom"/>
          </w:tcPr>
          <w:p>
            <w:pPr>
              <w:spacing w:after="0"/>
              <w:rPr>
                <w:sz w:val="1"/>
                <w:szCs w:val="1"/>
                <w:color w:val="auto"/>
              </w:rPr>
            </w:pPr>
          </w:p>
        </w:tc>
      </w:tr>
      <w:tr>
        <w:trPr>
          <w:trHeight w:val="339"/>
        </w:trPr>
        <w:tc>
          <w:tcPr>
            <w:tcW w:w="6820" w:type="dxa"/>
            <w:vAlign w:val="bottom"/>
          </w:tcPr>
          <w:p>
            <w:pPr>
              <w:spacing w:after="0"/>
              <w:rPr>
                <w:sz w:val="20"/>
                <w:szCs w:val="20"/>
                <w:color w:val="auto"/>
              </w:rPr>
            </w:pPr>
            <w:r>
              <w:rPr>
                <w:rFonts w:ascii="Arial" w:cs="Arial" w:eastAsia="Arial" w:hAnsi="Arial"/>
                <w:sz w:val="14"/>
                <w:szCs w:val="14"/>
                <w:color w:val="auto"/>
              </w:rPr>
              <w:t>Long-term debt</w:t>
            </w:r>
          </w:p>
        </w:tc>
        <w:tc>
          <w:tcPr>
            <w:tcW w:w="340" w:type="dxa"/>
            <w:vAlign w:val="bottom"/>
          </w:tcPr>
          <w:p>
            <w:pPr>
              <w:spacing w:after="0"/>
              <w:rPr>
                <w:sz w:val="24"/>
                <w:szCs w:val="24"/>
                <w:color w:val="auto"/>
              </w:rPr>
            </w:pPr>
          </w:p>
        </w:tc>
        <w:tc>
          <w:tcPr>
            <w:tcW w:w="1600" w:type="dxa"/>
            <w:vAlign w:val="bottom"/>
          </w:tcPr>
          <w:p>
            <w:pPr>
              <w:jc w:val="right"/>
              <w:ind w:right="208"/>
              <w:spacing w:after="0"/>
              <w:rPr>
                <w:sz w:val="20"/>
                <w:szCs w:val="20"/>
                <w:color w:val="auto"/>
              </w:rPr>
            </w:pPr>
            <w:r>
              <w:rPr>
                <w:rFonts w:ascii="Arial" w:cs="Arial" w:eastAsia="Arial" w:hAnsi="Arial"/>
                <w:sz w:val="14"/>
                <w:szCs w:val="14"/>
                <w:color w:val="auto"/>
              </w:rPr>
              <w:t>297,500</w:t>
            </w:r>
          </w:p>
        </w:tc>
        <w:tc>
          <w:tcPr>
            <w:tcW w:w="520" w:type="dxa"/>
            <w:vAlign w:val="bottom"/>
          </w:tcPr>
          <w:p>
            <w:pPr>
              <w:spacing w:after="0"/>
              <w:rPr>
                <w:sz w:val="24"/>
                <w:szCs w:val="24"/>
                <w:color w:val="auto"/>
              </w:rPr>
            </w:pPr>
          </w:p>
        </w:tc>
        <w:tc>
          <w:tcPr>
            <w:tcW w:w="2140" w:type="dxa"/>
            <w:vAlign w:val="bottom"/>
          </w:tcPr>
          <w:p>
            <w:pPr>
              <w:jc w:val="right"/>
              <w:ind w:right="188"/>
              <w:spacing w:after="0"/>
              <w:rPr>
                <w:sz w:val="20"/>
                <w:szCs w:val="20"/>
                <w:color w:val="auto"/>
              </w:rPr>
            </w:pPr>
            <w:r>
              <w:rPr>
                <w:rFonts w:ascii="Arial" w:cs="Arial" w:eastAsia="Arial" w:hAnsi="Arial"/>
                <w:sz w:val="14"/>
                <w:szCs w:val="14"/>
                <w:color w:val="auto"/>
              </w:rPr>
              <w:t>352,500</w:t>
            </w:r>
          </w:p>
        </w:tc>
        <w:tc>
          <w:tcPr>
            <w:tcW w:w="0" w:type="dxa"/>
            <w:vAlign w:val="bottom"/>
          </w:tcPr>
          <w:p>
            <w:pPr>
              <w:spacing w:after="0"/>
              <w:rPr>
                <w:sz w:val="1"/>
                <w:szCs w:val="1"/>
                <w:color w:val="auto"/>
              </w:rPr>
            </w:pPr>
          </w:p>
        </w:tc>
      </w:tr>
      <w:tr>
        <w:trPr>
          <w:trHeight w:val="176"/>
        </w:trPr>
        <w:tc>
          <w:tcPr>
            <w:tcW w:w="6820" w:type="dxa"/>
            <w:vAlign w:val="bottom"/>
          </w:tcPr>
          <w:p>
            <w:pPr>
              <w:spacing w:after="0"/>
              <w:rPr>
                <w:sz w:val="20"/>
                <w:szCs w:val="20"/>
                <w:color w:val="auto"/>
              </w:rPr>
            </w:pPr>
            <w:r>
              <w:rPr>
                <w:rFonts w:ascii="Arial" w:cs="Arial" w:eastAsia="Arial" w:hAnsi="Arial"/>
                <w:sz w:val="14"/>
                <w:szCs w:val="14"/>
                <w:color w:val="auto"/>
              </w:rPr>
              <w:t>Long-term warranty</w:t>
            </w:r>
          </w:p>
        </w:tc>
        <w:tc>
          <w:tcPr>
            <w:tcW w:w="340" w:type="dxa"/>
            <w:vAlign w:val="bottom"/>
          </w:tcPr>
          <w:p>
            <w:pPr>
              <w:spacing w:after="0"/>
              <w:rPr>
                <w:sz w:val="15"/>
                <w:szCs w:val="15"/>
                <w:color w:val="auto"/>
              </w:rPr>
            </w:pPr>
          </w:p>
        </w:tc>
        <w:tc>
          <w:tcPr>
            <w:tcW w:w="1600" w:type="dxa"/>
            <w:vAlign w:val="bottom"/>
          </w:tcPr>
          <w:p>
            <w:pPr>
              <w:jc w:val="right"/>
              <w:ind w:right="208"/>
              <w:spacing w:after="0"/>
              <w:rPr>
                <w:sz w:val="20"/>
                <w:szCs w:val="20"/>
                <w:color w:val="auto"/>
              </w:rPr>
            </w:pPr>
            <w:r>
              <w:rPr>
                <w:rFonts w:ascii="Arial" w:cs="Arial" w:eastAsia="Arial" w:hAnsi="Arial"/>
                <w:sz w:val="14"/>
                <w:szCs w:val="14"/>
                <w:color w:val="auto"/>
              </w:rPr>
              <w:t>18,860</w:t>
            </w:r>
          </w:p>
        </w:tc>
        <w:tc>
          <w:tcPr>
            <w:tcW w:w="520" w:type="dxa"/>
            <w:vAlign w:val="bottom"/>
          </w:tcPr>
          <w:p>
            <w:pPr>
              <w:spacing w:after="0"/>
              <w:rPr>
                <w:sz w:val="15"/>
                <w:szCs w:val="15"/>
                <w:color w:val="auto"/>
              </w:rPr>
            </w:pPr>
          </w:p>
        </w:tc>
        <w:tc>
          <w:tcPr>
            <w:tcW w:w="2140" w:type="dxa"/>
            <w:vAlign w:val="bottom"/>
          </w:tcPr>
          <w:p>
            <w:pPr>
              <w:jc w:val="right"/>
              <w:ind w:right="188"/>
              <w:spacing w:after="0"/>
              <w:rPr>
                <w:sz w:val="20"/>
                <w:szCs w:val="20"/>
                <w:color w:val="auto"/>
              </w:rPr>
            </w:pPr>
            <w:r>
              <w:rPr>
                <w:rFonts w:ascii="Arial" w:cs="Arial" w:eastAsia="Arial" w:hAnsi="Arial"/>
                <w:sz w:val="14"/>
                <w:szCs w:val="14"/>
                <w:color w:val="auto"/>
              </w:rPr>
              <w:t>24,098</w:t>
            </w:r>
          </w:p>
        </w:tc>
        <w:tc>
          <w:tcPr>
            <w:tcW w:w="0" w:type="dxa"/>
            <w:vAlign w:val="bottom"/>
          </w:tcPr>
          <w:p>
            <w:pPr>
              <w:spacing w:after="0"/>
              <w:rPr>
                <w:sz w:val="1"/>
                <w:szCs w:val="1"/>
                <w:color w:val="auto"/>
              </w:rPr>
            </w:pPr>
          </w:p>
        </w:tc>
      </w:tr>
      <w:tr>
        <w:trPr>
          <w:trHeight w:val="176"/>
        </w:trPr>
        <w:tc>
          <w:tcPr>
            <w:tcW w:w="6820" w:type="dxa"/>
            <w:vAlign w:val="bottom"/>
          </w:tcPr>
          <w:p>
            <w:pPr>
              <w:spacing w:after="0"/>
              <w:rPr>
                <w:sz w:val="20"/>
                <w:szCs w:val="20"/>
                <w:color w:val="auto"/>
              </w:rPr>
            </w:pPr>
            <w:r>
              <w:rPr>
                <w:rFonts w:ascii="Arial" w:cs="Arial" w:eastAsia="Arial" w:hAnsi="Arial"/>
                <w:sz w:val="14"/>
                <w:szCs w:val="14"/>
                <w:color w:val="auto"/>
              </w:rPr>
              <w:t>Pension plan benefit liability</w:t>
            </w:r>
          </w:p>
        </w:tc>
        <w:tc>
          <w:tcPr>
            <w:tcW w:w="340" w:type="dxa"/>
            <w:vAlign w:val="bottom"/>
          </w:tcPr>
          <w:p>
            <w:pPr>
              <w:spacing w:after="0"/>
              <w:rPr>
                <w:sz w:val="15"/>
                <w:szCs w:val="15"/>
                <w:color w:val="auto"/>
              </w:rPr>
            </w:pPr>
          </w:p>
        </w:tc>
        <w:tc>
          <w:tcPr>
            <w:tcW w:w="1600" w:type="dxa"/>
            <w:vAlign w:val="bottom"/>
          </w:tcPr>
          <w:p>
            <w:pPr>
              <w:jc w:val="right"/>
              <w:ind w:right="208"/>
              <w:spacing w:after="0"/>
              <w:rPr>
                <w:sz w:val="20"/>
                <w:szCs w:val="20"/>
                <w:color w:val="auto"/>
              </w:rPr>
            </w:pPr>
            <w:r>
              <w:rPr>
                <w:rFonts w:ascii="Arial" w:cs="Arial" w:eastAsia="Arial" w:hAnsi="Arial"/>
                <w:sz w:val="14"/>
                <w:szCs w:val="14"/>
                <w:color w:val="auto"/>
              </w:rPr>
              <w:t>87,988</w:t>
            </w:r>
          </w:p>
        </w:tc>
        <w:tc>
          <w:tcPr>
            <w:tcW w:w="520" w:type="dxa"/>
            <w:vAlign w:val="bottom"/>
          </w:tcPr>
          <w:p>
            <w:pPr>
              <w:spacing w:after="0"/>
              <w:rPr>
                <w:sz w:val="15"/>
                <w:szCs w:val="15"/>
                <w:color w:val="auto"/>
              </w:rPr>
            </w:pPr>
          </w:p>
        </w:tc>
        <w:tc>
          <w:tcPr>
            <w:tcW w:w="2140" w:type="dxa"/>
            <w:vAlign w:val="bottom"/>
          </w:tcPr>
          <w:p>
            <w:pPr>
              <w:jc w:val="right"/>
              <w:ind w:right="188"/>
              <w:spacing w:after="0"/>
              <w:rPr>
                <w:sz w:val="20"/>
                <w:szCs w:val="20"/>
                <w:color w:val="auto"/>
              </w:rPr>
            </w:pPr>
            <w:r>
              <w:rPr>
                <w:rFonts w:ascii="Arial" w:cs="Arial" w:eastAsia="Arial" w:hAnsi="Arial"/>
                <w:sz w:val="14"/>
                <w:szCs w:val="14"/>
                <w:color w:val="auto"/>
              </w:rPr>
              <w:t>88,687</w:t>
            </w:r>
          </w:p>
        </w:tc>
        <w:tc>
          <w:tcPr>
            <w:tcW w:w="0" w:type="dxa"/>
            <w:vAlign w:val="bottom"/>
          </w:tcPr>
          <w:p>
            <w:pPr>
              <w:spacing w:after="0"/>
              <w:rPr>
                <w:sz w:val="1"/>
                <w:szCs w:val="1"/>
                <w:color w:val="auto"/>
              </w:rPr>
            </w:pPr>
          </w:p>
        </w:tc>
      </w:tr>
      <w:tr>
        <w:trPr>
          <w:trHeight w:val="176"/>
        </w:trPr>
        <w:tc>
          <w:tcPr>
            <w:tcW w:w="6820" w:type="dxa"/>
            <w:vAlign w:val="bottom"/>
          </w:tcPr>
          <w:p>
            <w:pPr>
              <w:spacing w:after="0"/>
              <w:rPr>
                <w:sz w:val="20"/>
                <w:szCs w:val="20"/>
                <w:color w:val="auto"/>
              </w:rPr>
            </w:pPr>
            <w:r>
              <w:rPr>
                <w:rFonts w:ascii="Arial" w:cs="Arial" w:eastAsia="Arial" w:hAnsi="Arial"/>
                <w:sz w:val="14"/>
                <w:szCs w:val="14"/>
                <w:color w:val="auto"/>
              </w:rPr>
              <w:t>Deferred tax liabilities noncurrent, net</w:t>
            </w:r>
          </w:p>
        </w:tc>
        <w:tc>
          <w:tcPr>
            <w:tcW w:w="340" w:type="dxa"/>
            <w:vAlign w:val="bottom"/>
          </w:tcPr>
          <w:p>
            <w:pPr>
              <w:spacing w:after="0"/>
              <w:rPr>
                <w:sz w:val="15"/>
                <w:szCs w:val="15"/>
                <w:color w:val="auto"/>
              </w:rPr>
            </w:pPr>
          </w:p>
        </w:tc>
        <w:tc>
          <w:tcPr>
            <w:tcW w:w="1600" w:type="dxa"/>
            <w:vAlign w:val="bottom"/>
          </w:tcPr>
          <w:p>
            <w:pPr>
              <w:jc w:val="right"/>
              <w:ind w:right="208"/>
              <w:spacing w:after="0"/>
              <w:rPr>
                <w:sz w:val="20"/>
                <w:szCs w:val="20"/>
                <w:color w:val="auto"/>
              </w:rPr>
            </w:pPr>
            <w:r>
              <w:rPr>
                <w:rFonts w:ascii="Arial" w:cs="Arial" w:eastAsia="Arial" w:hAnsi="Arial"/>
                <w:sz w:val="14"/>
                <w:szCs w:val="14"/>
                <w:color w:val="auto"/>
              </w:rPr>
              <w:t>6,297</w:t>
            </w:r>
          </w:p>
        </w:tc>
        <w:tc>
          <w:tcPr>
            <w:tcW w:w="520" w:type="dxa"/>
            <w:vAlign w:val="bottom"/>
          </w:tcPr>
          <w:p>
            <w:pPr>
              <w:spacing w:after="0"/>
              <w:rPr>
                <w:sz w:val="15"/>
                <w:szCs w:val="15"/>
                <w:color w:val="auto"/>
              </w:rPr>
            </w:pPr>
          </w:p>
        </w:tc>
        <w:tc>
          <w:tcPr>
            <w:tcW w:w="2140" w:type="dxa"/>
            <w:vAlign w:val="bottom"/>
          </w:tcPr>
          <w:p>
            <w:pPr>
              <w:jc w:val="right"/>
              <w:ind w:right="188"/>
              <w:spacing w:after="0"/>
              <w:rPr>
                <w:sz w:val="20"/>
                <w:szCs w:val="20"/>
                <w:color w:val="auto"/>
              </w:rPr>
            </w:pPr>
            <w:r>
              <w:rPr>
                <w:rFonts w:ascii="Arial" w:cs="Arial" w:eastAsia="Arial" w:hAnsi="Arial"/>
                <w:sz w:val="14"/>
                <w:szCs w:val="14"/>
                <w:color w:val="auto"/>
              </w:rPr>
              <w:t>7,326</w:t>
            </w:r>
          </w:p>
        </w:tc>
        <w:tc>
          <w:tcPr>
            <w:tcW w:w="0" w:type="dxa"/>
            <w:vAlign w:val="bottom"/>
          </w:tcPr>
          <w:p>
            <w:pPr>
              <w:spacing w:after="0"/>
              <w:rPr>
                <w:sz w:val="1"/>
                <w:szCs w:val="1"/>
                <w:color w:val="auto"/>
              </w:rPr>
            </w:pPr>
          </w:p>
        </w:tc>
      </w:tr>
      <w:tr>
        <w:trPr>
          <w:trHeight w:val="181"/>
        </w:trPr>
        <w:tc>
          <w:tcPr>
            <w:tcW w:w="6820" w:type="dxa"/>
            <w:vAlign w:val="bottom"/>
          </w:tcPr>
          <w:p>
            <w:pPr>
              <w:spacing w:after="0"/>
              <w:rPr>
                <w:sz w:val="20"/>
                <w:szCs w:val="20"/>
                <w:color w:val="auto"/>
              </w:rPr>
            </w:pPr>
            <w:r>
              <w:rPr>
                <w:rFonts w:ascii="Arial" w:cs="Arial" w:eastAsia="Arial" w:hAnsi="Arial"/>
                <w:sz w:val="14"/>
                <w:szCs w:val="14"/>
                <w:color w:val="auto"/>
              </w:rPr>
              <w:t>Other long-term obligations</w:t>
            </w:r>
          </w:p>
        </w:tc>
        <w:tc>
          <w:tcPr>
            <w:tcW w:w="3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84,608</w:t>
            </w:r>
          </w:p>
        </w:tc>
        <w:tc>
          <w:tcPr>
            <w:tcW w:w="5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81,917</w:t>
            </w:r>
          </w:p>
        </w:tc>
        <w:tc>
          <w:tcPr>
            <w:tcW w:w="0" w:type="dxa"/>
            <w:vAlign w:val="bottom"/>
          </w:tcPr>
          <w:p>
            <w:pPr>
              <w:spacing w:after="0"/>
              <w:rPr>
                <w:sz w:val="1"/>
                <w:szCs w:val="1"/>
                <w:color w:val="auto"/>
              </w:rPr>
            </w:pPr>
          </w:p>
        </w:tc>
      </w:tr>
      <w:tr>
        <w:trPr>
          <w:trHeight w:val="176"/>
        </w:trPr>
        <w:tc>
          <w:tcPr>
            <w:tcW w:w="6820" w:type="dxa"/>
            <w:vAlign w:val="bottom"/>
          </w:tcPr>
          <w:p>
            <w:pPr>
              <w:ind w:left="1220"/>
              <w:spacing w:after="0"/>
              <w:rPr>
                <w:sz w:val="20"/>
                <w:szCs w:val="20"/>
                <w:color w:val="auto"/>
              </w:rPr>
            </w:pPr>
            <w:r>
              <w:rPr>
                <w:rFonts w:ascii="Arial" w:cs="Arial" w:eastAsia="Arial" w:hAnsi="Arial"/>
                <w:sz w:val="14"/>
                <w:szCs w:val="14"/>
                <w:color w:val="auto"/>
              </w:rPr>
              <w:t>Total liabilities</w:t>
            </w:r>
          </w:p>
        </w:tc>
        <w:tc>
          <w:tcPr>
            <w:tcW w:w="340" w:type="dxa"/>
            <w:vAlign w:val="bottom"/>
          </w:tcPr>
          <w:p>
            <w:pPr>
              <w:spacing w:after="0"/>
              <w:rPr>
                <w:sz w:val="15"/>
                <w:szCs w:val="15"/>
                <w:color w:val="auto"/>
              </w:rPr>
            </w:pPr>
          </w:p>
        </w:tc>
        <w:tc>
          <w:tcPr>
            <w:tcW w:w="1600" w:type="dxa"/>
            <w:vAlign w:val="bottom"/>
          </w:tcPr>
          <w:p>
            <w:pPr>
              <w:jc w:val="right"/>
              <w:ind w:right="208"/>
              <w:spacing w:after="0"/>
              <w:rPr>
                <w:sz w:val="20"/>
                <w:szCs w:val="20"/>
                <w:color w:val="auto"/>
              </w:rPr>
            </w:pPr>
            <w:r>
              <w:rPr>
                <w:rFonts w:ascii="Arial" w:cs="Arial" w:eastAsia="Arial" w:hAnsi="Arial"/>
                <w:sz w:val="14"/>
                <w:szCs w:val="14"/>
                <w:color w:val="auto"/>
              </w:rPr>
              <w:t>987,814</w:t>
            </w:r>
          </w:p>
        </w:tc>
        <w:tc>
          <w:tcPr>
            <w:tcW w:w="520" w:type="dxa"/>
            <w:vAlign w:val="bottom"/>
          </w:tcPr>
          <w:p>
            <w:pPr>
              <w:spacing w:after="0"/>
              <w:rPr>
                <w:sz w:val="15"/>
                <w:szCs w:val="15"/>
                <w:color w:val="auto"/>
              </w:rPr>
            </w:pP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1,009,540</w:t>
            </w:r>
          </w:p>
        </w:tc>
        <w:tc>
          <w:tcPr>
            <w:tcW w:w="0" w:type="dxa"/>
            <w:vAlign w:val="bottom"/>
          </w:tcPr>
          <w:p>
            <w:pPr>
              <w:spacing w:after="0"/>
              <w:rPr>
                <w:sz w:val="1"/>
                <w:szCs w:val="1"/>
                <w:color w:val="auto"/>
              </w:rPr>
            </w:pPr>
          </w:p>
        </w:tc>
      </w:tr>
      <w:tr>
        <w:trPr>
          <w:trHeight w:val="346"/>
        </w:trPr>
        <w:tc>
          <w:tcPr>
            <w:tcW w:w="6820" w:type="dxa"/>
            <w:vAlign w:val="bottom"/>
          </w:tcPr>
          <w:p>
            <w:pPr>
              <w:spacing w:after="0"/>
              <w:rPr>
                <w:sz w:val="20"/>
                <w:szCs w:val="20"/>
                <w:color w:val="auto"/>
              </w:rPr>
            </w:pPr>
            <w:r>
              <w:rPr>
                <w:rFonts w:ascii="Arial" w:cs="Arial" w:eastAsia="Arial" w:hAnsi="Arial"/>
                <w:sz w:val="14"/>
                <w:szCs w:val="14"/>
                <w:color w:val="auto"/>
              </w:rPr>
              <w:t>Commitments and contingencies</w:t>
            </w: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6820" w:type="dxa"/>
            <w:vAlign w:val="bottom"/>
          </w:tcPr>
          <w:p>
            <w:pPr>
              <w:spacing w:after="0"/>
              <w:rPr>
                <w:sz w:val="20"/>
                <w:szCs w:val="20"/>
                <w:color w:val="auto"/>
              </w:rPr>
            </w:pPr>
            <w:r>
              <w:rPr>
                <w:rFonts w:ascii="Arial" w:cs="Arial" w:eastAsia="Arial" w:hAnsi="Arial"/>
                <w:sz w:val="14"/>
                <w:szCs w:val="14"/>
                <w:color w:val="auto"/>
              </w:rPr>
              <w:t>Equity</w:t>
            </w: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820" w:type="dxa"/>
            <w:vAlign w:val="bottom"/>
          </w:tcPr>
          <w:p>
            <w:pPr>
              <w:ind w:left="840"/>
              <w:spacing w:after="0"/>
              <w:rPr>
                <w:sz w:val="20"/>
                <w:szCs w:val="20"/>
                <w:color w:val="auto"/>
              </w:rPr>
            </w:pPr>
            <w:r>
              <w:rPr>
                <w:rFonts w:ascii="Arial" w:cs="Arial" w:eastAsia="Arial" w:hAnsi="Arial"/>
                <w:sz w:val="14"/>
                <w:szCs w:val="14"/>
                <w:color w:val="auto"/>
              </w:rPr>
              <w:t>Preferred stock</w:t>
            </w:r>
          </w:p>
        </w:tc>
        <w:tc>
          <w:tcPr>
            <w:tcW w:w="340" w:type="dxa"/>
            <w:vAlign w:val="bottom"/>
          </w:tcPr>
          <w:p>
            <w:pPr>
              <w:spacing w:after="0"/>
              <w:rPr>
                <w:sz w:val="15"/>
                <w:szCs w:val="15"/>
                <w:color w:val="auto"/>
              </w:rPr>
            </w:pPr>
          </w:p>
        </w:tc>
        <w:tc>
          <w:tcPr>
            <w:tcW w:w="16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820" w:type="dxa"/>
            <w:vAlign w:val="bottom"/>
          </w:tcPr>
          <w:p>
            <w:pPr>
              <w:ind w:left="840"/>
              <w:spacing w:after="0"/>
              <w:rPr>
                <w:sz w:val="20"/>
                <w:szCs w:val="20"/>
                <w:color w:val="auto"/>
              </w:rPr>
            </w:pPr>
            <w:r>
              <w:rPr>
                <w:rFonts w:ascii="Arial" w:cs="Arial" w:eastAsia="Arial" w:hAnsi="Arial"/>
                <w:sz w:val="14"/>
                <w:szCs w:val="14"/>
                <w:color w:val="auto"/>
              </w:rPr>
              <w:t>Common stock</w:t>
            </w:r>
          </w:p>
        </w:tc>
        <w:tc>
          <w:tcPr>
            <w:tcW w:w="340" w:type="dxa"/>
            <w:vAlign w:val="bottom"/>
          </w:tcPr>
          <w:p>
            <w:pPr>
              <w:spacing w:after="0"/>
              <w:rPr>
                <w:sz w:val="15"/>
                <w:szCs w:val="15"/>
                <w:color w:val="auto"/>
              </w:rPr>
            </w:pPr>
          </w:p>
        </w:tc>
        <w:tc>
          <w:tcPr>
            <w:tcW w:w="1600" w:type="dxa"/>
            <w:vAlign w:val="bottom"/>
          </w:tcPr>
          <w:p>
            <w:pPr>
              <w:jc w:val="right"/>
              <w:ind w:right="208"/>
              <w:spacing w:after="0"/>
              <w:rPr>
                <w:sz w:val="20"/>
                <w:szCs w:val="20"/>
                <w:color w:val="auto"/>
              </w:rPr>
            </w:pPr>
            <w:r>
              <w:rPr>
                <w:rFonts w:ascii="Arial" w:cs="Arial" w:eastAsia="Arial" w:hAnsi="Arial"/>
                <w:sz w:val="14"/>
                <w:szCs w:val="14"/>
                <w:color w:val="auto"/>
              </w:rPr>
              <w:t>1,293,548</w:t>
            </w:r>
          </w:p>
        </w:tc>
        <w:tc>
          <w:tcPr>
            <w:tcW w:w="520" w:type="dxa"/>
            <w:vAlign w:val="bottom"/>
          </w:tcPr>
          <w:p>
            <w:pPr>
              <w:spacing w:after="0"/>
              <w:rPr>
                <w:sz w:val="15"/>
                <w:szCs w:val="15"/>
                <w:color w:val="auto"/>
              </w:rPr>
            </w:pP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1,290,629</w:t>
            </w:r>
          </w:p>
        </w:tc>
        <w:tc>
          <w:tcPr>
            <w:tcW w:w="0" w:type="dxa"/>
            <w:vAlign w:val="bottom"/>
          </w:tcPr>
          <w:p>
            <w:pPr>
              <w:spacing w:after="0"/>
              <w:rPr>
                <w:sz w:val="1"/>
                <w:szCs w:val="1"/>
                <w:color w:val="auto"/>
              </w:rPr>
            </w:pPr>
          </w:p>
        </w:tc>
      </w:tr>
      <w:tr>
        <w:trPr>
          <w:trHeight w:val="176"/>
        </w:trPr>
        <w:tc>
          <w:tcPr>
            <w:tcW w:w="6820" w:type="dxa"/>
            <w:vAlign w:val="bottom"/>
          </w:tcPr>
          <w:p>
            <w:pPr>
              <w:ind w:left="840"/>
              <w:spacing w:after="0"/>
              <w:rPr>
                <w:sz w:val="20"/>
                <w:szCs w:val="20"/>
                <w:color w:val="auto"/>
              </w:rPr>
            </w:pPr>
            <w:r>
              <w:rPr>
                <w:rFonts w:ascii="Arial" w:cs="Arial" w:eastAsia="Arial" w:hAnsi="Arial"/>
                <w:sz w:val="14"/>
                <w:szCs w:val="14"/>
                <w:color w:val="auto"/>
              </w:rPr>
              <w:t>Accumulated other comprehensive loss, net</w:t>
            </w:r>
          </w:p>
        </w:tc>
        <w:tc>
          <w:tcPr>
            <w:tcW w:w="340" w:type="dxa"/>
            <w:vAlign w:val="bottom"/>
          </w:tcPr>
          <w:p>
            <w:pPr>
              <w:spacing w:after="0"/>
              <w:rPr>
                <w:sz w:val="15"/>
                <w:szCs w:val="15"/>
                <w:color w:val="auto"/>
              </w:rPr>
            </w:pPr>
          </w:p>
        </w:tc>
        <w:tc>
          <w:tcPr>
            <w:tcW w:w="1600" w:type="dxa"/>
            <w:vAlign w:val="bottom"/>
          </w:tcPr>
          <w:p>
            <w:pPr>
              <w:jc w:val="right"/>
              <w:ind w:right="148"/>
              <w:spacing w:after="0"/>
              <w:rPr>
                <w:sz w:val="20"/>
                <w:szCs w:val="20"/>
                <w:color w:val="auto"/>
              </w:rPr>
            </w:pPr>
            <w:r>
              <w:rPr>
                <w:rFonts w:ascii="Arial" w:cs="Arial" w:eastAsia="Arial" w:hAnsi="Arial"/>
                <w:sz w:val="14"/>
                <w:szCs w:val="14"/>
                <w:color w:val="auto"/>
              </w:rPr>
              <w:t>(32,832)</w:t>
            </w:r>
          </w:p>
        </w:tc>
        <w:tc>
          <w:tcPr>
            <w:tcW w:w="520" w:type="dxa"/>
            <w:vAlign w:val="bottom"/>
          </w:tcPr>
          <w:p>
            <w:pPr>
              <w:spacing w:after="0"/>
              <w:rPr>
                <w:sz w:val="15"/>
                <w:szCs w:val="15"/>
                <w:color w:val="auto"/>
              </w:rPr>
            </w:pPr>
          </w:p>
        </w:tc>
        <w:tc>
          <w:tcPr>
            <w:tcW w:w="2140" w:type="dxa"/>
            <w:vAlign w:val="bottom"/>
          </w:tcPr>
          <w:p>
            <w:pPr>
              <w:jc w:val="right"/>
              <w:ind w:right="148"/>
              <w:spacing w:after="0"/>
              <w:rPr>
                <w:sz w:val="20"/>
                <w:szCs w:val="20"/>
                <w:color w:val="auto"/>
              </w:rPr>
            </w:pPr>
            <w:r>
              <w:rPr>
                <w:rFonts w:ascii="Arial" w:cs="Arial" w:eastAsia="Arial" w:hAnsi="Arial"/>
                <w:sz w:val="14"/>
                <w:szCs w:val="14"/>
                <w:color w:val="auto"/>
              </w:rPr>
              <w:t>(21,722)</w:t>
            </w:r>
          </w:p>
        </w:tc>
        <w:tc>
          <w:tcPr>
            <w:tcW w:w="0" w:type="dxa"/>
            <w:vAlign w:val="bottom"/>
          </w:tcPr>
          <w:p>
            <w:pPr>
              <w:spacing w:after="0"/>
              <w:rPr>
                <w:sz w:val="1"/>
                <w:szCs w:val="1"/>
                <w:color w:val="auto"/>
              </w:rPr>
            </w:pPr>
          </w:p>
        </w:tc>
      </w:tr>
      <w:tr>
        <w:trPr>
          <w:trHeight w:val="181"/>
        </w:trPr>
        <w:tc>
          <w:tcPr>
            <w:tcW w:w="6820" w:type="dxa"/>
            <w:vAlign w:val="bottom"/>
          </w:tcPr>
          <w:p>
            <w:pPr>
              <w:ind w:left="840"/>
              <w:spacing w:after="0"/>
              <w:rPr>
                <w:sz w:val="20"/>
                <w:szCs w:val="20"/>
                <w:color w:val="auto"/>
              </w:rPr>
            </w:pPr>
            <w:r>
              <w:rPr>
                <w:rFonts w:ascii="Arial" w:cs="Arial" w:eastAsia="Arial" w:hAnsi="Arial"/>
                <w:sz w:val="14"/>
                <w:szCs w:val="14"/>
                <w:color w:val="auto"/>
              </w:rPr>
              <w:t>Accumulated deficit</w:t>
            </w:r>
          </w:p>
        </w:tc>
        <w:tc>
          <w:tcPr>
            <w:tcW w:w="3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(394,666)</w:t>
            </w:r>
          </w:p>
        </w:tc>
        <w:tc>
          <w:tcPr>
            <w:tcW w:w="5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(413,671)</w:t>
            </w:r>
          </w:p>
        </w:tc>
        <w:tc>
          <w:tcPr>
            <w:tcW w:w="0" w:type="dxa"/>
            <w:vAlign w:val="bottom"/>
          </w:tcPr>
          <w:p>
            <w:pPr>
              <w:spacing w:after="0"/>
              <w:rPr>
                <w:sz w:val="1"/>
                <w:szCs w:val="1"/>
                <w:color w:val="auto"/>
              </w:rPr>
            </w:pPr>
          </w:p>
        </w:tc>
      </w:tr>
      <w:tr>
        <w:trPr>
          <w:trHeight w:val="164"/>
        </w:trPr>
        <w:tc>
          <w:tcPr>
            <w:tcW w:w="6820" w:type="dxa"/>
            <w:vAlign w:val="bottom"/>
          </w:tcPr>
          <w:p>
            <w:pPr>
              <w:ind w:left="1220"/>
              <w:spacing w:after="0"/>
              <w:rPr>
                <w:sz w:val="20"/>
                <w:szCs w:val="20"/>
                <w:color w:val="auto"/>
              </w:rPr>
            </w:pPr>
            <w:r>
              <w:rPr>
                <w:rFonts w:ascii="Arial" w:cs="Arial" w:eastAsia="Arial" w:hAnsi="Arial"/>
                <w:sz w:val="14"/>
                <w:szCs w:val="14"/>
                <w:color w:val="auto"/>
              </w:rPr>
              <w:t>Total Itron, Inc. shareholders' equity</w:t>
            </w:r>
          </w:p>
        </w:tc>
        <w:tc>
          <w:tcPr>
            <w:tcW w:w="340" w:type="dxa"/>
            <w:vAlign w:val="bottom"/>
          </w:tcPr>
          <w:p>
            <w:pPr>
              <w:spacing w:after="0"/>
              <w:rPr>
                <w:sz w:val="14"/>
                <w:szCs w:val="14"/>
                <w:color w:val="auto"/>
              </w:rPr>
            </w:pPr>
          </w:p>
        </w:tc>
        <w:tc>
          <w:tcPr>
            <w:tcW w:w="1600" w:type="dxa"/>
            <w:vAlign w:val="bottom"/>
          </w:tcPr>
          <w:p>
            <w:pPr>
              <w:jc w:val="right"/>
              <w:ind w:right="208"/>
              <w:spacing w:after="0"/>
              <w:rPr>
                <w:sz w:val="20"/>
                <w:szCs w:val="20"/>
                <w:color w:val="auto"/>
              </w:rPr>
            </w:pPr>
            <w:r>
              <w:rPr>
                <w:rFonts w:ascii="Arial" w:cs="Arial" w:eastAsia="Arial" w:hAnsi="Arial"/>
                <w:sz w:val="14"/>
                <w:szCs w:val="14"/>
                <w:color w:val="auto"/>
              </w:rPr>
              <w:t>866,050</w:t>
            </w:r>
          </w:p>
        </w:tc>
        <w:tc>
          <w:tcPr>
            <w:tcW w:w="520" w:type="dxa"/>
            <w:vAlign w:val="bottom"/>
          </w:tcPr>
          <w:p>
            <w:pPr>
              <w:spacing w:after="0"/>
              <w:rPr>
                <w:sz w:val="14"/>
                <w:szCs w:val="14"/>
                <w:color w:val="auto"/>
              </w:rPr>
            </w:pPr>
          </w:p>
        </w:tc>
        <w:tc>
          <w:tcPr>
            <w:tcW w:w="2140" w:type="dxa"/>
            <w:vAlign w:val="bottom"/>
          </w:tcPr>
          <w:p>
            <w:pPr>
              <w:jc w:val="right"/>
              <w:ind w:right="188"/>
              <w:spacing w:after="0"/>
              <w:rPr>
                <w:sz w:val="20"/>
                <w:szCs w:val="20"/>
                <w:color w:val="auto"/>
              </w:rPr>
            </w:pPr>
            <w:r>
              <w:rPr>
                <w:rFonts w:ascii="Arial" w:cs="Arial" w:eastAsia="Arial" w:hAnsi="Arial"/>
                <w:sz w:val="14"/>
                <w:szCs w:val="14"/>
                <w:color w:val="auto"/>
              </w:rPr>
              <w:t>855,236</w:t>
            </w:r>
          </w:p>
        </w:tc>
        <w:tc>
          <w:tcPr>
            <w:tcW w:w="0" w:type="dxa"/>
            <w:vAlign w:val="bottom"/>
          </w:tcPr>
          <w:p>
            <w:pPr>
              <w:spacing w:after="0"/>
              <w:rPr>
                <w:sz w:val="1"/>
                <w:szCs w:val="1"/>
                <w:color w:val="auto"/>
              </w:rPr>
            </w:pPr>
          </w:p>
        </w:tc>
      </w:tr>
      <w:tr>
        <w:trPr>
          <w:trHeight w:val="181"/>
        </w:trPr>
        <w:tc>
          <w:tcPr>
            <w:tcW w:w="6820" w:type="dxa"/>
            <w:vAlign w:val="bottom"/>
          </w:tcPr>
          <w:p>
            <w:pPr>
              <w:ind w:left="840"/>
              <w:spacing w:after="0"/>
              <w:rPr>
                <w:sz w:val="20"/>
                <w:szCs w:val="20"/>
                <w:color w:val="auto"/>
              </w:rPr>
            </w:pPr>
            <w:r>
              <w:rPr>
                <w:rFonts w:ascii="Arial" w:cs="Arial" w:eastAsia="Arial" w:hAnsi="Arial"/>
                <w:sz w:val="14"/>
                <w:szCs w:val="14"/>
                <w:color w:val="auto"/>
              </w:rPr>
              <w:t>Non-controlling interests</w:t>
            </w:r>
          </w:p>
        </w:tc>
        <w:tc>
          <w:tcPr>
            <w:tcW w:w="3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17,886</w:t>
            </w:r>
          </w:p>
        </w:tc>
        <w:tc>
          <w:tcPr>
            <w:tcW w:w="5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17,735</w:t>
            </w:r>
          </w:p>
        </w:tc>
        <w:tc>
          <w:tcPr>
            <w:tcW w:w="0" w:type="dxa"/>
            <w:vAlign w:val="bottom"/>
          </w:tcPr>
          <w:p>
            <w:pPr>
              <w:spacing w:after="0"/>
              <w:rPr>
                <w:sz w:val="1"/>
                <w:szCs w:val="1"/>
                <w:color w:val="auto"/>
              </w:rPr>
            </w:pPr>
          </w:p>
        </w:tc>
      </w:tr>
      <w:tr>
        <w:trPr>
          <w:trHeight w:val="169"/>
        </w:trPr>
        <w:tc>
          <w:tcPr>
            <w:tcW w:w="6820" w:type="dxa"/>
            <w:vAlign w:val="bottom"/>
          </w:tcPr>
          <w:p>
            <w:pPr>
              <w:ind w:left="1220"/>
              <w:spacing w:after="0"/>
              <w:rPr>
                <w:sz w:val="20"/>
                <w:szCs w:val="20"/>
                <w:color w:val="auto"/>
              </w:rPr>
            </w:pPr>
            <w:r>
              <w:rPr>
                <w:rFonts w:ascii="Arial" w:cs="Arial" w:eastAsia="Arial" w:hAnsi="Arial"/>
                <w:sz w:val="14"/>
                <w:szCs w:val="14"/>
                <w:color w:val="auto"/>
              </w:rPr>
              <w:t>Total equity</w:t>
            </w:r>
          </w:p>
        </w:tc>
        <w:tc>
          <w:tcPr>
            <w:tcW w:w="3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883,936</w:t>
            </w:r>
          </w:p>
        </w:tc>
        <w:tc>
          <w:tcPr>
            <w:tcW w:w="5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872,971</w:t>
            </w:r>
          </w:p>
        </w:tc>
        <w:tc>
          <w:tcPr>
            <w:tcW w:w="0" w:type="dxa"/>
            <w:vAlign w:val="bottom"/>
          </w:tcPr>
          <w:p>
            <w:pPr>
              <w:spacing w:after="0"/>
              <w:rPr>
                <w:sz w:val="1"/>
                <w:szCs w:val="1"/>
                <w:color w:val="auto"/>
              </w:rPr>
            </w:pPr>
          </w:p>
        </w:tc>
      </w:tr>
      <w:tr>
        <w:trPr>
          <w:trHeight w:val="169"/>
        </w:trPr>
        <w:tc>
          <w:tcPr>
            <w:tcW w:w="6820" w:type="dxa"/>
            <w:vAlign w:val="bottom"/>
          </w:tcPr>
          <w:p>
            <w:pPr>
              <w:ind w:left="1220"/>
              <w:spacing w:after="0"/>
              <w:rPr>
                <w:sz w:val="20"/>
                <w:szCs w:val="20"/>
                <w:color w:val="auto"/>
              </w:rPr>
            </w:pPr>
            <w:r>
              <w:rPr>
                <w:rFonts w:ascii="Arial" w:cs="Arial" w:eastAsia="Arial" w:hAnsi="Arial"/>
                <w:sz w:val="14"/>
                <w:szCs w:val="14"/>
                <w:color w:val="auto"/>
              </w:rPr>
              <w:t>Total liabilities and equity</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1,871,750</w:t>
            </w:r>
          </w:p>
        </w:tc>
        <w:tc>
          <w:tcPr>
            <w:tcW w:w="5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21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1,882,511</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8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82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60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21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1" w:name="page12"/>
    <w:bookmarkEnd w:id="11"/>
    <w:p>
      <w:pPr>
        <w:jc w:val="center"/>
        <w:ind w:left="3720"/>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ind w:left="372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(Unaudited, in thousands)</w:t>
      </w: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Operating activities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Net income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Adjustments to reconcile net income to net cash provided by operating activities: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Depreciation and amortization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Stock-based compensation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Amortization of prepaid debt fees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Deferred taxes, net</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Goodwill impairment</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Restructuring expense, non-cash</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Other adjustments, net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Changes in operating assets and liabilities, net of acquisition:</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Accounts receivable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Inventories</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 current assets</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 long-term assets</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Accounts payable, other current liabilities, and taxes payable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Wages and benefits payable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Unearned revenue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Warranty</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 operating, net</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Net cash provided by operating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Investing activities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Acquisitions of property, plant, and equipment</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Business acquisitions, net of cash equivalents acquired</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 investing, net</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Net cash used in investing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Financing activities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Proceeds from borrowings</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Payments on debt</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Issuance of common stock</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Repurchase of common stock</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 financing, net</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Net cash used in financing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Effect of foreign exchange rate changes on cash and cash equivalents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Increase (decrease) in cash and cash equivalents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at beginning of period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222885</wp:posOffset>
            </wp:positionV>
            <wp:extent cx="727202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Six Months Ended June 30,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2013</w:t>
            </w:r>
          </w:p>
        </w:tc>
      </w:tr>
      <w:tr>
        <w:trPr>
          <w:trHeight w:val="346"/>
        </w:trPr>
        <w:tc>
          <w:tcPr>
            <w:tcW w:w="4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19,726</w:t>
            </w:r>
          </w:p>
        </w:tc>
        <w:tc>
          <w:tcPr>
            <w:tcW w:w="4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15,692</w:t>
            </w:r>
          </w:p>
        </w:tc>
      </w:tr>
      <w:tr>
        <w:trPr>
          <w:trHeight w:val="344"/>
        </w:trPr>
        <w:tc>
          <w:tcPr>
            <w:tcW w:w="400" w:type="dxa"/>
            <w:vAlign w:val="bottom"/>
          </w:tcPr>
          <w:p>
            <w:pPr>
              <w:spacing w:after="0"/>
              <w:rPr>
                <w:sz w:val="24"/>
                <w:szCs w:val="24"/>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50,606</w:t>
            </w:r>
          </w:p>
        </w:tc>
        <w:tc>
          <w:tcPr>
            <w:tcW w:w="400" w:type="dxa"/>
            <w:vAlign w:val="bottom"/>
          </w:tcPr>
          <w:p>
            <w:pPr>
              <w:spacing w:after="0"/>
              <w:rPr>
                <w:sz w:val="24"/>
                <w:szCs w:val="24"/>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49,031</w:t>
            </w:r>
          </w:p>
        </w:tc>
      </w:tr>
      <w:tr>
        <w:trPr>
          <w:trHeight w:val="176"/>
        </w:trPr>
        <w:tc>
          <w:tcPr>
            <w:tcW w:w="40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9,454</w:t>
            </w:r>
          </w:p>
        </w:tc>
        <w:tc>
          <w:tcPr>
            <w:tcW w:w="400" w:type="dxa"/>
            <w:vAlign w:val="bottom"/>
          </w:tcPr>
          <w:p>
            <w:pPr>
              <w:spacing w:after="0"/>
              <w:rPr>
                <w:sz w:val="15"/>
                <w:szCs w:val="15"/>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10,122</w:t>
            </w:r>
          </w:p>
        </w:tc>
      </w:tr>
      <w:tr>
        <w:trPr>
          <w:trHeight w:val="176"/>
        </w:trPr>
        <w:tc>
          <w:tcPr>
            <w:tcW w:w="40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808</w:t>
            </w:r>
          </w:p>
        </w:tc>
        <w:tc>
          <w:tcPr>
            <w:tcW w:w="400" w:type="dxa"/>
            <w:vAlign w:val="bottom"/>
          </w:tcPr>
          <w:p>
            <w:pPr>
              <w:spacing w:after="0"/>
              <w:rPr>
                <w:sz w:val="15"/>
                <w:szCs w:val="15"/>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829</w:t>
            </w:r>
          </w:p>
        </w:tc>
      </w:tr>
      <w:tr>
        <w:trPr>
          <w:trHeight w:val="176"/>
        </w:trPr>
        <w:tc>
          <w:tcPr>
            <w:tcW w:w="40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(8,046)</w:t>
            </w:r>
          </w:p>
        </w:tc>
        <w:tc>
          <w:tcPr>
            <w:tcW w:w="4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(11,543)</w:t>
            </w:r>
          </w:p>
        </w:tc>
      </w:tr>
      <w:tr>
        <w:trPr>
          <w:trHeight w:val="176"/>
        </w:trPr>
        <w:tc>
          <w:tcPr>
            <w:tcW w:w="40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977</w:t>
            </w:r>
          </w:p>
        </w:tc>
        <w:tc>
          <w:tcPr>
            <w:tcW w:w="400" w:type="dxa"/>
            <w:vAlign w:val="bottom"/>
          </w:tcPr>
          <w:p>
            <w:pPr>
              <w:spacing w:after="0"/>
              <w:rPr>
                <w:sz w:val="15"/>
                <w:szCs w:val="15"/>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76"/>
        </w:trPr>
        <w:tc>
          <w:tcPr>
            <w:tcW w:w="40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27</w:t>
            </w:r>
          </w:p>
        </w:tc>
      </w:tr>
      <w:tr>
        <w:trPr>
          <w:trHeight w:val="182"/>
        </w:trPr>
        <w:tc>
          <w:tcPr>
            <w:tcW w:w="40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85</w:t>
            </w:r>
          </w:p>
        </w:tc>
        <w:tc>
          <w:tcPr>
            <w:tcW w:w="400" w:type="dxa"/>
            <w:vAlign w:val="bottom"/>
          </w:tcPr>
          <w:p>
            <w:pPr>
              <w:spacing w:after="0"/>
              <w:rPr>
                <w:sz w:val="15"/>
                <w:szCs w:val="15"/>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324</w:t>
            </w:r>
          </w:p>
        </w:tc>
      </w:tr>
      <w:tr>
        <w:trPr>
          <w:trHeight w:val="344"/>
        </w:trPr>
        <w:tc>
          <w:tcPr>
            <w:tcW w:w="40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(14,712)</w:t>
            </w:r>
          </w:p>
        </w:tc>
        <w:tc>
          <w:tcPr>
            <w:tcW w:w="400" w:type="dxa"/>
            <w:vAlign w:val="bottom"/>
          </w:tcPr>
          <w:p>
            <w:pPr>
              <w:spacing w:after="0"/>
              <w:rPr>
                <w:sz w:val="24"/>
                <w:szCs w:val="24"/>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(4,278)</w:t>
            </w:r>
          </w:p>
        </w:tc>
      </w:tr>
      <w:tr>
        <w:trPr>
          <w:trHeight w:val="176"/>
        </w:trPr>
        <w:tc>
          <w:tcPr>
            <w:tcW w:w="40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(16,801)</w:t>
            </w:r>
          </w:p>
        </w:tc>
        <w:tc>
          <w:tcPr>
            <w:tcW w:w="4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(25,124)</w:t>
            </w:r>
          </w:p>
        </w:tc>
      </w:tr>
      <w:tr>
        <w:trPr>
          <w:trHeight w:val="176"/>
        </w:trPr>
        <w:tc>
          <w:tcPr>
            <w:tcW w:w="40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(9,103)</w:t>
            </w:r>
          </w:p>
        </w:tc>
        <w:tc>
          <w:tcPr>
            <w:tcW w:w="4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(9,408)</w:t>
            </w:r>
          </w:p>
        </w:tc>
      </w:tr>
      <w:tr>
        <w:trPr>
          <w:trHeight w:val="176"/>
        </w:trPr>
        <w:tc>
          <w:tcPr>
            <w:tcW w:w="40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312</w:t>
            </w:r>
          </w:p>
        </w:tc>
        <w:tc>
          <w:tcPr>
            <w:tcW w:w="400" w:type="dxa"/>
            <w:vAlign w:val="bottom"/>
          </w:tcPr>
          <w:p>
            <w:pPr>
              <w:spacing w:after="0"/>
              <w:rPr>
                <w:sz w:val="15"/>
                <w:szCs w:val="15"/>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4,489</w:t>
            </w:r>
          </w:p>
        </w:tc>
      </w:tr>
      <w:tr>
        <w:trPr>
          <w:trHeight w:val="176"/>
        </w:trPr>
        <w:tc>
          <w:tcPr>
            <w:tcW w:w="40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12,360</w:t>
            </w:r>
          </w:p>
        </w:tc>
        <w:tc>
          <w:tcPr>
            <w:tcW w:w="4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(10,280)</w:t>
            </w:r>
          </w:p>
        </w:tc>
      </w:tr>
      <w:tr>
        <w:trPr>
          <w:trHeight w:val="176"/>
        </w:trPr>
        <w:tc>
          <w:tcPr>
            <w:tcW w:w="40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4,473</w:t>
            </w:r>
          </w:p>
        </w:tc>
        <w:tc>
          <w:tcPr>
            <w:tcW w:w="4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(5,661)</w:t>
            </w:r>
          </w:p>
        </w:tc>
      </w:tr>
      <w:tr>
        <w:trPr>
          <w:trHeight w:val="176"/>
        </w:trPr>
        <w:tc>
          <w:tcPr>
            <w:tcW w:w="40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16,560</w:t>
            </w:r>
          </w:p>
        </w:tc>
        <w:tc>
          <w:tcPr>
            <w:tcW w:w="400" w:type="dxa"/>
            <w:vAlign w:val="bottom"/>
          </w:tcPr>
          <w:p>
            <w:pPr>
              <w:spacing w:after="0"/>
              <w:rPr>
                <w:sz w:val="15"/>
                <w:szCs w:val="15"/>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10,497</w:t>
            </w:r>
          </w:p>
        </w:tc>
      </w:tr>
      <w:tr>
        <w:trPr>
          <w:trHeight w:val="176"/>
        </w:trPr>
        <w:tc>
          <w:tcPr>
            <w:tcW w:w="40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(2,864)</w:t>
            </w:r>
          </w:p>
        </w:tc>
        <w:tc>
          <w:tcPr>
            <w:tcW w:w="4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(1,797)</w:t>
            </w:r>
          </w:p>
        </w:tc>
      </w:tr>
      <w:tr>
        <w:trPr>
          <w:trHeight w:val="181"/>
        </w:trPr>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3,356</w:t>
            </w: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(3,946)</w:t>
            </w:r>
          </w:p>
        </w:tc>
      </w:tr>
      <w:tr>
        <w:trPr>
          <w:trHeight w:val="176"/>
        </w:trPr>
        <w:tc>
          <w:tcPr>
            <w:tcW w:w="40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67,191</w:t>
            </w:r>
          </w:p>
        </w:tc>
        <w:tc>
          <w:tcPr>
            <w:tcW w:w="400" w:type="dxa"/>
            <w:vAlign w:val="bottom"/>
          </w:tcPr>
          <w:p>
            <w:pPr>
              <w:spacing w:after="0"/>
              <w:rPr>
                <w:sz w:val="15"/>
                <w:szCs w:val="15"/>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18,974</w:t>
            </w:r>
          </w:p>
        </w:tc>
      </w:tr>
      <w:tr>
        <w:trPr>
          <w:trHeight w:val="515"/>
        </w:trPr>
        <w:tc>
          <w:tcPr>
            <w:tcW w:w="40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(19,403)</w:t>
            </w:r>
          </w:p>
        </w:tc>
        <w:tc>
          <w:tcPr>
            <w:tcW w:w="400" w:type="dxa"/>
            <w:vAlign w:val="bottom"/>
          </w:tcPr>
          <w:p>
            <w:pPr>
              <w:spacing w:after="0"/>
              <w:rPr>
                <w:sz w:val="24"/>
                <w:szCs w:val="24"/>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(28,895)</w:t>
            </w:r>
          </w:p>
        </w:tc>
      </w:tr>
      <w:tr>
        <w:trPr>
          <w:trHeight w:val="176"/>
        </w:trPr>
        <w:tc>
          <w:tcPr>
            <w:tcW w:w="40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(860)</w:t>
            </w:r>
          </w:p>
        </w:tc>
      </w:tr>
      <w:tr>
        <w:trPr>
          <w:trHeight w:val="181"/>
        </w:trPr>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56</w:t>
            </w: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241</w:t>
            </w:r>
          </w:p>
        </w:tc>
      </w:tr>
      <w:tr>
        <w:trPr>
          <w:trHeight w:val="176"/>
        </w:trPr>
        <w:tc>
          <w:tcPr>
            <w:tcW w:w="40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(19,347)</w:t>
            </w:r>
          </w:p>
        </w:tc>
        <w:tc>
          <w:tcPr>
            <w:tcW w:w="4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(29,514)</w:t>
            </w:r>
          </w:p>
        </w:tc>
      </w:tr>
      <w:tr>
        <w:trPr>
          <w:trHeight w:val="515"/>
        </w:trPr>
        <w:tc>
          <w:tcPr>
            <w:tcW w:w="400" w:type="dxa"/>
            <w:vAlign w:val="bottom"/>
          </w:tcPr>
          <w:p>
            <w:pPr>
              <w:spacing w:after="0"/>
              <w:rPr>
                <w:sz w:val="24"/>
                <w:szCs w:val="24"/>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15,000</w:t>
            </w:r>
          </w:p>
        </w:tc>
      </w:tr>
      <w:tr>
        <w:trPr>
          <w:trHeight w:val="176"/>
        </w:trPr>
        <w:tc>
          <w:tcPr>
            <w:tcW w:w="40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(51,250)</w:t>
            </w:r>
          </w:p>
        </w:tc>
        <w:tc>
          <w:tcPr>
            <w:tcW w:w="4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(22,500)</w:t>
            </w:r>
          </w:p>
        </w:tc>
      </w:tr>
      <w:tr>
        <w:trPr>
          <w:trHeight w:val="176"/>
        </w:trPr>
        <w:tc>
          <w:tcPr>
            <w:tcW w:w="40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1,530</w:t>
            </w:r>
          </w:p>
        </w:tc>
        <w:tc>
          <w:tcPr>
            <w:tcW w:w="400" w:type="dxa"/>
            <w:vAlign w:val="bottom"/>
          </w:tcPr>
          <w:p>
            <w:pPr>
              <w:spacing w:after="0"/>
              <w:rPr>
                <w:sz w:val="15"/>
                <w:szCs w:val="15"/>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2,590</w:t>
            </w:r>
          </w:p>
        </w:tc>
      </w:tr>
      <w:tr>
        <w:trPr>
          <w:trHeight w:val="176"/>
        </w:trPr>
        <w:tc>
          <w:tcPr>
            <w:tcW w:w="40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(7,164)</w:t>
            </w:r>
          </w:p>
        </w:tc>
        <w:tc>
          <w:tcPr>
            <w:tcW w:w="4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(16,126)</w:t>
            </w:r>
          </w:p>
        </w:tc>
      </w:tr>
      <w:tr>
        <w:trPr>
          <w:trHeight w:val="181"/>
        </w:trPr>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1,204</w:t>
            </w: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2,220</w:t>
            </w:r>
          </w:p>
        </w:tc>
      </w:tr>
      <w:tr>
        <w:trPr>
          <w:trHeight w:val="176"/>
        </w:trPr>
        <w:tc>
          <w:tcPr>
            <w:tcW w:w="40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(55,680)</w:t>
            </w:r>
          </w:p>
        </w:tc>
        <w:tc>
          <w:tcPr>
            <w:tcW w:w="4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(18,816)</w:t>
            </w:r>
          </w:p>
        </w:tc>
      </w:tr>
      <w:tr>
        <w:trPr>
          <w:trHeight w:val="344"/>
        </w:trPr>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(2,189)</w:t>
            </w: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(3,393)</w:t>
            </w:r>
          </w:p>
        </w:tc>
      </w:tr>
      <w:tr>
        <w:trPr>
          <w:trHeight w:val="164"/>
        </w:trPr>
        <w:tc>
          <w:tcPr>
            <w:tcW w:w="40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(10,025)</w:t>
            </w:r>
          </w:p>
        </w:tc>
        <w:tc>
          <w:tcPr>
            <w:tcW w:w="40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(32,749)</w:t>
            </w:r>
          </w:p>
        </w:tc>
      </w:tr>
      <w:tr>
        <w:trPr>
          <w:trHeight w:val="181"/>
        </w:trPr>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124,805</w:t>
            </w: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136,411</w:t>
            </w:r>
          </w:p>
        </w:tc>
      </w:tr>
      <w:tr>
        <w:trPr>
          <w:trHeight w:val="169"/>
        </w:trPr>
        <w:tc>
          <w:tcPr>
            <w:tcW w:w="4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114,780</w:t>
            </w:r>
          </w:p>
        </w:tc>
        <w:tc>
          <w:tcPr>
            <w:tcW w:w="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103,662</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700" w:space="720"/>
            <w:col w:w="3000"/>
          </w:cols>
          <w:pgMar w:left="240" w:top="306"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22"/>
          <w:szCs w:val="22"/>
          <w:b w:val="1"/>
          <w:bCs w:val="1"/>
          <w:color w:val="auto"/>
        </w:rPr>
        <w:t>Itron,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About Non-GAAP Financial Measures</w:t>
      </w:r>
    </w:p>
    <w:p>
      <w:pPr>
        <w:spacing w:after="0" w:line="212" w:lineRule="exact"/>
        <w:rPr>
          <w:sz w:val="20"/>
          <w:szCs w:val="20"/>
          <w:color w:val="auto"/>
        </w:rPr>
      </w:pPr>
    </w:p>
    <w:p>
      <w:pPr>
        <w:ind w:right="40"/>
        <w:spacing w:after="0" w:line="247" w:lineRule="auto"/>
        <w:rPr>
          <w:sz w:val="20"/>
          <w:szCs w:val="20"/>
          <w:color w:val="auto"/>
        </w:rPr>
      </w:pPr>
      <w:r>
        <w:rPr>
          <w:rFonts w:ascii="Arial" w:cs="Arial" w:eastAsia="Arial" w:hAnsi="Arial"/>
          <w:sz w:val="21"/>
          <w:szCs w:val="21"/>
          <w:color w:val="auto"/>
        </w:rPr>
        <w:t>The accompanying press release contains non-GAAP financial measures. To supplement our consolidated financial statements, which are prepared and presented in accordance with GAAP, we use certain non-GAAP financial measures, including non-GAAP operating expense, non-GAAP operating income, non-GAAP net income, non-GAAP diluted EPS, adjusted EBITDA and free cash flow. The presentation of this financial information is not intended to be considered in isolation or as a substitute for, or superior to, the financial information prepared and presented in accordance with GAAP. For more information on these non-GAAP financial measures please see the table captioned “Reconciliations of Non-GAAP Financial Measures to Most Directly Comparable GAAP Financial Measures.”</w:t>
      </w:r>
    </w:p>
    <w:p>
      <w:pPr>
        <w:spacing w:after="0" w:line="178"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color w:val="auto"/>
        </w:rPr>
        <w:t>We use these non-GAAP financial measures for financial and operational decision making and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non-recurring discrete cash and non-cash charges that are infrequent in nature such as purchase accounting adjustments, restructuring charges or goodwill impairment charges.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156"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Non-GAAP operating expense and non-GAAP operating income – We define non-GAAP operating expense as operating expense excluding certain expenses related to the amortization of intangible assets, restructuring, acquisitions and goodwill impairment. We define non-GAAP operating income as operating income excluding the expenses related to the amortization of intangible assets, restructuring, acquisitions and goodwill impairment. We consider these non-GAAP financial measures to be useful metrics for management and investors because they exclude the effect of expenses that are related to previous acquisitions and restructurings.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 and non-GAAP operating income versus operating expense and operating income calculated in accordance with GAAP. Non-GAAP operating expense and non-GAAP operating income exclude some costs that are recurring. Additionally, the expenses that we exclude in our calculation of non-GAAP operating expense and non-GAAP operating income may differ from the expenses that our peer companies exclude when they report the results of their operations. We compensate for these limitations by providing specific information about the GAAP amounts we have excluded from our non-GAAP operating expense and non-GAAP operating income and evaluating non-GAAP operating expense and non-GAAP operating income together with GAAP operating expense and GAAP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27202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13" w:name="page14"/>
    <w:bookmarkEnd w:id="13"/>
    <w:p>
      <w:pPr>
        <w:spacing w:after="0" w:line="275" w:lineRule="auto"/>
        <w:rPr>
          <w:sz w:val="20"/>
          <w:szCs w:val="20"/>
          <w:color w:val="auto"/>
        </w:rPr>
      </w:pPr>
      <w:r>
        <w:rPr>
          <w:rFonts w:ascii="Arial" w:cs="Arial" w:eastAsia="Arial" w:hAnsi="Arial"/>
          <w:sz w:val="19"/>
          <w:szCs w:val="19"/>
          <w:color w:val="auto"/>
        </w:rPr>
        <w:t>Non-GAAP net income and non-GAAP diluted EPS – We define non-GAAP net income as net income excluding the expenses associated with amortization of intangible assets, restructuring, acquisitions, goodwill impairment and amortization of debt placement fees.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and GAAP diluted EPS.</w:t>
      </w:r>
    </w:p>
    <w:p>
      <w:pPr>
        <w:spacing w:after="0" w:line="159" w:lineRule="exact"/>
        <w:rPr>
          <w:sz w:val="20"/>
          <w:szCs w:val="20"/>
          <w:color w:val="auto"/>
        </w:rPr>
      </w:pPr>
    </w:p>
    <w:p>
      <w:pPr>
        <w:ind w:right="60"/>
        <w:spacing w:after="0" w:line="274" w:lineRule="auto"/>
        <w:rPr>
          <w:sz w:val="20"/>
          <w:szCs w:val="20"/>
          <w:color w:val="auto"/>
        </w:rPr>
      </w:pPr>
      <w:r>
        <w:rPr>
          <w:rFonts w:ascii="Arial" w:cs="Arial" w:eastAsia="Arial" w:hAnsi="Arial"/>
          <w:sz w:val="19"/>
          <w:szCs w:val="19"/>
          <w:color w:val="auto"/>
        </w:rPr>
        <w:t>Adjusted EBITDA – We define adjusted EBITDA as net income (a) minus interest income, (b) plus interest expense, depreciation and amortization of intangible asset expenses, restructuring expense, acquisition related expense, goodwill impairment and (c) exclude the tax expense or benefit. We believe that providing this financial measure is important for management and investors to understand our ability to service our debt as it is a measure of the cash generated by our core business.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w:t>
      </w:r>
    </w:p>
    <w:p>
      <w:pPr>
        <w:spacing w:after="0" w:line="159"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Free cash flow – We define free cash flow as net cash provided by operating activities less cash used for acquisitions of property, plant and equipment. We 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and reconciling to free cash flow.</w:t>
      </w:r>
    </w:p>
    <w:p>
      <w:pPr>
        <w:spacing w:after="0" w:line="179"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The accompanying tables have more detail on the GAAP financial measures that are most directly comparable to the non-GAAP financial measures and the related reconciliations between these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14" w:name="page15"/>
    <w:bookmarkEnd w:id="14"/>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RECONCILIATIONS OF NON-GAAP FINANCIAL MEASURES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 THE MOST DIRECTLY COMPARABLE GAAP FINANCIAL MEASURES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360" w:type="dxa"/>
            <w:vAlign w:val="bottom"/>
          </w:tcPr>
          <w:p>
            <w:pPr>
              <w:spacing w:after="0"/>
              <w:rPr>
                <w:sz w:val="20"/>
                <w:szCs w:val="20"/>
                <w:color w:val="auto"/>
              </w:rPr>
            </w:pPr>
            <w:r>
              <w:rPr>
                <w:rFonts w:ascii="Arial" w:cs="Arial" w:eastAsia="Arial" w:hAnsi="Arial"/>
                <w:sz w:val="14"/>
                <w:szCs w:val="14"/>
                <w:color w:val="auto"/>
              </w:rPr>
              <w:t>(Unaudited, in thousands, except per share data)</w:t>
            </w:r>
          </w:p>
        </w:tc>
        <w:tc>
          <w:tcPr>
            <w:tcW w:w="1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6360" w:type="dxa"/>
            <w:vAlign w:val="bottom"/>
          </w:tcPr>
          <w:p>
            <w:pPr>
              <w:spacing w:after="0"/>
              <w:rPr>
                <w:sz w:val="20"/>
                <w:szCs w:val="20"/>
                <w:color w:val="auto"/>
              </w:rPr>
            </w:pPr>
            <w:r>
              <w:rPr>
                <w:rFonts w:ascii="Arial" w:cs="Arial" w:eastAsia="Arial" w:hAnsi="Arial"/>
                <w:sz w:val="14"/>
                <w:szCs w:val="14"/>
                <w:b w:val="1"/>
                <w:bCs w:val="1"/>
                <w:color w:val="auto"/>
              </w:rPr>
              <w:t>TOTAL COMPANY RECONCILIATIONS</w:t>
            </w:r>
          </w:p>
        </w:tc>
        <w:tc>
          <w:tcPr>
            <w:tcW w:w="266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24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6360" w:type="dxa"/>
            <w:vAlign w:val="bottom"/>
            <w:tcBorders>
              <w:top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2014</w:t>
            </w:r>
          </w:p>
        </w:tc>
        <w:tc>
          <w:tcPr>
            <w:tcW w:w="104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2014</w:t>
            </w:r>
          </w:p>
        </w:tc>
        <w:tc>
          <w:tcPr>
            <w:tcW w:w="100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360" w:type="dxa"/>
            <w:vAlign w:val="bottom"/>
          </w:tcPr>
          <w:p>
            <w:pPr>
              <w:ind w:left="80"/>
              <w:spacing w:after="0"/>
              <w:rPr>
                <w:sz w:val="20"/>
                <w:szCs w:val="20"/>
                <w:color w:val="auto"/>
              </w:rPr>
            </w:pPr>
            <w:r>
              <w:rPr>
                <w:rFonts w:ascii="Arial" w:cs="Arial" w:eastAsia="Arial" w:hAnsi="Arial"/>
                <w:sz w:val="14"/>
                <w:szCs w:val="14"/>
                <w:b w:val="1"/>
                <w:bCs w:val="1"/>
                <w:color w:val="auto"/>
              </w:rPr>
              <w:t>NON-GAAP NET INCOME &amp; DILUTED EPS</w:t>
            </w: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360" w:type="dxa"/>
            <w:vAlign w:val="bottom"/>
          </w:tcPr>
          <w:p>
            <w:pPr>
              <w:ind w:left="200"/>
              <w:spacing w:after="0"/>
              <w:rPr>
                <w:sz w:val="20"/>
                <w:szCs w:val="20"/>
                <w:color w:val="auto"/>
              </w:rPr>
            </w:pPr>
            <w:r>
              <w:rPr>
                <w:rFonts w:ascii="Arial" w:cs="Arial" w:eastAsia="Arial" w:hAnsi="Arial"/>
                <w:sz w:val="14"/>
                <w:szCs w:val="14"/>
                <w:color w:val="auto"/>
              </w:rPr>
              <w:t>GAAP net income</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$ 19,259</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$ 12,399</w:t>
            </w:r>
          </w:p>
        </w:tc>
        <w:tc>
          <w:tcPr>
            <w:tcW w:w="100" w:type="dxa"/>
            <w:vAlign w:val="bottom"/>
          </w:tcPr>
          <w:p>
            <w:pPr>
              <w:spacing w:after="0"/>
              <w:rPr>
                <w:sz w:val="15"/>
                <w:szCs w:val="15"/>
                <w:color w:val="auto"/>
              </w:rPr>
            </w:pPr>
          </w:p>
        </w:tc>
        <w:tc>
          <w:tcPr>
            <w:tcW w:w="1400" w:type="dxa"/>
            <w:vAlign w:val="bottom"/>
          </w:tcPr>
          <w:p>
            <w:pPr>
              <w:jc w:val="right"/>
              <w:ind w:right="208"/>
              <w:spacing w:after="0"/>
              <w:rPr>
                <w:sz w:val="20"/>
                <w:szCs w:val="20"/>
                <w:color w:val="auto"/>
              </w:rPr>
            </w:pPr>
            <w:r>
              <w:rPr>
                <w:rFonts w:ascii="Arial" w:cs="Arial" w:eastAsia="Arial" w:hAnsi="Arial"/>
                <w:sz w:val="14"/>
                <w:szCs w:val="14"/>
                <w:color w:val="auto"/>
              </w:rPr>
              <w:t>$ 19,005</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$ 14,969</w:t>
            </w:r>
          </w:p>
        </w:tc>
        <w:tc>
          <w:tcPr>
            <w:tcW w:w="0" w:type="dxa"/>
            <w:vAlign w:val="bottom"/>
          </w:tcPr>
          <w:p>
            <w:pPr>
              <w:spacing w:after="0"/>
              <w:rPr>
                <w:sz w:val="1"/>
                <w:szCs w:val="1"/>
                <w:color w:val="auto"/>
              </w:rPr>
            </w:pPr>
          </w:p>
        </w:tc>
      </w:tr>
      <w:tr>
        <w:trPr>
          <w:trHeight w:val="176"/>
        </w:trPr>
        <w:tc>
          <w:tcPr>
            <w:tcW w:w="6360" w:type="dxa"/>
            <w:vAlign w:val="bottom"/>
          </w:tcPr>
          <w:p>
            <w:pPr>
              <w:ind w:left="300"/>
              <w:spacing w:after="0"/>
              <w:rPr>
                <w:sz w:val="20"/>
                <w:szCs w:val="20"/>
                <w:color w:val="auto"/>
              </w:rPr>
            </w:pPr>
            <w:r>
              <w:rPr>
                <w:rFonts w:ascii="Arial" w:cs="Arial" w:eastAsia="Arial" w:hAnsi="Arial"/>
                <w:sz w:val="14"/>
                <w:szCs w:val="14"/>
                <w:color w:val="auto"/>
              </w:rPr>
              <w:t>Amortization of intangible assets</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11,109</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10,247</w:t>
            </w:r>
          </w:p>
        </w:tc>
        <w:tc>
          <w:tcPr>
            <w:tcW w:w="100" w:type="dxa"/>
            <w:vAlign w:val="bottom"/>
          </w:tcPr>
          <w:p>
            <w:pPr>
              <w:spacing w:after="0"/>
              <w:rPr>
                <w:sz w:val="15"/>
                <w:szCs w:val="15"/>
                <w:color w:val="auto"/>
              </w:rPr>
            </w:pPr>
          </w:p>
        </w:tc>
        <w:tc>
          <w:tcPr>
            <w:tcW w:w="1400" w:type="dxa"/>
            <w:vAlign w:val="bottom"/>
          </w:tcPr>
          <w:p>
            <w:pPr>
              <w:jc w:val="right"/>
              <w:ind w:right="208"/>
              <w:spacing w:after="0"/>
              <w:rPr>
                <w:sz w:val="20"/>
                <w:szCs w:val="20"/>
                <w:color w:val="auto"/>
              </w:rPr>
            </w:pPr>
            <w:r>
              <w:rPr>
                <w:rFonts w:ascii="Arial" w:cs="Arial" w:eastAsia="Arial" w:hAnsi="Arial"/>
                <w:sz w:val="14"/>
                <w:szCs w:val="14"/>
                <w:color w:val="auto"/>
              </w:rPr>
              <w:t>22,179</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20,991</w:t>
            </w:r>
          </w:p>
        </w:tc>
        <w:tc>
          <w:tcPr>
            <w:tcW w:w="0" w:type="dxa"/>
            <w:vAlign w:val="bottom"/>
          </w:tcPr>
          <w:p>
            <w:pPr>
              <w:spacing w:after="0"/>
              <w:rPr>
                <w:sz w:val="1"/>
                <w:szCs w:val="1"/>
                <w:color w:val="auto"/>
              </w:rPr>
            </w:pPr>
          </w:p>
        </w:tc>
      </w:tr>
      <w:tr>
        <w:trPr>
          <w:trHeight w:val="176"/>
        </w:trPr>
        <w:tc>
          <w:tcPr>
            <w:tcW w:w="6360" w:type="dxa"/>
            <w:vAlign w:val="bottom"/>
          </w:tcPr>
          <w:p>
            <w:pPr>
              <w:ind w:left="300"/>
              <w:spacing w:after="0"/>
              <w:rPr>
                <w:sz w:val="20"/>
                <w:szCs w:val="20"/>
                <w:color w:val="auto"/>
              </w:rPr>
            </w:pPr>
            <w:r>
              <w:rPr>
                <w:rFonts w:ascii="Arial" w:cs="Arial" w:eastAsia="Arial" w:hAnsi="Arial"/>
                <w:sz w:val="14"/>
                <w:szCs w:val="14"/>
                <w:color w:val="auto"/>
              </w:rPr>
              <w:t>Amortization of debt placement fees</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379</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389</w:t>
            </w:r>
          </w:p>
        </w:tc>
        <w:tc>
          <w:tcPr>
            <w:tcW w:w="100" w:type="dxa"/>
            <w:vAlign w:val="bottom"/>
          </w:tcPr>
          <w:p>
            <w:pPr>
              <w:spacing w:after="0"/>
              <w:rPr>
                <w:sz w:val="15"/>
                <w:szCs w:val="15"/>
                <w:color w:val="auto"/>
              </w:rPr>
            </w:pPr>
          </w:p>
        </w:tc>
        <w:tc>
          <w:tcPr>
            <w:tcW w:w="1400" w:type="dxa"/>
            <w:vAlign w:val="bottom"/>
          </w:tcPr>
          <w:p>
            <w:pPr>
              <w:jc w:val="right"/>
              <w:ind w:right="208"/>
              <w:spacing w:after="0"/>
              <w:rPr>
                <w:sz w:val="20"/>
                <w:szCs w:val="20"/>
                <w:color w:val="auto"/>
              </w:rPr>
            </w:pPr>
            <w:r>
              <w:rPr>
                <w:rFonts w:ascii="Arial" w:cs="Arial" w:eastAsia="Arial" w:hAnsi="Arial"/>
                <w:sz w:val="14"/>
                <w:szCs w:val="14"/>
                <w:color w:val="auto"/>
              </w:rPr>
              <w:t>758</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778</w:t>
            </w:r>
          </w:p>
        </w:tc>
        <w:tc>
          <w:tcPr>
            <w:tcW w:w="0" w:type="dxa"/>
            <w:vAlign w:val="bottom"/>
          </w:tcPr>
          <w:p>
            <w:pPr>
              <w:spacing w:after="0"/>
              <w:rPr>
                <w:sz w:val="1"/>
                <w:szCs w:val="1"/>
                <w:color w:val="auto"/>
              </w:rPr>
            </w:pPr>
          </w:p>
        </w:tc>
      </w:tr>
      <w:tr>
        <w:trPr>
          <w:trHeight w:val="176"/>
        </w:trPr>
        <w:tc>
          <w:tcPr>
            <w:tcW w:w="6360" w:type="dxa"/>
            <w:vAlign w:val="bottom"/>
          </w:tcPr>
          <w:p>
            <w:pPr>
              <w:ind w:left="300"/>
              <w:spacing w:after="0"/>
              <w:rPr>
                <w:sz w:val="20"/>
                <w:szCs w:val="20"/>
                <w:color w:val="auto"/>
              </w:rPr>
            </w:pPr>
            <w:r>
              <w:rPr>
                <w:rFonts w:ascii="Arial" w:cs="Arial" w:eastAsia="Arial" w:hAnsi="Arial"/>
                <w:sz w:val="14"/>
                <w:szCs w:val="14"/>
                <w:color w:val="auto"/>
              </w:rPr>
              <w:t>Restructuring expense</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(7,793)</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3,385</w:t>
            </w:r>
          </w:p>
        </w:tc>
        <w:tc>
          <w:tcPr>
            <w:tcW w:w="100" w:type="dxa"/>
            <w:vAlign w:val="bottom"/>
          </w:tcPr>
          <w:p>
            <w:pPr>
              <w:spacing w:after="0"/>
              <w:rPr>
                <w:sz w:val="15"/>
                <w:szCs w:val="15"/>
                <w:color w:val="auto"/>
              </w:rPr>
            </w:pPr>
          </w:p>
        </w:tc>
        <w:tc>
          <w:tcPr>
            <w:tcW w:w="1400" w:type="dxa"/>
            <w:vAlign w:val="bottom"/>
          </w:tcPr>
          <w:p>
            <w:pPr>
              <w:jc w:val="right"/>
              <w:ind w:right="208"/>
              <w:spacing w:after="0"/>
              <w:rPr>
                <w:sz w:val="20"/>
                <w:szCs w:val="20"/>
                <w:color w:val="auto"/>
              </w:rPr>
            </w:pPr>
            <w:r>
              <w:rPr>
                <w:rFonts w:ascii="Arial" w:cs="Arial" w:eastAsia="Arial" w:hAnsi="Arial"/>
                <w:sz w:val="14"/>
                <w:szCs w:val="14"/>
                <w:color w:val="auto"/>
              </w:rPr>
              <w:t>(2,269)</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4,398</w:t>
            </w:r>
          </w:p>
        </w:tc>
        <w:tc>
          <w:tcPr>
            <w:tcW w:w="0" w:type="dxa"/>
            <w:vAlign w:val="bottom"/>
          </w:tcPr>
          <w:p>
            <w:pPr>
              <w:spacing w:after="0"/>
              <w:rPr>
                <w:sz w:val="1"/>
                <w:szCs w:val="1"/>
                <w:color w:val="auto"/>
              </w:rPr>
            </w:pPr>
          </w:p>
        </w:tc>
      </w:tr>
      <w:tr>
        <w:trPr>
          <w:trHeight w:val="176"/>
        </w:trPr>
        <w:tc>
          <w:tcPr>
            <w:tcW w:w="6360" w:type="dxa"/>
            <w:vAlign w:val="bottom"/>
          </w:tcPr>
          <w:p>
            <w:pPr>
              <w:ind w:left="300"/>
              <w:spacing w:after="0"/>
              <w:rPr>
                <w:sz w:val="20"/>
                <w:szCs w:val="20"/>
                <w:color w:val="auto"/>
              </w:rPr>
            </w:pPr>
            <w:r>
              <w:rPr>
                <w:rFonts w:ascii="Arial" w:cs="Arial" w:eastAsia="Arial" w:hAnsi="Arial"/>
                <w:sz w:val="14"/>
                <w:szCs w:val="14"/>
                <w:color w:val="auto"/>
              </w:rPr>
              <w:t>Acquisition related expenses</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89</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601</w:t>
            </w:r>
          </w:p>
        </w:tc>
        <w:tc>
          <w:tcPr>
            <w:tcW w:w="100" w:type="dxa"/>
            <w:vAlign w:val="bottom"/>
          </w:tcPr>
          <w:p>
            <w:pPr>
              <w:spacing w:after="0"/>
              <w:rPr>
                <w:sz w:val="15"/>
                <w:szCs w:val="15"/>
                <w:color w:val="auto"/>
              </w:rPr>
            </w:pPr>
          </w:p>
        </w:tc>
        <w:tc>
          <w:tcPr>
            <w:tcW w:w="1400" w:type="dxa"/>
            <w:vAlign w:val="bottom"/>
          </w:tcPr>
          <w:p>
            <w:pPr>
              <w:jc w:val="right"/>
              <w:ind w:right="208"/>
              <w:spacing w:after="0"/>
              <w:rPr>
                <w:sz w:val="20"/>
                <w:szCs w:val="20"/>
                <w:color w:val="auto"/>
              </w:rPr>
            </w:pPr>
            <w:r>
              <w:rPr>
                <w:rFonts w:ascii="Arial" w:cs="Arial" w:eastAsia="Arial" w:hAnsi="Arial"/>
                <w:sz w:val="14"/>
                <w:szCs w:val="14"/>
                <w:color w:val="auto"/>
              </w:rPr>
              <w:t>578</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1,229</w:t>
            </w:r>
          </w:p>
        </w:tc>
        <w:tc>
          <w:tcPr>
            <w:tcW w:w="0" w:type="dxa"/>
            <w:vAlign w:val="bottom"/>
          </w:tcPr>
          <w:p>
            <w:pPr>
              <w:spacing w:after="0"/>
              <w:rPr>
                <w:sz w:val="1"/>
                <w:szCs w:val="1"/>
                <w:color w:val="auto"/>
              </w:rPr>
            </w:pPr>
          </w:p>
        </w:tc>
      </w:tr>
      <w:tr>
        <w:trPr>
          <w:trHeight w:val="176"/>
        </w:trPr>
        <w:tc>
          <w:tcPr>
            <w:tcW w:w="6360" w:type="dxa"/>
            <w:vAlign w:val="bottom"/>
          </w:tcPr>
          <w:p>
            <w:pPr>
              <w:ind w:left="300"/>
              <w:spacing w:after="0"/>
              <w:rPr>
                <w:sz w:val="20"/>
                <w:szCs w:val="20"/>
                <w:color w:val="auto"/>
              </w:rPr>
            </w:pPr>
            <w:r>
              <w:rPr>
                <w:rFonts w:ascii="Arial" w:cs="Arial" w:eastAsia="Arial" w:hAnsi="Arial"/>
                <w:sz w:val="14"/>
                <w:szCs w:val="14"/>
                <w:color w:val="auto"/>
              </w:rPr>
              <w:t>Goodwill impairment</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0" w:type="dxa"/>
            <w:vAlign w:val="bottom"/>
          </w:tcPr>
          <w:p>
            <w:pPr>
              <w:jc w:val="right"/>
              <w:ind w:right="208"/>
              <w:spacing w:after="0"/>
              <w:rPr>
                <w:sz w:val="20"/>
                <w:szCs w:val="20"/>
                <w:color w:val="auto"/>
              </w:rPr>
            </w:pPr>
            <w:r>
              <w:rPr>
                <w:rFonts w:ascii="Arial" w:cs="Arial" w:eastAsia="Arial" w:hAnsi="Arial"/>
                <w:sz w:val="14"/>
                <w:szCs w:val="14"/>
                <w:color w:val="auto"/>
              </w:rPr>
              <w:t>977</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360" w:type="dxa"/>
            <w:vAlign w:val="bottom"/>
          </w:tcPr>
          <w:p>
            <w:pPr>
              <w:ind w:left="300"/>
              <w:spacing w:after="0"/>
              <w:rPr>
                <w:sz w:val="20"/>
                <w:szCs w:val="20"/>
                <w:color w:val="auto"/>
              </w:rPr>
            </w:pPr>
            <w:r>
              <w:rPr>
                <w:rFonts w:ascii="Arial" w:cs="Arial" w:eastAsia="Arial" w:hAnsi="Arial"/>
                <w:sz w:val="14"/>
                <w:szCs w:val="14"/>
                <w:color w:val="auto"/>
              </w:rPr>
              <w:t>Income tax effect of non-GAAP adjustments</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(1,636)</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(4,116)</w:t>
            </w:r>
          </w:p>
        </w:tc>
        <w:tc>
          <w:tcPr>
            <w:tcW w:w="100" w:type="dxa"/>
            <w:vAlign w:val="bottom"/>
          </w:tcPr>
          <w:p>
            <w:pPr>
              <w:spacing w:after="0"/>
              <w:rPr>
                <w:sz w:val="15"/>
                <w:szCs w:val="15"/>
                <w:color w:val="auto"/>
              </w:rPr>
            </w:pPr>
          </w:p>
        </w:tc>
        <w:tc>
          <w:tcPr>
            <w:tcW w:w="1400" w:type="dxa"/>
            <w:vAlign w:val="bottom"/>
          </w:tcPr>
          <w:p>
            <w:pPr>
              <w:jc w:val="right"/>
              <w:ind w:right="208"/>
              <w:spacing w:after="0"/>
              <w:rPr>
                <w:sz w:val="20"/>
                <w:szCs w:val="20"/>
                <w:color w:val="auto"/>
              </w:rPr>
            </w:pPr>
            <w:r>
              <w:rPr>
                <w:rFonts w:ascii="Arial" w:cs="Arial" w:eastAsia="Arial" w:hAnsi="Arial"/>
                <w:sz w:val="14"/>
                <w:szCs w:val="14"/>
                <w:color w:val="auto"/>
              </w:rPr>
              <w:t>(7,578)</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(6,972)</w:t>
            </w:r>
          </w:p>
        </w:tc>
        <w:tc>
          <w:tcPr>
            <w:tcW w:w="0" w:type="dxa"/>
            <w:vAlign w:val="bottom"/>
          </w:tcPr>
          <w:p>
            <w:pPr>
              <w:spacing w:after="0"/>
              <w:rPr>
                <w:sz w:val="1"/>
                <w:szCs w:val="1"/>
                <w:color w:val="auto"/>
              </w:rPr>
            </w:pPr>
          </w:p>
        </w:tc>
      </w:tr>
      <w:tr>
        <w:trPr>
          <w:trHeight w:val="169"/>
        </w:trPr>
        <w:tc>
          <w:tcPr>
            <w:tcW w:w="6360" w:type="dxa"/>
            <w:vAlign w:val="bottom"/>
          </w:tcPr>
          <w:p>
            <w:pPr>
              <w:ind w:left="200"/>
              <w:spacing w:after="0"/>
              <w:rPr>
                <w:sz w:val="20"/>
                <w:szCs w:val="20"/>
                <w:color w:val="auto"/>
              </w:rPr>
            </w:pPr>
            <w:r>
              <w:rPr>
                <w:rFonts w:ascii="Arial" w:cs="Arial" w:eastAsia="Arial" w:hAnsi="Arial"/>
                <w:sz w:val="14"/>
                <w:szCs w:val="14"/>
                <w:color w:val="auto"/>
              </w:rPr>
              <w:t>Non-GAAP net income</w:t>
            </w:r>
          </w:p>
        </w:tc>
        <w:tc>
          <w:tcPr>
            <w:tcW w:w="15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$ 21,407</w:t>
            </w:r>
          </w:p>
        </w:tc>
        <w:tc>
          <w:tcPr>
            <w:tcW w:w="10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$ 22,905</w:t>
            </w:r>
          </w:p>
        </w:tc>
        <w:tc>
          <w:tcPr>
            <w:tcW w:w="100" w:type="dxa"/>
            <w:vAlign w:val="bottom"/>
          </w:tcPr>
          <w:p>
            <w:pPr>
              <w:spacing w:after="0"/>
              <w:rPr>
                <w:sz w:val="14"/>
                <w:szCs w:val="14"/>
                <w:color w:val="auto"/>
              </w:rPr>
            </w:pPr>
          </w:p>
        </w:tc>
        <w:tc>
          <w:tcPr>
            <w:tcW w:w="140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$ 33,650</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$ 35,393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ind w:left="200"/>
              <w:spacing w:after="0"/>
              <w:rPr>
                <w:sz w:val="20"/>
                <w:szCs w:val="20"/>
                <w:color w:val="auto"/>
              </w:rPr>
            </w:pPr>
            <w:r>
              <w:rPr>
                <w:rFonts w:ascii="Arial" w:cs="Arial" w:eastAsia="Arial" w:hAnsi="Arial"/>
                <w:sz w:val="14"/>
                <w:szCs w:val="14"/>
                <w:color w:val="auto"/>
              </w:rPr>
              <w:t>Non-GAAP diluted EPS</w:t>
            </w:r>
          </w:p>
        </w:tc>
        <w:tc>
          <w:tcPr>
            <w:tcW w:w="1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360" w:type="dxa"/>
            <w:vAlign w:val="bottom"/>
            <w:vMerge w:val="continue"/>
          </w:tcPr>
          <w:p>
            <w:pPr>
              <w:spacing w:after="0"/>
              <w:rPr>
                <w:sz w:val="13"/>
                <w:szCs w:val="13"/>
                <w:color w:val="auto"/>
              </w:rPr>
            </w:pPr>
          </w:p>
        </w:tc>
        <w:tc>
          <w:tcPr>
            <w:tcW w:w="1500" w:type="dxa"/>
            <w:vAlign w:val="bottom"/>
          </w:tcPr>
          <w:p>
            <w:pPr>
              <w:spacing w:after="0"/>
              <w:rPr>
                <w:sz w:val="13"/>
                <w:szCs w:val="13"/>
                <w:color w:val="auto"/>
              </w:rPr>
            </w:pPr>
          </w:p>
        </w:tc>
        <w:tc>
          <w:tcPr>
            <w:tcW w:w="10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360" w:type="dxa"/>
            <w:vAlign w:val="bottom"/>
            <w:vMerge w:val="continue"/>
          </w:tcPr>
          <w:p>
            <w:pPr>
              <w:spacing w:after="0"/>
              <w:rPr>
                <w:sz w:val="14"/>
                <w:szCs w:val="14"/>
                <w:color w:val="auto"/>
              </w:rPr>
            </w:pPr>
          </w:p>
        </w:tc>
        <w:tc>
          <w:tcPr>
            <w:tcW w:w="15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$ 0.54</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$ 0.58</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$ 0.85</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$ 0.89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6360" w:type="dxa"/>
            <w:vAlign w:val="bottom"/>
          </w:tcPr>
          <w:p>
            <w:pPr>
              <w:ind w:left="200"/>
              <w:spacing w:after="0"/>
              <w:rPr>
                <w:sz w:val="20"/>
                <w:szCs w:val="20"/>
                <w:color w:val="auto"/>
              </w:rPr>
            </w:pPr>
            <w:r>
              <w:rPr>
                <w:rFonts w:ascii="Arial" w:cs="Arial" w:eastAsia="Arial" w:hAnsi="Arial"/>
                <w:sz w:val="14"/>
                <w:szCs w:val="14"/>
                <w:color w:val="auto"/>
              </w:rPr>
              <w:t>Weighted average common shares outstanding - Diluted</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39,544</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39,678</w:t>
            </w:r>
          </w:p>
        </w:tc>
        <w:tc>
          <w:tcPr>
            <w:tcW w:w="100" w:type="dxa"/>
            <w:vAlign w:val="bottom"/>
          </w:tcPr>
          <w:p>
            <w:pPr>
              <w:spacing w:after="0"/>
              <w:rPr>
                <w:sz w:val="24"/>
                <w:szCs w:val="24"/>
                <w:color w:val="auto"/>
              </w:rPr>
            </w:pPr>
          </w:p>
        </w:tc>
        <w:tc>
          <w:tcPr>
            <w:tcW w:w="1400" w:type="dxa"/>
            <w:vAlign w:val="bottom"/>
          </w:tcPr>
          <w:p>
            <w:pPr>
              <w:jc w:val="right"/>
              <w:ind w:right="208"/>
              <w:spacing w:after="0"/>
              <w:rPr>
                <w:sz w:val="20"/>
                <w:szCs w:val="20"/>
                <w:color w:val="auto"/>
              </w:rPr>
            </w:pPr>
            <w:r>
              <w:rPr>
                <w:rFonts w:ascii="Arial" w:cs="Arial" w:eastAsia="Arial" w:hAnsi="Arial"/>
                <w:sz w:val="14"/>
                <w:szCs w:val="14"/>
                <w:color w:val="auto"/>
              </w:rPr>
              <w:t>39,528</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39,724</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ADJUSTED EBITDA</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36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360" w:type="dxa"/>
            <w:vAlign w:val="bottom"/>
          </w:tcPr>
          <w:p>
            <w:pPr>
              <w:ind w:left="200"/>
              <w:spacing w:after="0"/>
              <w:rPr>
                <w:sz w:val="20"/>
                <w:szCs w:val="20"/>
                <w:color w:val="auto"/>
              </w:rPr>
            </w:pPr>
            <w:r>
              <w:rPr>
                <w:rFonts w:ascii="Arial" w:cs="Arial" w:eastAsia="Arial" w:hAnsi="Arial"/>
                <w:sz w:val="14"/>
                <w:szCs w:val="14"/>
                <w:color w:val="auto"/>
              </w:rPr>
              <w:t>GAAP net income</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$ 19,259</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$ 12,399</w:t>
            </w:r>
          </w:p>
        </w:tc>
        <w:tc>
          <w:tcPr>
            <w:tcW w:w="100" w:type="dxa"/>
            <w:vAlign w:val="bottom"/>
          </w:tcPr>
          <w:p>
            <w:pPr>
              <w:spacing w:after="0"/>
              <w:rPr>
                <w:sz w:val="15"/>
                <w:szCs w:val="15"/>
                <w:color w:val="auto"/>
              </w:rPr>
            </w:pPr>
          </w:p>
        </w:tc>
        <w:tc>
          <w:tcPr>
            <w:tcW w:w="1400" w:type="dxa"/>
            <w:vAlign w:val="bottom"/>
          </w:tcPr>
          <w:p>
            <w:pPr>
              <w:jc w:val="right"/>
              <w:ind w:right="208"/>
              <w:spacing w:after="0"/>
              <w:rPr>
                <w:sz w:val="20"/>
                <w:szCs w:val="20"/>
                <w:color w:val="auto"/>
              </w:rPr>
            </w:pPr>
            <w:r>
              <w:rPr>
                <w:rFonts w:ascii="Arial" w:cs="Arial" w:eastAsia="Arial" w:hAnsi="Arial"/>
                <w:sz w:val="14"/>
                <w:szCs w:val="14"/>
                <w:color w:val="auto"/>
              </w:rPr>
              <w:t>$ 19,005</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$ 14,969</w:t>
            </w:r>
          </w:p>
        </w:tc>
        <w:tc>
          <w:tcPr>
            <w:tcW w:w="0" w:type="dxa"/>
            <w:vAlign w:val="bottom"/>
          </w:tcPr>
          <w:p>
            <w:pPr>
              <w:spacing w:after="0"/>
              <w:rPr>
                <w:sz w:val="1"/>
                <w:szCs w:val="1"/>
                <w:color w:val="auto"/>
              </w:rPr>
            </w:pPr>
          </w:p>
        </w:tc>
      </w:tr>
      <w:tr>
        <w:trPr>
          <w:trHeight w:val="176"/>
        </w:trPr>
        <w:tc>
          <w:tcPr>
            <w:tcW w:w="6360" w:type="dxa"/>
            <w:vAlign w:val="bottom"/>
          </w:tcPr>
          <w:p>
            <w:pPr>
              <w:ind w:left="300"/>
              <w:spacing w:after="0"/>
              <w:rPr>
                <w:sz w:val="20"/>
                <w:szCs w:val="20"/>
                <w:color w:val="auto"/>
              </w:rPr>
            </w:pPr>
            <w:r>
              <w:rPr>
                <w:rFonts w:ascii="Arial" w:cs="Arial" w:eastAsia="Arial" w:hAnsi="Arial"/>
                <w:sz w:val="14"/>
                <w:szCs w:val="14"/>
                <w:color w:val="auto"/>
              </w:rPr>
              <w:t>Interest income</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(53)</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5"/>
                <w:szCs w:val="15"/>
                <w:color w:val="auto"/>
              </w:rPr>
            </w:pPr>
          </w:p>
        </w:tc>
        <w:tc>
          <w:tcPr>
            <w:tcW w:w="1400" w:type="dxa"/>
            <w:vAlign w:val="bottom"/>
          </w:tcPr>
          <w:p>
            <w:pPr>
              <w:jc w:val="right"/>
              <w:ind w:right="208"/>
              <w:spacing w:after="0"/>
              <w:rPr>
                <w:sz w:val="20"/>
                <w:szCs w:val="20"/>
                <w:color w:val="auto"/>
              </w:rPr>
            </w:pPr>
            <w:r>
              <w:rPr>
                <w:rFonts w:ascii="Arial" w:cs="Arial" w:eastAsia="Arial" w:hAnsi="Arial"/>
                <w:sz w:val="14"/>
                <w:szCs w:val="14"/>
                <w:color w:val="auto"/>
              </w:rPr>
              <w:t>(150)</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(1,255)</w:t>
            </w:r>
          </w:p>
        </w:tc>
        <w:tc>
          <w:tcPr>
            <w:tcW w:w="0" w:type="dxa"/>
            <w:vAlign w:val="bottom"/>
          </w:tcPr>
          <w:p>
            <w:pPr>
              <w:spacing w:after="0"/>
              <w:rPr>
                <w:sz w:val="1"/>
                <w:szCs w:val="1"/>
                <w:color w:val="auto"/>
              </w:rPr>
            </w:pPr>
          </w:p>
        </w:tc>
      </w:tr>
      <w:tr>
        <w:trPr>
          <w:trHeight w:val="176"/>
        </w:trPr>
        <w:tc>
          <w:tcPr>
            <w:tcW w:w="6360" w:type="dxa"/>
            <w:vAlign w:val="bottom"/>
          </w:tcPr>
          <w:p>
            <w:pPr>
              <w:ind w:left="300"/>
              <w:spacing w:after="0"/>
              <w:rPr>
                <w:sz w:val="20"/>
                <w:szCs w:val="20"/>
                <w:color w:val="auto"/>
              </w:rPr>
            </w:pPr>
            <w:r>
              <w:rPr>
                <w:rFonts w:ascii="Arial" w:cs="Arial" w:eastAsia="Arial" w:hAnsi="Arial"/>
                <w:sz w:val="14"/>
                <w:szCs w:val="14"/>
                <w:color w:val="auto"/>
              </w:rPr>
              <w:t>Interest expense</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2,913</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2,336</w:t>
            </w:r>
          </w:p>
        </w:tc>
        <w:tc>
          <w:tcPr>
            <w:tcW w:w="100" w:type="dxa"/>
            <w:vAlign w:val="bottom"/>
          </w:tcPr>
          <w:p>
            <w:pPr>
              <w:spacing w:after="0"/>
              <w:rPr>
                <w:sz w:val="15"/>
                <w:szCs w:val="15"/>
                <w:color w:val="auto"/>
              </w:rPr>
            </w:pPr>
          </w:p>
        </w:tc>
        <w:tc>
          <w:tcPr>
            <w:tcW w:w="1400" w:type="dxa"/>
            <w:vAlign w:val="bottom"/>
          </w:tcPr>
          <w:p>
            <w:pPr>
              <w:jc w:val="right"/>
              <w:ind w:right="208"/>
              <w:spacing w:after="0"/>
              <w:rPr>
                <w:sz w:val="20"/>
                <w:szCs w:val="20"/>
                <w:color w:val="auto"/>
              </w:rPr>
            </w:pPr>
            <w:r>
              <w:rPr>
                <w:rFonts w:ascii="Arial" w:cs="Arial" w:eastAsia="Arial" w:hAnsi="Arial"/>
                <w:sz w:val="14"/>
                <w:szCs w:val="14"/>
                <w:color w:val="auto"/>
              </w:rPr>
              <w:t>5,822</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4,674</w:t>
            </w:r>
          </w:p>
        </w:tc>
        <w:tc>
          <w:tcPr>
            <w:tcW w:w="0" w:type="dxa"/>
            <w:vAlign w:val="bottom"/>
          </w:tcPr>
          <w:p>
            <w:pPr>
              <w:spacing w:after="0"/>
              <w:rPr>
                <w:sz w:val="1"/>
                <w:szCs w:val="1"/>
                <w:color w:val="auto"/>
              </w:rPr>
            </w:pPr>
          </w:p>
        </w:tc>
      </w:tr>
      <w:tr>
        <w:trPr>
          <w:trHeight w:val="176"/>
        </w:trPr>
        <w:tc>
          <w:tcPr>
            <w:tcW w:w="6360" w:type="dxa"/>
            <w:vAlign w:val="bottom"/>
          </w:tcPr>
          <w:p>
            <w:pPr>
              <w:ind w:left="300"/>
              <w:spacing w:after="0"/>
              <w:rPr>
                <w:sz w:val="20"/>
                <w:szCs w:val="20"/>
                <w:color w:val="auto"/>
              </w:rPr>
            </w:pPr>
            <w:r>
              <w:rPr>
                <w:rFonts w:ascii="Arial" w:cs="Arial" w:eastAsia="Arial" w:hAnsi="Arial"/>
                <w:sz w:val="14"/>
                <w:szCs w:val="14"/>
                <w:color w:val="auto"/>
              </w:rPr>
              <w:t>Income tax (benefit) provision</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7,848</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1,896</w:t>
            </w:r>
          </w:p>
        </w:tc>
        <w:tc>
          <w:tcPr>
            <w:tcW w:w="100" w:type="dxa"/>
            <w:vAlign w:val="bottom"/>
          </w:tcPr>
          <w:p>
            <w:pPr>
              <w:spacing w:after="0"/>
              <w:rPr>
                <w:sz w:val="15"/>
                <w:szCs w:val="15"/>
                <w:color w:val="auto"/>
              </w:rPr>
            </w:pPr>
          </w:p>
        </w:tc>
        <w:tc>
          <w:tcPr>
            <w:tcW w:w="1400" w:type="dxa"/>
            <w:vAlign w:val="bottom"/>
          </w:tcPr>
          <w:p>
            <w:pPr>
              <w:jc w:val="right"/>
              <w:ind w:right="208"/>
              <w:spacing w:after="0"/>
              <w:rPr>
                <w:sz w:val="20"/>
                <w:szCs w:val="20"/>
                <w:color w:val="auto"/>
              </w:rPr>
            </w:pPr>
            <w:r>
              <w:rPr>
                <w:rFonts w:ascii="Arial" w:cs="Arial" w:eastAsia="Arial" w:hAnsi="Arial"/>
                <w:sz w:val="14"/>
                <w:szCs w:val="14"/>
                <w:color w:val="auto"/>
              </w:rPr>
              <w:t>7,195</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(1,347)</w:t>
            </w:r>
          </w:p>
        </w:tc>
        <w:tc>
          <w:tcPr>
            <w:tcW w:w="0" w:type="dxa"/>
            <w:vAlign w:val="bottom"/>
          </w:tcPr>
          <w:p>
            <w:pPr>
              <w:spacing w:after="0"/>
              <w:rPr>
                <w:sz w:val="1"/>
                <w:szCs w:val="1"/>
                <w:color w:val="auto"/>
              </w:rPr>
            </w:pPr>
          </w:p>
        </w:tc>
      </w:tr>
      <w:tr>
        <w:trPr>
          <w:trHeight w:val="176"/>
        </w:trPr>
        <w:tc>
          <w:tcPr>
            <w:tcW w:w="6360" w:type="dxa"/>
            <w:vAlign w:val="bottom"/>
          </w:tcPr>
          <w:p>
            <w:pPr>
              <w:ind w:left="300"/>
              <w:spacing w:after="0"/>
              <w:rPr>
                <w:sz w:val="20"/>
                <w:szCs w:val="20"/>
                <w:color w:val="auto"/>
              </w:rPr>
            </w:pPr>
            <w:r>
              <w:rPr>
                <w:rFonts w:ascii="Arial" w:cs="Arial" w:eastAsia="Arial" w:hAnsi="Arial"/>
                <w:sz w:val="14"/>
                <w:szCs w:val="14"/>
                <w:color w:val="auto"/>
              </w:rPr>
              <w:t>Depreciation and amortization</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25,014</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24,274</w:t>
            </w:r>
          </w:p>
        </w:tc>
        <w:tc>
          <w:tcPr>
            <w:tcW w:w="100" w:type="dxa"/>
            <w:vAlign w:val="bottom"/>
          </w:tcPr>
          <w:p>
            <w:pPr>
              <w:spacing w:after="0"/>
              <w:rPr>
                <w:sz w:val="15"/>
                <w:szCs w:val="15"/>
                <w:color w:val="auto"/>
              </w:rPr>
            </w:pPr>
          </w:p>
        </w:tc>
        <w:tc>
          <w:tcPr>
            <w:tcW w:w="1400" w:type="dxa"/>
            <w:vAlign w:val="bottom"/>
          </w:tcPr>
          <w:p>
            <w:pPr>
              <w:jc w:val="right"/>
              <w:ind w:right="208"/>
              <w:spacing w:after="0"/>
              <w:rPr>
                <w:sz w:val="20"/>
                <w:szCs w:val="20"/>
                <w:color w:val="auto"/>
              </w:rPr>
            </w:pPr>
            <w:r>
              <w:rPr>
                <w:rFonts w:ascii="Arial" w:cs="Arial" w:eastAsia="Arial" w:hAnsi="Arial"/>
                <w:sz w:val="14"/>
                <w:szCs w:val="14"/>
                <w:color w:val="auto"/>
              </w:rPr>
              <w:t>50,606</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49,031</w:t>
            </w:r>
          </w:p>
        </w:tc>
        <w:tc>
          <w:tcPr>
            <w:tcW w:w="0" w:type="dxa"/>
            <w:vAlign w:val="bottom"/>
          </w:tcPr>
          <w:p>
            <w:pPr>
              <w:spacing w:after="0"/>
              <w:rPr>
                <w:sz w:val="1"/>
                <w:szCs w:val="1"/>
                <w:color w:val="auto"/>
              </w:rPr>
            </w:pPr>
          </w:p>
        </w:tc>
      </w:tr>
      <w:tr>
        <w:trPr>
          <w:trHeight w:val="176"/>
        </w:trPr>
        <w:tc>
          <w:tcPr>
            <w:tcW w:w="6360" w:type="dxa"/>
            <w:vAlign w:val="bottom"/>
          </w:tcPr>
          <w:p>
            <w:pPr>
              <w:ind w:left="300"/>
              <w:spacing w:after="0"/>
              <w:rPr>
                <w:sz w:val="20"/>
                <w:szCs w:val="20"/>
                <w:color w:val="auto"/>
              </w:rPr>
            </w:pPr>
            <w:r>
              <w:rPr>
                <w:rFonts w:ascii="Arial" w:cs="Arial" w:eastAsia="Arial" w:hAnsi="Arial"/>
                <w:sz w:val="14"/>
                <w:szCs w:val="14"/>
                <w:color w:val="auto"/>
              </w:rPr>
              <w:t>Restructuring expense</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(7,793)</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3,385</w:t>
            </w:r>
          </w:p>
        </w:tc>
        <w:tc>
          <w:tcPr>
            <w:tcW w:w="100" w:type="dxa"/>
            <w:vAlign w:val="bottom"/>
          </w:tcPr>
          <w:p>
            <w:pPr>
              <w:spacing w:after="0"/>
              <w:rPr>
                <w:sz w:val="15"/>
                <w:szCs w:val="15"/>
                <w:color w:val="auto"/>
              </w:rPr>
            </w:pPr>
          </w:p>
        </w:tc>
        <w:tc>
          <w:tcPr>
            <w:tcW w:w="1400" w:type="dxa"/>
            <w:vAlign w:val="bottom"/>
          </w:tcPr>
          <w:p>
            <w:pPr>
              <w:jc w:val="right"/>
              <w:ind w:right="208"/>
              <w:spacing w:after="0"/>
              <w:rPr>
                <w:sz w:val="20"/>
                <w:szCs w:val="20"/>
                <w:color w:val="auto"/>
              </w:rPr>
            </w:pPr>
            <w:r>
              <w:rPr>
                <w:rFonts w:ascii="Arial" w:cs="Arial" w:eastAsia="Arial" w:hAnsi="Arial"/>
                <w:sz w:val="14"/>
                <w:szCs w:val="14"/>
                <w:color w:val="auto"/>
              </w:rPr>
              <w:t>(2,269)</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4,398</w:t>
            </w:r>
          </w:p>
        </w:tc>
        <w:tc>
          <w:tcPr>
            <w:tcW w:w="0" w:type="dxa"/>
            <w:vAlign w:val="bottom"/>
          </w:tcPr>
          <w:p>
            <w:pPr>
              <w:spacing w:after="0"/>
              <w:rPr>
                <w:sz w:val="1"/>
                <w:szCs w:val="1"/>
                <w:color w:val="auto"/>
              </w:rPr>
            </w:pPr>
          </w:p>
        </w:tc>
      </w:tr>
      <w:tr>
        <w:trPr>
          <w:trHeight w:val="176"/>
        </w:trPr>
        <w:tc>
          <w:tcPr>
            <w:tcW w:w="6360" w:type="dxa"/>
            <w:vAlign w:val="bottom"/>
          </w:tcPr>
          <w:p>
            <w:pPr>
              <w:ind w:left="300"/>
              <w:spacing w:after="0"/>
              <w:rPr>
                <w:sz w:val="20"/>
                <w:szCs w:val="20"/>
                <w:color w:val="auto"/>
              </w:rPr>
            </w:pPr>
            <w:r>
              <w:rPr>
                <w:rFonts w:ascii="Arial" w:cs="Arial" w:eastAsia="Arial" w:hAnsi="Arial"/>
                <w:sz w:val="14"/>
                <w:szCs w:val="14"/>
                <w:color w:val="auto"/>
              </w:rPr>
              <w:t>Acquisition related expenses</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89</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601</w:t>
            </w:r>
          </w:p>
        </w:tc>
        <w:tc>
          <w:tcPr>
            <w:tcW w:w="100" w:type="dxa"/>
            <w:vAlign w:val="bottom"/>
          </w:tcPr>
          <w:p>
            <w:pPr>
              <w:spacing w:after="0"/>
              <w:rPr>
                <w:sz w:val="15"/>
                <w:szCs w:val="15"/>
                <w:color w:val="auto"/>
              </w:rPr>
            </w:pPr>
          </w:p>
        </w:tc>
        <w:tc>
          <w:tcPr>
            <w:tcW w:w="1400" w:type="dxa"/>
            <w:vAlign w:val="bottom"/>
          </w:tcPr>
          <w:p>
            <w:pPr>
              <w:jc w:val="right"/>
              <w:ind w:right="208"/>
              <w:spacing w:after="0"/>
              <w:rPr>
                <w:sz w:val="20"/>
                <w:szCs w:val="20"/>
                <w:color w:val="auto"/>
              </w:rPr>
            </w:pPr>
            <w:r>
              <w:rPr>
                <w:rFonts w:ascii="Arial" w:cs="Arial" w:eastAsia="Arial" w:hAnsi="Arial"/>
                <w:sz w:val="14"/>
                <w:szCs w:val="14"/>
                <w:color w:val="auto"/>
              </w:rPr>
              <w:t>578</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1,229</w:t>
            </w:r>
          </w:p>
        </w:tc>
        <w:tc>
          <w:tcPr>
            <w:tcW w:w="0" w:type="dxa"/>
            <w:vAlign w:val="bottom"/>
          </w:tcPr>
          <w:p>
            <w:pPr>
              <w:spacing w:after="0"/>
              <w:rPr>
                <w:sz w:val="1"/>
                <w:szCs w:val="1"/>
                <w:color w:val="auto"/>
              </w:rPr>
            </w:pPr>
          </w:p>
        </w:tc>
      </w:tr>
      <w:tr>
        <w:trPr>
          <w:trHeight w:val="181"/>
        </w:trPr>
        <w:tc>
          <w:tcPr>
            <w:tcW w:w="6360" w:type="dxa"/>
            <w:vAlign w:val="bottom"/>
          </w:tcPr>
          <w:p>
            <w:pPr>
              <w:ind w:left="300"/>
              <w:spacing w:after="0"/>
              <w:rPr>
                <w:sz w:val="20"/>
                <w:szCs w:val="20"/>
                <w:color w:val="auto"/>
              </w:rPr>
            </w:pPr>
            <w:r>
              <w:rPr>
                <w:rFonts w:ascii="Arial" w:cs="Arial" w:eastAsia="Arial" w:hAnsi="Arial"/>
                <w:sz w:val="14"/>
                <w:szCs w:val="14"/>
                <w:color w:val="auto"/>
              </w:rPr>
              <w:t>Goodwill impairment</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0" w:type="dxa"/>
            <w:vAlign w:val="bottom"/>
          </w:tcPr>
          <w:p>
            <w:pPr>
              <w:jc w:val="right"/>
              <w:ind w:right="208"/>
              <w:spacing w:after="0"/>
              <w:rPr>
                <w:sz w:val="20"/>
                <w:szCs w:val="20"/>
                <w:color w:val="auto"/>
              </w:rPr>
            </w:pPr>
            <w:r>
              <w:rPr>
                <w:rFonts w:ascii="Arial" w:cs="Arial" w:eastAsia="Arial" w:hAnsi="Arial"/>
                <w:sz w:val="14"/>
                <w:szCs w:val="14"/>
                <w:color w:val="auto"/>
              </w:rPr>
              <w:t>977</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6360" w:type="dxa"/>
            <w:vAlign w:val="bottom"/>
          </w:tcPr>
          <w:p>
            <w:pPr>
              <w:ind w:left="200"/>
              <w:spacing w:after="0"/>
              <w:rPr>
                <w:sz w:val="20"/>
                <w:szCs w:val="20"/>
                <w:color w:val="auto"/>
              </w:rPr>
            </w:pPr>
            <w:r>
              <w:rPr>
                <w:rFonts w:ascii="Arial" w:cs="Arial" w:eastAsia="Arial" w:hAnsi="Arial"/>
                <w:sz w:val="14"/>
                <w:szCs w:val="14"/>
                <w:color w:val="auto"/>
              </w:rPr>
              <w:t>Adjusted EBITDA</w:t>
            </w:r>
          </w:p>
        </w:tc>
        <w:tc>
          <w:tcPr>
            <w:tcW w:w="15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$ 47,277</w:t>
            </w:r>
          </w:p>
        </w:tc>
        <w:tc>
          <w:tcPr>
            <w:tcW w:w="10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$ 44,697</w:t>
            </w:r>
          </w:p>
        </w:tc>
        <w:tc>
          <w:tcPr>
            <w:tcW w:w="100" w:type="dxa"/>
            <w:vAlign w:val="bottom"/>
          </w:tcPr>
          <w:p>
            <w:pPr>
              <w:spacing w:after="0"/>
              <w:rPr>
                <w:sz w:val="14"/>
                <w:szCs w:val="14"/>
                <w:color w:val="auto"/>
              </w:rPr>
            </w:pPr>
          </w:p>
        </w:tc>
        <w:tc>
          <w:tcPr>
            <w:tcW w:w="140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$ 81,764</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$ 71,699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FREE CASH FLOW</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36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360" w:type="dxa"/>
            <w:vAlign w:val="bottom"/>
          </w:tcPr>
          <w:p>
            <w:pPr>
              <w:ind w:left="300"/>
              <w:spacing w:after="0"/>
              <w:rPr>
                <w:sz w:val="20"/>
                <w:szCs w:val="20"/>
                <w:color w:val="auto"/>
              </w:rPr>
            </w:pPr>
            <w:r>
              <w:rPr>
                <w:rFonts w:ascii="Arial" w:cs="Arial" w:eastAsia="Arial" w:hAnsi="Arial"/>
                <w:sz w:val="14"/>
                <w:szCs w:val="14"/>
                <w:color w:val="auto"/>
              </w:rPr>
              <w:t>Net cash provided by operating activities</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$ 430</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$ 18,379</w:t>
            </w:r>
          </w:p>
        </w:tc>
        <w:tc>
          <w:tcPr>
            <w:tcW w:w="100" w:type="dxa"/>
            <w:vAlign w:val="bottom"/>
          </w:tcPr>
          <w:p>
            <w:pPr>
              <w:spacing w:after="0"/>
              <w:rPr>
                <w:sz w:val="15"/>
                <w:szCs w:val="15"/>
                <w:color w:val="auto"/>
              </w:rPr>
            </w:pPr>
          </w:p>
        </w:tc>
        <w:tc>
          <w:tcPr>
            <w:tcW w:w="1400" w:type="dxa"/>
            <w:vAlign w:val="bottom"/>
          </w:tcPr>
          <w:p>
            <w:pPr>
              <w:jc w:val="right"/>
              <w:ind w:right="208"/>
              <w:spacing w:after="0"/>
              <w:rPr>
                <w:sz w:val="20"/>
                <w:szCs w:val="20"/>
                <w:color w:val="auto"/>
              </w:rPr>
            </w:pPr>
            <w:r>
              <w:rPr>
                <w:rFonts w:ascii="Arial" w:cs="Arial" w:eastAsia="Arial" w:hAnsi="Arial"/>
                <w:sz w:val="14"/>
                <w:szCs w:val="14"/>
                <w:color w:val="auto"/>
              </w:rPr>
              <w:t>$ 67,191</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$ 18,974</w:t>
            </w:r>
          </w:p>
        </w:tc>
        <w:tc>
          <w:tcPr>
            <w:tcW w:w="0" w:type="dxa"/>
            <w:vAlign w:val="bottom"/>
          </w:tcPr>
          <w:p>
            <w:pPr>
              <w:spacing w:after="0"/>
              <w:rPr>
                <w:sz w:val="1"/>
                <w:szCs w:val="1"/>
                <w:color w:val="auto"/>
              </w:rPr>
            </w:pPr>
          </w:p>
        </w:tc>
      </w:tr>
      <w:tr>
        <w:trPr>
          <w:trHeight w:val="181"/>
        </w:trPr>
        <w:tc>
          <w:tcPr>
            <w:tcW w:w="6360" w:type="dxa"/>
            <w:vAlign w:val="bottom"/>
          </w:tcPr>
          <w:p>
            <w:pPr>
              <w:ind w:left="300"/>
              <w:spacing w:after="0"/>
              <w:rPr>
                <w:sz w:val="20"/>
                <w:szCs w:val="20"/>
                <w:color w:val="auto"/>
              </w:rPr>
            </w:pPr>
            <w:r>
              <w:rPr>
                <w:rFonts w:ascii="Arial" w:cs="Arial" w:eastAsia="Arial" w:hAnsi="Arial"/>
                <w:sz w:val="14"/>
                <w:szCs w:val="14"/>
                <w:color w:val="auto"/>
              </w:rPr>
              <w:t>Acquisitions of property, plant, and equipment</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(10,839)</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(14,130)</w:t>
            </w:r>
          </w:p>
        </w:tc>
        <w:tc>
          <w:tcPr>
            <w:tcW w:w="100" w:type="dxa"/>
            <w:vAlign w:val="bottom"/>
          </w:tcPr>
          <w:p>
            <w:pPr>
              <w:spacing w:after="0"/>
              <w:rPr>
                <w:sz w:val="15"/>
                <w:szCs w:val="15"/>
                <w:color w:val="auto"/>
              </w:rPr>
            </w:pPr>
          </w:p>
        </w:tc>
        <w:tc>
          <w:tcPr>
            <w:tcW w:w="1400" w:type="dxa"/>
            <w:vAlign w:val="bottom"/>
          </w:tcPr>
          <w:p>
            <w:pPr>
              <w:jc w:val="right"/>
              <w:ind w:right="208"/>
              <w:spacing w:after="0"/>
              <w:rPr>
                <w:sz w:val="20"/>
                <w:szCs w:val="20"/>
                <w:color w:val="auto"/>
              </w:rPr>
            </w:pPr>
            <w:r>
              <w:rPr>
                <w:rFonts w:ascii="Arial" w:cs="Arial" w:eastAsia="Arial" w:hAnsi="Arial"/>
                <w:sz w:val="14"/>
                <w:szCs w:val="14"/>
                <w:color w:val="auto"/>
              </w:rPr>
              <w:t>(19,403)</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(28,895)</w:t>
            </w:r>
          </w:p>
        </w:tc>
        <w:tc>
          <w:tcPr>
            <w:tcW w:w="0" w:type="dxa"/>
            <w:vAlign w:val="bottom"/>
          </w:tcPr>
          <w:p>
            <w:pPr>
              <w:spacing w:after="0"/>
              <w:rPr>
                <w:sz w:val="1"/>
                <w:szCs w:val="1"/>
                <w:color w:val="auto"/>
              </w:rPr>
            </w:pPr>
          </w:p>
        </w:tc>
      </w:tr>
      <w:tr>
        <w:trPr>
          <w:trHeight w:val="169"/>
        </w:trPr>
        <w:tc>
          <w:tcPr>
            <w:tcW w:w="6360" w:type="dxa"/>
            <w:vAlign w:val="bottom"/>
          </w:tcPr>
          <w:p>
            <w:pPr>
              <w:ind w:left="200"/>
              <w:spacing w:after="0"/>
              <w:rPr>
                <w:sz w:val="20"/>
                <w:szCs w:val="20"/>
                <w:color w:val="auto"/>
              </w:rPr>
            </w:pPr>
            <w:r>
              <w:rPr>
                <w:rFonts w:ascii="Arial" w:cs="Arial" w:eastAsia="Arial" w:hAnsi="Arial"/>
                <w:sz w:val="14"/>
                <w:szCs w:val="14"/>
                <w:color w:val="auto"/>
              </w:rPr>
              <w:t>Free Cash Flow</w:t>
            </w:r>
          </w:p>
        </w:tc>
        <w:tc>
          <w:tcPr>
            <w:tcW w:w="15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 (10,409)</w:t>
            </w:r>
          </w:p>
        </w:tc>
        <w:tc>
          <w:tcPr>
            <w:tcW w:w="10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$ 4,249</w:t>
            </w:r>
          </w:p>
        </w:tc>
        <w:tc>
          <w:tcPr>
            <w:tcW w:w="100" w:type="dxa"/>
            <w:vAlign w:val="bottom"/>
          </w:tcPr>
          <w:p>
            <w:pPr>
              <w:spacing w:after="0"/>
              <w:rPr>
                <w:sz w:val="14"/>
                <w:szCs w:val="14"/>
                <w:color w:val="auto"/>
              </w:rPr>
            </w:pPr>
          </w:p>
        </w:tc>
        <w:tc>
          <w:tcPr>
            <w:tcW w:w="140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$ 47,788</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(9,921)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NON-GAAP OPERATING INCOME</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36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360" w:type="dxa"/>
            <w:vAlign w:val="bottom"/>
          </w:tcPr>
          <w:p>
            <w:pPr>
              <w:ind w:left="200"/>
              <w:spacing w:after="0"/>
              <w:rPr>
                <w:sz w:val="20"/>
                <w:szCs w:val="20"/>
                <w:color w:val="auto"/>
              </w:rPr>
            </w:pPr>
            <w:r>
              <w:rPr>
                <w:rFonts w:ascii="Arial" w:cs="Arial" w:eastAsia="Arial" w:hAnsi="Arial"/>
                <w:sz w:val="14"/>
                <w:szCs w:val="14"/>
                <w:color w:val="auto"/>
              </w:rPr>
              <w:t>GAAP operating income</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$ 31,927</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$ 17,976</w:t>
            </w:r>
          </w:p>
        </w:tc>
        <w:tc>
          <w:tcPr>
            <w:tcW w:w="100" w:type="dxa"/>
            <w:vAlign w:val="bottom"/>
          </w:tcPr>
          <w:p>
            <w:pPr>
              <w:spacing w:after="0"/>
              <w:rPr>
                <w:sz w:val="15"/>
                <w:szCs w:val="15"/>
                <w:color w:val="auto"/>
              </w:rPr>
            </w:pPr>
          </w:p>
        </w:tc>
        <w:tc>
          <w:tcPr>
            <w:tcW w:w="1400" w:type="dxa"/>
            <w:vAlign w:val="bottom"/>
          </w:tcPr>
          <w:p>
            <w:pPr>
              <w:jc w:val="right"/>
              <w:ind w:right="208"/>
              <w:spacing w:after="0"/>
              <w:rPr>
                <w:sz w:val="20"/>
                <w:szCs w:val="20"/>
                <w:color w:val="auto"/>
              </w:rPr>
            </w:pPr>
            <w:r>
              <w:rPr>
                <w:rFonts w:ascii="Arial" w:cs="Arial" w:eastAsia="Arial" w:hAnsi="Arial"/>
                <w:sz w:val="14"/>
                <w:szCs w:val="14"/>
                <w:color w:val="auto"/>
              </w:rPr>
              <w:t>$ 36,466</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$ 20,323</w:t>
            </w:r>
          </w:p>
        </w:tc>
        <w:tc>
          <w:tcPr>
            <w:tcW w:w="0" w:type="dxa"/>
            <w:vAlign w:val="bottom"/>
          </w:tcPr>
          <w:p>
            <w:pPr>
              <w:spacing w:after="0"/>
              <w:rPr>
                <w:sz w:val="1"/>
                <w:szCs w:val="1"/>
                <w:color w:val="auto"/>
              </w:rPr>
            </w:pPr>
          </w:p>
        </w:tc>
      </w:tr>
      <w:tr>
        <w:trPr>
          <w:trHeight w:val="176"/>
        </w:trPr>
        <w:tc>
          <w:tcPr>
            <w:tcW w:w="6360" w:type="dxa"/>
            <w:vAlign w:val="bottom"/>
          </w:tcPr>
          <w:p>
            <w:pPr>
              <w:ind w:left="300"/>
              <w:spacing w:after="0"/>
              <w:rPr>
                <w:sz w:val="20"/>
                <w:szCs w:val="20"/>
                <w:color w:val="auto"/>
              </w:rPr>
            </w:pPr>
            <w:r>
              <w:rPr>
                <w:rFonts w:ascii="Arial" w:cs="Arial" w:eastAsia="Arial" w:hAnsi="Arial"/>
                <w:sz w:val="14"/>
                <w:szCs w:val="14"/>
                <w:color w:val="auto"/>
              </w:rPr>
              <w:t>Amortization of intangible assets</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11,109</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10,247</w:t>
            </w:r>
          </w:p>
        </w:tc>
        <w:tc>
          <w:tcPr>
            <w:tcW w:w="100" w:type="dxa"/>
            <w:vAlign w:val="bottom"/>
          </w:tcPr>
          <w:p>
            <w:pPr>
              <w:spacing w:after="0"/>
              <w:rPr>
                <w:sz w:val="15"/>
                <w:szCs w:val="15"/>
                <w:color w:val="auto"/>
              </w:rPr>
            </w:pPr>
          </w:p>
        </w:tc>
        <w:tc>
          <w:tcPr>
            <w:tcW w:w="1400" w:type="dxa"/>
            <w:vAlign w:val="bottom"/>
          </w:tcPr>
          <w:p>
            <w:pPr>
              <w:jc w:val="right"/>
              <w:ind w:right="208"/>
              <w:spacing w:after="0"/>
              <w:rPr>
                <w:sz w:val="20"/>
                <w:szCs w:val="20"/>
                <w:color w:val="auto"/>
              </w:rPr>
            </w:pPr>
            <w:r>
              <w:rPr>
                <w:rFonts w:ascii="Arial" w:cs="Arial" w:eastAsia="Arial" w:hAnsi="Arial"/>
                <w:sz w:val="14"/>
                <w:szCs w:val="14"/>
                <w:color w:val="auto"/>
              </w:rPr>
              <w:t>22,179</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20,991</w:t>
            </w:r>
          </w:p>
        </w:tc>
        <w:tc>
          <w:tcPr>
            <w:tcW w:w="0" w:type="dxa"/>
            <w:vAlign w:val="bottom"/>
          </w:tcPr>
          <w:p>
            <w:pPr>
              <w:spacing w:after="0"/>
              <w:rPr>
                <w:sz w:val="1"/>
                <w:szCs w:val="1"/>
                <w:color w:val="auto"/>
              </w:rPr>
            </w:pPr>
          </w:p>
        </w:tc>
      </w:tr>
      <w:tr>
        <w:trPr>
          <w:trHeight w:val="176"/>
        </w:trPr>
        <w:tc>
          <w:tcPr>
            <w:tcW w:w="6360" w:type="dxa"/>
            <w:vAlign w:val="bottom"/>
          </w:tcPr>
          <w:p>
            <w:pPr>
              <w:ind w:left="300"/>
              <w:spacing w:after="0"/>
              <w:rPr>
                <w:sz w:val="20"/>
                <w:szCs w:val="20"/>
                <w:color w:val="auto"/>
              </w:rPr>
            </w:pPr>
            <w:r>
              <w:rPr>
                <w:rFonts w:ascii="Arial" w:cs="Arial" w:eastAsia="Arial" w:hAnsi="Arial"/>
                <w:sz w:val="14"/>
                <w:szCs w:val="14"/>
                <w:color w:val="auto"/>
              </w:rPr>
              <w:t>Restructuring expense</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(7,793)</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3,385</w:t>
            </w:r>
          </w:p>
        </w:tc>
        <w:tc>
          <w:tcPr>
            <w:tcW w:w="100" w:type="dxa"/>
            <w:vAlign w:val="bottom"/>
          </w:tcPr>
          <w:p>
            <w:pPr>
              <w:spacing w:after="0"/>
              <w:rPr>
                <w:sz w:val="15"/>
                <w:szCs w:val="15"/>
                <w:color w:val="auto"/>
              </w:rPr>
            </w:pPr>
          </w:p>
        </w:tc>
        <w:tc>
          <w:tcPr>
            <w:tcW w:w="1400" w:type="dxa"/>
            <w:vAlign w:val="bottom"/>
          </w:tcPr>
          <w:p>
            <w:pPr>
              <w:jc w:val="right"/>
              <w:ind w:right="208"/>
              <w:spacing w:after="0"/>
              <w:rPr>
                <w:sz w:val="20"/>
                <w:szCs w:val="20"/>
                <w:color w:val="auto"/>
              </w:rPr>
            </w:pPr>
            <w:r>
              <w:rPr>
                <w:rFonts w:ascii="Arial" w:cs="Arial" w:eastAsia="Arial" w:hAnsi="Arial"/>
                <w:sz w:val="14"/>
                <w:szCs w:val="14"/>
                <w:color w:val="auto"/>
              </w:rPr>
              <w:t>(2,269)</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4,398</w:t>
            </w:r>
          </w:p>
        </w:tc>
        <w:tc>
          <w:tcPr>
            <w:tcW w:w="0" w:type="dxa"/>
            <w:vAlign w:val="bottom"/>
          </w:tcPr>
          <w:p>
            <w:pPr>
              <w:spacing w:after="0"/>
              <w:rPr>
                <w:sz w:val="1"/>
                <w:szCs w:val="1"/>
                <w:color w:val="auto"/>
              </w:rPr>
            </w:pPr>
          </w:p>
        </w:tc>
      </w:tr>
      <w:tr>
        <w:trPr>
          <w:trHeight w:val="176"/>
        </w:trPr>
        <w:tc>
          <w:tcPr>
            <w:tcW w:w="6360" w:type="dxa"/>
            <w:vAlign w:val="bottom"/>
          </w:tcPr>
          <w:p>
            <w:pPr>
              <w:ind w:left="300"/>
              <w:spacing w:after="0"/>
              <w:rPr>
                <w:sz w:val="20"/>
                <w:szCs w:val="20"/>
                <w:color w:val="auto"/>
              </w:rPr>
            </w:pPr>
            <w:r>
              <w:rPr>
                <w:rFonts w:ascii="Arial" w:cs="Arial" w:eastAsia="Arial" w:hAnsi="Arial"/>
                <w:sz w:val="14"/>
                <w:szCs w:val="14"/>
                <w:color w:val="auto"/>
              </w:rPr>
              <w:t>Acquisition related expenses</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89</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601</w:t>
            </w:r>
          </w:p>
        </w:tc>
        <w:tc>
          <w:tcPr>
            <w:tcW w:w="100" w:type="dxa"/>
            <w:vAlign w:val="bottom"/>
          </w:tcPr>
          <w:p>
            <w:pPr>
              <w:spacing w:after="0"/>
              <w:rPr>
                <w:sz w:val="15"/>
                <w:szCs w:val="15"/>
                <w:color w:val="auto"/>
              </w:rPr>
            </w:pPr>
          </w:p>
        </w:tc>
        <w:tc>
          <w:tcPr>
            <w:tcW w:w="1400" w:type="dxa"/>
            <w:vAlign w:val="bottom"/>
          </w:tcPr>
          <w:p>
            <w:pPr>
              <w:jc w:val="right"/>
              <w:ind w:right="208"/>
              <w:spacing w:after="0"/>
              <w:rPr>
                <w:sz w:val="20"/>
                <w:szCs w:val="20"/>
                <w:color w:val="auto"/>
              </w:rPr>
            </w:pPr>
            <w:r>
              <w:rPr>
                <w:rFonts w:ascii="Arial" w:cs="Arial" w:eastAsia="Arial" w:hAnsi="Arial"/>
                <w:sz w:val="14"/>
                <w:szCs w:val="14"/>
                <w:color w:val="auto"/>
              </w:rPr>
              <w:t>578</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1,229</w:t>
            </w:r>
          </w:p>
        </w:tc>
        <w:tc>
          <w:tcPr>
            <w:tcW w:w="0" w:type="dxa"/>
            <w:vAlign w:val="bottom"/>
          </w:tcPr>
          <w:p>
            <w:pPr>
              <w:spacing w:after="0"/>
              <w:rPr>
                <w:sz w:val="1"/>
                <w:szCs w:val="1"/>
                <w:color w:val="auto"/>
              </w:rPr>
            </w:pPr>
          </w:p>
        </w:tc>
      </w:tr>
      <w:tr>
        <w:trPr>
          <w:trHeight w:val="181"/>
        </w:trPr>
        <w:tc>
          <w:tcPr>
            <w:tcW w:w="6360" w:type="dxa"/>
            <w:vAlign w:val="bottom"/>
          </w:tcPr>
          <w:p>
            <w:pPr>
              <w:ind w:left="300"/>
              <w:spacing w:after="0"/>
              <w:rPr>
                <w:sz w:val="20"/>
                <w:szCs w:val="20"/>
                <w:color w:val="auto"/>
              </w:rPr>
            </w:pPr>
            <w:r>
              <w:rPr>
                <w:rFonts w:ascii="Arial" w:cs="Arial" w:eastAsia="Arial" w:hAnsi="Arial"/>
                <w:sz w:val="14"/>
                <w:szCs w:val="14"/>
                <w:color w:val="auto"/>
              </w:rPr>
              <w:t>Goodwill impairment</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0" w:type="dxa"/>
            <w:vAlign w:val="bottom"/>
          </w:tcPr>
          <w:p>
            <w:pPr>
              <w:jc w:val="right"/>
              <w:ind w:right="208"/>
              <w:spacing w:after="0"/>
              <w:rPr>
                <w:sz w:val="20"/>
                <w:szCs w:val="20"/>
                <w:color w:val="auto"/>
              </w:rPr>
            </w:pPr>
            <w:r>
              <w:rPr>
                <w:rFonts w:ascii="Arial" w:cs="Arial" w:eastAsia="Arial" w:hAnsi="Arial"/>
                <w:sz w:val="14"/>
                <w:szCs w:val="14"/>
                <w:color w:val="auto"/>
              </w:rPr>
              <w:t>977</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6360" w:type="dxa"/>
            <w:vAlign w:val="bottom"/>
          </w:tcPr>
          <w:p>
            <w:pPr>
              <w:ind w:left="200"/>
              <w:spacing w:after="0"/>
              <w:rPr>
                <w:sz w:val="20"/>
                <w:szCs w:val="20"/>
                <w:color w:val="auto"/>
              </w:rPr>
            </w:pPr>
            <w:r>
              <w:rPr>
                <w:rFonts w:ascii="Arial" w:cs="Arial" w:eastAsia="Arial" w:hAnsi="Arial"/>
                <w:sz w:val="14"/>
                <w:szCs w:val="14"/>
                <w:color w:val="auto"/>
              </w:rPr>
              <w:t>Non-GAAP operating income</w:t>
            </w:r>
          </w:p>
        </w:tc>
        <w:tc>
          <w:tcPr>
            <w:tcW w:w="15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$ 35,332</w:t>
            </w:r>
          </w:p>
        </w:tc>
        <w:tc>
          <w:tcPr>
            <w:tcW w:w="10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$ 32,209</w:t>
            </w:r>
          </w:p>
        </w:tc>
        <w:tc>
          <w:tcPr>
            <w:tcW w:w="100" w:type="dxa"/>
            <w:vAlign w:val="bottom"/>
          </w:tcPr>
          <w:p>
            <w:pPr>
              <w:spacing w:after="0"/>
              <w:rPr>
                <w:sz w:val="14"/>
                <w:szCs w:val="14"/>
                <w:color w:val="auto"/>
              </w:rPr>
            </w:pPr>
          </w:p>
        </w:tc>
        <w:tc>
          <w:tcPr>
            <w:tcW w:w="140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$ 57,931</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$ 46,941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NON-GAAP OPERATING EXPENSE</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36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360" w:type="dxa"/>
            <w:vAlign w:val="bottom"/>
          </w:tcPr>
          <w:p>
            <w:pPr>
              <w:ind w:left="200"/>
              <w:spacing w:after="0"/>
              <w:rPr>
                <w:sz w:val="20"/>
                <w:szCs w:val="20"/>
                <w:color w:val="auto"/>
              </w:rPr>
            </w:pPr>
            <w:r>
              <w:rPr>
                <w:rFonts w:ascii="Arial" w:cs="Arial" w:eastAsia="Arial" w:hAnsi="Arial"/>
                <w:sz w:val="14"/>
                <w:szCs w:val="14"/>
                <w:color w:val="auto"/>
              </w:rPr>
              <w:t>GAAP operating expense</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$ 131,114</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$ 141,612</w:t>
            </w:r>
          </w:p>
        </w:tc>
        <w:tc>
          <w:tcPr>
            <w:tcW w:w="100" w:type="dxa"/>
            <w:vAlign w:val="bottom"/>
          </w:tcPr>
          <w:p>
            <w:pPr>
              <w:spacing w:after="0"/>
              <w:rPr>
                <w:sz w:val="15"/>
                <w:szCs w:val="15"/>
                <w:color w:val="auto"/>
              </w:rPr>
            </w:pPr>
          </w:p>
        </w:tc>
        <w:tc>
          <w:tcPr>
            <w:tcW w:w="1400" w:type="dxa"/>
            <w:vAlign w:val="bottom"/>
          </w:tcPr>
          <w:p>
            <w:pPr>
              <w:jc w:val="right"/>
              <w:ind w:right="208"/>
              <w:spacing w:after="0"/>
              <w:rPr>
                <w:sz w:val="20"/>
                <w:szCs w:val="20"/>
                <w:color w:val="auto"/>
              </w:rPr>
            </w:pPr>
            <w:r>
              <w:rPr>
                <w:rFonts w:ascii="Arial" w:cs="Arial" w:eastAsia="Arial" w:hAnsi="Arial"/>
                <w:sz w:val="14"/>
                <w:szCs w:val="14"/>
                <w:color w:val="auto"/>
              </w:rPr>
              <w:t>$ 281,110</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$ 279,388</w:t>
            </w:r>
          </w:p>
        </w:tc>
        <w:tc>
          <w:tcPr>
            <w:tcW w:w="0" w:type="dxa"/>
            <w:vAlign w:val="bottom"/>
          </w:tcPr>
          <w:p>
            <w:pPr>
              <w:spacing w:after="0"/>
              <w:rPr>
                <w:sz w:val="1"/>
                <w:szCs w:val="1"/>
                <w:color w:val="auto"/>
              </w:rPr>
            </w:pPr>
          </w:p>
        </w:tc>
      </w:tr>
      <w:tr>
        <w:trPr>
          <w:trHeight w:val="176"/>
        </w:trPr>
        <w:tc>
          <w:tcPr>
            <w:tcW w:w="6360" w:type="dxa"/>
            <w:vAlign w:val="bottom"/>
          </w:tcPr>
          <w:p>
            <w:pPr>
              <w:ind w:left="300"/>
              <w:spacing w:after="0"/>
              <w:rPr>
                <w:sz w:val="20"/>
                <w:szCs w:val="20"/>
                <w:color w:val="auto"/>
              </w:rPr>
            </w:pPr>
            <w:r>
              <w:rPr>
                <w:rFonts w:ascii="Arial" w:cs="Arial" w:eastAsia="Arial" w:hAnsi="Arial"/>
                <w:sz w:val="14"/>
                <w:szCs w:val="14"/>
                <w:color w:val="auto"/>
              </w:rPr>
              <w:t>Amortization of intangible assets</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(11,109)</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(10,247)</w:t>
            </w:r>
          </w:p>
        </w:tc>
        <w:tc>
          <w:tcPr>
            <w:tcW w:w="100" w:type="dxa"/>
            <w:vAlign w:val="bottom"/>
          </w:tcPr>
          <w:p>
            <w:pPr>
              <w:spacing w:after="0"/>
              <w:rPr>
                <w:sz w:val="15"/>
                <w:szCs w:val="15"/>
                <w:color w:val="auto"/>
              </w:rPr>
            </w:pPr>
          </w:p>
        </w:tc>
        <w:tc>
          <w:tcPr>
            <w:tcW w:w="1400" w:type="dxa"/>
            <w:vAlign w:val="bottom"/>
          </w:tcPr>
          <w:p>
            <w:pPr>
              <w:jc w:val="right"/>
              <w:ind w:right="208"/>
              <w:spacing w:after="0"/>
              <w:rPr>
                <w:sz w:val="20"/>
                <w:szCs w:val="20"/>
                <w:color w:val="auto"/>
              </w:rPr>
            </w:pPr>
            <w:r>
              <w:rPr>
                <w:rFonts w:ascii="Arial" w:cs="Arial" w:eastAsia="Arial" w:hAnsi="Arial"/>
                <w:sz w:val="14"/>
                <w:szCs w:val="14"/>
                <w:color w:val="auto"/>
              </w:rPr>
              <w:t>(22,179)</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(20,991)</w:t>
            </w:r>
          </w:p>
        </w:tc>
        <w:tc>
          <w:tcPr>
            <w:tcW w:w="0" w:type="dxa"/>
            <w:vAlign w:val="bottom"/>
          </w:tcPr>
          <w:p>
            <w:pPr>
              <w:spacing w:after="0"/>
              <w:rPr>
                <w:sz w:val="1"/>
                <w:szCs w:val="1"/>
                <w:color w:val="auto"/>
              </w:rPr>
            </w:pPr>
          </w:p>
        </w:tc>
      </w:tr>
      <w:tr>
        <w:trPr>
          <w:trHeight w:val="176"/>
        </w:trPr>
        <w:tc>
          <w:tcPr>
            <w:tcW w:w="6360" w:type="dxa"/>
            <w:vAlign w:val="bottom"/>
          </w:tcPr>
          <w:p>
            <w:pPr>
              <w:ind w:left="300"/>
              <w:spacing w:after="0"/>
              <w:rPr>
                <w:sz w:val="20"/>
                <w:szCs w:val="20"/>
                <w:color w:val="auto"/>
              </w:rPr>
            </w:pPr>
            <w:r>
              <w:rPr>
                <w:rFonts w:ascii="Arial" w:cs="Arial" w:eastAsia="Arial" w:hAnsi="Arial"/>
                <w:sz w:val="14"/>
                <w:szCs w:val="14"/>
                <w:color w:val="auto"/>
              </w:rPr>
              <w:t>Restructuring expense</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7,793</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(3,385)</w:t>
            </w:r>
          </w:p>
        </w:tc>
        <w:tc>
          <w:tcPr>
            <w:tcW w:w="100" w:type="dxa"/>
            <w:vAlign w:val="bottom"/>
          </w:tcPr>
          <w:p>
            <w:pPr>
              <w:spacing w:after="0"/>
              <w:rPr>
                <w:sz w:val="15"/>
                <w:szCs w:val="15"/>
                <w:color w:val="auto"/>
              </w:rPr>
            </w:pPr>
          </w:p>
        </w:tc>
        <w:tc>
          <w:tcPr>
            <w:tcW w:w="1400" w:type="dxa"/>
            <w:vAlign w:val="bottom"/>
          </w:tcPr>
          <w:p>
            <w:pPr>
              <w:jc w:val="right"/>
              <w:ind w:right="208"/>
              <w:spacing w:after="0"/>
              <w:rPr>
                <w:sz w:val="20"/>
                <w:szCs w:val="20"/>
                <w:color w:val="auto"/>
              </w:rPr>
            </w:pPr>
            <w:r>
              <w:rPr>
                <w:rFonts w:ascii="Arial" w:cs="Arial" w:eastAsia="Arial" w:hAnsi="Arial"/>
                <w:sz w:val="14"/>
                <w:szCs w:val="14"/>
                <w:color w:val="auto"/>
              </w:rPr>
              <w:t>2,269</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(4,398)</w:t>
            </w:r>
          </w:p>
        </w:tc>
        <w:tc>
          <w:tcPr>
            <w:tcW w:w="0" w:type="dxa"/>
            <w:vAlign w:val="bottom"/>
          </w:tcPr>
          <w:p>
            <w:pPr>
              <w:spacing w:after="0"/>
              <w:rPr>
                <w:sz w:val="1"/>
                <w:szCs w:val="1"/>
                <w:color w:val="auto"/>
              </w:rPr>
            </w:pPr>
          </w:p>
        </w:tc>
      </w:tr>
      <w:tr>
        <w:trPr>
          <w:trHeight w:val="176"/>
        </w:trPr>
        <w:tc>
          <w:tcPr>
            <w:tcW w:w="6360" w:type="dxa"/>
            <w:vAlign w:val="bottom"/>
          </w:tcPr>
          <w:p>
            <w:pPr>
              <w:ind w:left="300"/>
              <w:spacing w:after="0"/>
              <w:rPr>
                <w:sz w:val="20"/>
                <w:szCs w:val="20"/>
                <w:color w:val="auto"/>
              </w:rPr>
            </w:pPr>
            <w:r>
              <w:rPr>
                <w:rFonts w:ascii="Arial" w:cs="Arial" w:eastAsia="Arial" w:hAnsi="Arial"/>
                <w:sz w:val="14"/>
                <w:szCs w:val="14"/>
                <w:color w:val="auto"/>
              </w:rPr>
              <w:t>Acquisition related expenses</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(89)</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(601)</w:t>
            </w:r>
          </w:p>
        </w:tc>
        <w:tc>
          <w:tcPr>
            <w:tcW w:w="100" w:type="dxa"/>
            <w:vAlign w:val="bottom"/>
          </w:tcPr>
          <w:p>
            <w:pPr>
              <w:spacing w:after="0"/>
              <w:rPr>
                <w:sz w:val="15"/>
                <w:szCs w:val="15"/>
                <w:color w:val="auto"/>
              </w:rPr>
            </w:pPr>
          </w:p>
        </w:tc>
        <w:tc>
          <w:tcPr>
            <w:tcW w:w="1400" w:type="dxa"/>
            <w:vAlign w:val="bottom"/>
          </w:tcPr>
          <w:p>
            <w:pPr>
              <w:jc w:val="right"/>
              <w:ind w:right="208"/>
              <w:spacing w:after="0"/>
              <w:rPr>
                <w:sz w:val="20"/>
                <w:szCs w:val="20"/>
                <w:color w:val="auto"/>
              </w:rPr>
            </w:pPr>
            <w:r>
              <w:rPr>
                <w:rFonts w:ascii="Arial" w:cs="Arial" w:eastAsia="Arial" w:hAnsi="Arial"/>
                <w:sz w:val="14"/>
                <w:szCs w:val="14"/>
                <w:color w:val="auto"/>
              </w:rPr>
              <w:t>(578)</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(1,229)</w:t>
            </w:r>
          </w:p>
        </w:tc>
        <w:tc>
          <w:tcPr>
            <w:tcW w:w="0" w:type="dxa"/>
            <w:vAlign w:val="bottom"/>
          </w:tcPr>
          <w:p>
            <w:pPr>
              <w:spacing w:after="0"/>
              <w:rPr>
                <w:sz w:val="1"/>
                <w:szCs w:val="1"/>
                <w:color w:val="auto"/>
              </w:rPr>
            </w:pPr>
          </w:p>
        </w:tc>
      </w:tr>
      <w:tr>
        <w:trPr>
          <w:trHeight w:val="181"/>
        </w:trPr>
        <w:tc>
          <w:tcPr>
            <w:tcW w:w="6360" w:type="dxa"/>
            <w:vAlign w:val="bottom"/>
          </w:tcPr>
          <w:p>
            <w:pPr>
              <w:ind w:left="300"/>
              <w:spacing w:after="0"/>
              <w:rPr>
                <w:sz w:val="20"/>
                <w:szCs w:val="20"/>
                <w:color w:val="auto"/>
              </w:rPr>
            </w:pPr>
            <w:r>
              <w:rPr>
                <w:rFonts w:ascii="Arial" w:cs="Arial" w:eastAsia="Arial" w:hAnsi="Arial"/>
                <w:sz w:val="14"/>
                <w:szCs w:val="14"/>
                <w:color w:val="auto"/>
              </w:rPr>
              <w:t>Goodwill impairment</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0" w:type="dxa"/>
            <w:vAlign w:val="bottom"/>
          </w:tcPr>
          <w:p>
            <w:pPr>
              <w:jc w:val="right"/>
              <w:ind w:right="208"/>
              <w:spacing w:after="0"/>
              <w:rPr>
                <w:sz w:val="20"/>
                <w:szCs w:val="20"/>
                <w:color w:val="auto"/>
              </w:rPr>
            </w:pPr>
            <w:r>
              <w:rPr>
                <w:rFonts w:ascii="Arial" w:cs="Arial" w:eastAsia="Arial" w:hAnsi="Arial"/>
                <w:sz w:val="14"/>
                <w:szCs w:val="14"/>
                <w:color w:val="auto"/>
              </w:rPr>
              <w:t>(977)</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6360" w:type="dxa"/>
            <w:vAlign w:val="bottom"/>
          </w:tcPr>
          <w:p>
            <w:pPr>
              <w:ind w:left="200"/>
              <w:spacing w:after="0"/>
              <w:rPr>
                <w:sz w:val="20"/>
                <w:szCs w:val="20"/>
                <w:color w:val="auto"/>
              </w:rPr>
            </w:pPr>
            <w:r>
              <w:rPr>
                <w:rFonts w:ascii="Arial" w:cs="Arial" w:eastAsia="Arial" w:hAnsi="Arial"/>
                <w:sz w:val="14"/>
                <w:szCs w:val="14"/>
                <w:color w:val="auto"/>
              </w:rPr>
              <w:t>Non-GAAP operating expense</w:t>
            </w:r>
          </w:p>
        </w:tc>
        <w:tc>
          <w:tcPr>
            <w:tcW w:w="15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$ 127,709</w:t>
            </w:r>
          </w:p>
        </w:tc>
        <w:tc>
          <w:tcPr>
            <w:tcW w:w="10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$ 127,379</w:t>
            </w:r>
          </w:p>
        </w:tc>
        <w:tc>
          <w:tcPr>
            <w:tcW w:w="100" w:type="dxa"/>
            <w:vAlign w:val="bottom"/>
          </w:tcPr>
          <w:p>
            <w:pPr>
              <w:spacing w:after="0"/>
              <w:rPr>
                <w:sz w:val="14"/>
                <w:szCs w:val="14"/>
                <w:color w:val="auto"/>
              </w:rPr>
            </w:pPr>
          </w:p>
        </w:tc>
        <w:tc>
          <w:tcPr>
            <w:tcW w:w="140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$ 259,645</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$ 252,770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60" w:type="dxa"/>
            <w:vAlign w:val="bottom"/>
          </w:tcPr>
          <w:p>
            <w:pPr>
              <w:spacing w:after="0"/>
              <w:rPr>
                <w:sz w:val="20"/>
                <w:szCs w:val="20"/>
                <w:color w:val="auto"/>
              </w:rPr>
            </w:pPr>
            <w:r>
              <w:rPr>
                <w:rFonts w:ascii="Arial" w:cs="Arial" w:eastAsia="Arial" w:hAnsi="Arial"/>
                <w:sz w:val="14"/>
                <w:szCs w:val="14"/>
                <w:b w:val="1"/>
                <w:bCs w:val="1"/>
                <w:color w:val="auto"/>
              </w:rPr>
              <w:t>SEGMENT RECONCILIATIONS</w:t>
            </w:r>
          </w:p>
        </w:tc>
        <w:tc>
          <w:tcPr>
            <w:tcW w:w="2580" w:type="dxa"/>
            <w:vAlign w:val="bottom"/>
            <w:gridSpan w:val="3"/>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6"/>
                <w:szCs w:val="16"/>
                <w:color w:val="auto"/>
              </w:rPr>
            </w:pPr>
          </w:p>
        </w:tc>
        <w:tc>
          <w:tcPr>
            <w:tcW w:w="24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6360" w:type="dxa"/>
            <w:vAlign w:val="bottom"/>
            <w:tcBorders>
              <w:top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2014</w:t>
            </w:r>
          </w:p>
        </w:tc>
        <w:tc>
          <w:tcPr>
            <w:tcW w:w="104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2013</w:t>
            </w:r>
          </w:p>
        </w:tc>
        <w:tc>
          <w:tcPr>
            <w:tcW w:w="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2014</w:t>
            </w:r>
          </w:p>
        </w:tc>
        <w:tc>
          <w:tcPr>
            <w:tcW w:w="100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360" w:type="dxa"/>
            <w:vAlign w:val="bottom"/>
          </w:tcPr>
          <w:p>
            <w:pPr>
              <w:ind w:left="80"/>
              <w:spacing w:after="0"/>
              <w:rPr>
                <w:sz w:val="20"/>
                <w:szCs w:val="20"/>
                <w:color w:val="auto"/>
              </w:rPr>
            </w:pPr>
            <w:r>
              <w:rPr>
                <w:rFonts w:ascii="Arial" w:cs="Arial" w:eastAsia="Arial" w:hAnsi="Arial"/>
                <w:sz w:val="14"/>
                <w:szCs w:val="14"/>
                <w:b w:val="1"/>
                <w:bCs w:val="1"/>
                <w:color w:val="auto"/>
              </w:rPr>
              <w:t>NON-GAAP OPERATING INCOME - ELECTRICITY</w:t>
            </w: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360" w:type="dxa"/>
            <w:vAlign w:val="bottom"/>
          </w:tcPr>
          <w:p>
            <w:pPr>
              <w:ind w:left="200"/>
              <w:spacing w:after="0"/>
              <w:rPr>
                <w:sz w:val="20"/>
                <w:szCs w:val="20"/>
                <w:color w:val="auto"/>
              </w:rPr>
            </w:pPr>
            <w:r>
              <w:rPr>
                <w:rFonts w:ascii="Arial" w:cs="Arial" w:eastAsia="Arial" w:hAnsi="Arial"/>
                <w:sz w:val="14"/>
                <w:szCs w:val="14"/>
                <w:color w:val="auto"/>
              </w:rPr>
              <w:t>Electricity - GAAP operating income</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 (1,247)</w:t>
            </w:r>
          </w:p>
        </w:tc>
        <w:tc>
          <w:tcPr>
            <w:tcW w:w="1040" w:type="dxa"/>
            <w:vAlign w:val="bottom"/>
          </w:tcPr>
          <w:p>
            <w:pPr>
              <w:jc w:val="right"/>
              <w:spacing w:after="0"/>
              <w:rPr>
                <w:sz w:val="20"/>
                <w:szCs w:val="20"/>
                <w:color w:val="auto"/>
              </w:rPr>
            </w:pPr>
            <w:r>
              <w:rPr>
                <w:rFonts w:ascii="Arial" w:cs="Arial" w:eastAsia="Arial" w:hAnsi="Arial"/>
                <w:sz w:val="14"/>
                <w:szCs w:val="14"/>
                <w:color w:val="auto"/>
              </w:rPr>
              <w:t>$ (4,117)</w:t>
            </w:r>
          </w:p>
        </w:tc>
        <w:tc>
          <w:tcPr>
            <w:tcW w:w="40" w:type="dxa"/>
            <w:vAlign w:val="bottom"/>
          </w:tcPr>
          <w:p>
            <w:pPr>
              <w:spacing w:after="0"/>
              <w:rPr>
                <w:sz w:val="15"/>
                <w:szCs w:val="15"/>
                <w:color w:val="auto"/>
              </w:rPr>
            </w:pPr>
          </w:p>
        </w:tc>
        <w:tc>
          <w:tcPr>
            <w:tcW w:w="1480" w:type="dxa"/>
            <w:vAlign w:val="bottom"/>
            <w:gridSpan w:val="2"/>
          </w:tcPr>
          <w:p>
            <w:pPr>
              <w:jc w:val="right"/>
              <w:ind w:right="208"/>
              <w:spacing w:after="0"/>
              <w:rPr>
                <w:sz w:val="20"/>
                <w:szCs w:val="20"/>
                <w:color w:val="auto"/>
              </w:rPr>
            </w:pPr>
            <w:r>
              <w:rPr>
                <w:rFonts w:ascii="Arial" w:cs="Arial" w:eastAsia="Arial" w:hAnsi="Arial"/>
                <w:sz w:val="14"/>
                <w:szCs w:val="14"/>
                <w:color w:val="auto"/>
              </w:rPr>
              <w:t>$ (24,216)</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 (23,167)</w:t>
            </w:r>
          </w:p>
        </w:tc>
        <w:tc>
          <w:tcPr>
            <w:tcW w:w="0" w:type="dxa"/>
            <w:vAlign w:val="bottom"/>
          </w:tcPr>
          <w:p>
            <w:pPr>
              <w:spacing w:after="0"/>
              <w:rPr>
                <w:sz w:val="1"/>
                <w:szCs w:val="1"/>
                <w:color w:val="auto"/>
              </w:rPr>
            </w:pPr>
          </w:p>
        </w:tc>
      </w:tr>
      <w:tr>
        <w:trPr>
          <w:trHeight w:val="176"/>
        </w:trPr>
        <w:tc>
          <w:tcPr>
            <w:tcW w:w="6360" w:type="dxa"/>
            <w:vAlign w:val="bottom"/>
          </w:tcPr>
          <w:p>
            <w:pPr>
              <w:ind w:left="300"/>
              <w:spacing w:after="0"/>
              <w:rPr>
                <w:sz w:val="20"/>
                <w:szCs w:val="20"/>
                <w:color w:val="auto"/>
              </w:rPr>
            </w:pPr>
            <w:r>
              <w:rPr>
                <w:rFonts w:ascii="Arial" w:cs="Arial" w:eastAsia="Arial" w:hAnsi="Arial"/>
                <w:sz w:val="14"/>
                <w:szCs w:val="14"/>
                <w:color w:val="auto"/>
              </w:rPr>
              <w:t>Amortization of intangible assets</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6,189</w:t>
            </w:r>
          </w:p>
        </w:tc>
        <w:tc>
          <w:tcPr>
            <w:tcW w:w="1040" w:type="dxa"/>
            <w:vAlign w:val="bottom"/>
          </w:tcPr>
          <w:p>
            <w:pPr>
              <w:jc w:val="right"/>
              <w:spacing w:after="0"/>
              <w:rPr>
                <w:sz w:val="20"/>
                <w:szCs w:val="20"/>
                <w:color w:val="auto"/>
              </w:rPr>
            </w:pPr>
            <w:r>
              <w:rPr>
                <w:rFonts w:ascii="Arial" w:cs="Arial" w:eastAsia="Arial" w:hAnsi="Arial"/>
                <w:sz w:val="14"/>
                <w:szCs w:val="14"/>
                <w:color w:val="auto"/>
              </w:rPr>
              <w:t>4,707</w:t>
            </w:r>
          </w:p>
        </w:tc>
        <w:tc>
          <w:tcPr>
            <w:tcW w:w="40" w:type="dxa"/>
            <w:vAlign w:val="bottom"/>
          </w:tcPr>
          <w:p>
            <w:pPr>
              <w:spacing w:after="0"/>
              <w:rPr>
                <w:sz w:val="15"/>
                <w:szCs w:val="15"/>
                <w:color w:val="auto"/>
              </w:rPr>
            </w:pPr>
          </w:p>
        </w:tc>
        <w:tc>
          <w:tcPr>
            <w:tcW w:w="1480" w:type="dxa"/>
            <w:vAlign w:val="bottom"/>
            <w:gridSpan w:val="2"/>
          </w:tcPr>
          <w:p>
            <w:pPr>
              <w:jc w:val="right"/>
              <w:ind w:right="208"/>
              <w:spacing w:after="0"/>
              <w:rPr>
                <w:sz w:val="20"/>
                <w:szCs w:val="20"/>
                <w:color w:val="auto"/>
              </w:rPr>
            </w:pPr>
            <w:r>
              <w:rPr>
                <w:rFonts w:ascii="Arial" w:cs="Arial" w:eastAsia="Arial" w:hAnsi="Arial"/>
                <w:sz w:val="14"/>
                <w:szCs w:val="14"/>
                <w:color w:val="auto"/>
              </w:rPr>
              <w:t>12,344</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9,397</w:t>
            </w:r>
          </w:p>
        </w:tc>
        <w:tc>
          <w:tcPr>
            <w:tcW w:w="0" w:type="dxa"/>
            <w:vAlign w:val="bottom"/>
          </w:tcPr>
          <w:p>
            <w:pPr>
              <w:spacing w:after="0"/>
              <w:rPr>
                <w:sz w:val="1"/>
                <w:szCs w:val="1"/>
                <w:color w:val="auto"/>
              </w:rPr>
            </w:pPr>
          </w:p>
        </w:tc>
      </w:tr>
      <w:tr>
        <w:trPr>
          <w:trHeight w:val="176"/>
        </w:trPr>
        <w:tc>
          <w:tcPr>
            <w:tcW w:w="6360" w:type="dxa"/>
            <w:vAlign w:val="bottom"/>
          </w:tcPr>
          <w:p>
            <w:pPr>
              <w:ind w:left="300"/>
              <w:spacing w:after="0"/>
              <w:rPr>
                <w:sz w:val="20"/>
                <w:szCs w:val="20"/>
                <w:color w:val="auto"/>
              </w:rPr>
            </w:pPr>
            <w:r>
              <w:rPr>
                <w:rFonts w:ascii="Arial" w:cs="Arial" w:eastAsia="Arial" w:hAnsi="Arial"/>
                <w:sz w:val="14"/>
                <w:szCs w:val="14"/>
                <w:color w:val="auto"/>
              </w:rPr>
              <w:t>Restructuring expense</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(7,925)</w:t>
            </w:r>
          </w:p>
        </w:tc>
        <w:tc>
          <w:tcPr>
            <w:tcW w:w="1040" w:type="dxa"/>
            <w:vAlign w:val="bottom"/>
          </w:tcPr>
          <w:p>
            <w:pPr>
              <w:jc w:val="right"/>
              <w:spacing w:after="0"/>
              <w:rPr>
                <w:sz w:val="20"/>
                <w:szCs w:val="20"/>
                <w:color w:val="auto"/>
              </w:rPr>
            </w:pPr>
            <w:r>
              <w:rPr>
                <w:rFonts w:ascii="Arial" w:cs="Arial" w:eastAsia="Arial" w:hAnsi="Arial"/>
                <w:sz w:val="14"/>
                <w:szCs w:val="14"/>
                <w:color w:val="auto"/>
              </w:rPr>
              <w:t>1,760</w:t>
            </w:r>
          </w:p>
        </w:tc>
        <w:tc>
          <w:tcPr>
            <w:tcW w:w="40" w:type="dxa"/>
            <w:vAlign w:val="bottom"/>
          </w:tcPr>
          <w:p>
            <w:pPr>
              <w:spacing w:after="0"/>
              <w:rPr>
                <w:sz w:val="15"/>
                <w:szCs w:val="15"/>
                <w:color w:val="auto"/>
              </w:rPr>
            </w:pPr>
          </w:p>
        </w:tc>
        <w:tc>
          <w:tcPr>
            <w:tcW w:w="1480" w:type="dxa"/>
            <w:vAlign w:val="bottom"/>
            <w:gridSpan w:val="2"/>
          </w:tcPr>
          <w:p>
            <w:pPr>
              <w:jc w:val="right"/>
              <w:ind w:right="208"/>
              <w:spacing w:after="0"/>
              <w:rPr>
                <w:sz w:val="20"/>
                <w:szCs w:val="20"/>
                <w:color w:val="auto"/>
              </w:rPr>
            </w:pPr>
            <w:r>
              <w:rPr>
                <w:rFonts w:ascii="Arial" w:cs="Arial" w:eastAsia="Arial" w:hAnsi="Arial"/>
                <w:sz w:val="14"/>
                <w:szCs w:val="14"/>
                <w:color w:val="auto"/>
              </w:rPr>
              <w:t>(8,455)</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1,511</w:t>
            </w:r>
          </w:p>
        </w:tc>
        <w:tc>
          <w:tcPr>
            <w:tcW w:w="0" w:type="dxa"/>
            <w:vAlign w:val="bottom"/>
          </w:tcPr>
          <w:p>
            <w:pPr>
              <w:spacing w:after="0"/>
              <w:rPr>
                <w:sz w:val="1"/>
                <w:szCs w:val="1"/>
                <w:color w:val="auto"/>
              </w:rPr>
            </w:pPr>
          </w:p>
        </w:tc>
      </w:tr>
      <w:tr>
        <w:trPr>
          <w:trHeight w:val="176"/>
        </w:trPr>
        <w:tc>
          <w:tcPr>
            <w:tcW w:w="6360" w:type="dxa"/>
            <w:vAlign w:val="bottom"/>
          </w:tcPr>
          <w:p>
            <w:pPr>
              <w:ind w:left="300"/>
              <w:spacing w:after="0"/>
              <w:rPr>
                <w:sz w:val="20"/>
                <w:szCs w:val="20"/>
                <w:color w:val="auto"/>
              </w:rPr>
            </w:pPr>
            <w:r>
              <w:rPr>
                <w:rFonts w:ascii="Arial" w:cs="Arial" w:eastAsia="Arial" w:hAnsi="Arial"/>
                <w:sz w:val="14"/>
                <w:szCs w:val="14"/>
                <w:color w:val="auto"/>
              </w:rPr>
              <w:t>Acquisition related expenses</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89</w:t>
            </w:r>
          </w:p>
        </w:tc>
        <w:tc>
          <w:tcPr>
            <w:tcW w:w="1040" w:type="dxa"/>
            <w:vAlign w:val="bottom"/>
          </w:tcPr>
          <w:p>
            <w:pPr>
              <w:jc w:val="right"/>
              <w:spacing w:after="0"/>
              <w:rPr>
                <w:sz w:val="20"/>
                <w:szCs w:val="20"/>
                <w:color w:val="auto"/>
              </w:rPr>
            </w:pPr>
            <w:r>
              <w:rPr>
                <w:rFonts w:ascii="Arial" w:cs="Arial" w:eastAsia="Arial" w:hAnsi="Arial"/>
                <w:sz w:val="14"/>
                <w:szCs w:val="14"/>
                <w:color w:val="auto"/>
              </w:rPr>
              <w:t>602</w:t>
            </w:r>
          </w:p>
        </w:tc>
        <w:tc>
          <w:tcPr>
            <w:tcW w:w="40" w:type="dxa"/>
            <w:vAlign w:val="bottom"/>
          </w:tcPr>
          <w:p>
            <w:pPr>
              <w:spacing w:after="0"/>
              <w:rPr>
                <w:sz w:val="15"/>
                <w:szCs w:val="15"/>
                <w:color w:val="auto"/>
              </w:rPr>
            </w:pPr>
          </w:p>
        </w:tc>
        <w:tc>
          <w:tcPr>
            <w:tcW w:w="1480" w:type="dxa"/>
            <w:vAlign w:val="bottom"/>
            <w:gridSpan w:val="2"/>
          </w:tcPr>
          <w:p>
            <w:pPr>
              <w:jc w:val="right"/>
              <w:ind w:right="208"/>
              <w:spacing w:after="0"/>
              <w:rPr>
                <w:sz w:val="20"/>
                <w:szCs w:val="20"/>
                <w:color w:val="auto"/>
              </w:rPr>
            </w:pPr>
            <w:r>
              <w:rPr>
                <w:rFonts w:ascii="Arial" w:cs="Arial" w:eastAsia="Arial" w:hAnsi="Arial"/>
                <w:sz w:val="14"/>
                <w:szCs w:val="14"/>
                <w:color w:val="auto"/>
              </w:rPr>
              <w:t>531</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1,226</w:t>
            </w:r>
          </w:p>
        </w:tc>
        <w:tc>
          <w:tcPr>
            <w:tcW w:w="0" w:type="dxa"/>
            <w:vAlign w:val="bottom"/>
          </w:tcPr>
          <w:p>
            <w:pPr>
              <w:spacing w:after="0"/>
              <w:rPr>
                <w:sz w:val="1"/>
                <w:szCs w:val="1"/>
                <w:color w:val="auto"/>
              </w:rPr>
            </w:pPr>
          </w:p>
        </w:tc>
      </w:tr>
      <w:tr>
        <w:trPr>
          <w:trHeight w:val="181"/>
        </w:trPr>
        <w:tc>
          <w:tcPr>
            <w:tcW w:w="6360" w:type="dxa"/>
            <w:vAlign w:val="bottom"/>
          </w:tcPr>
          <w:p>
            <w:pPr>
              <w:ind w:left="300"/>
              <w:spacing w:after="0"/>
              <w:rPr>
                <w:sz w:val="20"/>
                <w:szCs w:val="20"/>
                <w:color w:val="auto"/>
              </w:rPr>
            </w:pPr>
            <w:r>
              <w:rPr>
                <w:rFonts w:ascii="Arial" w:cs="Arial" w:eastAsia="Arial" w:hAnsi="Arial"/>
                <w:sz w:val="14"/>
                <w:szCs w:val="14"/>
                <w:color w:val="auto"/>
              </w:rPr>
              <w:t>Goodwill impairment</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480" w:type="dxa"/>
            <w:vAlign w:val="bottom"/>
            <w:gridSpan w:val="2"/>
          </w:tcPr>
          <w:p>
            <w:pPr>
              <w:jc w:val="right"/>
              <w:ind w:right="208"/>
              <w:spacing w:after="0"/>
              <w:rPr>
                <w:sz w:val="20"/>
                <w:szCs w:val="20"/>
                <w:color w:val="auto"/>
              </w:rPr>
            </w:pPr>
            <w:r>
              <w:rPr>
                <w:rFonts w:ascii="Arial" w:cs="Arial" w:eastAsia="Arial" w:hAnsi="Arial"/>
                <w:sz w:val="14"/>
                <w:szCs w:val="14"/>
                <w:color w:val="auto"/>
              </w:rPr>
              <w:t>977</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6360" w:type="dxa"/>
            <w:vAlign w:val="bottom"/>
          </w:tcPr>
          <w:p>
            <w:pPr>
              <w:ind w:left="200"/>
              <w:spacing w:after="0"/>
              <w:rPr>
                <w:sz w:val="20"/>
                <w:szCs w:val="20"/>
                <w:color w:val="auto"/>
              </w:rPr>
            </w:pPr>
            <w:r>
              <w:rPr>
                <w:rFonts w:ascii="Arial" w:cs="Arial" w:eastAsia="Arial" w:hAnsi="Arial"/>
                <w:sz w:val="14"/>
                <w:szCs w:val="14"/>
                <w:color w:val="auto"/>
              </w:rPr>
              <w:t>Electricity - Non-GAAP operating income</w:t>
            </w:r>
          </w:p>
        </w:tc>
        <w:tc>
          <w:tcPr>
            <w:tcW w:w="15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 (2,894)</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$ 2,952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 (18,819)</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(11,033)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NON-GAAP OPERATING INCOME - GAS</w:t>
            </w:r>
          </w:p>
        </w:tc>
        <w:tc>
          <w:tcPr>
            <w:tcW w:w="1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36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360" w:type="dxa"/>
            <w:vAlign w:val="bottom"/>
          </w:tcPr>
          <w:p>
            <w:pPr>
              <w:ind w:left="200"/>
              <w:spacing w:after="0"/>
              <w:rPr>
                <w:sz w:val="20"/>
                <w:szCs w:val="20"/>
                <w:color w:val="auto"/>
              </w:rPr>
            </w:pPr>
            <w:r>
              <w:rPr>
                <w:rFonts w:ascii="Arial" w:cs="Arial" w:eastAsia="Arial" w:hAnsi="Arial"/>
                <w:sz w:val="14"/>
                <w:szCs w:val="14"/>
                <w:color w:val="auto"/>
              </w:rPr>
              <w:t>Gas - GAAP operating income</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$ 24,329</w:t>
            </w:r>
          </w:p>
        </w:tc>
        <w:tc>
          <w:tcPr>
            <w:tcW w:w="1040" w:type="dxa"/>
            <w:vAlign w:val="bottom"/>
          </w:tcPr>
          <w:p>
            <w:pPr>
              <w:jc w:val="right"/>
              <w:spacing w:after="0"/>
              <w:rPr>
                <w:sz w:val="20"/>
                <w:szCs w:val="20"/>
                <w:color w:val="auto"/>
              </w:rPr>
            </w:pPr>
            <w:r>
              <w:rPr>
                <w:rFonts w:ascii="Arial" w:cs="Arial" w:eastAsia="Arial" w:hAnsi="Arial"/>
                <w:sz w:val="14"/>
                <w:szCs w:val="14"/>
                <w:color w:val="auto"/>
              </w:rPr>
              <w:t>$ 18,881</w:t>
            </w:r>
          </w:p>
        </w:tc>
        <w:tc>
          <w:tcPr>
            <w:tcW w:w="40" w:type="dxa"/>
            <w:vAlign w:val="bottom"/>
          </w:tcPr>
          <w:p>
            <w:pPr>
              <w:spacing w:after="0"/>
              <w:rPr>
                <w:sz w:val="15"/>
                <w:szCs w:val="15"/>
                <w:color w:val="auto"/>
              </w:rPr>
            </w:pPr>
          </w:p>
        </w:tc>
        <w:tc>
          <w:tcPr>
            <w:tcW w:w="1480" w:type="dxa"/>
            <w:vAlign w:val="bottom"/>
            <w:gridSpan w:val="2"/>
          </w:tcPr>
          <w:p>
            <w:pPr>
              <w:jc w:val="right"/>
              <w:ind w:right="208"/>
              <w:spacing w:after="0"/>
              <w:rPr>
                <w:sz w:val="20"/>
                <w:szCs w:val="20"/>
                <w:color w:val="auto"/>
              </w:rPr>
            </w:pPr>
            <w:r>
              <w:rPr>
                <w:rFonts w:ascii="Arial" w:cs="Arial" w:eastAsia="Arial" w:hAnsi="Arial"/>
                <w:sz w:val="14"/>
                <w:szCs w:val="14"/>
                <w:color w:val="auto"/>
              </w:rPr>
              <w:t>$ 50,053</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$ 38,411</w:t>
            </w:r>
          </w:p>
        </w:tc>
        <w:tc>
          <w:tcPr>
            <w:tcW w:w="0" w:type="dxa"/>
            <w:vAlign w:val="bottom"/>
          </w:tcPr>
          <w:p>
            <w:pPr>
              <w:spacing w:after="0"/>
              <w:rPr>
                <w:sz w:val="1"/>
                <w:szCs w:val="1"/>
                <w:color w:val="auto"/>
              </w:rPr>
            </w:pPr>
          </w:p>
        </w:tc>
      </w:tr>
      <w:tr>
        <w:trPr>
          <w:trHeight w:val="176"/>
        </w:trPr>
        <w:tc>
          <w:tcPr>
            <w:tcW w:w="6360" w:type="dxa"/>
            <w:vAlign w:val="bottom"/>
          </w:tcPr>
          <w:p>
            <w:pPr>
              <w:ind w:left="300"/>
              <w:spacing w:after="0"/>
              <w:rPr>
                <w:sz w:val="20"/>
                <w:szCs w:val="20"/>
                <w:color w:val="auto"/>
              </w:rPr>
            </w:pPr>
            <w:r>
              <w:rPr>
                <w:rFonts w:ascii="Arial" w:cs="Arial" w:eastAsia="Arial" w:hAnsi="Arial"/>
                <w:sz w:val="14"/>
                <w:szCs w:val="14"/>
                <w:color w:val="auto"/>
              </w:rPr>
              <w:t>Amortization of intangible assets</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2,681</w:t>
            </w:r>
          </w:p>
        </w:tc>
        <w:tc>
          <w:tcPr>
            <w:tcW w:w="1040" w:type="dxa"/>
            <w:vAlign w:val="bottom"/>
          </w:tcPr>
          <w:p>
            <w:pPr>
              <w:jc w:val="right"/>
              <w:spacing w:after="0"/>
              <w:rPr>
                <w:sz w:val="20"/>
                <w:szCs w:val="20"/>
                <w:color w:val="auto"/>
              </w:rPr>
            </w:pPr>
            <w:r>
              <w:rPr>
                <w:rFonts w:ascii="Arial" w:cs="Arial" w:eastAsia="Arial" w:hAnsi="Arial"/>
                <w:sz w:val="14"/>
                <w:szCs w:val="14"/>
                <w:color w:val="auto"/>
              </w:rPr>
              <w:t>2,973</w:t>
            </w:r>
          </w:p>
        </w:tc>
        <w:tc>
          <w:tcPr>
            <w:tcW w:w="40" w:type="dxa"/>
            <w:vAlign w:val="bottom"/>
          </w:tcPr>
          <w:p>
            <w:pPr>
              <w:spacing w:after="0"/>
              <w:rPr>
                <w:sz w:val="15"/>
                <w:szCs w:val="15"/>
                <w:color w:val="auto"/>
              </w:rPr>
            </w:pPr>
          </w:p>
        </w:tc>
        <w:tc>
          <w:tcPr>
            <w:tcW w:w="1480" w:type="dxa"/>
            <w:vAlign w:val="bottom"/>
            <w:gridSpan w:val="2"/>
          </w:tcPr>
          <w:p>
            <w:pPr>
              <w:jc w:val="right"/>
              <w:ind w:right="208"/>
              <w:spacing w:after="0"/>
              <w:rPr>
                <w:sz w:val="20"/>
                <w:szCs w:val="20"/>
                <w:color w:val="auto"/>
              </w:rPr>
            </w:pPr>
            <w:r>
              <w:rPr>
                <w:rFonts w:ascii="Arial" w:cs="Arial" w:eastAsia="Arial" w:hAnsi="Arial"/>
                <w:sz w:val="14"/>
                <w:szCs w:val="14"/>
                <w:color w:val="auto"/>
              </w:rPr>
              <w:t>5,370</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6,121</w:t>
            </w:r>
          </w:p>
        </w:tc>
        <w:tc>
          <w:tcPr>
            <w:tcW w:w="0" w:type="dxa"/>
            <w:vAlign w:val="bottom"/>
          </w:tcPr>
          <w:p>
            <w:pPr>
              <w:spacing w:after="0"/>
              <w:rPr>
                <w:sz w:val="1"/>
                <w:szCs w:val="1"/>
                <w:color w:val="auto"/>
              </w:rPr>
            </w:pPr>
          </w:p>
        </w:tc>
      </w:tr>
      <w:tr>
        <w:trPr>
          <w:trHeight w:val="181"/>
        </w:trPr>
        <w:tc>
          <w:tcPr>
            <w:tcW w:w="6360" w:type="dxa"/>
            <w:vAlign w:val="bottom"/>
          </w:tcPr>
          <w:p>
            <w:pPr>
              <w:ind w:left="300"/>
              <w:spacing w:after="0"/>
              <w:rPr>
                <w:sz w:val="20"/>
                <w:szCs w:val="20"/>
                <w:color w:val="auto"/>
              </w:rPr>
            </w:pPr>
            <w:r>
              <w:rPr>
                <w:rFonts w:ascii="Arial" w:cs="Arial" w:eastAsia="Arial" w:hAnsi="Arial"/>
                <w:sz w:val="14"/>
                <w:szCs w:val="14"/>
                <w:color w:val="auto"/>
              </w:rPr>
              <w:t>Restructuring expense</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517</w:t>
            </w:r>
          </w:p>
        </w:tc>
        <w:tc>
          <w:tcPr>
            <w:tcW w:w="1040" w:type="dxa"/>
            <w:vAlign w:val="bottom"/>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5"/>
                <w:szCs w:val="15"/>
                <w:color w:val="auto"/>
              </w:rPr>
            </w:pPr>
          </w:p>
        </w:tc>
        <w:tc>
          <w:tcPr>
            <w:tcW w:w="1480" w:type="dxa"/>
            <w:vAlign w:val="bottom"/>
            <w:gridSpan w:val="2"/>
          </w:tcPr>
          <w:p>
            <w:pPr>
              <w:jc w:val="right"/>
              <w:ind w:right="208"/>
              <w:spacing w:after="0"/>
              <w:rPr>
                <w:sz w:val="20"/>
                <w:szCs w:val="20"/>
                <w:color w:val="auto"/>
              </w:rPr>
            </w:pPr>
            <w:r>
              <w:rPr>
                <w:rFonts w:ascii="Arial" w:cs="Arial" w:eastAsia="Arial" w:hAnsi="Arial"/>
                <w:sz w:val="14"/>
                <w:szCs w:val="14"/>
                <w:color w:val="auto"/>
              </w:rPr>
              <w:t>214</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(898)</w:t>
            </w:r>
          </w:p>
        </w:tc>
        <w:tc>
          <w:tcPr>
            <w:tcW w:w="0" w:type="dxa"/>
            <w:vAlign w:val="bottom"/>
          </w:tcPr>
          <w:p>
            <w:pPr>
              <w:spacing w:after="0"/>
              <w:rPr>
                <w:sz w:val="1"/>
                <w:szCs w:val="1"/>
                <w:color w:val="auto"/>
              </w:rPr>
            </w:pPr>
          </w:p>
        </w:tc>
      </w:tr>
      <w:tr>
        <w:trPr>
          <w:trHeight w:val="169"/>
        </w:trPr>
        <w:tc>
          <w:tcPr>
            <w:tcW w:w="6360" w:type="dxa"/>
            <w:vAlign w:val="bottom"/>
          </w:tcPr>
          <w:p>
            <w:pPr>
              <w:ind w:left="200"/>
              <w:spacing w:after="0"/>
              <w:rPr>
                <w:sz w:val="20"/>
                <w:szCs w:val="20"/>
                <w:color w:val="auto"/>
              </w:rPr>
            </w:pPr>
            <w:r>
              <w:rPr>
                <w:rFonts w:ascii="Arial" w:cs="Arial" w:eastAsia="Arial" w:hAnsi="Arial"/>
                <w:sz w:val="14"/>
                <w:szCs w:val="14"/>
                <w:color w:val="auto"/>
              </w:rPr>
              <w:t>Gas - Non-GAAP operating income</w:t>
            </w:r>
          </w:p>
        </w:tc>
        <w:tc>
          <w:tcPr>
            <w:tcW w:w="15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$ 27,527</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$ 21,857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$ 55,637</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$ 43,634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NON-GAAP OPERATING INCOME - WATER</w:t>
            </w:r>
          </w:p>
        </w:tc>
        <w:tc>
          <w:tcPr>
            <w:tcW w:w="1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36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360" w:type="dxa"/>
            <w:vAlign w:val="bottom"/>
          </w:tcPr>
          <w:p>
            <w:pPr>
              <w:ind w:left="200"/>
              <w:spacing w:after="0"/>
              <w:rPr>
                <w:sz w:val="20"/>
                <w:szCs w:val="20"/>
                <w:color w:val="auto"/>
              </w:rPr>
            </w:pPr>
            <w:r>
              <w:rPr>
                <w:rFonts w:ascii="Arial" w:cs="Arial" w:eastAsia="Arial" w:hAnsi="Arial"/>
                <w:sz w:val="14"/>
                <w:szCs w:val="14"/>
                <w:color w:val="auto"/>
              </w:rPr>
              <w:t>Water - GAAP operating income</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$ 20,519</w:t>
            </w:r>
          </w:p>
        </w:tc>
        <w:tc>
          <w:tcPr>
            <w:tcW w:w="1040" w:type="dxa"/>
            <w:vAlign w:val="bottom"/>
          </w:tcPr>
          <w:p>
            <w:pPr>
              <w:jc w:val="right"/>
              <w:spacing w:after="0"/>
              <w:rPr>
                <w:sz w:val="20"/>
                <w:szCs w:val="20"/>
                <w:color w:val="auto"/>
              </w:rPr>
            </w:pPr>
            <w:r>
              <w:rPr>
                <w:rFonts w:ascii="Arial" w:cs="Arial" w:eastAsia="Arial" w:hAnsi="Arial"/>
                <w:sz w:val="14"/>
                <w:szCs w:val="14"/>
                <w:color w:val="auto"/>
              </w:rPr>
              <w:t>$ 15,389</w:t>
            </w:r>
          </w:p>
        </w:tc>
        <w:tc>
          <w:tcPr>
            <w:tcW w:w="40" w:type="dxa"/>
            <w:vAlign w:val="bottom"/>
          </w:tcPr>
          <w:p>
            <w:pPr>
              <w:spacing w:after="0"/>
              <w:rPr>
                <w:sz w:val="15"/>
                <w:szCs w:val="15"/>
                <w:color w:val="auto"/>
              </w:rPr>
            </w:pPr>
          </w:p>
        </w:tc>
        <w:tc>
          <w:tcPr>
            <w:tcW w:w="1480" w:type="dxa"/>
            <w:vAlign w:val="bottom"/>
            <w:gridSpan w:val="2"/>
          </w:tcPr>
          <w:p>
            <w:pPr>
              <w:jc w:val="right"/>
              <w:ind w:right="208"/>
              <w:spacing w:after="0"/>
              <w:rPr>
                <w:sz w:val="20"/>
                <w:szCs w:val="20"/>
                <w:color w:val="auto"/>
              </w:rPr>
            </w:pPr>
            <w:r>
              <w:rPr>
                <w:rFonts w:ascii="Arial" w:cs="Arial" w:eastAsia="Arial" w:hAnsi="Arial"/>
                <w:sz w:val="14"/>
                <w:szCs w:val="14"/>
                <w:color w:val="auto"/>
              </w:rPr>
              <w:t>$ 41,162</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$ 27,964</w:t>
            </w:r>
          </w:p>
        </w:tc>
        <w:tc>
          <w:tcPr>
            <w:tcW w:w="0" w:type="dxa"/>
            <w:vAlign w:val="bottom"/>
          </w:tcPr>
          <w:p>
            <w:pPr>
              <w:spacing w:after="0"/>
              <w:rPr>
                <w:sz w:val="1"/>
                <w:szCs w:val="1"/>
                <w:color w:val="auto"/>
              </w:rPr>
            </w:pPr>
          </w:p>
        </w:tc>
      </w:tr>
      <w:tr>
        <w:trPr>
          <w:trHeight w:val="176"/>
        </w:trPr>
        <w:tc>
          <w:tcPr>
            <w:tcW w:w="6360" w:type="dxa"/>
            <w:vAlign w:val="bottom"/>
          </w:tcPr>
          <w:p>
            <w:pPr>
              <w:ind w:left="300"/>
              <w:spacing w:after="0"/>
              <w:rPr>
                <w:sz w:val="20"/>
                <w:szCs w:val="20"/>
                <w:color w:val="auto"/>
              </w:rPr>
            </w:pPr>
            <w:r>
              <w:rPr>
                <w:rFonts w:ascii="Arial" w:cs="Arial" w:eastAsia="Arial" w:hAnsi="Arial"/>
                <w:sz w:val="14"/>
                <w:szCs w:val="14"/>
                <w:color w:val="auto"/>
              </w:rPr>
              <w:t>Amortization of intangible assets</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2,239</w:t>
            </w:r>
          </w:p>
        </w:tc>
        <w:tc>
          <w:tcPr>
            <w:tcW w:w="1040" w:type="dxa"/>
            <w:vAlign w:val="bottom"/>
          </w:tcPr>
          <w:p>
            <w:pPr>
              <w:jc w:val="right"/>
              <w:spacing w:after="0"/>
              <w:rPr>
                <w:sz w:val="20"/>
                <w:szCs w:val="20"/>
                <w:color w:val="auto"/>
              </w:rPr>
            </w:pPr>
            <w:r>
              <w:rPr>
                <w:rFonts w:ascii="Arial" w:cs="Arial" w:eastAsia="Arial" w:hAnsi="Arial"/>
                <w:sz w:val="14"/>
                <w:szCs w:val="14"/>
                <w:color w:val="auto"/>
              </w:rPr>
              <w:t>2,567</w:t>
            </w:r>
          </w:p>
        </w:tc>
        <w:tc>
          <w:tcPr>
            <w:tcW w:w="40" w:type="dxa"/>
            <w:vAlign w:val="bottom"/>
          </w:tcPr>
          <w:p>
            <w:pPr>
              <w:spacing w:after="0"/>
              <w:rPr>
                <w:sz w:val="15"/>
                <w:szCs w:val="15"/>
                <w:color w:val="auto"/>
              </w:rPr>
            </w:pPr>
          </w:p>
        </w:tc>
        <w:tc>
          <w:tcPr>
            <w:tcW w:w="1480" w:type="dxa"/>
            <w:vAlign w:val="bottom"/>
            <w:gridSpan w:val="2"/>
          </w:tcPr>
          <w:p>
            <w:pPr>
              <w:jc w:val="right"/>
              <w:ind w:right="208"/>
              <w:spacing w:after="0"/>
              <w:rPr>
                <w:sz w:val="20"/>
                <w:szCs w:val="20"/>
                <w:color w:val="auto"/>
              </w:rPr>
            </w:pPr>
            <w:r>
              <w:rPr>
                <w:rFonts w:ascii="Arial" w:cs="Arial" w:eastAsia="Arial" w:hAnsi="Arial"/>
                <w:sz w:val="14"/>
                <w:szCs w:val="14"/>
                <w:color w:val="auto"/>
              </w:rPr>
              <w:t>4,465</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5,473</w:t>
            </w:r>
          </w:p>
        </w:tc>
        <w:tc>
          <w:tcPr>
            <w:tcW w:w="0" w:type="dxa"/>
            <w:vAlign w:val="bottom"/>
          </w:tcPr>
          <w:p>
            <w:pPr>
              <w:spacing w:after="0"/>
              <w:rPr>
                <w:sz w:val="1"/>
                <w:szCs w:val="1"/>
                <w:color w:val="auto"/>
              </w:rPr>
            </w:pPr>
          </w:p>
        </w:tc>
      </w:tr>
      <w:tr>
        <w:trPr>
          <w:trHeight w:val="181"/>
        </w:trPr>
        <w:tc>
          <w:tcPr>
            <w:tcW w:w="6360" w:type="dxa"/>
            <w:vAlign w:val="bottom"/>
          </w:tcPr>
          <w:p>
            <w:pPr>
              <w:ind w:left="300"/>
              <w:spacing w:after="0"/>
              <w:rPr>
                <w:sz w:val="20"/>
                <w:szCs w:val="20"/>
                <w:color w:val="auto"/>
              </w:rPr>
            </w:pPr>
            <w:r>
              <w:rPr>
                <w:rFonts w:ascii="Arial" w:cs="Arial" w:eastAsia="Arial" w:hAnsi="Arial"/>
                <w:sz w:val="14"/>
                <w:szCs w:val="14"/>
                <w:color w:val="auto"/>
              </w:rPr>
              <w:t>Restructuring expense</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453</w:t>
            </w:r>
          </w:p>
        </w:tc>
        <w:tc>
          <w:tcPr>
            <w:tcW w:w="1040" w:type="dxa"/>
            <w:vAlign w:val="bottom"/>
          </w:tcPr>
          <w:p>
            <w:pPr>
              <w:jc w:val="right"/>
              <w:spacing w:after="0"/>
              <w:rPr>
                <w:sz w:val="20"/>
                <w:szCs w:val="20"/>
                <w:color w:val="auto"/>
              </w:rPr>
            </w:pPr>
            <w:r>
              <w:rPr>
                <w:rFonts w:ascii="Arial" w:cs="Arial" w:eastAsia="Arial" w:hAnsi="Arial"/>
                <w:sz w:val="14"/>
                <w:szCs w:val="14"/>
                <w:color w:val="auto"/>
              </w:rPr>
              <w:t>510</w:t>
            </w:r>
          </w:p>
        </w:tc>
        <w:tc>
          <w:tcPr>
            <w:tcW w:w="40" w:type="dxa"/>
            <w:vAlign w:val="bottom"/>
          </w:tcPr>
          <w:p>
            <w:pPr>
              <w:spacing w:after="0"/>
              <w:rPr>
                <w:sz w:val="15"/>
                <w:szCs w:val="15"/>
                <w:color w:val="auto"/>
              </w:rPr>
            </w:pPr>
          </w:p>
        </w:tc>
        <w:tc>
          <w:tcPr>
            <w:tcW w:w="1480" w:type="dxa"/>
            <w:vAlign w:val="bottom"/>
            <w:gridSpan w:val="2"/>
          </w:tcPr>
          <w:p>
            <w:pPr>
              <w:jc w:val="right"/>
              <w:ind w:right="208"/>
              <w:spacing w:after="0"/>
              <w:rPr>
                <w:sz w:val="20"/>
                <w:szCs w:val="20"/>
                <w:color w:val="auto"/>
              </w:rPr>
            </w:pPr>
            <w:r>
              <w:rPr>
                <w:rFonts w:ascii="Arial" w:cs="Arial" w:eastAsia="Arial" w:hAnsi="Arial"/>
                <w:sz w:val="14"/>
                <w:szCs w:val="14"/>
                <w:color w:val="auto"/>
              </w:rPr>
              <w:t>1,010</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1,119</w:t>
            </w:r>
          </w:p>
        </w:tc>
        <w:tc>
          <w:tcPr>
            <w:tcW w:w="0" w:type="dxa"/>
            <w:vAlign w:val="bottom"/>
          </w:tcPr>
          <w:p>
            <w:pPr>
              <w:spacing w:after="0"/>
              <w:rPr>
                <w:sz w:val="1"/>
                <w:szCs w:val="1"/>
                <w:color w:val="auto"/>
              </w:rPr>
            </w:pPr>
          </w:p>
        </w:tc>
      </w:tr>
      <w:tr>
        <w:trPr>
          <w:trHeight w:val="169"/>
        </w:trPr>
        <w:tc>
          <w:tcPr>
            <w:tcW w:w="6360" w:type="dxa"/>
            <w:vAlign w:val="bottom"/>
          </w:tcPr>
          <w:p>
            <w:pPr>
              <w:ind w:left="200"/>
              <w:spacing w:after="0"/>
              <w:rPr>
                <w:sz w:val="20"/>
                <w:szCs w:val="20"/>
                <w:color w:val="auto"/>
              </w:rPr>
            </w:pPr>
            <w:r>
              <w:rPr>
                <w:rFonts w:ascii="Arial" w:cs="Arial" w:eastAsia="Arial" w:hAnsi="Arial"/>
                <w:sz w:val="14"/>
                <w:szCs w:val="14"/>
                <w:color w:val="auto"/>
              </w:rPr>
              <w:t>Water - Non-GAAP operating income</w:t>
            </w:r>
          </w:p>
        </w:tc>
        <w:tc>
          <w:tcPr>
            <w:tcW w:w="15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$ 23,211</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$ 18,466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$ 46,637</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$ 34,556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NON-GAAP OPERATING INCOME - CORPORATE UNALLOCATED</w:t>
            </w:r>
          </w:p>
        </w:tc>
        <w:tc>
          <w:tcPr>
            <w:tcW w:w="1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36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360" w:type="dxa"/>
            <w:vAlign w:val="bottom"/>
          </w:tcPr>
          <w:p>
            <w:pPr>
              <w:ind w:left="200"/>
              <w:spacing w:after="0"/>
              <w:rPr>
                <w:sz w:val="20"/>
                <w:szCs w:val="20"/>
                <w:color w:val="auto"/>
              </w:rPr>
            </w:pPr>
            <w:r>
              <w:rPr>
                <w:rFonts w:ascii="Arial" w:cs="Arial" w:eastAsia="Arial" w:hAnsi="Arial"/>
                <w:sz w:val="14"/>
                <w:szCs w:val="14"/>
                <w:color w:val="auto"/>
              </w:rPr>
              <w:t>Corporate unallocated - GAAP operating income</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 (11,674)</w:t>
            </w:r>
          </w:p>
        </w:tc>
        <w:tc>
          <w:tcPr>
            <w:tcW w:w="1040" w:type="dxa"/>
            <w:vAlign w:val="bottom"/>
          </w:tcPr>
          <w:p>
            <w:pPr>
              <w:jc w:val="right"/>
              <w:spacing w:after="0"/>
              <w:rPr>
                <w:sz w:val="20"/>
                <w:szCs w:val="20"/>
                <w:color w:val="auto"/>
              </w:rPr>
            </w:pPr>
            <w:r>
              <w:rPr>
                <w:rFonts w:ascii="Arial" w:cs="Arial" w:eastAsia="Arial" w:hAnsi="Arial"/>
                <w:sz w:val="14"/>
                <w:szCs w:val="14"/>
                <w:color w:val="auto"/>
              </w:rPr>
              <w:t>$ (12,177)</w:t>
            </w:r>
          </w:p>
        </w:tc>
        <w:tc>
          <w:tcPr>
            <w:tcW w:w="40" w:type="dxa"/>
            <w:vAlign w:val="bottom"/>
          </w:tcPr>
          <w:p>
            <w:pPr>
              <w:spacing w:after="0"/>
              <w:rPr>
                <w:sz w:val="15"/>
                <w:szCs w:val="15"/>
                <w:color w:val="auto"/>
              </w:rPr>
            </w:pPr>
          </w:p>
        </w:tc>
        <w:tc>
          <w:tcPr>
            <w:tcW w:w="1480" w:type="dxa"/>
            <w:vAlign w:val="bottom"/>
            <w:gridSpan w:val="2"/>
          </w:tcPr>
          <w:p>
            <w:pPr>
              <w:jc w:val="right"/>
              <w:ind w:right="208"/>
              <w:spacing w:after="0"/>
              <w:rPr>
                <w:sz w:val="20"/>
                <w:szCs w:val="20"/>
                <w:color w:val="auto"/>
              </w:rPr>
            </w:pPr>
            <w:r>
              <w:rPr>
                <w:rFonts w:ascii="Arial" w:cs="Arial" w:eastAsia="Arial" w:hAnsi="Arial"/>
                <w:sz w:val="14"/>
                <w:szCs w:val="14"/>
                <w:color w:val="auto"/>
              </w:rPr>
              <w:t>$ (30,533)</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 (22,885)</w:t>
            </w:r>
          </w:p>
        </w:tc>
        <w:tc>
          <w:tcPr>
            <w:tcW w:w="0" w:type="dxa"/>
            <w:vAlign w:val="bottom"/>
          </w:tcPr>
          <w:p>
            <w:pPr>
              <w:spacing w:after="0"/>
              <w:rPr>
                <w:sz w:val="1"/>
                <w:szCs w:val="1"/>
                <w:color w:val="auto"/>
              </w:rPr>
            </w:pPr>
          </w:p>
        </w:tc>
      </w:tr>
      <w:tr>
        <w:trPr>
          <w:trHeight w:val="176"/>
        </w:trPr>
        <w:tc>
          <w:tcPr>
            <w:tcW w:w="6360" w:type="dxa"/>
            <w:vAlign w:val="bottom"/>
          </w:tcPr>
          <w:p>
            <w:pPr>
              <w:ind w:left="300"/>
              <w:spacing w:after="0"/>
              <w:rPr>
                <w:sz w:val="20"/>
                <w:szCs w:val="20"/>
                <w:color w:val="auto"/>
              </w:rPr>
            </w:pPr>
            <w:r>
              <w:rPr>
                <w:rFonts w:ascii="Arial" w:cs="Arial" w:eastAsia="Arial" w:hAnsi="Arial"/>
                <w:sz w:val="14"/>
                <w:szCs w:val="14"/>
                <w:color w:val="auto"/>
              </w:rPr>
              <w:t>Restructuring expense</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(838)</w:t>
            </w:r>
          </w:p>
        </w:tc>
        <w:tc>
          <w:tcPr>
            <w:tcW w:w="1040" w:type="dxa"/>
            <w:vAlign w:val="bottom"/>
          </w:tcPr>
          <w:p>
            <w:pPr>
              <w:jc w:val="right"/>
              <w:spacing w:after="0"/>
              <w:rPr>
                <w:sz w:val="20"/>
                <w:szCs w:val="20"/>
                <w:color w:val="auto"/>
              </w:rPr>
            </w:pPr>
            <w:r>
              <w:rPr>
                <w:rFonts w:ascii="Arial" w:cs="Arial" w:eastAsia="Arial" w:hAnsi="Arial"/>
                <w:sz w:val="14"/>
                <w:szCs w:val="14"/>
                <w:color w:val="auto"/>
              </w:rPr>
              <w:t>1,112</w:t>
            </w:r>
          </w:p>
        </w:tc>
        <w:tc>
          <w:tcPr>
            <w:tcW w:w="40" w:type="dxa"/>
            <w:vAlign w:val="bottom"/>
          </w:tcPr>
          <w:p>
            <w:pPr>
              <w:spacing w:after="0"/>
              <w:rPr>
                <w:sz w:val="15"/>
                <w:szCs w:val="15"/>
                <w:color w:val="auto"/>
              </w:rPr>
            </w:pPr>
          </w:p>
        </w:tc>
        <w:tc>
          <w:tcPr>
            <w:tcW w:w="1480" w:type="dxa"/>
            <w:vAlign w:val="bottom"/>
            <w:gridSpan w:val="2"/>
          </w:tcPr>
          <w:p>
            <w:pPr>
              <w:jc w:val="right"/>
              <w:ind w:right="208"/>
              <w:spacing w:after="0"/>
              <w:rPr>
                <w:sz w:val="20"/>
                <w:szCs w:val="20"/>
                <w:color w:val="auto"/>
              </w:rPr>
            </w:pPr>
            <w:r>
              <w:rPr>
                <w:rFonts w:ascii="Arial" w:cs="Arial" w:eastAsia="Arial" w:hAnsi="Arial"/>
                <w:sz w:val="14"/>
                <w:szCs w:val="14"/>
                <w:color w:val="auto"/>
              </w:rPr>
              <w:t>4,962</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2,666</w:t>
            </w:r>
          </w:p>
        </w:tc>
        <w:tc>
          <w:tcPr>
            <w:tcW w:w="0" w:type="dxa"/>
            <w:vAlign w:val="bottom"/>
          </w:tcPr>
          <w:p>
            <w:pPr>
              <w:spacing w:after="0"/>
              <w:rPr>
                <w:sz w:val="1"/>
                <w:szCs w:val="1"/>
                <w:color w:val="auto"/>
              </w:rPr>
            </w:pPr>
          </w:p>
        </w:tc>
      </w:tr>
      <w:tr>
        <w:trPr>
          <w:trHeight w:val="181"/>
        </w:trPr>
        <w:tc>
          <w:tcPr>
            <w:tcW w:w="6360" w:type="dxa"/>
            <w:vAlign w:val="bottom"/>
          </w:tcPr>
          <w:p>
            <w:pPr>
              <w:ind w:left="300"/>
              <w:spacing w:after="0"/>
              <w:rPr>
                <w:sz w:val="20"/>
                <w:szCs w:val="20"/>
                <w:color w:val="auto"/>
              </w:rPr>
            </w:pPr>
            <w:r>
              <w:rPr>
                <w:rFonts w:ascii="Arial" w:cs="Arial" w:eastAsia="Arial" w:hAnsi="Arial"/>
                <w:sz w:val="14"/>
                <w:szCs w:val="14"/>
                <w:color w:val="auto"/>
              </w:rPr>
              <w:t>Acquisition related expenses</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5"/>
                <w:szCs w:val="15"/>
                <w:color w:val="auto"/>
              </w:rPr>
            </w:pPr>
          </w:p>
        </w:tc>
        <w:tc>
          <w:tcPr>
            <w:tcW w:w="1480" w:type="dxa"/>
            <w:vAlign w:val="bottom"/>
            <w:gridSpan w:val="2"/>
          </w:tcPr>
          <w:p>
            <w:pPr>
              <w:jc w:val="right"/>
              <w:ind w:right="208"/>
              <w:spacing w:after="0"/>
              <w:rPr>
                <w:sz w:val="20"/>
                <w:szCs w:val="20"/>
                <w:color w:val="auto"/>
              </w:rPr>
            </w:pPr>
            <w:r>
              <w:rPr>
                <w:rFonts w:ascii="Arial" w:cs="Arial" w:eastAsia="Arial" w:hAnsi="Arial"/>
                <w:sz w:val="14"/>
                <w:szCs w:val="14"/>
                <w:color w:val="auto"/>
              </w:rPr>
              <w:t>47</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9"/>
        </w:trPr>
        <w:tc>
          <w:tcPr>
            <w:tcW w:w="6360" w:type="dxa"/>
            <w:vAlign w:val="bottom"/>
          </w:tcPr>
          <w:p>
            <w:pPr>
              <w:ind w:left="200"/>
              <w:spacing w:after="0"/>
              <w:rPr>
                <w:sz w:val="20"/>
                <w:szCs w:val="20"/>
                <w:color w:val="auto"/>
              </w:rPr>
            </w:pPr>
            <w:r>
              <w:rPr>
                <w:rFonts w:ascii="Arial" w:cs="Arial" w:eastAsia="Arial" w:hAnsi="Arial"/>
                <w:sz w:val="14"/>
                <w:szCs w:val="14"/>
                <w:color w:val="auto"/>
              </w:rPr>
              <w:t>Corporate unallocated - Non-GAAP operating income</w:t>
            </w:r>
          </w:p>
        </w:tc>
        <w:tc>
          <w:tcPr>
            <w:tcW w:w="15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 (12,512)</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(11,066)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 (25,524)</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(20,216)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Itron, Inc.</w:t>
      </w:r>
    </w:p>
    <w:p>
      <w:pPr>
        <w:spacing w:after="0" w:line="230" w:lineRule="auto"/>
        <w:rPr>
          <w:sz w:val="20"/>
          <w:szCs w:val="20"/>
          <w:color w:val="auto"/>
        </w:rPr>
      </w:pPr>
      <w:r>
        <w:rPr>
          <w:rFonts w:ascii="Arial" w:cs="Arial" w:eastAsia="Arial" w:hAnsi="Arial"/>
          <w:sz w:val="22"/>
          <w:szCs w:val="22"/>
          <w:color w:val="auto"/>
        </w:rPr>
        <w:t>Barbara Doyle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Investor Relations</w:t>
      </w:r>
    </w:p>
    <w:p>
      <w:pPr>
        <w:sectPr>
          <w:pgSz w:w="11900" w:h="16917" w:orient="portrait"/>
          <w:cols w:equalWidth="0" w:num="1">
            <w:col w:w="11420"/>
          </w:cols>
          <w:pgMar w:left="240" w:top="306" w:right="239" w:bottom="0" w:gutter="0" w:footer="0" w:header="0"/>
        </w:sectPr>
      </w:pPr>
    </w:p>
    <w:bookmarkStart w:id="15" w:name="page16"/>
    <w:bookmarkEnd w:id="15"/>
    <w:p>
      <w:pPr>
        <w:spacing w:after="0"/>
        <w:rPr>
          <w:sz w:val="20"/>
          <w:szCs w:val="20"/>
          <w:color w:val="auto"/>
        </w:rPr>
      </w:pPr>
      <w:r>
        <w:rPr>
          <w:rFonts w:ascii="Arial" w:cs="Arial" w:eastAsia="Arial" w:hAnsi="Arial"/>
          <w:sz w:val="22"/>
          <w:szCs w:val="22"/>
          <w:color w:val="auto"/>
        </w:rPr>
        <w:t>509-891-3443</w:t>
      </w:r>
    </w:p>
    <w:p>
      <w:pPr>
        <w:spacing w:after="0" w:line="238"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Marni Pilcher</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Director, Investor Relations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509-891-3847</w:t>
      </w:r>
    </w:p>
    <w:sectPr>
      <w:pgSz w:w="11900" w:h="16838" w:orient="portrait"/>
      <w:cols w:equalWidth="0" w:num="1">
        <w:col w:w="10219"/>
      </w:cols>
      <w:pgMar w:left="2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2019-12-05T21:31:42Z</dcterms:created>
  <dcterms:modified xsi:type="dcterms:W3CDTF">2019-12-05T21:31:42Z</dcterms:modified>
</cp:coreProperties>
</file>