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13"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On November 3, 2015, Itron, Inc. (the Company) issued a press release announcing its financial results for the three and nine months ended September 30, 2015.</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 copy of this press release and accompanying financial statements are attached as Exhibit 99.1.</w:t>
      </w:r>
    </w:p>
    <w:p>
      <w:pPr>
        <w:spacing w:after="0" w:line="200"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27" w:lineRule="exact"/>
        <w:rPr>
          <w:sz w:val="20"/>
          <w:szCs w:val="20"/>
          <w:color w:val="auto"/>
        </w:rPr>
      </w:pPr>
    </w:p>
    <w:p>
      <w:pPr>
        <w:ind w:left="140"/>
        <w:spacing w:after="0"/>
        <w:tabs>
          <w:tab w:leader="none" w:pos="16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22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3, 2015.</w:t>
      </w:r>
    </w:p>
    <w:p>
      <w:pPr>
        <w:spacing w:after="0" w:line="232"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6400" w:type="dxa"/>
            <w:vAlign w:val="bottom"/>
            <w:gridSpan w:val="2"/>
          </w:tcPr>
          <w:p>
            <w:pPr>
              <w:ind w:left="1840"/>
              <w:spacing w:after="0"/>
              <w:rPr>
                <w:sz w:val="20"/>
                <w:szCs w:val="20"/>
                <w:color w:val="auto"/>
              </w:rPr>
            </w:pPr>
            <w:r>
              <w:rPr>
                <w:rFonts w:ascii="Arial" w:cs="Arial" w:eastAsia="Arial" w:hAnsi="Arial"/>
                <w:sz w:val="18"/>
                <w:szCs w:val="18"/>
                <w:color w:val="auto"/>
              </w:rPr>
              <w:t>ITRON, INC.</w:t>
            </w:r>
          </w:p>
        </w:tc>
        <w:tc>
          <w:tcPr>
            <w:tcW w:w="1140" w:type="dxa"/>
            <w:vAlign w:val="bottom"/>
          </w:tcPr>
          <w:p>
            <w:pPr>
              <w:spacing w:after="0"/>
              <w:rPr>
                <w:sz w:val="20"/>
                <w:szCs w:val="20"/>
                <w:color w:val="auto"/>
              </w:rPr>
            </w:pPr>
          </w:p>
        </w:tc>
      </w:tr>
      <w:tr>
        <w:trPr>
          <w:trHeight w:val="493"/>
        </w:trPr>
        <w:tc>
          <w:tcPr>
            <w:tcW w:w="3880" w:type="dxa"/>
            <w:vAlign w:val="bottom"/>
          </w:tcPr>
          <w:p>
            <w:pPr>
              <w:spacing w:after="0"/>
              <w:rPr>
                <w:sz w:val="20"/>
                <w:szCs w:val="20"/>
                <w:color w:val="auto"/>
              </w:rPr>
            </w:pPr>
            <w:r>
              <w:rPr>
                <w:rFonts w:ascii="Arial" w:cs="Arial" w:eastAsia="Arial" w:hAnsi="Arial"/>
                <w:sz w:val="18"/>
                <w:szCs w:val="18"/>
                <w:color w:val="auto"/>
              </w:rPr>
              <w:t>Dated:   November 3, 2015</w:t>
            </w:r>
          </w:p>
        </w:tc>
        <w:tc>
          <w:tcPr>
            <w:tcW w:w="6400" w:type="dxa"/>
            <w:vAlign w:val="bottom"/>
            <w:gridSpan w:val="2"/>
          </w:tcPr>
          <w:p>
            <w:pPr>
              <w:ind w:left="1840"/>
              <w:spacing w:after="0"/>
              <w:rPr>
                <w:sz w:val="20"/>
                <w:szCs w:val="20"/>
                <w:color w:val="auto"/>
              </w:rPr>
            </w:pPr>
            <w:r>
              <w:rPr>
                <w:rFonts w:ascii="Arial" w:cs="Arial" w:eastAsia="Arial" w:hAnsi="Arial"/>
                <w:sz w:val="18"/>
                <w:szCs w:val="18"/>
                <w:color w:val="auto"/>
              </w:rPr>
              <w:t>By: /s/ W. Mark Schmitz</w:t>
            </w:r>
          </w:p>
        </w:tc>
        <w:tc>
          <w:tcPr>
            <w:tcW w:w="1140" w:type="dxa"/>
            <w:vAlign w:val="bottom"/>
          </w:tcPr>
          <w:p>
            <w:pPr>
              <w:spacing w:after="0"/>
              <w:rPr>
                <w:sz w:val="24"/>
                <w:szCs w:val="24"/>
                <w:color w:val="auto"/>
              </w:rPr>
            </w:pPr>
          </w:p>
        </w:tc>
      </w:tr>
      <w:tr>
        <w:trPr>
          <w:trHeight w:val="20"/>
        </w:trPr>
        <w:tc>
          <w:tcPr>
            <w:tcW w:w="3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3880" w:type="dxa"/>
            <w:vAlign w:val="bottom"/>
          </w:tcPr>
          <w:p>
            <w:pPr>
              <w:spacing w:after="0"/>
              <w:rPr>
                <w:sz w:val="20"/>
                <w:szCs w:val="20"/>
                <w:color w:val="auto"/>
              </w:rPr>
            </w:pPr>
          </w:p>
        </w:tc>
        <w:tc>
          <w:tcPr>
            <w:tcW w:w="6400" w:type="dxa"/>
            <w:vAlign w:val="bottom"/>
            <w:gridSpan w:val="2"/>
          </w:tcPr>
          <w:p>
            <w:pPr>
              <w:ind w:left="1840"/>
              <w:spacing w:after="0"/>
              <w:rPr>
                <w:sz w:val="20"/>
                <w:szCs w:val="20"/>
                <w:color w:val="auto"/>
              </w:rPr>
            </w:pPr>
            <w:r>
              <w:rPr>
                <w:rFonts w:ascii="Arial" w:cs="Arial" w:eastAsia="Arial" w:hAnsi="Arial"/>
                <w:sz w:val="18"/>
                <w:szCs w:val="18"/>
                <w:color w:val="auto"/>
              </w:rPr>
              <w:t>W. Mark Schmitz</w:t>
            </w:r>
          </w:p>
        </w:tc>
        <w:tc>
          <w:tcPr>
            <w:tcW w:w="1140" w:type="dxa"/>
            <w:vAlign w:val="bottom"/>
          </w:tcPr>
          <w:p>
            <w:pPr>
              <w:spacing w:after="0"/>
              <w:rPr>
                <w:sz w:val="20"/>
                <w:szCs w:val="20"/>
                <w:color w:val="auto"/>
              </w:rPr>
            </w:pPr>
          </w:p>
        </w:tc>
      </w:tr>
      <w:tr>
        <w:trPr>
          <w:trHeight w:val="242"/>
        </w:trPr>
        <w:tc>
          <w:tcPr>
            <w:tcW w:w="3880" w:type="dxa"/>
            <w:vAlign w:val="bottom"/>
          </w:tcPr>
          <w:p>
            <w:pPr>
              <w:spacing w:after="0"/>
              <w:rPr>
                <w:sz w:val="21"/>
                <w:szCs w:val="21"/>
                <w:color w:val="auto"/>
              </w:rPr>
            </w:pPr>
          </w:p>
        </w:tc>
        <w:tc>
          <w:tcPr>
            <w:tcW w:w="6400" w:type="dxa"/>
            <w:vAlign w:val="bottom"/>
            <w:gridSpan w:val="2"/>
          </w:tcPr>
          <w:p>
            <w:pPr>
              <w:ind w:left="1840"/>
              <w:spacing w:after="0"/>
              <w:rPr>
                <w:sz w:val="20"/>
                <w:szCs w:val="20"/>
                <w:color w:val="auto"/>
              </w:rPr>
            </w:pPr>
            <w:r>
              <w:rPr>
                <w:rFonts w:ascii="Arial" w:cs="Arial" w:eastAsia="Arial" w:hAnsi="Arial"/>
                <w:sz w:val="18"/>
                <w:szCs w:val="18"/>
                <w:color w:val="auto"/>
              </w:rPr>
              <w:t>Executive Vice President and Chief Financial Officer</w:t>
            </w:r>
          </w:p>
        </w:tc>
        <w:tc>
          <w:tcPr>
            <w:tcW w:w="1140" w:type="dxa"/>
            <w:vAlign w:val="bottom"/>
          </w:tcPr>
          <w:p>
            <w:pPr>
              <w:spacing w:after="0"/>
              <w:rPr>
                <w:sz w:val="21"/>
                <w:szCs w:val="21"/>
                <w:color w:val="auto"/>
              </w:rPr>
            </w:pPr>
          </w:p>
        </w:tc>
      </w:tr>
      <w:tr>
        <w:trPr>
          <w:trHeight w:val="149"/>
        </w:trPr>
        <w:tc>
          <w:tcPr>
            <w:tcW w:w="3880" w:type="dxa"/>
            <w:vAlign w:val="bottom"/>
            <w:tcBorders>
              <w:bottom w:val="single" w:sz="8" w:color="9A9A9A"/>
            </w:tcBorders>
          </w:tcPr>
          <w:p>
            <w:pPr>
              <w:spacing w:after="0"/>
              <w:rPr>
                <w:sz w:val="12"/>
                <w:szCs w:val="12"/>
                <w:color w:val="auto"/>
              </w:rPr>
            </w:pPr>
          </w:p>
        </w:tc>
        <w:tc>
          <w:tcPr>
            <w:tcW w:w="2200" w:type="dxa"/>
            <w:vAlign w:val="bottom"/>
            <w:tcBorders>
              <w:bottom w:val="single" w:sz="8" w:color="9A9A9A"/>
            </w:tcBorders>
          </w:tcPr>
          <w:p>
            <w:pPr>
              <w:spacing w:after="0"/>
              <w:rPr>
                <w:sz w:val="12"/>
                <w:szCs w:val="12"/>
                <w:color w:val="auto"/>
              </w:rPr>
            </w:pPr>
          </w:p>
        </w:tc>
        <w:tc>
          <w:tcPr>
            <w:tcW w:w="42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r>
      <w:tr>
        <w:trPr>
          <w:trHeight w:val="21"/>
        </w:trPr>
        <w:tc>
          <w:tcPr>
            <w:tcW w:w="38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420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3, 2015.</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Third Quarter 2015 Financial Results</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LIBERTY LAKE, Wash.--(BUSINESS WIRE)--November 3, 2015--Itron, Inc. (NASDAQ:ITRI) announced today financial results for its third quarter and nine months ended Sept. 30, 2015. The results include: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nine month revenues of $469 million and $1.4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340"/>
        <w:spacing w:after="0" w:line="251" w:lineRule="auto"/>
        <w:rPr>
          <w:sz w:val="20"/>
          <w:szCs w:val="20"/>
          <w:color w:val="auto"/>
        </w:rPr>
      </w:pPr>
      <w:r>
        <w:rPr>
          <w:rFonts w:ascii="Arial" w:cs="Arial" w:eastAsia="Arial" w:hAnsi="Arial"/>
          <w:sz w:val="22"/>
          <w:szCs w:val="22"/>
          <w:color w:val="auto"/>
        </w:rPr>
        <w:t>Strong year-over-year Electricity revenue growth in North America of 17 percent in the quarter and 30 percent in the nine month period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3460"/>
        <w:spacing w:after="0" w:line="415" w:lineRule="auto"/>
        <w:rPr>
          <w:sz w:val="20"/>
          <w:szCs w:val="20"/>
          <w:color w:val="auto"/>
        </w:rPr>
      </w:pPr>
      <w:r>
        <w:rPr>
          <w:rFonts w:ascii="Arial" w:cs="Arial" w:eastAsia="Arial" w:hAnsi="Arial"/>
          <w:sz w:val="19"/>
          <w:szCs w:val="19"/>
          <w:color w:val="auto"/>
        </w:rPr>
        <w:t>Quarterly and nine month GAAP net earnings per share of 33 cents and 9 cents; Quarterly and nine month non-GAAP net earnings per share of 43 cents and 25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-418465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80"/>
        <w:spacing w:after="0" w:line="251" w:lineRule="auto"/>
        <w:rPr>
          <w:sz w:val="20"/>
          <w:szCs w:val="20"/>
          <w:color w:val="auto"/>
        </w:rPr>
      </w:pPr>
      <w:r>
        <w:rPr>
          <w:rFonts w:ascii="Arial" w:cs="Arial" w:eastAsia="Arial" w:hAnsi="Arial"/>
          <w:sz w:val="22"/>
          <w:szCs w:val="22"/>
          <w:color w:val="auto"/>
        </w:rPr>
        <w:t>An unfavorable tax adjustment due to a valuation allowance on deferred tax assets in Brazil impacted per share results by approximately 11 cents in the quarter and nine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nine month adjusted EBITDA of $42 million or 8.9 percent, and $75 million or 5.4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“Despite foreign currency headwinds, Itron’s third quarter financial performance improved year-over-year driven by strong growth in the Electricity segment in North America,” said Philip Mezey, Itron president and chief executive officer. “We also progressed on our operational improvements in the Gas and Water segments. Importantly, we expect continued improvements in consolidated company profitability and a lower tax rate in the fourth quarter.”</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“We continue to see strong customer opportunities involving smarter endpoints, software analytics and services, and we are driving innovation in these areas,” added Mr. Mezey. “At Itron Utility Week in October, we unveiled plans for the next generation communications system for energy and water customers. With OpenWay Riva, we will have a single open standards-based network and application platform for electricity, gas and water utilities -- differentiating Itron and positioning the company to deliver an industry-leading multi-purpose network.”</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”We remain focused on rigorously executing our restructuring initiatives, which we expect to deliver $40 million of annualized savings beginning in 2017. We are moving quickly and are on schedule with our planned activities. Additionally, Tom Deitrich recently joined Itron as the new chief operating officer and is leading a comprehensive evaluation of Itron’s manufacturing and supply chain strategies and R&amp;D efficiency with the goal of identifying additional operational and financial improvements. A.T. Kearney, a global consulting firm, is supporting Tom with the evaluation. I am confident we have the right team in place and we are moving swiftly to deliver the value inherent in Itron for the benefit of the company’s customers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Financial Results - Quarter</w:t>
      </w:r>
    </w:p>
    <w:p>
      <w:pPr>
        <w:spacing w:after="0" w:line="21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Revenues were $469 million for the quarter compared with $496 million in 2014. Changes in foreign currency exchange rates unfavorably impacted revenues by approximately $46 million for the quarter. Excluding the impact of foreign currency, revenues increased $19 million, or 4 percent, compared with the 2014 quarter. The increase in revenue was driven by strong sales performance in the Electricity segment. Third quarter Electricity segment revenues grew 17 percent in North America and 9 percent worldwide, excluding the impact of foreign currency.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Gross margin for the quarter increased to 31.3 percent compared with the prior year period margin of 30.4 percent. The improvement in gross margin was driven by the Electricity segment, which benefited from increased volumes and lower costs on an OpenWay project in North America.</w:t>
      </w:r>
    </w:p>
    <w:p>
      <w:pPr>
        <w:spacing w:after="0" w:line="18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GAAP operating expenses in the quarter were $120 million compared with $134 million in same period of 2014. Changes in foreign currency exchange rates favorably impacted GAAP expenses by approximately $12 million in the quarter. Excluding the impact of foreign currency, expenses in the quarter decreased $3 million compared with the prior year quarter. The decrease was the result of lower general and administrative costs driven by a recovery of $3.4 million from a litigation matter associated with the 2012 SmartSynch acquisition as well as lower intangible asset amortization expense, partially offset by increased product development investments.</w:t>
      </w:r>
    </w:p>
    <w:p>
      <w:pPr>
        <w:spacing w:after="0" w:line="188"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GAAP operating income for the quarter improved to $27 million compared with operating income of $16 million in the same period of 2014. GAAP net income for the quarter was $13 million, or 33 cents per diluted share, compared with net income of $7 million, or 19 cents per diluted share. The increase in operating and net income for the quarter was primarily attributable to improved performance in the Electricity segment, which was partially offset by an increased tax rate due to a valuation allowance applied to deferred tax assets in Brazil.</w:t>
      </w:r>
    </w:p>
    <w:p>
      <w:pPr>
        <w:spacing w:after="0" w:line="188"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Non-GAAP operating expenses, which exclude amortization of intangibles, restructuring charges, acquisition related expenses and goodwill impairment, were $115 million for the quarter compared with $123 million in the prior year quarter. Changes in foreign currency exchange rates favorably impacted non-GAAP expenses by approximately $11 million in the quarter. Excluding the foreign currency impact, expenses increased by $3 million driven by increased product development investments and higher general and administrative expenses related to severance costs.</w:t>
      </w:r>
    </w:p>
    <w:p>
      <w:pPr>
        <w:spacing w:after="0" w:line="179"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Non-GAAP operating income improved to $32 million for the quarter compared with $28 million in the same period in 2014. Non-GAAP net income for the quarter was $17 million, or 43 cents per diluted share, compared with $15 million, or 39 cents per diluted share, in the prior year quarter. The increase in non-GAAP operating and net income for the quarter was primarily attributable to improved performance in the Electricity segment, which was partially offset by an increased tax rate due to a valuation allowance applied to deferred tax assets in Brazil.</w:t>
      </w:r>
    </w:p>
    <w:p>
      <w:pPr>
        <w:spacing w:after="0" w:line="188" w:lineRule="exact"/>
        <w:rPr>
          <w:sz w:val="20"/>
          <w:szCs w:val="20"/>
          <w:color w:val="auto"/>
        </w:rPr>
      </w:pPr>
    </w:p>
    <w:p>
      <w:pPr>
        <w:ind w:right="540"/>
        <w:spacing w:after="0"/>
        <w:rPr>
          <w:sz w:val="20"/>
          <w:szCs w:val="20"/>
          <w:color w:val="auto"/>
        </w:rPr>
      </w:pPr>
      <w:r>
        <w:rPr>
          <w:rFonts w:ascii="Arial" w:cs="Arial" w:eastAsia="Arial" w:hAnsi="Arial"/>
          <w:sz w:val="22"/>
          <w:szCs w:val="22"/>
          <w:color w:val="auto"/>
        </w:rPr>
        <w:t>Free cash flow was negative $10 million for the quarter compared with a positive $37 million in the prior year quarter. The decrease over the prior year was primarily due to increased inventory to support future production requirements and timing of accounts payable disbursements.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Financial Results – Nine Months</w:t>
      </w:r>
    </w:p>
    <w:p>
      <w:pPr>
        <w:spacing w:after="0" w:line="213"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Revenues were $1.4 billion for the first nine months of 2015, compared with $1.5 billion in the 2014 period. Changes in foreign currency exchange rates unfavorably impacted revenues by $140 million for the first nine months. Excluding the impact of foreign currency, revenues increased $67 million, or 5 percent, compared with the 2014 period. The increase in revenues was driven by the Electricity segment, which grew 15 percent year-over-year on a constant currency basis. Smart meter projects drove significant revenue in North America resulting in 30 percent growth year-over-over, excluding the impacts of foreign currency.</w:t>
      </w:r>
    </w:p>
    <w:p>
      <w:pPr>
        <w:spacing w:after="0" w:line="148"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Gross margin for the first nine months of 2015 was 29.1 percent compared with 32.1 percent in 2014. Improved performance in the Electricity segment was partially offset by increased warranty expense, primarily due to $28.2 million of charges recorded in the Water segment that negatively impacted gross margin by approximately 200 basis points. In addition, lower volumes and an unfavorable product mix in the Gas segment negatively impacted gross margin.</w:t>
      </w:r>
    </w:p>
    <w:p>
      <w:pPr>
        <w:spacing w:after="0" w:line="174"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GAAP operating expenses for the nine month period were $367 million compared with $415 million in the prior year period. Changes in foreign currency exchange rates favorably impacted GAAP expenses by approximately $39 million for the nine month period. Excluding the impact from foreign currency, expenses in the nine month period decreased $9 million compared with the 2014 period. The decrease was driven by lower intangible asset amortization expense and adjustments to restructuring reserves.</w:t>
      </w:r>
    </w:p>
    <w:p>
      <w:pPr>
        <w:spacing w:after="0" w:line="143"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GAAP operating income for the nine month period was $37 million compared with $53 million in the 2014 period. GAAP net income in the first nine months was $3 million, or 9 cents per diluted share, compared with net income of $26 million, or 67 cents per diluted share, in the 2014 period. The decrease in GAAP net earnings compared with the prior year period was driven by lower gross profit in the Water and Gas segments and an increased effective tax rate and expense as a result of valuation allowances applied to deferred tax assets in Brazil as well as other certain jurisdictions.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Non-GAAP operating expenses, which exclude amortization of intangibles, restructuring charges, acquisition related expenses and goodwill impairment, were $358 million for the nine month period compared with $383 million in the prior year period. Changes in foreign currency exchange rates favorably impacted non-GAAP expenses by approximately $36 million in the nine month period.</w:t>
      </w:r>
    </w:p>
    <w:p>
      <w:pPr>
        <w:spacing w:after="0" w:line="2" w:lineRule="exact"/>
        <w:rPr>
          <w:sz w:val="20"/>
          <w:szCs w:val="20"/>
          <w:color w:val="auto"/>
        </w:rPr>
      </w:pPr>
    </w:p>
    <w:p>
      <w:pPr>
        <w:ind w:right="840"/>
        <w:spacing w:after="0" w:line="237" w:lineRule="auto"/>
        <w:rPr>
          <w:sz w:val="20"/>
          <w:szCs w:val="20"/>
          <w:color w:val="auto"/>
        </w:rPr>
      </w:pPr>
      <w:r>
        <w:rPr>
          <w:rFonts w:ascii="Arial" w:cs="Arial" w:eastAsia="Arial" w:hAnsi="Arial"/>
          <w:sz w:val="22"/>
          <w:szCs w:val="22"/>
          <w:color w:val="auto"/>
        </w:rPr>
        <w:t>Excluding the foreign currency impact, expenses increased due to product development investments and higher personnel, severance and professional service costs.</w:t>
      </w:r>
    </w:p>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Non-GAAP operating income for the first nine months of 2015 was $45 million compared with $86 million in the 2014 period. Non-GAAP net income for the first nine months of 2015 was $10 million, or 25 cents per diluted share, compared with non-GAAP net income of $49 million, or $1.24 per diluted share, in the 2014 period. The decrease in non-GAAP operating income for the nine month period was primarily attributable to lower gross profit in the Water and Gas segments. Non-GAAP net income was negatively impacted by a higher effective tax rate driven primarily by the valuation allowances applied to deferred tax assets in Brazil as well as other certain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ind w:right="500"/>
        <w:spacing w:after="0" w:line="329" w:lineRule="auto"/>
        <w:rPr>
          <w:sz w:val="20"/>
          <w:szCs w:val="20"/>
          <w:color w:val="auto"/>
        </w:rPr>
      </w:pPr>
      <w:r>
        <w:rPr>
          <w:rFonts w:ascii="Arial" w:cs="Arial" w:eastAsia="Arial" w:hAnsi="Arial"/>
          <w:sz w:val="19"/>
          <w:szCs w:val="19"/>
          <w:color w:val="auto"/>
        </w:rPr>
        <w:t>During the first nine months of 2015, free cash flow was negative $13 million compared with positive $84 million in the 2014 period. The decrease over the prior year was primarily due to lower earnings and increased inventory levels.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Total backlog was $1.2 billion and twelve month backlog was $727 million at the end of the quarter. Bookings in the quarter totaled $337 million, reflecting a number of smaller, diverse bookings across many customers.</w:t>
      </w:r>
    </w:p>
    <w:p>
      <w:pPr>
        <w:spacing w:after="0" w:line="173" w:lineRule="exact"/>
        <w:rPr>
          <w:sz w:val="20"/>
          <w:szCs w:val="20"/>
          <w:color w:val="auto"/>
        </w:rPr>
      </w:pPr>
    </w:p>
    <w:p>
      <w:pPr>
        <w:ind w:right="400"/>
        <w:spacing w:after="0" w:line="238" w:lineRule="auto"/>
        <w:rPr>
          <w:sz w:val="20"/>
          <w:szCs w:val="20"/>
          <w:color w:val="auto"/>
        </w:rPr>
      </w:pPr>
      <w:r>
        <w:rPr>
          <w:rFonts w:ascii="Arial" w:cs="Arial" w:eastAsia="Arial" w:hAnsi="Arial"/>
          <w:sz w:val="22"/>
          <w:szCs w:val="22"/>
          <w:color w:val="auto"/>
        </w:rPr>
        <w:t>During the quarter, the company repurchased 382,403 shares of Itron common stock at an average price of $31.62 per share pursuant to Board authorization to repurchase up to $50 million of Itron common stock. As of Sept. 30, 2015, the company had repurchased 655,178 shares of Itron common stock at an average price of $33.57 per share since the inception of the plan in February 2015.</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200"/>
        <w:spacing w:after="0" w:line="234" w:lineRule="auto"/>
        <w:rPr>
          <w:sz w:val="20"/>
          <w:szCs w:val="20"/>
          <w:color w:val="auto"/>
        </w:rPr>
      </w:pPr>
      <w:r>
        <w:rPr>
          <w:rFonts w:ascii="Arial" w:cs="Arial" w:eastAsia="Arial" w:hAnsi="Arial"/>
          <w:sz w:val="22"/>
          <w:szCs w:val="22"/>
          <w:color w:val="auto"/>
        </w:rPr>
        <w:t xml:space="preserve">Itron will host a conference call to discuss the financial results and guidance contained in this release at 5 p.m. Eastern Standard Time (EST) on Nov. 3, 2015.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22"/>
          <w:szCs w:val="22"/>
          <w:u w:val="single" w:color="auto"/>
          <w:color w:val="auto"/>
        </w:rPr>
        <w:t>http://investors.itron.com/events.cfm</w:t>
      </w:r>
      <w:r>
        <w:rPr>
          <w:rFonts w:ascii="Arial" w:cs="Arial" w:eastAsia="Arial" w:hAnsi="Arial"/>
          <w:sz w:val="22"/>
          <w:szCs w:val="22"/>
          <w:color w:val="auto"/>
        </w:rPr>
        <w:t xml:space="preserve">. A replay of the audio webcast will be available within 90 minutes of the conclusion of the live call and available for one year at </w:t>
      </w:r>
      <w:r>
        <w:rPr>
          <w:rFonts w:ascii="Arial" w:cs="Arial" w:eastAsia="Arial" w:hAnsi="Arial"/>
          <w:sz w:val="22"/>
          <w:szCs w:val="22"/>
          <w:u w:val="single" w:color="auto"/>
          <w:color w:val="auto"/>
        </w:rPr>
        <w:t>http://investors.itron.com/events.cfm</w:t>
      </w:r>
      <w:r>
        <w:rPr>
          <w:rFonts w:ascii="Arial" w:cs="Arial" w:eastAsia="Arial" w:hAnsi="Arial"/>
          <w:sz w:val="22"/>
          <w:szCs w:val="22"/>
          <w:color w:val="auto"/>
        </w:rPr>
        <w:t>. A telephone replay of the conference call will be available through Nov. 8, 2015. To access the telephone replay, dial (888) 203-1112 (Domestic) or (719) 457-0820 (International) and enter passcode 9516999.</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Itron® is a registered trademark of 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Forward Looking Statements</w:t>
      </w:r>
    </w:p>
    <w:p>
      <w:pPr>
        <w:spacing w:after="0" w:line="213"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2014 and other reports on file with the Securities and Exchange Commission. Itron undertakes no obligation to update publicly or revise any forward-looking statements, including our business outlook.</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or non-cash costs, particularly those associated with acquisitions. We exclude certain costs in our non-GAAP financial measures as we believe the net result is a measure of our core business.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156"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20" w:type="dxa"/>
            <w:vAlign w:val="bottom"/>
          </w:tcPr>
          <w:p>
            <w:pPr>
              <w:spacing w:after="0"/>
              <w:rPr>
                <w:sz w:val="15"/>
                <w:szCs w:val="15"/>
                <w:color w:val="auto"/>
              </w:rPr>
            </w:pPr>
          </w:p>
        </w:tc>
        <w:tc>
          <w:tcPr>
            <w:tcW w:w="284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w w:val="98"/>
              </w:rPr>
              <w:t>Three Months Ended September 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4"/>
        </w:trPr>
        <w:tc>
          <w:tcPr>
            <w:tcW w:w="5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5080" w:type="dxa"/>
            <w:vAlign w:val="bottom"/>
          </w:tcPr>
          <w:p>
            <w:pPr>
              <w:spacing w:after="0"/>
              <w:rPr>
                <w:sz w:val="20"/>
                <w:szCs w:val="20"/>
                <w:color w:val="auto"/>
              </w:rPr>
            </w:pPr>
            <w:r>
              <w:rPr>
                <w:rFonts w:ascii="Arial" w:cs="Arial" w:eastAsia="Arial" w:hAnsi="Arial"/>
                <w:sz w:val="14"/>
                <w:szCs w:val="14"/>
                <w:color w:val="auto"/>
              </w:rPr>
              <w:t>Revenues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469,092</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496,454</w:t>
            </w:r>
          </w:p>
        </w:tc>
        <w:tc>
          <w:tcPr>
            <w:tcW w:w="80" w:type="dxa"/>
            <w:vAlign w:val="bottom"/>
          </w:tcPr>
          <w:p>
            <w:pPr>
              <w:spacing w:after="0"/>
              <w:rPr>
                <w:sz w:val="14"/>
                <w:szCs w:val="14"/>
                <w:color w:val="auto"/>
              </w:rPr>
            </w:pP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1,387,442</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1,460,602</w:t>
            </w:r>
          </w:p>
        </w:tc>
        <w:tc>
          <w:tcPr>
            <w:tcW w:w="0" w:type="dxa"/>
            <w:vAlign w:val="bottom"/>
          </w:tcPr>
          <w:p>
            <w:pPr>
              <w:spacing w:after="0"/>
              <w:rPr>
                <w:sz w:val="1"/>
                <w:szCs w:val="1"/>
                <w:color w:val="auto"/>
              </w:rPr>
            </w:pPr>
          </w:p>
        </w:tc>
      </w:tr>
      <w:tr>
        <w:trPr>
          <w:trHeight w:val="181"/>
        </w:trPr>
        <w:tc>
          <w:tcPr>
            <w:tcW w:w="5080" w:type="dxa"/>
            <w:vAlign w:val="bottom"/>
          </w:tcPr>
          <w:p>
            <w:pPr>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322,126</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345,692</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983,706</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992,264</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4"/>
                <w:szCs w:val="14"/>
                <w:color w:val="auto"/>
              </w:rPr>
              <w:t>Gross profit</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146,966</w:t>
            </w:r>
          </w:p>
        </w:tc>
        <w:tc>
          <w:tcPr>
            <w:tcW w:w="44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150,762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403,736</w:t>
            </w:r>
          </w:p>
        </w:tc>
        <w:tc>
          <w:tcPr>
            <w:tcW w:w="4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468,338</w:t>
            </w:r>
          </w:p>
        </w:tc>
        <w:tc>
          <w:tcPr>
            <w:tcW w:w="0" w:type="dxa"/>
            <w:vAlign w:val="bottom"/>
          </w:tcPr>
          <w:p>
            <w:pPr>
              <w:spacing w:after="0"/>
              <w:rPr>
                <w:sz w:val="1"/>
                <w:szCs w:val="1"/>
                <w:color w:val="auto"/>
              </w:rPr>
            </w:pPr>
          </w:p>
        </w:tc>
      </w:tr>
      <w:tr>
        <w:trPr>
          <w:trHeight w:val="339"/>
        </w:trPr>
        <w:tc>
          <w:tcPr>
            <w:tcW w:w="5080" w:type="dxa"/>
            <w:vAlign w:val="bottom"/>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50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39,217</w:t>
            </w:r>
          </w:p>
        </w:tc>
        <w:tc>
          <w:tcPr>
            <w:tcW w:w="44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44,484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123,302</w:t>
            </w:r>
          </w:p>
        </w:tc>
        <w:tc>
          <w:tcPr>
            <w:tcW w:w="4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138,212</w:t>
            </w:r>
          </w:p>
        </w:tc>
        <w:tc>
          <w:tcPr>
            <w:tcW w:w="0" w:type="dxa"/>
            <w:vAlign w:val="bottom"/>
          </w:tcPr>
          <w:p>
            <w:pPr>
              <w:spacing w:after="0"/>
              <w:rPr>
                <w:sz w:val="1"/>
                <w:szCs w:val="1"/>
                <w:color w:val="auto"/>
              </w:rPr>
            </w:pPr>
          </w:p>
        </w:tc>
      </w:tr>
      <w:tr>
        <w:trPr>
          <w:trHeight w:val="176"/>
        </w:trPr>
        <w:tc>
          <w:tcPr>
            <w:tcW w:w="5080" w:type="dxa"/>
            <w:vAlign w:val="bottom"/>
          </w:tcPr>
          <w:p>
            <w:pPr>
              <w:ind w:left="50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41,559</w:t>
            </w:r>
          </w:p>
        </w:tc>
        <w:tc>
          <w:tcPr>
            <w:tcW w:w="44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42,303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126,399</w:t>
            </w:r>
          </w:p>
        </w:tc>
        <w:tc>
          <w:tcPr>
            <w:tcW w:w="4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130,711</w:t>
            </w:r>
          </w:p>
        </w:tc>
        <w:tc>
          <w:tcPr>
            <w:tcW w:w="0" w:type="dxa"/>
            <w:vAlign w:val="bottom"/>
          </w:tcPr>
          <w:p>
            <w:pPr>
              <w:spacing w:after="0"/>
              <w:rPr>
                <w:sz w:val="1"/>
                <w:szCs w:val="1"/>
                <w:color w:val="auto"/>
              </w:rPr>
            </w:pPr>
          </w:p>
        </w:tc>
      </w:tr>
      <w:tr>
        <w:trPr>
          <w:trHeight w:val="176"/>
        </w:trPr>
        <w:tc>
          <w:tcPr>
            <w:tcW w:w="5080" w:type="dxa"/>
            <w:vAlign w:val="bottom"/>
          </w:tcPr>
          <w:p>
            <w:pPr>
              <w:ind w:left="50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31,118</w:t>
            </w:r>
          </w:p>
        </w:tc>
        <w:tc>
          <w:tcPr>
            <w:tcW w:w="44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36,542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103,195</w:t>
            </w:r>
          </w:p>
        </w:tc>
        <w:tc>
          <w:tcPr>
            <w:tcW w:w="4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114,629</w:t>
            </w:r>
          </w:p>
        </w:tc>
        <w:tc>
          <w:tcPr>
            <w:tcW w:w="0" w:type="dxa"/>
            <w:vAlign w:val="bottom"/>
          </w:tcPr>
          <w:p>
            <w:pPr>
              <w:spacing w:after="0"/>
              <w:rPr>
                <w:sz w:val="1"/>
                <w:szCs w:val="1"/>
                <w:color w:val="auto"/>
              </w:rPr>
            </w:pPr>
          </w:p>
        </w:tc>
      </w:tr>
      <w:tr>
        <w:trPr>
          <w:trHeight w:val="176"/>
        </w:trPr>
        <w:tc>
          <w:tcPr>
            <w:tcW w:w="5080" w:type="dxa"/>
            <w:vAlign w:val="bottom"/>
          </w:tcPr>
          <w:p>
            <w:pPr>
              <w:ind w:left="50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7,869</w:t>
            </w:r>
          </w:p>
        </w:tc>
        <w:tc>
          <w:tcPr>
            <w:tcW w:w="44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10,917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23,730</w:t>
            </w:r>
          </w:p>
        </w:tc>
        <w:tc>
          <w:tcPr>
            <w:tcW w:w="4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33,096</w:t>
            </w:r>
          </w:p>
        </w:tc>
        <w:tc>
          <w:tcPr>
            <w:tcW w:w="0" w:type="dxa"/>
            <w:vAlign w:val="bottom"/>
          </w:tcPr>
          <w:p>
            <w:pPr>
              <w:spacing w:after="0"/>
              <w:rPr>
                <w:sz w:val="1"/>
                <w:szCs w:val="1"/>
                <w:color w:val="auto"/>
              </w:rPr>
            </w:pPr>
          </w:p>
        </w:tc>
      </w:tr>
      <w:tr>
        <w:trPr>
          <w:trHeight w:val="176"/>
        </w:trPr>
        <w:tc>
          <w:tcPr>
            <w:tcW w:w="5080" w:type="dxa"/>
            <w:vAlign w:val="bottom"/>
          </w:tcPr>
          <w:p>
            <w:pPr>
              <w:ind w:left="500"/>
              <w:spacing w:after="0"/>
              <w:rPr>
                <w:sz w:val="20"/>
                <w:szCs w:val="20"/>
                <w:color w:val="auto"/>
              </w:rPr>
            </w:pPr>
            <w:r>
              <w:rPr>
                <w:rFonts w:ascii="Arial" w:cs="Arial" w:eastAsia="Arial" w:hAnsi="Arial"/>
                <w:sz w:val="14"/>
                <w:szCs w:val="14"/>
                <w:color w:val="auto"/>
              </w:rPr>
              <w:t>Restructuring expense</w:t>
            </w:r>
          </w:p>
        </w:tc>
        <w:tc>
          <w:tcPr>
            <w:tcW w:w="32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44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(9,686)</w:t>
            </w:r>
          </w:p>
        </w:tc>
        <w:tc>
          <w:tcPr>
            <w:tcW w:w="4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181"/>
        </w:trPr>
        <w:tc>
          <w:tcPr>
            <w:tcW w:w="5080" w:type="dxa"/>
            <w:vAlign w:val="bottom"/>
          </w:tcPr>
          <w:p>
            <w:pPr>
              <w:ind w:left="500"/>
              <w:spacing w:after="0"/>
              <w:rPr>
                <w:sz w:val="20"/>
                <w:szCs w:val="20"/>
                <w:color w:val="auto"/>
              </w:rPr>
            </w:pPr>
            <w:r>
              <w:rPr>
                <w:rFonts w:ascii="Arial" w:cs="Arial" w:eastAsia="Arial" w:hAnsi="Arial"/>
                <w:sz w:val="14"/>
                <w:szCs w:val="14"/>
                <w:color w:val="auto"/>
              </w:rPr>
              <w:t>Goodwill impairment</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080" w:type="dxa"/>
            <w:vAlign w:val="bottom"/>
          </w:tcPr>
          <w:p>
            <w:pPr>
              <w:ind w:left="82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119,758</w:t>
            </w: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134,304</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366,940</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415,414</w:t>
            </w:r>
          </w:p>
        </w:tc>
        <w:tc>
          <w:tcPr>
            <w:tcW w:w="0" w:type="dxa"/>
            <w:vAlign w:val="bottom"/>
          </w:tcPr>
          <w:p>
            <w:pPr>
              <w:spacing w:after="0"/>
              <w:rPr>
                <w:sz w:val="1"/>
                <w:szCs w:val="1"/>
                <w:color w:val="auto"/>
              </w:rPr>
            </w:pPr>
          </w:p>
        </w:tc>
      </w:tr>
      <w:tr>
        <w:trPr>
          <w:trHeight w:val="339"/>
        </w:trPr>
        <w:tc>
          <w:tcPr>
            <w:tcW w:w="5080" w:type="dxa"/>
            <w:vAlign w:val="bottom"/>
          </w:tcPr>
          <w:p>
            <w:pPr>
              <w:spacing w:after="0"/>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27,208</w:t>
            </w:r>
          </w:p>
        </w:tc>
        <w:tc>
          <w:tcPr>
            <w:tcW w:w="440" w:type="dxa"/>
            <w:vAlign w:val="bottom"/>
          </w:tcPr>
          <w:p>
            <w:pPr>
              <w:spacing w:after="0"/>
              <w:rPr>
                <w:sz w:val="24"/>
                <w:szCs w:val="2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16,458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36,796</w:t>
            </w:r>
          </w:p>
        </w:tc>
        <w:tc>
          <w:tcPr>
            <w:tcW w:w="4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52,924</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4"/>
                <w:szCs w:val="14"/>
                <w:color w:val="auto"/>
              </w:rPr>
              <w:t>Other income (expense)</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50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180</w:t>
            </w:r>
          </w:p>
        </w:tc>
        <w:tc>
          <w:tcPr>
            <w:tcW w:w="44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440</w:t>
            </w:r>
          </w:p>
        </w:tc>
        <w:tc>
          <w:tcPr>
            <w:tcW w:w="4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76"/>
        </w:trPr>
        <w:tc>
          <w:tcPr>
            <w:tcW w:w="5080" w:type="dxa"/>
            <w:vAlign w:val="bottom"/>
          </w:tcPr>
          <w:p>
            <w:pPr>
              <w:ind w:left="50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(2,799)</w:t>
            </w:r>
          </w:p>
        </w:tc>
        <w:tc>
          <w:tcPr>
            <w:tcW w:w="44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(3,015)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(9,336)</w:t>
            </w:r>
          </w:p>
        </w:tc>
        <w:tc>
          <w:tcPr>
            <w:tcW w:w="4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(8,837)</w:t>
            </w:r>
          </w:p>
        </w:tc>
        <w:tc>
          <w:tcPr>
            <w:tcW w:w="0" w:type="dxa"/>
            <w:vAlign w:val="bottom"/>
          </w:tcPr>
          <w:p>
            <w:pPr>
              <w:spacing w:after="0"/>
              <w:rPr>
                <w:sz w:val="1"/>
                <w:szCs w:val="1"/>
                <w:color w:val="auto"/>
              </w:rPr>
            </w:pPr>
          </w:p>
        </w:tc>
      </w:tr>
      <w:tr>
        <w:trPr>
          <w:trHeight w:val="181"/>
        </w:trPr>
        <w:tc>
          <w:tcPr>
            <w:tcW w:w="5080" w:type="dxa"/>
            <w:vAlign w:val="bottom"/>
          </w:tcPr>
          <w:p>
            <w:pPr>
              <w:ind w:left="50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(1,120)</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(1,569)</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(3,003)</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(5,442)</w:t>
            </w:r>
          </w:p>
        </w:tc>
        <w:tc>
          <w:tcPr>
            <w:tcW w:w="0" w:type="dxa"/>
            <w:vAlign w:val="bottom"/>
          </w:tcPr>
          <w:p>
            <w:pPr>
              <w:spacing w:after="0"/>
              <w:rPr>
                <w:sz w:val="1"/>
                <w:szCs w:val="1"/>
                <w:color w:val="auto"/>
              </w:rPr>
            </w:pPr>
          </w:p>
        </w:tc>
      </w:tr>
      <w:tr>
        <w:trPr>
          <w:trHeight w:val="169"/>
        </w:trPr>
        <w:tc>
          <w:tcPr>
            <w:tcW w:w="5080" w:type="dxa"/>
            <w:vAlign w:val="bottom"/>
          </w:tcPr>
          <w:p>
            <w:pPr>
              <w:ind w:left="820"/>
              <w:spacing w:after="0"/>
              <w:rPr>
                <w:sz w:val="20"/>
                <w:szCs w:val="20"/>
                <w:color w:val="auto"/>
              </w:rPr>
            </w:pPr>
            <w:r>
              <w:rPr>
                <w:rFonts w:ascii="Arial" w:cs="Arial" w:eastAsia="Arial" w:hAnsi="Arial"/>
                <w:sz w:val="14"/>
                <w:szCs w:val="14"/>
                <w:color w:val="auto"/>
              </w:rPr>
              <w:t>Total other income (expense)</w:t>
            </w: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(3,739)</w:t>
            </w: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(4,421)</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(11,899)</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(13,966)</w:t>
            </w:r>
          </w:p>
        </w:tc>
        <w:tc>
          <w:tcPr>
            <w:tcW w:w="0" w:type="dxa"/>
            <w:vAlign w:val="bottom"/>
          </w:tcPr>
          <w:p>
            <w:pPr>
              <w:spacing w:after="0"/>
              <w:rPr>
                <w:sz w:val="1"/>
                <w:szCs w:val="1"/>
                <w:color w:val="auto"/>
              </w:rPr>
            </w:pPr>
          </w:p>
        </w:tc>
      </w:tr>
      <w:tr>
        <w:trPr>
          <w:trHeight w:val="339"/>
        </w:trPr>
        <w:tc>
          <w:tcPr>
            <w:tcW w:w="508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32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23,469</w:t>
            </w:r>
          </w:p>
        </w:tc>
        <w:tc>
          <w:tcPr>
            <w:tcW w:w="440" w:type="dxa"/>
            <w:vAlign w:val="bottom"/>
          </w:tcPr>
          <w:p>
            <w:pPr>
              <w:spacing w:after="0"/>
              <w:rPr>
                <w:sz w:val="24"/>
                <w:szCs w:val="2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12,037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24,897</w:t>
            </w:r>
          </w:p>
        </w:tc>
        <w:tc>
          <w:tcPr>
            <w:tcW w:w="4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38,958</w:t>
            </w:r>
          </w:p>
        </w:tc>
        <w:tc>
          <w:tcPr>
            <w:tcW w:w="0" w:type="dxa"/>
            <w:vAlign w:val="bottom"/>
          </w:tcPr>
          <w:p>
            <w:pPr>
              <w:spacing w:after="0"/>
              <w:rPr>
                <w:sz w:val="1"/>
                <w:szCs w:val="1"/>
                <w:color w:val="auto"/>
              </w:rPr>
            </w:pPr>
          </w:p>
        </w:tc>
      </w:tr>
      <w:tr>
        <w:trPr>
          <w:trHeight w:val="181"/>
        </w:trPr>
        <w:tc>
          <w:tcPr>
            <w:tcW w:w="508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(10,144)</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(4,484)</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(19,673)</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(11,679)</w:t>
            </w:r>
          </w:p>
        </w:tc>
        <w:tc>
          <w:tcPr>
            <w:tcW w:w="0" w:type="dxa"/>
            <w:vAlign w:val="bottom"/>
          </w:tcPr>
          <w:p>
            <w:pPr>
              <w:spacing w:after="0"/>
              <w:rPr>
                <w:sz w:val="1"/>
                <w:szCs w:val="1"/>
                <w:color w:val="auto"/>
              </w:rPr>
            </w:pPr>
          </w:p>
        </w:tc>
      </w:tr>
      <w:tr>
        <w:trPr>
          <w:trHeight w:val="164"/>
        </w:trPr>
        <w:tc>
          <w:tcPr>
            <w:tcW w:w="5080" w:type="dxa"/>
            <w:vAlign w:val="bottom"/>
          </w:tcPr>
          <w:p>
            <w:pPr>
              <w:spacing w:after="0"/>
              <w:rPr>
                <w:sz w:val="20"/>
                <w:szCs w:val="20"/>
                <w:color w:val="auto"/>
              </w:rPr>
            </w:pPr>
            <w:r>
              <w:rPr>
                <w:rFonts w:ascii="Arial" w:cs="Arial" w:eastAsia="Arial" w:hAnsi="Arial"/>
                <w:sz w:val="14"/>
                <w:szCs w:val="14"/>
                <w:color w:val="auto"/>
              </w:rPr>
              <w:t>Net income</w:t>
            </w:r>
          </w:p>
        </w:tc>
        <w:tc>
          <w:tcPr>
            <w:tcW w:w="32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13,325</w:t>
            </w:r>
          </w:p>
        </w:tc>
        <w:tc>
          <w:tcPr>
            <w:tcW w:w="440" w:type="dxa"/>
            <w:vAlign w:val="bottom"/>
          </w:tcPr>
          <w:p>
            <w:pPr>
              <w:spacing w:after="0"/>
              <w:rPr>
                <w:sz w:val="14"/>
                <w:szCs w:val="1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7,553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5,224</w:t>
            </w:r>
          </w:p>
        </w:tc>
        <w:tc>
          <w:tcPr>
            <w:tcW w:w="4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27,279</w:t>
            </w:r>
          </w:p>
        </w:tc>
        <w:tc>
          <w:tcPr>
            <w:tcW w:w="0" w:type="dxa"/>
            <w:vAlign w:val="bottom"/>
          </w:tcPr>
          <w:p>
            <w:pPr>
              <w:spacing w:after="0"/>
              <w:rPr>
                <w:sz w:val="1"/>
                <w:szCs w:val="1"/>
                <w:color w:val="auto"/>
              </w:rPr>
            </w:pPr>
          </w:p>
        </w:tc>
      </w:tr>
      <w:tr>
        <w:trPr>
          <w:trHeight w:val="181"/>
        </w:trPr>
        <w:tc>
          <w:tcPr>
            <w:tcW w:w="5080" w:type="dxa"/>
            <w:vAlign w:val="bottom"/>
          </w:tcPr>
          <w:p>
            <w:pPr>
              <w:ind w:left="500"/>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630</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1,817</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20"/>
                <w:szCs w:val="20"/>
                <w:color w:val="auto"/>
              </w:rPr>
            </w:pPr>
            <w:r>
              <w:rPr>
                <w:rFonts w:ascii="Arial" w:cs="Arial" w:eastAsia="Arial" w:hAnsi="Arial"/>
                <w:sz w:val="14"/>
                <w:szCs w:val="14"/>
                <w:color w:val="auto"/>
              </w:rPr>
              <w:t>Net income attributable to Itron, Inc.</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12,695</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7,308</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3,407</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26,313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080" w:type="dxa"/>
            <w:vAlign w:val="bottom"/>
          </w:tcPr>
          <w:p>
            <w:pPr>
              <w:spacing w:after="0"/>
              <w:rPr>
                <w:sz w:val="20"/>
                <w:szCs w:val="20"/>
                <w:color w:val="auto"/>
              </w:rPr>
            </w:pPr>
            <w:r>
              <w:rPr>
                <w:rFonts w:ascii="Arial" w:cs="Arial" w:eastAsia="Arial" w:hAnsi="Arial"/>
                <w:sz w:val="14"/>
                <w:szCs w:val="14"/>
                <w:color w:val="auto"/>
              </w:rPr>
              <w:t>Earnings per common share - Basic</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0.33</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0.19</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0.09</w:t>
            </w:r>
          </w:p>
        </w:tc>
        <w:tc>
          <w:tcPr>
            <w:tcW w:w="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4"/>
                <w:szCs w:val="14"/>
                <w:color w:val="auto"/>
              </w:rPr>
              <w:t>Earnings per common share - Diluted</w:t>
            </w: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vMerge w:val="continue"/>
          </w:tcPr>
          <w:p>
            <w:pPr>
              <w:spacing w:after="0"/>
              <w:rPr>
                <w:sz w:val="13"/>
                <w:szCs w:val="13"/>
                <w:color w:val="auto"/>
              </w:rPr>
            </w:pPr>
          </w:p>
        </w:tc>
        <w:tc>
          <w:tcPr>
            <w:tcW w:w="32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0.33</w:t>
            </w:r>
          </w:p>
        </w:tc>
        <w:tc>
          <w:tcPr>
            <w:tcW w:w="44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0.19</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0.09</w:t>
            </w:r>
          </w:p>
        </w:tc>
        <w:tc>
          <w:tcPr>
            <w:tcW w:w="42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08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32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38,114</w:t>
            </w:r>
          </w:p>
        </w:tc>
        <w:tc>
          <w:tcPr>
            <w:tcW w:w="440" w:type="dxa"/>
            <w:vAlign w:val="bottom"/>
          </w:tcPr>
          <w:p>
            <w:pPr>
              <w:spacing w:after="0"/>
              <w:rPr>
                <w:sz w:val="24"/>
                <w:szCs w:val="24"/>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39,213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38,329</w:t>
            </w:r>
          </w:p>
        </w:tc>
        <w:tc>
          <w:tcPr>
            <w:tcW w:w="4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39,268</w:t>
            </w:r>
          </w:p>
        </w:tc>
        <w:tc>
          <w:tcPr>
            <w:tcW w:w="0" w:type="dxa"/>
            <w:vAlign w:val="bottom"/>
          </w:tcPr>
          <w:p>
            <w:pPr>
              <w:spacing w:after="0"/>
              <w:rPr>
                <w:sz w:val="1"/>
                <w:szCs w:val="1"/>
                <w:color w:val="auto"/>
              </w:rPr>
            </w:pPr>
          </w:p>
        </w:tc>
      </w:tr>
      <w:tr>
        <w:trPr>
          <w:trHeight w:val="182"/>
        </w:trPr>
        <w:tc>
          <w:tcPr>
            <w:tcW w:w="508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3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38,358</w:t>
            </w:r>
          </w:p>
        </w:tc>
        <w:tc>
          <w:tcPr>
            <w:tcW w:w="44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39,493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38,591</w:t>
            </w:r>
          </w:p>
        </w:tc>
        <w:tc>
          <w:tcPr>
            <w:tcW w:w="4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39,516</w:t>
            </w:r>
          </w:p>
        </w:tc>
        <w:tc>
          <w:tcPr>
            <w:tcW w:w="0" w:type="dxa"/>
            <w:vAlign w:val="bottom"/>
          </w:tcPr>
          <w:p>
            <w:pPr>
              <w:spacing w:after="0"/>
              <w:rPr>
                <w:sz w:val="1"/>
                <w:szCs w:val="1"/>
                <w:color w:val="auto"/>
              </w:rPr>
            </w:pPr>
          </w:p>
        </w:tc>
      </w:tr>
      <w:tr>
        <w:trPr>
          <w:trHeight w:val="309"/>
        </w:trPr>
        <w:tc>
          <w:tcPr>
            <w:tcW w:w="5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20" w:type="dxa"/>
            <w:vAlign w:val="bottom"/>
          </w:tcPr>
          <w:p>
            <w:pPr>
              <w:jc w:val="center"/>
              <w:ind w:right="428"/>
              <w:spacing w:after="0"/>
              <w:rPr>
                <w:sz w:val="20"/>
                <w:szCs w:val="20"/>
                <w:color w:val="auto"/>
              </w:rPr>
            </w:pPr>
            <w:r>
              <w:rPr>
                <w:rFonts w:ascii="Arial" w:cs="Arial" w:eastAsia="Arial" w:hAnsi="Arial"/>
                <w:sz w:val="14"/>
                <w:szCs w:val="14"/>
                <w:b w:val="1"/>
                <w:bCs w:val="1"/>
                <w:color w:val="auto"/>
              </w:rPr>
              <w:t>ITRON, INC.</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80" w:type="dxa"/>
            <w:vAlign w:val="bottom"/>
            <w:vMerge w:val="restart"/>
          </w:tcPr>
          <w:p>
            <w:pPr>
              <w:spacing w:after="0"/>
              <w:rPr>
                <w:sz w:val="20"/>
                <w:szCs w:val="20"/>
                <w:color w:val="auto"/>
              </w:rPr>
            </w:pPr>
            <w:r>
              <w:rPr>
                <w:rFonts w:ascii="Arial" w:cs="Arial" w:eastAsia="Arial" w:hAnsi="Arial"/>
                <w:sz w:val="14"/>
                <w:szCs w:val="14"/>
                <w:color w:val="auto"/>
              </w:rPr>
              <w:t>(Unaudited, in thousands)</w:t>
            </w:r>
          </w:p>
        </w:tc>
        <w:tc>
          <w:tcPr>
            <w:tcW w:w="1140" w:type="dxa"/>
            <w:vAlign w:val="bottom"/>
          </w:tcPr>
          <w:p>
            <w:pPr>
              <w:spacing w:after="0"/>
              <w:rPr>
                <w:sz w:val="16"/>
                <w:szCs w:val="16"/>
                <w:color w:val="auto"/>
              </w:rPr>
            </w:pPr>
          </w:p>
        </w:tc>
        <w:tc>
          <w:tcPr>
            <w:tcW w:w="214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SEGMENT INFORMATION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80" w:type="dxa"/>
            <w:vAlign w:val="bottom"/>
            <w:vMerge w:val="continue"/>
          </w:tcPr>
          <w:p>
            <w:pPr>
              <w:spacing w:after="0"/>
              <w:rPr>
                <w:sz w:val="15"/>
                <w:szCs w:val="15"/>
                <w:color w:val="auto"/>
              </w:rPr>
            </w:pPr>
          </w:p>
        </w:tc>
        <w:tc>
          <w:tcPr>
            <w:tcW w:w="328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Three Months Ended September 30,</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0" w:type="dxa"/>
            <w:vAlign w:val="bottom"/>
            <w:gridSpan w:val="3"/>
            <w:vMerge w:val="restart"/>
          </w:tcPr>
          <w:p>
            <w:pPr>
              <w:jc w:val="right"/>
              <w:ind w:right="8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328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338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114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206,389</w:t>
            </w:r>
          </w:p>
        </w:tc>
        <w:tc>
          <w:tcPr>
            <w:tcW w:w="142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w w:val="94"/>
              </w:rPr>
              <w:t>203,441</w:t>
            </w:r>
          </w:p>
        </w:tc>
        <w:tc>
          <w:tcPr>
            <w:tcW w:w="6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603,651</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567,414</w:t>
            </w:r>
          </w:p>
        </w:tc>
        <w:tc>
          <w:tcPr>
            <w:tcW w:w="0" w:type="dxa"/>
            <w:vAlign w:val="bottom"/>
          </w:tcPr>
          <w:p>
            <w:pPr>
              <w:spacing w:after="0"/>
              <w:rPr>
                <w:sz w:val="1"/>
                <w:szCs w:val="1"/>
                <w:color w:val="auto"/>
              </w:rPr>
            </w:pPr>
          </w:p>
        </w:tc>
      </w:tr>
      <w:tr>
        <w:trPr>
          <w:trHeight w:val="176"/>
        </w:trPr>
        <w:tc>
          <w:tcPr>
            <w:tcW w:w="3380" w:type="dxa"/>
            <w:vAlign w:val="bottom"/>
          </w:tcPr>
          <w:p>
            <w:pPr>
              <w:ind w:left="220"/>
              <w:spacing w:after="0"/>
              <w:rPr>
                <w:sz w:val="20"/>
                <w:szCs w:val="20"/>
                <w:color w:val="auto"/>
              </w:rPr>
            </w:pPr>
            <w:r>
              <w:rPr>
                <w:rFonts w:ascii="Arial" w:cs="Arial" w:eastAsia="Arial" w:hAnsi="Arial"/>
                <w:sz w:val="14"/>
                <w:szCs w:val="14"/>
                <w:color w:val="auto"/>
              </w:rPr>
              <w:t>Gas</w:t>
            </w:r>
          </w:p>
        </w:tc>
        <w:tc>
          <w:tcPr>
            <w:tcW w:w="114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136,588</w:t>
            </w:r>
          </w:p>
        </w:tc>
        <w:tc>
          <w:tcPr>
            <w:tcW w:w="142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w w:val="94"/>
              </w:rPr>
              <w:t>149,276</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401,063</w:t>
            </w:r>
          </w:p>
        </w:tc>
        <w:tc>
          <w:tcPr>
            <w:tcW w:w="520" w:type="dxa"/>
            <w:vAlign w:val="bottom"/>
          </w:tcPr>
          <w:p>
            <w:pPr>
              <w:spacing w:after="0"/>
              <w:rPr>
                <w:sz w:val="15"/>
                <w:szCs w:val="15"/>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449,707</w:t>
            </w:r>
          </w:p>
        </w:tc>
        <w:tc>
          <w:tcPr>
            <w:tcW w:w="0" w:type="dxa"/>
            <w:vAlign w:val="bottom"/>
          </w:tcPr>
          <w:p>
            <w:pPr>
              <w:spacing w:after="0"/>
              <w:rPr>
                <w:sz w:val="1"/>
                <w:szCs w:val="1"/>
                <w:color w:val="auto"/>
              </w:rPr>
            </w:pPr>
          </w:p>
        </w:tc>
      </w:tr>
      <w:tr>
        <w:trPr>
          <w:trHeight w:val="181"/>
        </w:trPr>
        <w:tc>
          <w:tcPr>
            <w:tcW w:w="3380" w:type="dxa"/>
            <w:vAlign w:val="bottom"/>
          </w:tcPr>
          <w:p>
            <w:pPr>
              <w:ind w:left="220"/>
              <w:spacing w:after="0"/>
              <w:rPr>
                <w:sz w:val="20"/>
                <w:szCs w:val="20"/>
                <w:color w:val="auto"/>
              </w:rPr>
            </w:pPr>
            <w:r>
              <w:rPr>
                <w:rFonts w:ascii="Arial" w:cs="Arial" w:eastAsia="Arial" w:hAnsi="Arial"/>
                <w:sz w:val="14"/>
                <w:szCs w:val="14"/>
                <w:color w:val="auto"/>
              </w:rPr>
              <w:t>Water</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126,115</w:t>
            </w:r>
          </w:p>
        </w:tc>
        <w:tc>
          <w:tcPr>
            <w:tcW w:w="1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4"/>
              </w:rPr>
              <w:t>143,737</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382,728</w:t>
            </w:r>
          </w:p>
        </w:tc>
        <w:tc>
          <w:tcPr>
            <w:tcW w:w="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443,481</w:t>
            </w:r>
          </w:p>
        </w:tc>
        <w:tc>
          <w:tcPr>
            <w:tcW w:w="0" w:type="dxa"/>
            <w:vAlign w:val="bottom"/>
          </w:tcPr>
          <w:p>
            <w:pPr>
              <w:spacing w:after="0"/>
              <w:rPr>
                <w:sz w:val="1"/>
                <w:szCs w:val="1"/>
                <w:color w:val="auto"/>
              </w:rPr>
            </w:pPr>
          </w:p>
        </w:tc>
      </w:tr>
      <w:tr>
        <w:trPr>
          <w:trHeight w:val="169"/>
        </w:trPr>
        <w:tc>
          <w:tcPr>
            <w:tcW w:w="3380" w:type="dxa"/>
            <w:vAlign w:val="bottom"/>
          </w:tcPr>
          <w:p>
            <w:pPr>
              <w:ind w:left="1080"/>
              <w:spacing w:after="0"/>
              <w:rPr>
                <w:sz w:val="20"/>
                <w:szCs w:val="20"/>
                <w:color w:val="auto"/>
              </w:rPr>
            </w:pPr>
            <w:r>
              <w:rPr>
                <w:rFonts w:ascii="Arial" w:cs="Arial" w:eastAsia="Arial" w:hAnsi="Arial"/>
                <w:sz w:val="14"/>
                <w:szCs w:val="14"/>
                <w:color w:val="auto"/>
              </w:rPr>
              <w:t>Total Company</w:t>
            </w:r>
          </w:p>
        </w:tc>
        <w:tc>
          <w:tcPr>
            <w:tcW w:w="11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469,092</w:t>
            </w:r>
          </w:p>
        </w:tc>
        <w:tc>
          <w:tcPr>
            <w:tcW w:w="1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4"/>
              </w:rPr>
              <w:t>496,454</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1,387,442</w:t>
            </w: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1,460,602</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3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114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56,859</w:t>
            </w:r>
          </w:p>
        </w:tc>
        <w:tc>
          <w:tcPr>
            <w:tcW w:w="142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45,959</w:t>
            </w:r>
          </w:p>
        </w:tc>
        <w:tc>
          <w:tcPr>
            <w:tcW w:w="6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164,601</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141,675</w:t>
            </w:r>
          </w:p>
        </w:tc>
        <w:tc>
          <w:tcPr>
            <w:tcW w:w="0" w:type="dxa"/>
            <w:vAlign w:val="bottom"/>
          </w:tcPr>
          <w:p>
            <w:pPr>
              <w:spacing w:after="0"/>
              <w:rPr>
                <w:sz w:val="1"/>
                <w:szCs w:val="1"/>
                <w:color w:val="auto"/>
              </w:rPr>
            </w:pPr>
          </w:p>
        </w:tc>
      </w:tr>
      <w:tr>
        <w:trPr>
          <w:trHeight w:val="176"/>
        </w:trPr>
        <w:tc>
          <w:tcPr>
            <w:tcW w:w="3380" w:type="dxa"/>
            <w:vAlign w:val="bottom"/>
          </w:tcPr>
          <w:p>
            <w:pPr>
              <w:ind w:left="220"/>
              <w:spacing w:after="0"/>
              <w:rPr>
                <w:sz w:val="20"/>
                <w:szCs w:val="20"/>
                <w:color w:val="auto"/>
              </w:rPr>
            </w:pPr>
            <w:r>
              <w:rPr>
                <w:rFonts w:ascii="Arial" w:cs="Arial" w:eastAsia="Arial" w:hAnsi="Arial"/>
                <w:sz w:val="14"/>
                <w:szCs w:val="14"/>
                <w:color w:val="auto"/>
              </w:rPr>
              <w:t>Gas</w:t>
            </w:r>
          </w:p>
        </w:tc>
        <w:tc>
          <w:tcPr>
            <w:tcW w:w="114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45,916</w:t>
            </w:r>
          </w:p>
        </w:tc>
        <w:tc>
          <w:tcPr>
            <w:tcW w:w="142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53,492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133,541</w:t>
            </w:r>
          </w:p>
        </w:tc>
        <w:tc>
          <w:tcPr>
            <w:tcW w:w="520" w:type="dxa"/>
            <w:vAlign w:val="bottom"/>
          </w:tcPr>
          <w:p>
            <w:pPr>
              <w:spacing w:after="0"/>
              <w:rPr>
                <w:sz w:val="15"/>
                <w:szCs w:val="15"/>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168,609</w:t>
            </w:r>
          </w:p>
        </w:tc>
        <w:tc>
          <w:tcPr>
            <w:tcW w:w="0" w:type="dxa"/>
            <w:vAlign w:val="bottom"/>
          </w:tcPr>
          <w:p>
            <w:pPr>
              <w:spacing w:after="0"/>
              <w:rPr>
                <w:sz w:val="1"/>
                <w:szCs w:val="1"/>
                <w:color w:val="auto"/>
              </w:rPr>
            </w:pPr>
          </w:p>
        </w:tc>
      </w:tr>
      <w:tr>
        <w:trPr>
          <w:trHeight w:val="181"/>
        </w:trPr>
        <w:tc>
          <w:tcPr>
            <w:tcW w:w="3380" w:type="dxa"/>
            <w:vAlign w:val="bottom"/>
          </w:tcPr>
          <w:p>
            <w:pPr>
              <w:ind w:left="220"/>
              <w:spacing w:after="0"/>
              <w:rPr>
                <w:sz w:val="20"/>
                <w:szCs w:val="20"/>
                <w:color w:val="auto"/>
              </w:rPr>
            </w:pPr>
            <w:r>
              <w:rPr>
                <w:rFonts w:ascii="Arial" w:cs="Arial" w:eastAsia="Arial" w:hAnsi="Arial"/>
                <w:sz w:val="14"/>
                <w:szCs w:val="14"/>
                <w:color w:val="auto"/>
              </w:rPr>
              <w:t>Water</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44,191</w:t>
            </w:r>
          </w:p>
        </w:tc>
        <w:tc>
          <w:tcPr>
            <w:tcW w:w="1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51,311</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105,594</w:t>
            </w:r>
          </w:p>
        </w:tc>
        <w:tc>
          <w:tcPr>
            <w:tcW w:w="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158,054</w:t>
            </w:r>
          </w:p>
        </w:tc>
        <w:tc>
          <w:tcPr>
            <w:tcW w:w="0" w:type="dxa"/>
            <w:vAlign w:val="bottom"/>
          </w:tcPr>
          <w:p>
            <w:pPr>
              <w:spacing w:after="0"/>
              <w:rPr>
                <w:sz w:val="1"/>
                <w:szCs w:val="1"/>
                <w:color w:val="auto"/>
              </w:rPr>
            </w:pPr>
          </w:p>
        </w:tc>
      </w:tr>
      <w:tr>
        <w:trPr>
          <w:trHeight w:val="169"/>
        </w:trPr>
        <w:tc>
          <w:tcPr>
            <w:tcW w:w="3380" w:type="dxa"/>
            <w:vAlign w:val="bottom"/>
          </w:tcPr>
          <w:p>
            <w:pPr>
              <w:ind w:left="1080"/>
              <w:spacing w:after="0"/>
              <w:rPr>
                <w:sz w:val="20"/>
                <w:szCs w:val="20"/>
                <w:color w:val="auto"/>
              </w:rPr>
            </w:pPr>
            <w:r>
              <w:rPr>
                <w:rFonts w:ascii="Arial" w:cs="Arial" w:eastAsia="Arial" w:hAnsi="Arial"/>
                <w:sz w:val="14"/>
                <w:szCs w:val="14"/>
                <w:color w:val="auto"/>
              </w:rPr>
              <w:t>Total Company</w:t>
            </w:r>
          </w:p>
        </w:tc>
        <w:tc>
          <w:tcPr>
            <w:tcW w:w="11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146,966</w:t>
            </w:r>
          </w:p>
        </w:tc>
        <w:tc>
          <w:tcPr>
            <w:tcW w:w="1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4"/>
              </w:rPr>
              <w:t>150,762</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403,736</w:t>
            </w: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468,338</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3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220"/>
              <w:spacing w:after="0"/>
              <w:rPr>
                <w:sz w:val="20"/>
                <w:szCs w:val="20"/>
                <w:color w:val="auto"/>
              </w:rPr>
            </w:pPr>
            <w:r>
              <w:rPr>
                <w:rFonts w:ascii="Arial" w:cs="Arial" w:eastAsia="Arial" w:hAnsi="Arial"/>
                <w:sz w:val="14"/>
                <w:szCs w:val="14"/>
                <w:color w:val="auto"/>
              </w:rPr>
              <w:t>Electricity</w:t>
            </w:r>
          </w:p>
        </w:tc>
        <w:tc>
          <w:tcPr>
            <w:tcW w:w="114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10,575</w:t>
            </w:r>
          </w:p>
        </w:tc>
        <w:tc>
          <w:tcPr>
            <w:tcW w:w="142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w w:val="99"/>
              </w:rPr>
              <w:t>(11,196)</w:t>
            </w:r>
          </w:p>
        </w:tc>
        <w:tc>
          <w:tcPr>
            <w:tcW w:w="6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16,875</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(35,412)</w:t>
            </w:r>
          </w:p>
        </w:tc>
        <w:tc>
          <w:tcPr>
            <w:tcW w:w="0" w:type="dxa"/>
            <w:vAlign w:val="bottom"/>
          </w:tcPr>
          <w:p>
            <w:pPr>
              <w:spacing w:after="0"/>
              <w:rPr>
                <w:sz w:val="1"/>
                <w:szCs w:val="1"/>
                <w:color w:val="auto"/>
              </w:rPr>
            </w:pPr>
          </w:p>
        </w:tc>
      </w:tr>
      <w:tr>
        <w:trPr>
          <w:trHeight w:val="176"/>
        </w:trPr>
        <w:tc>
          <w:tcPr>
            <w:tcW w:w="3380" w:type="dxa"/>
            <w:vAlign w:val="bottom"/>
          </w:tcPr>
          <w:p>
            <w:pPr>
              <w:ind w:left="220"/>
              <w:spacing w:after="0"/>
              <w:rPr>
                <w:sz w:val="20"/>
                <w:szCs w:val="20"/>
                <w:color w:val="auto"/>
              </w:rPr>
            </w:pPr>
            <w:r>
              <w:rPr>
                <w:rFonts w:ascii="Arial" w:cs="Arial" w:eastAsia="Arial" w:hAnsi="Arial"/>
                <w:sz w:val="14"/>
                <w:szCs w:val="14"/>
                <w:color w:val="auto"/>
              </w:rPr>
              <w:t>Gas</w:t>
            </w:r>
          </w:p>
        </w:tc>
        <w:tc>
          <w:tcPr>
            <w:tcW w:w="114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15,741</w:t>
            </w:r>
          </w:p>
        </w:tc>
        <w:tc>
          <w:tcPr>
            <w:tcW w:w="142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23,836</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44,075</w:t>
            </w:r>
          </w:p>
        </w:tc>
        <w:tc>
          <w:tcPr>
            <w:tcW w:w="520" w:type="dxa"/>
            <w:vAlign w:val="bottom"/>
          </w:tcPr>
          <w:p>
            <w:pPr>
              <w:spacing w:after="0"/>
              <w:rPr>
                <w:sz w:val="15"/>
                <w:szCs w:val="15"/>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73,889</w:t>
            </w:r>
          </w:p>
        </w:tc>
        <w:tc>
          <w:tcPr>
            <w:tcW w:w="0" w:type="dxa"/>
            <w:vAlign w:val="bottom"/>
          </w:tcPr>
          <w:p>
            <w:pPr>
              <w:spacing w:after="0"/>
              <w:rPr>
                <w:sz w:val="1"/>
                <w:szCs w:val="1"/>
                <w:color w:val="auto"/>
              </w:rPr>
            </w:pPr>
          </w:p>
        </w:tc>
      </w:tr>
      <w:tr>
        <w:trPr>
          <w:trHeight w:val="176"/>
        </w:trPr>
        <w:tc>
          <w:tcPr>
            <w:tcW w:w="3380" w:type="dxa"/>
            <w:vAlign w:val="bottom"/>
          </w:tcPr>
          <w:p>
            <w:pPr>
              <w:ind w:left="220"/>
              <w:spacing w:after="0"/>
              <w:rPr>
                <w:sz w:val="20"/>
                <w:szCs w:val="20"/>
                <w:color w:val="auto"/>
              </w:rPr>
            </w:pPr>
            <w:r>
              <w:rPr>
                <w:rFonts w:ascii="Arial" w:cs="Arial" w:eastAsia="Arial" w:hAnsi="Arial"/>
                <w:sz w:val="14"/>
                <w:szCs w:val="14"/>
                <w:color w:val="auto"/>
              </w:rPr>
              <w:t>Water</w:t>
            </w:r>
          </w:p>
        </w:tc>
        <w:tc>
          <w:tcPr>
            <w:tcW w:w="114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14,290</w:t>
            </w:r>
          </w:p>
        </w:tc>
        <w:tc>
          <w:tcPr>
            <w:tcW w:w="142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19,157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10,876</w:t>
            </w:r>
          </w:p>
        </w:tc>
        <w:tc>
          <w:tcPr>
            <w:tcW w:w="520" w:type="dxa"/>
            <w:vAlign w:val="bottom"/>
          </w:tcPr>
          <w:p>
            <w:pPr>
              <w:spacing w:after="0"/>
              <w:rPr>
                <w:sz w:val="15"/>
                <w:szCs w:val="15"/>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60,319</w:t>
            </w:r>
          </w:p>
        </w:tc>
        <w:tc>
          <w:tcPr>
            <w:tcW w:w="0" w:type="dxa"/>
            <w:vAlign w:val="bottom"/>
          </w:tcPr>
          <w:p>
            <w:pPr>
              <w:spacing w:after="0"/>
              <w:rPr>
                <w:sz w:val="1"/>
                <w:szCs w:val="1"/>
                <w:color w:val="auto"/>
              </w:rPr>
            </w:pPr>
          </w:p>
        </w:tc>
      </w:tr>
      <w:tr>
        <w:trPr>
          <w:trHeight w:val="181"/>
        </w:trPr>
        <w:tc>
          <w:tcPr>
            <w:tcW w:w="338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(13,398)</w:t>
            </w:r>
          </w:p>
        </w:tc>
        <w:tc>
          <w:tcPr>
            <w:tcW w:w="1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9"/>
              </w:rPr>
              <w:t>(15,339)</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(35,030)</w:t>
            </w:r>
          </w:p>
        </w:tc>
        <w:tc>
          <w:tcPr>
            <w:tcW w:w="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(45,872)</w:t>
            </w:r>
          </w:p>
        </w:tc>
        <w:tc>
          <w:tcPr>
            <w:tcW w:w="0" w:type="dxa"/>
            <w:vAlign w:val="bottom"/>
          </w:tcPr>
          <w:p>
            <w:pPr>
              <w:spacing w:after="0"/>
              <w:rPr>
                <w:sz w:val="1"/>
                <w:szCs w:val="1"/>
                <w:color w:val="auto"/>
              </w:rPr>
            </w:pPr>
          </w:p>
        </w:tc>
      </w:tr>
      <w:tr>
        <w:trPr>
          <w:trHeight w:val="169"/>
        </w:trPr>
        <w:tc>
          <w:tcPr>
            <w:tcW w:w="3380" w:type="dxa"/>
            <w:vAlign w:val="bottom"/>
          </w:tcPr>
          <w:p>
            <w:pPr>
              <w:ind w:left="1080"/>
              <w:spacing w:after="0"/>
              <w:rPr>
                <w:sz w:val="20"/>
                <w:szCs w:val="20"/>
                <w:color w:val="auto"/>
              </w:rPr>
            </w:pPr>
            <w:r>
              <w:rPr>
                <w:rFonts w:ascii="Arial" w:cs="Arial" w:eastAsia="Arial" w:hAnsi="Arial"/>
                <w:sz w:val="14"/>
                <w:szCs w:val="14"/>
                <w:color w:val="auto"/>
              </w:rPr>
              <w:t>Total Company</w:t>
            </w:r>
          </w:p>
        </w:tc>
        <w:tc>
          <w:tcPr>
            <w:tcW w:w="11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27,208</w:t>
            </w:r>
          </w:p>
        </w:tc>
        <w:tc>
          <w:tcPr>
            <w:tcW w:w="1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16,458</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36,796</w:t>
            </w:r>
          </w:p>
        </w:tc>
        <w:tc>
          <w:tcPr>
            <w:tcW w:w="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52,924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80" w:type="dxa"/>
            <w:vAlign w:val="bottom"/>
            <w:gridSpan w:val="3"/>
          </w:tcPr>
          <w:p>
            <w:pPr>
              <w:jc w:val="center"/>
              <w:ind w:right="448"/>
              <w:spacing w:after="0"/>
              <w:rPr>
                <w:sz w:val="20"/>
                <w:szCs w:val="20"/>
                <w:color w:val="auto"/>
              </w:rPr>
            </w:pPr>
            <w:r>
              <w:rPr>
                <w:rFonts w:ascii="Arial" w:cs="Arial" w:eastAsia="Arial" w:hAnsi="Arial"/>
                <w:sz w:val="14"/>
                <w:szCs w:val="14"/>
                <w:b w:val="1"/>
                <w:bCs w:val="1"/>
                <w:color w:val="auto"/>
              </w:rPr>
              <w:t>METER AND MODULE SUMMARY</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380" w:type="dxa"/>
            <w:vAlign w:val="bottom"/>
          </w:tcPr>
          <w:p>
            <w:pPr>
              <w:spacing w:after="0"/>
              <w:rPr>
                <w:sz w:val="20"/>
                <w:szCs w:val="20"/>
                <w:color w:val="auto"/>
              </w:rPr>
            </w:pPr>
            <w:r>
              <w:rPr>
                <w:rFonts w:ascii="Arial" w:cs="Arial" w:eastAsia="Arial" w:hAnsi="Arial"/>
                <w:sz w:val="14"/>
                <w:szCs w:val="14"/>
                <w:color w:val="auto"/>
              </w:rPr>
              <w:t>(Units in thousands)</w:t>
            </w:r>
          </w:p>
        </w:tc>
        <w:tc>
          <w:tcPr>
            <w:tcW w:w="328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Three Months Ended September 30,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0" w:type="dxa"/>
            <w:vAlign w:val="bottom"/>
            <w:gridSpan w:val="3"/>
            <w:vMerge w:val="restart"/>
          </w:tcPr>
          <w:p>
            <w:pPr>
              <w:jc w:val="right"/>
              <w:ind w:right="8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4"/>
        </w:trPr>
        <w:tc>
          <w:tcPr>
            <w:tcW w:w="3380" w:type="dxa"/>
            <w:vAlign w:val="bottom"/>
          </w:tcPr>
          <w:p>
            <w:pPr>
              <w:spacing w:after="0"/>
              <w:rPr>
                <w:sz w:val="15"/>
                <w:szCs w:val="15"/>
                <w:color w:val="auto"/>
              </w:rPr>
            </w:pPr>
          </w:p>
        </w:tc>
        <w:tc>
          <w:tcPr>
            <w:tcW w:w="3280" w:type="dxa"/>
            <w:vAlign w:val="bottom"/>
            <w:tcBorders>
              <w:bottom w:val="single" w:sz="8" w:color="auto"/>
            </w:tcBorders>
            <w:gridSpan w:val="3"/>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338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220"/>
              <w:spacing w:after="0"/>
              <w:rPr>
                <w:sz w:val="20"/>
                <w:szCs w:val="20"/>
                <w:color w:val="auto"/>
              </w:rPr>
            </w:pPr>
            <w:r>
              <w:rPr>
                <w:rFonts w:ascii="Arial" w:cs="Arial" w:eastAsia="Arial" w:hAnsi="Arial"/>
                <w:sz w:val="14"/>
                <w:szCs w:val="14"/>
                <w:color w:val="auto"/>
              </w:rPr>
              <w:t>Standard</w:t>
            </w:r>
          </w:p>
        </w:tc>
        <w:tc>
          <w:tcPr>
            <w:tcW w:w="114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4,100</w:t>
            </w:r>
          </w:p>
        </w:tc>
        <w:tc>
          <w:tcPr>
            <w:tcW w:w="1420" w:type="dxa"/>
            <w:vAlign w:val="bottom"/>
          </w:tcPr>
          <w:p>
            <w:pPr>
              <w:spacing w:after="0"/>
              <w:rPr>
                <w:sz w:val="15"/>
                <w:szCs w:val="15"/>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color w:val="auto"/>
              </w:rPr>
              <w:t>4,800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13,540</w:t>
            </w:r>
          </w:p>
        </w:tc>
        <w:tc>
          <w:tcPr>
            <w:tcW w:w="520" w:type="dxa"/>
            <w:vAlign w:val="bottom"/>
          </w:tcPr>
          <w:p>
            <w:pPr>
              <w:spacing w:after="0"/>
              <w:rPr>
                <w:sz w:val="15"/>
                <w:szCs w:val="15"/>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14,130</w:t>
            </w:r>
          </w:p>
        </w:tc>
        <w:tc>
          <w:tcPr>
            <w:tcW w:w="0" w:type="dxa"/>
            <w:vAlign w:val="bottom"/>
          </w:tcPr>
          <w:p>
            <w:pPr>
              <w:spacing w:after="0"/>
              <w:rPr>
                <w:sz w:val="1"/>
                <w:szCs w:val="1"/>
                <w:color w:val="auto"/>
              </w:rPr>
            </w:pPr>
          </w:p>
        </w:tc>
      </w:tr>
      <w:tr>
        <w:trPr>
          <w:trHeight w:val="181"/>
        </w:trPr>
        <w:tc>
          <w:tcPr>
            <w:tcW w:w="3380" w:type="dxa"/>
            <w:vAlign w:val="bottom"/>
          </w:tcPr>
          <w:p>
            <w:pPr>
              <w:ind w:left="220"/>
              <w:spacing w:after="0"/>
              <w:rPr>
                <w:sz w:val="20"/>
                <w:szCs w:val="20"/>
                <w:color w:val="auto"/>
              </w:rPr>
            </w:pPr>
            <w:r>
              <w:rPr>
                <w:rFonts w:ascii="Arial" w:cs="Arial" w:eastAsia="Arial" w:hAnsi="Arial"/>
                <w:sz w:val="14"/>
                <w:szCs w:val="14"/>
                <w:color w:val="auto"/>
              </w:rPr>
              <w:t>Advanced and Smart</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1,930</w:t>
            </w:r>
          </w:p>
        </w:tc>
        <w:tc>
          <w:tcPr>
            <w:tcW w:w="1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5,330</w:t>
            </w:r>
          </w:p>
        </w:tc>
        <w:tc>
          <w:tcPr>
            <w:tcW w:w="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169"/>
        </w:trPr>
        <w:tc>
          <w:tcPr>
            <w:tcW w:w="3380" w:type="dxa"/>
            <w:vAlign w:val="bottom"/>
          </w:tcPr>
          <w:p>
            <w:pPr>
              <w:ind w:left="1080"/>
              <w:spacing w:after="0"/>
              <w:rPr>
                <w:sz w:val="20"/>
                <w:szCs w:val="20"/>
                <w:color w:val="auto"/>
              </w:rPr>
            </w:pPr>
            <w:r>
              <w:rPr>
                <w:rFonts w:ascii="Arial" w:cs="Arial" w:eastAsia="Arial" w:hAnsi="Arial"/>
                <w:sz w:val="14"/>
                <w:szCs w:val="14"/>
                <w:color w:val="auto"/>
              </w:rPr>
              <w:t>Total meters</w:t>
            </w:r>
          </w:p>
        </w:tc>
        <w:tc>
          <w:tcPr>
            <w:tcW w:w="1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6,030</w:t>
            </w:r>
          </w:p>
        </w:tc>
        <w:tc>
          <w:tcPr>
            <w:tcW w:w="1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6,200</w:t>
            </w: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18,870</w:t>
            </w: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18,410</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w:t>
            </w: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3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80" w:type="dxa"/>
            <w:vAlign w:val="bottom"/>
          </w:tcPr>
          <w:p>
            <w:pPr>
              <w:ind w:left="1080"/>
              <w:spacing w:after="0"/>
              <w:rPr>
                <w:sz w:val="20"/>
                <w:szCs w:val="20"/>
                <w:color w:val="auto"/>
              </w:rPr>
            </w:pPr>
            <w:r>
              <w:rPr>
                <w:rFonts w:ascii="Arial" w:cs="Arial" w:eastAsia="Arial" w:hAnsi="Arial"/>
                <w:sz w:val="14"/>
                <w:szCs w:val="14"/>
                <w:color w:val="auto"/>
              </w:rPr>
              <w:t>Advanced and Smart</w:t>
            </w:r>
          </w:p>
        </w:tc>
        <w:tc>
          <w:tcPr>
            <w:tcW w:w="1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1,530</w:t>
            </w:r>
          </w:p>
        </w:tc>
        <w:tc>
          <w:tcPr>
            <w:tcW w:w="1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1,480</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4,250</w:t>
            </w:r>
          </w:p>
        </w:tc>
        <w:tc>
          <w:tcPr>
            <w:tcW w:w="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4,410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3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80" w:type="dxa"/>
            <w:vAlign w:val="bottom"/>
          </w:tcPr>
          <w:p>
            <w:pPr>
              <w:spacing w:after="0"/>
              <w:rPr>
                <w:sz w:val="15"/>
                <w:szCs w:val="15"/>
                <w:color w:val="auto"/>
              </w:rPr>
            </w:pPr>
          </w:p>
        </w:tc>
        <w:tc>
          <w:tcPr>
            <w:tcW w:w="214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September 30, 2015</w:t>
            </w:r>
          </w:p>
        </w:tc>
        <w:tc>
          <w:tcPr>
            <w:tcW w:w="540" w:type="dxa"/>
            <w:vAlign w:val="bottom"/>
          </w:tcPr>
          <w:p>
            <w:pPr>
              <w:spacing w:after="0"/>
              <w:rPr>
                <w:sz w:val="15"/>
                <w:szCs w:val="15"/>
                <w:color w:val="auto"/>
              </w:rPr>
            </w:pPr>
          </w:p>
        </w:tc>
        <w:tc>
          <w:tcPr>
            <w:tcW w:w="206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74"/>
        </w:trPr>
        <w:tc>
          <w:tcPr>
            <w:tcW w:w="6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200" w:type="dxa"/>
            <w:vAlign w:val="bottom"/>
          </w:tcPr>
          <w:p>
            <w:pPr>
              <w:ind w:left="2780"/>
              <w:spacing w:after="0"/>
              <w:rPr>
                <w:sz w:val="20"/>
                <w:szCs w:val="20"/>
                <w:color w:val="auto"/>
              </w:rPr>
            </w:pPr>
            <w:r>
              <w:rPr>
                <w:rFonts w:ascii="Arial" w:cs="Arial" w:eastAsia="Arial" w:hAnsi="Arial"/>
                <w:sz w:val="14"/>
                <w:szCs w:val="14"/>
                <w:b w:val="1"/>
                <w:bCs w:val="1"/>
                <w:color w:val="auto"/>
              </w:rPr>
              <w:t>ASSETS</w:t>
            </w: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Current assets</w:t>
            </w:r>
          </w:p>
        </w:tc>
        <w:tc>
          <w:tcPr>
            <w:tcW w:w="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Cash and cash equivalents</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109,458</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112,371</w:t>
            </w: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Accounts receivable, net</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340,423</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348,389</w:t>
            </w: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Inventories</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214,237</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154,504</w:t>
            </w: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Deferred tax assets current, net</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35,975</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39,115</w:t>
            </w:r>
          </w:p>
        </w:tc>
        <w:tc>
          <w:tcPr>
            <w:tcW w:w="0" w:type="dxa"/>
            <w:vAlign w:val="bottom"/>
          </w:tcPr>
          <w:p>
            <w:pPr>
              <w:spacing w:after="0"/>
              <w:rPr>
                <w:sz w:val="1"/>
                <w:szCs w:val="1"/>
                <w:color w:val="auto"/>
              </w:rPr>
            </w:pPr>
          </w:p>
        </w:tc>
      </w:tr>
      <w:tr>
        <w:trPr>
          <w:trHeight w:val="181"/>
        </w:trPr>
        <w:tc>
          <w:tcPr>
            <w:tcW w:w="6200" w:type="dxa"/>
            <w:vAlign w:val="bottom"/>
          </w:tcPr>
          <w:p>
            <w:pPr>
              <w:ind w:left="580"/>
              <w:spacing w:after="0"/>
              <w:rPr>
                <w:sz w:val="20"/>
                <w:szCs w:val="20"/>
                <w:color w:val="auto"/>
              </w:rPr>
            </w:pPr>
            <w:r>
              <w:rPr>
                <w:rFonts w:ascii="Arial" w:cs="Arial" w:eastAsia="Arial" w:hAnsi="Arial"/>
                <w:sz w:val="14"/>
                <w:szCs w:val="14"/>
                <w:color w:val="auto"/>
              </w:rPr>
              <w:t>Other current assets</w:t>
            </w:r>
          </w:p>
        </w:tc>
        <w:tc>
          <w:tcPr>
            <w:tcW w:w="4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106,059</w:t>
            </w:r>
          </w:p>
        </w:tc>
        <w:tc>
          <w:tcPr>
            <w:tcW w:w="5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104,307</w:t>
            </w:r>
          </w:p>
        </w:tc>
        <w:tc>
          <w:tcPr>
            <w:tcW w:w="0" w:type="dxa"/>
            <w:vAlign w:val="bottom"/>
          </w:tcPr>
          <w:p>
            <w:pPr>
              <w:spacing w:after="0"/>
              <w:rPr>
                <w:sz w:val="1"/>
                <w:szCs w:val="1"/>
                <w:color w:val="auto"/>
              </w:rPr>
            </w:pPr>
          </w:p>
        </w:tc>
      </w:tr>
      <w:tr>
        <w:trPr>
          <w:trHeight w:val="176"/>
        </w:trPr>
        <w:tc>
          <w:tcPr>
            <w:tcW w:w="6200" w:type="dxa"/>
            <w:vAlign w:val="bottom"/>
          </w:tcPr>
          <w:p>
            <w:pPr>
              <w:ind w:left="840"/>
              <w:spacing w:after="0"/>
              <w:rPr>
                <w:sz w:val="20"/>
                <w:szCs w:val="20"/>
                <w:color w:val="auto"/>
              </w:rPr>
            </w:pPr>
            <w:r>
              <w:rPr>
                <w:rFonts w:ascii="Arial" w:cs="Arial" w:eastAsia="Arial" w:hAnsi="Arial"/>
                <w:sz w:val="14"/>
                <w:szCs w:val="14"/>
                <w:color w:val="auto"/>
              </w:rPr>
              <w:t>Total current assets</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806,152</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758,686</w:t>
            </w:r>
          </w:p>
        </w:tc>
        <w:tc>
          <w:tcPr>
            <w:tcW w:w="0" w:type="dxa"/>
            <w:vAlign w:val="bottom"/>
          </w:tcPr>
          <w:p>
            <w:pPr>
              <w:spacing w:after="0"/>
              <w:rPr>
                <w:sz w:val="1"/>
                <w:szCs w:val="1"/>
                <w:color w:val="auto"/>
              </w:rPr>
            </w:pPr>
          </w:p>
        </w:tc>
      </w:tr>
      <w:tr>
        <w:trPr>
          <w:trHeight w:val="339"/>
        </w:trPr>
        <w:tc>
          <w:tcPr>
            <w:tcW w:w="620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480" w:type="dxa"/>
            <w:vAlign w:val="bottom"/>
          </w:tcPr>
          <w:p>
            <w:pPr>
              <w:spacing w:after="0"/>
              <w:rPr>
                <w:sz w:val="24"/>
                <w:szCs w:val="24"/>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190,295</w:t>
            </w:r>
          </w:p>
        </w:tc>
        <w:tc>
          <w:tcPr>
            <w:tcW w:w="540" w:type="dxa"/>
            <w:vAlign w:val="bottom"/>
          </w:tcPr>
          <w:p>
            <w:pPr>
              <w:spacing w:after="0"/>
              <w:rPr>
                <w:sz w:val="24"/>
                <w:szCs w:val="24"/>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207,789</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59,830</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74,598</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Other long-term assets</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27,192</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28,503</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Intangible assets, net</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111,767</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139,909</w:t>
            </w:r>
          </w:p>
        </w:tc>
        <w:tc>
          <w:tcPr>
            <w:tcW w:w="0" w:type="dxa"/>
            <w:vAlign w:val="bottom"/>
          </w:tcPr>
          <w:p>
            <w:pPr>
              <w:spacing w:after="0"/>
              <w:rPr>
                <w:sz w:val="1"/>
                <w:szCs w:val="1"/>
                <w:color w:val="auto"/>
              </w:rPr>
            </w:pPr>
          </w:p>
        </w:tc>
      </w:tr>
      <w:tr>
        <w:trPr>
          <w:trHeight w:val="181"/>
        </w:trPr>
        <w:tc>
          <w:tcPr>
            <w:tcW w:w="6200" w:type="dxa"/>
            <w:vAlign w:val="bottom"/>
          </w:tcPr>
          <w:p>
            <w:pPr>
              <w:spacing w:after="0"/>
              <w:rPr>
                <w:sz w:val="20"/>
                <w:szCs w:val="20"/>
                <w:color w:val="auto"/>
              </w:rPr>
            </w:pPr>
            <w:r>
              <w:rPr>
                <w:rFonts w:ascii="Arial" w:cs="Arial" w:eastAsia="Arial" w:hAnsi="Arial"/>
                <w:sz w:val="14"/>
                <w:szCs w:val="14"/>
                <w:color w:val="auto"/>
              </w:rPr>
              <w:t>Goodwill</w:t>
            </w:r>
          </w:p>
        </w:tc>
        <w:tc>
          <w:tcPr>
            <w:tcW w:w="4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474,965</w:t>
            </w:r>
          </w:p>
        </w:tc>
        <w:tc>
          <w:tcPr>
            <w:tcW w:w="5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500,820</w:t>
            </w:r>
          </w:p>
        </w:tc>
        <w:tc>
          <w:tcPr>
            <w:tcW w:w="0" w:type="dxa"/>
            <w:vAlign w:val="bottom"/>
          </w:tcPr>
          <w:p>
            <w:pPr>
              <w:spacing w:after="0"/>
              <w:rPr>
                <w:sz w:val="1"/>
                <w:szCs w:val="1"/>
                <w:color w:val="auto"/>
              </w:rPr>
            </w:pPr>
          </w:p>
        </w:tc>
      </w:tr>
      <w:tr>
        <w:trPr>
          <w:trHeight w:val="169"/>
        </w:trPr>
        <w:tc>
          <w:tcPr>
            <w:tcW w:w="6200" w:type="dxa"/>
            <w:vAlign w:val="bottom"/>
          </w:tcPr>
          <w:p>
            <w:pPr>
              <w:ind w:left="840"/>
              <w:spacing w:after="0"/>
              <w:rPr>
                <w:sz w:val="20"/>
                <w:szCs w:val="20"/>
                <w:color w:val="auto"/>
              </w:rPr>
            </w:pPr>
            <w:r>
              <w:rPr>
                <w:rFonts w:ascii="Arial" w:cs="Arial" w:eastAsia="Arial" w:hAnsi="Arial"/>
                <w:sz w:val="14"/>
                <w:szCs w:val="14"/>
                <w:color w:val="auto"/>
              </w:rPr>
              <w:t>Total assets</w:t>
            </w: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1,670,201</w:t>
            </w: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1,710,305</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LIABILITIES AND EQUITY</w:t>
            </w:r>
          </w:p>
        </w:tc>
        <w:tc>
          <w:tcPr>
            <w:tcW w:w="4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2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Current liabilities</w:t>
            </w:r>
          </w:p>
        </w:tc>
        <w:tc>
          <w:tcPr>
            <w:tcW w:w="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Accounts payable</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201,450</w:t>
            </w:r>
          </w:p>
        </w:tc>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184,132</w:t>
            </w: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Other current liabilities</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68,140</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100,945</w:t>
            </w: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Wages and benefits payable</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93,206</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95,248</w:t>
            </w: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Taxes payable</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13,210</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21,951</w:t>
            </w: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Current portion of debt</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11,250</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Current portion of warranty</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40,060</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21,063</w:t>
            </w:r>
          </w:p>
        </w:tc>
        <w:tc>
          <w:tcPr>
            <w:tcW w:w="0" w:type="dxa"/>
            <w:vAlign w:val="bottom"/>
          </w:tcPr>
          <w:p>
            <w:pPr>
              <w:spacing w:after="0"/>
              <w:rPr>
                <w:sz w:val="1"/>
                <w:szCs w:val="1"/>
                <w:color w:val="auto"/>
              </w:rPr>
            </w:pPr>
          </w:p>
        </w:tc>
      </w:tr>
      <w:tr>
        <w:trPr>
          <w:trHeight w:val="181"/>
        </w:trPr>
        <w:tc>
          <w:tcPr>
            <w:tcW w:w="6200" w:type="dxa"/>
            <w:vAlign w:val="bottom"/>
          </w:tcPr>
          <w:p>
            <w:pPr>
              <w:ind w:left="580"/>
              <w:spacing w:after="0"/>
              <w:rPr>
                <w:sz w:val="20"/>
                <w:szCs w:val="20"/>
                <w:color w:val="auto"/>
              </w:rPr>
            </w:pPr>
            <w:r>
              <w:rPr>
                <w:rFonts w:ascii="Arial" w:cs="Arial" w:eastAsia="Arial" w:hAnsi="Arial"/>
                <w:sz w:val="14"/>
                <w:szCs w:val="14"/>
                <w:color w:val="auto"/>
              </w:rPr>
              <w:t>Unearned revenue</w:t>
            </w:r>
          </w:p>
        </w:tc>
        <w:tc>
          <w:tcPr>
            <w:tcW w:w="4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44,639</w:t>
            </w:r>
          </w:p>
        </w:tc>
        <w:tc>
          <w:tcPr>
            <w:tcW w:w="5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43,436</w:t>
            </w:r>
          </w:p>
        </w:tc>
        <w:tc>
          <w:tcPr>
            <w:tcW w:w="0" w:type="dxa"/>
            <w:vAlign w:val="bottom"/>
          </w:tcPr>
          <w:p>
            <w:pPr>
              <w:spacing w:after="0"/>
              <w:rPr>
                <w:sz w:val="1"/>
                <w:szCs w:val="1"/>
                <w:color w:val="auto"/>
              </w:rPr>
            </w:pPr>
          </w:p>
        </w:tc>
      </w:tr>
      <w:tr>
        <w:trPr>
          <w:trHeight w:val="176"/>
        </w:trPr>
        <w:tc>
          <w:tcPr>
            <w:tcW w:w="6200" w:type="dxa"/>
            <w:vAlign w:val="bottom"/>
          </w:tcPr>
          <w:p>
            <w:pPr>
              <w:ind w:left="840"/>
              <w:spacing w:after="0"/>
              <w:rPr>
                <w:sz w:val="20"/>
                <w:szCs w:val="20"/>
                <w:color w:val="auto"/>
              </w:rPr>
            </w:pPr>
            <w:r>
              <w:rPr>
                <w:rFonts w:ascii="Arial" w:cs="Arial" w:eastAsia="Arial" w:hAnsi="Arial"/>
                <w:sz w:val="14"/>
                <w:szCs w:val="14"/>
                <w:color w:val="auto"/>
              </w:rPr>
              <w:t>Total current liabilities</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471,955</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496,775</w:t>
            </w:r>
          </w:p>
        </w:tc>
        <w:tc>
          <w:tcPr>
            <w:tcW w:w="0" w:type="dxa"/>
            <w:vAlign w:val="bottom"/>
          </w:tcPr>
          <w:p>
            <w:pPr>
              <w:spacing w:after="0"/>
              <w:rPr>
                <w:sz w:val="1"/>
                <w:szCs w:val="1"/>
                <w:color w:val="auto"/>
              </w:rPr>
            </w:pPr>
          </w:p>
        </w:tc>
      </w:tr>
      <w:tr>
        <w:trPr>
          <w:trHeight w:val="339"/>
        </w:trPr>
        <w:tc>
          <w:tcPr>
            <w:tcW w:w="6200" w:type="dxa"/>
            <w:vAlign w:val="bottom"/>
          </w:tcPr>
          <w:p>
            <w:pPr>
              <w:spacing w:after="0"/>
              <w:rPr>
                <w:sz w:val="20"/>
                <w:szCs w:val="20"/>
                <w:color w:val="auto"/>
              </w:rPr>
            </w:pPr>
            <w:r>
              <w:rPr>
                <w:rFonts w:ascii="Arial" w:cs="Arial" w:eastAsia="Arial" w:hAnsi="Arial"/>
                <w:sz w:val="14"/>
                <w:szCs w:val="14"/>
                <w:color w:val="auto"/>
              </w:rPr>
              <w:t>Long-term debt</w:t>
            </w:r>
          </w:p>
        </w:tc>
        <w:tc>
          <w:tcPr>
            <w:tcW w:w="480" w:type="dxa"/>
            <w:vAlign w:val="bottom"/>
          </w:tcPr>
          <w:p>
            <w:pPr>
              <w:spacing w:after="0"/>
              <w:rPr>
                <w:sz w:val="24"/>
                <w:szCs w:val="24"/>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369,457</w:t>
            </w:r>
          </w:p>
        </w:tc>
        <w:tc>
          <w:tcPr>
            <w:tcW w:w="540" w:type="dxa"/>
            <w:vAlign w:val="bottom"/>
          </w:tcPr>
          <w:p>
            <w:pPr>
              <w:spacing w:after="0"/>
              <w:rPr>
                <w:sz w:val="24"/>
                <w:szCs w:val="24"/>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293,969</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Long-term warranty</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14,684</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15,403</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94,100</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101,432</w:t>
            </w:r>
          </w:p>
        </w:tc>
        <w:tc>
          <w:tcPr>
            <w:tcW w:w="0" w:type="dxa"/>
            <w:vAlign w:val="bottom"/>
          </w:tcPr>
          <w:p>
            <w:pPr>
              <w:spacing w:after="0"/>
              <w:rPr>
                <w:sz w:val="1"/>
                <w:szCs w:val="1"/>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3,569</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3,808</w:t>
            </w:r>
          </w:p>
        </w:tc>
        <w:tc>
          <w:tcPr>
            <w:tcW w:w="0" w:type="dxa"/>
            <w:vAlign w:val="bottom"/>
          </w:tcPr>
          <w:p>
            <w:pPr>
              <w:spacing w:after="0"/>
              <w:rPr>
                <w:sz w:val="1"/>
                <w:szCs w:val="1"/>
                <w:color w:val="auto"/>
              </w:rPr>
            </w:pPr>
          </w:p>
        </w:tc>
      </w:tr>
      <w:tr>
        <w:trPr>
          <w:trHeight w:val="181"/>
        </w:trPr>
        <w:tc>
          <w:tcPr>
            <w:tcW w:w="620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4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81,628</w:t>
            </w:r>
          </w:p>
        </w:tc>
        <w:tc>
          <w:tcPr>
            <w:tcW w:w="5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84,437</w:t>
            </w:r>
          </w:p>
        </w:tc>
        <w:tc>
          <w:tcPr>
            <w:tcW w:w="0" w:type="dxa"/>
            <w:vAlign w:val="bottom"/>
          </w:tcPr>
          <w:p>
            <w:pPr>
              <w:spacing w:after="0"/>
              <w:rPr>
                <w:sz w:val="1"/>
                <w:szCs w:val="1"/>
                <w:color w:val="auto"/>
              </w:rPr>
            </w:pPr>
          </w:p>
        </w:tc>
      </w:tr>
      <w:tr>
        <w:trPr>
          <w:trHeight w:val="176"/>
        </w:trPr>
        <w:tc>
          <w:tcPr>
            <w:tcW w:w="6200" w:type="dxa"/>
            <w:vAlign w:val="bottom"/>
          </w:tcPr>
          <w:p>
            <w:pPr>
              <w:ind w:left="840"/>
              <w:spacing w:after="0"/>
              <w:rPr>
                <w:sz w:val="20"/>
                <w:szCs w:val="20"/>
                <w:color w:val="auto"/>
              </w:rPr>
            </w:pPr>
            <w:r>
              <w:rPr>
                <w:rFonts w:ascii="Arial" w:cs="Arial" w:eastAsia="Arial" w:hAnsi="Arial"/>
                <w:sz w:val="14"/>
                <w:szCs w:val="14"/>
                <w:color w:val="auto"/>
              </w:rPr>
              <w:t>Total liabilities</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1,035,393</w:t>
            </w:r>
          </w:p>
        </w:tc>
        <w:tc>
          <w:tcPr>
            <w:tcW w:w="540" w:type="dxa"/>
            <w:vAlign w:val="bottom"/>
          </w:tcPr>
          <w:p>
            <w:pPr>
              <w:spacing w:after="0"/>
              <w:rPr>
                <w:sz w:val="15"/>
                <w:szCs w:val="15"/>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995,824</w:t>
            </w:r>
          </w:p>
        </w:tc>
        <w:tc>
          <w:tcPr>
            <w:tcW w:w="0" w:type="dxa"/>
            <w:vAlign w:val="bottom"/>
          </w:tcPr>
          <w:p>
            <w:pPr>
              <w:spacing w:after="0"/>
              <w:rPr>
                <w:sz w:val="1"/>
                <w:szCs w:val="1"/>
                <w:color w:val="auto"/>
              </w:rPr>
            </w:pPr>
          </w:p>
        </w:tc>
      </w:tr>
      <w:tr>
        <w:trPr>
          <w:trHeight w:val="346"/>
        </w:trPr>
        <w:tc>
          <w:tcPr>
            <w:tcW w:w="620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200" w:type="dxa"/>
            <w:vAlign w:val="bottom"/>
          </w:tcPr>
          <w:p>
            <w:pPr>
              <w:spacing w:after="0"/>
              <w:rPr>
                <w:sz w:val="20"/>
                <w:szCs w:val="20"/>
                <w:color w:val="auto"/>
              </w:rPr>
            </w:pPr>
            <w:r>
              <w:rPr>
                <w:rFonts w:ascii="Arial" w:cs="Arial" w:eastAsia="Arial" w:hAnsi="Arial"/>
                <w:sz w:val="14"/>
                <w:szCs w:val="14"/>
                <w:color w:val="auto"/>
              </w:rPr>
              <w:t>Equity</w:t>
            </w: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Preferred stock</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5"/>
                <w:szCs w:val="15"/>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1,246,177</w:t>
            </w:r>
          </w:p>
        </w:tc>
        <w:tc>
          <w:tcPr>
            <w:tcW w:w="540" w:type="dxa"/>
            <w:vAlign w:val="bottom"/>
          </w:tcPr>
          <w:p>
            <w:pPr>
              <w:spacing w:after="0"/>
              <w:rPr>
                <w:sz w:val="15"/>
                <w:szCs w:val="15"/>
                <w:color w:val="auto"/>
              </w:rPr>
            </w:pPr>
          </w:p>
        </w:tc>
        <w:tc>
          <w:tcPr>
            <w:tcW w:w="2060" w:type="dxa"/>
            <w:vAlign w:val="bottom"/>
          </w:tcPr>
          <w:p>
            <w:pPr>
              <w:jc w:val="right"/>
              <w:ind w:right="208"/>
              <w:spacing w:after="0"/>
              <w:rPr>
                <w:sz w:val="20"/>
                <w:szCs w:val="20"/>
                <w:color w:val="auto"/>
              </w:rPr>
            </w:pPr>
            <w:r>
              <w:rPr>
                <w:rFonts w:ascii="Arial" w:cs="Arial" w:eastAsia="Arial" w:hAnsi="Arial"/>
                <w:sz w:val="14"/>
                <w:szCs w:val="14"/>
                <w:color w:val="auto"/>
              </w:rPr>
              <w:t>1,270,045</w:t>
            </w:r>
          </w:p>
        </w:tc>
        <w:tc>
          <w:tcPr>
            <w:tcW w:w="0" w:type="dxa"/>
            <w:vAlign w:val="bottom"/>
          </w:tcPr>
          <w:p>
            <w:pPr>
              <w:spacing w:after="0"/>
              <w:rPr>
                <w:sz w:val="1"/>
                <w:szCs w:val="1"/>
                <w:color w:val="auto"/>
              </w:rPr>
            </w:pPr>
          </w:p>
        </w:tc>
      </w:tr>
      <w:tr>
        <w:trPr>
          <w:trHeight w:val="176"/>
        </w:trPr>
        <w:tc>
          <w:tcPr>
            <w:tcW w:w="6200" w:type="dxa"/>
            <w:vAlign w:val="bottom"/>
          </w:tcPr>
          <w:p>
            <w:pPr>
              <w:ind w:left="580"/>
              <w:spacing w:after="0"/>
              <w:rPr>
                <w:sz w:val="20"/>
                <w:szCs w:val="20"/>
                <w:color w:val="auto"/>
              </w:rPr>
            </w:pPr>
            <w:r>
              <w:rPr>
                <w:rFonts w:ascii="Arial" w:cs="Arial" w:eastAsia="Arial" w:hAnsi="Arial"/>
                <w:sz w:val="14"/>
                <w:szCs w:val="14"/>
                <w:color w:val="auto"/>
              </w:rPr>
              <w:t>Accumulated other comprehensive loss, net</w:t>
            </w:r>
          </w:p>
        </w:tc>
        <w:tc>
          <w:tcPr>
            <w:tcW w:w="480" w:type="dxa"/>
            <w:vAlign w:val="bottom"/>
          </w:tcPr>
          <w:p>
            <w:pPr>
              <w:spacing w:after="0"/>
              <w:rPr>
                <w:sz w:val="15"/>
                <w:szCs w:val="15"/>
                <w:color w:val="auto"/>
              </w:rPr>
            </w:pPr>
          </w:p>
        </w:tc>
        <w:tc>
          <w:tcPr>
            <w:tcW w:w="2140" w:type="dxa"/>
            <w:vAlign w:val="bottom"/>
          </w:tcPr>
          <w:p>
            <w:pPr>
              <w:jc w:val="right"/>
              <w:ind w:right="188"/>
              <w:spacing w:after="0"/>
              <w:rPr>
                <w:sz w:val="20"/>
                <w:szCs w:val="20"/>
                <w:color w:val="auto"/>
              </w:rPr>
            </w:pPr>
            <w:r>
              <w:rPr>
                <w:rFonts w:ascii="Arial" w:cs="Arial" w:eastAsia="Arial" w:hAnsi="Arial"/>
                <w:sz w:val="14"/>
                <w:szCs w:val="14"/>
                <w:color w:val="auto"/>
              </w:rPr>
              <w:t>(197,543)</w:t>
            </w:r>
          </w:p>
        </w:tc>
        <w:tc>
          <w:tcPr>
            <w:tcW w:w="540" w:type="dxa"/>
            <w:vAlign w:val="bottom"/>
          </w:tcPr>
          <w:p>
            <w:pPr>
              <w:spacing w:after="0"/>
              <w:rPr>
                <w:sz w:val="15"/>
                <w:szCs w:val="15"/>
                <w:color w:val="auto"/>
              </w:rPr>
            </w:pPr>
          </w:p>
        </w:tc>
        <w:tc>
          <w:tcPr>
            <w:tcW w:w="2060" w:type="dxa"/>
            <w:vAlign w:val="bottom"/>
          </w:tcPr>
          <w:p>
            <w:pPr>
              <w:jc w:val="right"/>
              <w:ind w:right="148"/>
              <w:spacing w:after="0"/>
              <w:rPr>
                <w:sz w:val="20"/>
                <w:szCs w:val="20"/>
                <w:color w:val="auto"/>
              </w:rPr>
            </w:pPr>
            <w:r>
              <w:rPr>
                <w:rFonts w:ascii="Arial" w:cs="Arial" w:eastAsia="Arial" w:hAnsi="Arial"/>
                <w:sz w:val="14"/>
                <w:szCs w:val="14"/>
                <w:color w:val="auto"/>
              </w:rPr>
              <w:t>(136,514)</w:t>
            </w:r>
          </w:p>
        </w:tc>
        <w:tc>
          <w:tcPr>
            <w:tcW w:w="0" w:type="dxa"/>
            <w:vAlign w:val="bottom"/>
          </w:tcPr>
          <w:p>
            <w:pPr>
              <w:spacing w:after="0"/>
              <w:rPr>
                <w:sz w:val="1"/>
                <w:szCs w:val="1"/>
                <w:color w:val="auto"/>
              </w:rPr>
            </w:pPr>
          </w:p>
        </w:tc>
      </w:tr>
      <w:tr>
        <w:trPr>
          <w:trHeight w:val="181"/>
        </w:trPr>
        <w:tc>
          <w:tcPr>
            <w:tcW w:w="6200" w:type="dxa"/>
            <w:vAlign w:val="bottom"/>
          </w:tcPr>
          <w:p>
            <w:pPr>
              <w:ind w:left="580"/>
              <w:spacing w:after="0"/>
              <w:rPr>
                <w:sz w:val="20"/>
                <w:szCs w:val="20"/>
                <w:color w:val="auto"/>
              </w:rPr>
            </w:pPr>
            <w:r>
              <w:rPr>
                <w:rFonts w:ascii="Arial" w:cs="Arial" w:eastAsia="Arial" w:hAnsi="Arial"/>
                <w:sz w:val="14"/>
                <w:szCs w:val="14"/>
                <w:color w:val="auto"/>
              </w:rPr>
              <w:t>Accumulated deficit</w:t>
            </w:r>
          </w:p>
        </w:tc>
        <w:tc>
          <w:tcPr>
            <w:tcW w:w="4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(433,184)</w:t>
            </w:r>
          </w:p>
        </w:tc>
        <w:tc>
          <w:tcPr>
            <w:tcW w:w="5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(436,591)</w:t>
            </w:r>
          </w:p>
        </w:tc>
        <w:tc>
          <w:tcPr>
            <w:tcW w:w="0" w:type="dxa"/>
            <w:vAlign w:val="bottom"/>
          </w:tcPr>
          <w:p>
            <w:pPr>
              <w:spacing w:after="0"/>
              <w:rPr>
                <w:sz w:val="1"/>
                <w:szCs w:val="1"/>
                <w:color w:val="auto"/>
              </w:rPr>
            </w:pPr>
          </w:p>
        </w:tc>
      </w:tr>
      <w:tr>
        <w:trPr>
          <w:trHeight w:val="164"/>
        </w:trPr>
        <w:tc>
          <w:tcPr>
            <w:tcW w:w="6200" w:type="dxa"/>
            <w:vAlign w:val="bottom"/>
          </w:tcPr>
          <w:p>
            <w:pPr>
              <w:ind w:left="840"/>
              <w:spacing w:after="0"/>
              <w:rPr>
                <w:sz w:val="20"/>
                <w:szCs w:val="20"/>
                <w:color w:val="auto"/>
              </w:rPr>
            </w:pPr>
            <w:r>
              <w:rPr>
                <w:rFonts w:ascii="Arial" w:cs="Arial" w:eastAsia="Arial" w:hAnsi="Arial"/>
                <w:sz w:val="14"/>
                <w:szCs w:val="14"/>
                <w:color w:val="auto"/>
              </w:rPr>
              <w:t>Total Itron, Inc. shareholders' equity</w:t>
            </w:r>
          </w:p>
        </w:tc>
        <w:tc>
          <w:tcPr>
            <w:tcW w:w="480" w:type="dxa"/>
            <w:vAlign w:val="bottom"/>
          </w:tcPr>
          <w:p>
            <w:pPr>
              <w:spacing w:after="0"/>
              <w:rPr>
                <w:sz w:val="14"/>
                <w:szCs w:val="14"/>
                <w:color w:val="auto"/>
              </w:rPr>
            </w:pPr>
          </w:p>
        </w:tc>
        <w:tc>
          <w:tcPr>
            <w:tcW w:w="2140" w:type="dxa"/>
            <w:vAlign w:val="bottom"/>
          </w:tcPr>
          <w:p>
            <w:pPr>
              <w:jc w:val="right"/>
              <w:ind w:right="228"/>
              <w:spacing w:after="0"/>
              <w:rPr>
                <w:sz w:val="20"/>
                <w:szCs w:val="20"/>
                <w:color w:val="auto"/>
              </w:rPr>
            </w:pPr>
            <w:r>
              <w:rPr>
                <w:rFonts w:ascii="Arial" w:cs="Arial" w:eastAsia="Arial" w:hAnsi="Arial"/>
                <w:sz w:val="14"/>
                <w:szCs w:val="14"/>
                <w:color w:val="auto"/>
              </w:rPr>
              <w:t>615,450</w:t>
            </w:r>
          </w:p>
        </w:tc>
        <w:tc>
          <w:tcPr>
            <w:tcW w:w="54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Arial" w:cs="Arial" w:eastAsia="Arial" w:hAnsi="Arial"/>
                <w:sz w:val="14"/>
                <w:szCs w:val="14"/>
                <w:color w:val="auto"/>
              </w:rPr>
              <w:t>696,940</w:t>
            </w:r>
          </w:p>
        </w:tc>
        <w:tc>
          <w:tcPr>
            <w:tcW w:w="0" w:type="dxa"/>
            <w:vAlign w:val="bottom"/>
          </w:tcPr>
          <w:p>
            <w:pPr>
              <w:spacing w:after="0"/>
              <w:rPr>
                <w:sz w:val="1"/>
                <w:szCs w:val="1"/>
                <w:color w:val="auto"/>
              </w:rPr>
            </w:pPr>
          </w:p>
        </w:tc>
      </w:tr>
      <w:tr>
        <w:trPr>
          <w:trHeight w:val="181"/>
        </w:trPr>
        <w:tc>
          <w:tcPr>
            <w:tcW w:w="6200" w:type="dxa"/>
            <w:vAlign w:val="bottom"/>
          </w:tcPr>
          <w:p>
            <w:pPr>
              <w:ind w:left="580"/>
              <w:spacing w:after="0"/>
              <w:rPr>
                <w:sz w:val="20"/>
                <w:szCs w:val="20"/>
                <w:color w:val="auto"/>
              </w:rPr>
            </w:pPr>
            <w:r>
              <w:rPr>
                <w:rFonts w:ascii="Arial" w:cs="Arial" w:eastAsia="Arial" w:hAnsi="Arial"/>
                <w:sz w:val="14"/>
                <w:szCs w:val="14"/>
                <w:color w:val="auto"/>
              </w:rPr>
              <w:t>Non-controlling interests</w:t>
            </w:r>
          </w:p>
        </w:tc>
        <w:tc>
          <w:tcPr>
            <w:tcW w:w="4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19,358</w:t>
            </w:r>
          </w:p>
        </w:tc>
        <w:tc>
          <w:tcPr>
            <w:tcW w:w="5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17,541</w:t>
            </w:r>
          </w:p>
        </w:tc>
        <w:tc>
          <w:tcPr>
            <w:tcW w:w="0" w:type="dxa"/>
            <w:vAlign w:val="bottom"/>
          </w:tcPr>
          <w:p>
            <w:pPr>
              <w:spacing w:after="0"/>
              <w:rPr>
                <w:sz w:val="1"/>
                <w:szCs w:val="1"/>
                <w:color w:val="auto"/>
              </w:rPr>
            </w:pPr>
          </w:p>
        </w:tc>
      </w:tr>
      <w:tr>
        <w:trPr>
          <w:trHeight w:val="169"/>
        </w:trPr>
        <w:tc>
          <w:tcPr>
            <w:tcW w:w="6200" w:type="dxa"/>
            <w:vAlign w:val="bottom"/>
          </w:tcPr>
          <w:p>
            <w:pPr>
              <w:ind w:left="840"/>
              <w:spacing w:after="0"/>
              <w:rPr>
                <w:sz w:val="20"/>
                <w:szCs w:val="20"/>
                <w:color w:val="auto"/>
              </w:rPr>
            </w:pPr>
            <w:r>
              <w:rPr>
                <w:rFonts w:ascii="Arial" w:cs="Arial" w:eastAsia="Arial" w:hAnsi="Arial"/>
                <w:sz w:val="14"/>
                <w:szCs w:val="14"/>
                <w:color w:val="auto"/>
              </w:rPr>
              <w:t>Total equity</w:t>
            </w:r>
          </w:p>
        </w:tc>
        <w:tc>
          <w:tcPr>
            <w:tcW w:w="4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634,808</w:t>
            </w:r>
          </w:p>
        </w:tc>
        <w:tc>
          <w:tcPr>
            <w:tcW w:w="5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714,481</w:t>
            </w:r>
          </w:p>
        </w:tc>
        <w:tc>
          <w:tcPr>
            <w:tcW w:w="0" w:type="dxa"/>
            <w:vAlign w:val="bottom"/>
          </w:tcPr>
          <w:p>
            <w:pPr>
              <w:spacing w:after="0"/>
              <w:rPr>
                <w:sz w:val="1"/>
                <w:szCs w:val="1"/>
                <w:color w:val="auto"/>
              </w:rPr>
            </w:pPr>
          </w:p>
        </w:tc>
      </w:tr>
      <w:tr>
        <w:trPr>
          <w:trHeight w:val="169"/>
        </w:trPr>
        <w:tc>
          <w:tcPr>
            <w:tcW w:w="6200" w:type="dxa"/>
            <w:vAlign w:val="bottom"/>
          </w:tcPr>
          <w:p>
            <w:pPr>
              <w:ind w:left="840"/>
              <w:spacing w:after="0"/>
              <w:rPr>
                <w:sz w:val="20"/>
                <w:szCs w:val="20"/>
                <w:color w:val="auto"/>
              </w:rPr>
            </w:pPr>
            <w:r>
              <w:rPr>
                <w:rFonts w:ascii="Arial" w:cs="Arial" w:eastAsia="Arial" w:hAnsi="Arial"/>
                <w:sz w:val="14"/>
                <w:szCs w:val="14"/>
                <w:color w:val="auto"/>
              </w:rPr>
              <w:t>Total liabilities and equity</w:t>
            </w: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1,670,201</w:t>
            </w: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1,710,305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2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0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jc w:val="center"/>
        <w:ind w:left="4020"/>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ind w:left="402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Goodwill impairment</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Restructuring expense, non-cash</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provided by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Business acquisitions, net of cash equivalents acquired</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borrowings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Repurchase of common stock</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cash provided by (used in)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Effect of foreign exchange rate changes on cash and cash equivalents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Decrease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Nine Months Ended 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2014</w:t>
            </w:r>
          </w:p>
        </w:tc>
      </w:tr>
      <w:tr>
        <w:trPr>
          <w:trHeight w:val="346"/>
        </w:trPr>
        <w:tc>
          <w:tcPr>
            <w:tcW w:w="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5,224</w:t>
            </w:r>
          </w:p>
        </w:tc>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27,279</w:t>
            </w:r>
          </w:p>
        </w:tc>
      </w:tr>
      <w:tr>
        <w:trPr>
          <w:trHeight w:val="344"/>
        </w:trPr>
        <w:tc>
          <w:tcPr>
            <w:tcW w:w="480" w:type="dxa"/>
            <w:vAlign w:val="bottom"/>
          </w:tcPr>
          <w:p>
            <w:pPr>
              <w:spacing w:after="0"/>
              <w:rPr>
                <w:sz w:val="24"/>
                <w:szCs w:val="24"/>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58,514</w:t>
            </w:r>
          </w:p>
        </w:tc>
        <w:tc>
          <w:tcPr>
            <w:tcW w:w="480" w:type="dxa"/>
            <w:vAlign w:val="bottom"/>
          </w:tcPr>
          <w:p>
            <w:pPr>
              <w:spacing w:after="0"/>
              <w:rPr>
                <w:sz w:val="24"/>
                <w:szCs w:val="2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75,233</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10,879</w:t>
            </w:r>
          </w:p>
        </w:tc>
        <w:tc>
          <w:tcPr>
            <w:tcW w:w="48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12,703</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1,851</w:t>
            </w:r>
          </w:p>
        </w:tc>
        <w:tc>
          <w:tcPr>
            <w:tcW w:w="48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1,212</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14,926</w:t>
            </w:r>
          </w:p>
        </w:tc>
        <w:tc>
          <w:tcPr>
            <w:tcW w:w="48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(9,787)</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977</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1,395</w:t>
            </w:r>
          </w:p>
        </w:tc>
        <w:tc>
          <w:tcPr>
            <w:tcW w:w="48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182"/>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1,877</w:t>
            </w:r>
          </w:p>
        </w:tc>
        <w:tc>
          <w:tcPr>
            <w:tcW w:w="48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120</w:t>
            </w:r>
          </w:p>
        </w:tc>
      </w:tr>
      <w:tr>
        <w:trPr>
          <w:trHeight w:val="344"/>
        </w:trPr>
        <w:tc>
          <w:tcPr>
            <w:tcW w:w="480" w:type="dxa"/>
            <w:vAlign w:val="bottom"/>
          </w:tcPr>
          <w:p>
            <w:pPr>
              <w:spacing w:after="0"/>
              <w:rPr>
                <w:sz w:val="24"/>
                <w:szCs w:val="2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(12,401)</w:t>
            </w:r>
          </w:p>
        </w:tc>
        <w:tc>
          <w:tcPr>
            <w:tcW w:w="480" w:type="dxa"/>
            <w:vAlign w:val="bottom"/>
          </w:tcPr>
          <w:p>
            <w:pPr>
              <w:spacing w:after="0"/>
              <w:rPr>
                <w:sz w:val="24"/>
                <w:szCs w:val="24"/>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(1,576)</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(73,212)</w:t>
            </w:r>
          </w:p>
        </w:tc>
        <w:tc>
          <w:tcPr>
            <w:tcW w:w="48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(23,986)</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(4,696)</w:t>
            </w:r>
          </w:p>
        </w:tc>
        <w:tc>
          <w:tcPr>
            <w:tcW w:w="48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(5,298)</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605</w:t>
            </w:r>
          </w:p>
        </w:tc>
        <w:tc>
          <w:tcPr>
            <w:tcW w:w="48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(1,396)</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(11,666)</w:t>
            </w:r>
          </w:p>
        </w:tc>
        <w:tc>
          <w:tcPr>
            <w:tcW w:w="48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19,669</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4,110</w:t>
            </w:r>
          </w:p>
        </w:tc>
        <w:tc>
          <w:tcPr>
            <w:tcW w:w="48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6,717</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4,128</w:t>
            </w:r>
          </w:p>
        </w:tc>
        <w:tc>
          <w:tcPr>
            <w:tcW w:w="48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11,800</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20,280</w:t>
            </w:r>
          </w:p>
        </w:tc>
        <w:tc>
          <w:tcPr>
            <w:tcW w:w="48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(3,544)</w:t>
            </w:r>
          </w:p>
        </w:tc>
      </w:tr>
      <w:tr>
        <w:trPr>
          <w:trHeight w:val="181"/>
        </w:trPr>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(1,660)</w:t>
            </w: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6,415</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20,154</w:t>
            </w:r>
          </w:p>
        </w:tc>
        <w:tc>
          <w:tcPr>
            <w:tcW w:w="48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116,538</w:t>
            </w:r>
          </w:p>
        </w:tc>
      </w:tr>
      <w:tr>
        <w:trPr>
          <w:trHeight w:val="515"/>
        </w:trPr>
        <w:tc>
          <w:tcPr>
            <w:tcW w:w="480" w:type="dxa"/>
            <w:vAlign w:val="bottom"/>
          </w:tcPr>
          <w:p>
            <w:pPr>
              <w:spacing w:after="0"/>
              <w:rPr>
                <w:sz w:val="24"/>
                <w:szCs w:val="2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(33,324)</w:t>
            </w:r>
          </w:p>
        </w:tc>
        <w:tc>
          <w:tcPr>
            <w:tcW w:w="480" w:type="dxa"/>
            <w:vAlign w:val="bottom"/>
          </w:tcPr>
          <w:p>
            <w:pPr>
              <w:spacing w:after="0"/>
              <w:rPr>
                <w:sz w:val="24"/>
                <w:szCs w:val="24"/>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(32,060)</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(5,754)</w:t>
            </w:r>
          </w:p>
        </w:tc>
        <w:tc>
          <w:tcPr>
            <w:tcW w:w="48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181"/>
        </w:trPr>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545</w:t>
            </w: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(193)</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(38,533)</w:t>
            </w:r>
          </w:p>
        </w:tc>
        <w:tc>
          <w:tcPr>
            <w:tcW w:w="48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(32,253)</w:t>
            </w:r>
          </w:p>
        </w:tc>
      </w:tr>
      <w:tr>
        <w:trPr>
          <w:trHeight w:val="515"/>
        </w:trPr>
        <w:tc>
          <w:tcPr>
            <w:tcW w:w="480" w:type="dxa"/>
            <w:vAlign w:val="bottom"/>
          </w:tcPr>
          <w:p>
            <w:pPr>
              <w:spacing w:after="0"/>
              <w:rPr>
                <w:sz w:val="24"/>
                <w:szCs w:val="24"/>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89,709</w:t>
            </w:r>
          </w:p>
        </w:tc>
        <w:tc>
          <w:tcPr>
            <w:tcW w:w="480" w:type="dxa"/>
            <w:vAlign w:val="bottom"/>
          </w:tcPr>
          <w:p>
            <w:pPr>
              <w:spacing w:after="0"/>
              <w:rPr>
                <w:sz w:val="24"/>
                <w:szCs w:val="2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(30,186)</w:t>
            </w:r>
          </w:p>
        </w:tc>
        <w:tc>
          <w:tcPr>
            <w:tcW w:w="48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(68,750)</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2,229</w:t>
            </w:r>
          </w:p>
        </w:tc>
        <w:tc>
          <w:tcPr>
            <w:tcW w:w="48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2,324</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(35,278)</w:t>
            </w:r>
          </w:p>
        </w:tc>
        <w:tc>
          <w:tcPr>
            <w:tcW w:w="48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(15,324)</w:t>
            </w:r>
          </w:p>
        </w:tc>
      </w:tr>
      <w:tr>
        <w:trPr>
          <w:trHeight w:val="181"/>
        </w:trPr>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1,881</w:t>
            </w: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2,395</w:t>
            </w:r>
          </w:p>
        </w:tc>
      </w:tr>
      <w:tr>
        <w:trPr>
          <w:trHeight w:val="176"/>
        </w:trPr>
        <w:tc>
          <w:tcPr>
            <w:tcW w:w="480" w:type="dxa"/>
            <w:vAlign w:val="bottom"/>
          </w:tcPr>
          <w:p>
            <w:pPr>
              <w:spacing w:after="0"/>
              <w:rPr>
                <w:sz w:val="15"/>
                <w:szCs w:val="15"/>
                <w:color w:val="auto"/>
              </w:rPr>
            </w:pPr>
          </w:p>
        </w:tc>
        <w:tc>
          <w:tcPr>
            <w:tcW w:w="1280" w:type="dxa"/>
            <w:vAlign w:val="bottom"/>
          </w:tcPr>
          <w:p>
            <w:pPr>
              <w:jc w:val="right"/>
              <w:ind w:right="128"/>
              <w:spacing w:after="0"/>
              <w:rPr>
                <w:sz w:val="20"/>
                <w:szCs w:val="20"/>
                <w:color w:val="auto"/>
              </w:rPr>
            </w:pPr>
            <w:r>
              <w:rPr>
                <w:rFonts w:ascii="Arial" w:cs="Arial" w:eastAsia="Arial" w:hAnsi="Arial"/>
                <w:sz w:val="14"/>
                <w:szCs w:val="14"/>
                <w:color w:val="auto"/>
              </w:rPr>
              <w:t>28,355</w:t>
            </w:r>
          </w:p>
        </w:tc>
        <w:tc>
          <w:tcPr>
            <w:tcW w:w="480" w:type="dxa"/>
            <w:vAlign w:val="bottom"/>
          </w:tcPr>
          <w:p>
            <w:pPr>
              <w:spacing w:after="0"/>
              <w:rPr>
                <w:sz w:val="15"/>
                <w:szCs w:val="15"/>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(79,355)</w:t>
            </w:r>
          </w:p>
        </w:tc>
      </w:tr>
      <w:tr>
        <w:trPr>
          <w:trHeight w:val="344"/>
        </w:trPr>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(12,889)</w:t>
            </w:r>
          </w:p>
        </w:tc>
        <w:tc>
          <w:tcPr>
            <w:tcW w:w="4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(7,260)</w:t>
            </w:r>
          </w:p>
        </w:tc>
      </w:tr>
      <w:tr>
        <w:trPr>
          <w:trHeight w:val="164"/>
        </w:trPr>
        <w:tc>
          <w:tcPr>
            <w:tcW w:w="480" w:type="dxa"/>
            <w:vAlign w:val="bottom"/>
          </w:tcPr>
          <w:p>
            <w:pPr>
              <w:spacing w:after="0"/>
              <w:rPr>
                <w:sz w:val="14"/>
                <w:szCs w:val="14"/>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(2,913)</w:t>
            </w:r>
          </w:p>
        </w:tc>
        <w:tc>
          <w:tcPr>
            <w:tcW w:w="4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(2,330)</w:t>
            </w:r>
          </w:p>
        </w:tc>
      </w:tr>
      <w:tr>
        <w:trPr>
          <w:trHeight w:val="181"/>
        </w:trPr>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112,371</w:t>
            </w: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124,805</w:t>
            </w:r>
          </w:p>
        </w:tc>
      </w:tr>
      <w:tr>
        <w:trPr>
          <w:trHeight w:val="169"/>
        </w:trPr>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109,458</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122,475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400" w:space="480"/>
            <w:col w:w="3540"/>
          </w:cols>
          <w:pgMar w:left="240" w:top="306"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b w:val="1"/>
          <w:bCs w:val="1"/>
          <w:color w:val="auto"/>
        </w:rPr>
        <w:t>Itron,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188"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acquired through a business acquisition and non-recurring discrete cash and non-cash charges that are infrequent in nature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00" w:lineRule="exact"/>
        <w:rPr>
          <w:sz w:val="20"/>
          <w:szCs w:val="20"/>
          <w:color w:val="auto"/>
        </w:rPr>
      </w:pP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Non-GAAP operating expense and non-GAAP operating income – We define non-GAAP operating expense as operating expense excluding certain expenses related to the amortization of intangible assets acquired through a business acquisition, restructuring, acquisitions and goodwill impairment. We define non-GAAP operating income as operating income excluding the expenses related to the amortization of intangible assets acquired through a business acquisition, restructuring, acquisitions and goodwill impairment. We consider these non-GAAP financial measures to be useful metrics for management and investors because they exclude the effect of expenses that are related to previous acquisitions and restructurings.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264795</wp:posOffset>
            </wp:positionV>
            <wp:extent cx="727202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line="245" w:lineRule="auto"/>
        <w:rPr>
          <w:sz w:val="20"/>
          <w:szCs w:val="20"/>
          <w:color w:val="auto"/>
        </w:rPr>
      </w:pPr>
      <w:r>
        <w:rPr>
          <w:rFonts w:ascii="Arial" w:cs="Arial" w:eastAsia="Arial" w:hAnsi="Arial"/>
          <w:sz w:val="21"/>
          <w:szCs w:val="21"/>
          <w:color w:val="auto"/>
        </w:rPr>
        <w:t>Non-GAAP net income and non-GAAP diluted EPS – We define non-GAAP net income as net income excluding the expenses associated with amortization of intangible assets acquired through a business acquisition, restructuring, acquisitions, goodwill impairment and amortization of debt placement fees.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86"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Adjusted EBITDA – We define adjusted EBITDA as net income (a) minus interest income, (b) plus interest expense, depreciation and amortization of business acquisition related intangible asset expenses, restructuring expense, acquisition related expense,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9"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Free cash flow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COMPANY RECONCILIATIONS</w:t>
            </w: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5800" w:type="dxa"/>
            <w:vAlign w:val="bottom"/>
          </w:tcPr>
          <w:p>
            <w:pPr>
              <w:ind w:left="80"/>
              <w:spacing w:after="0"/>
              <w:rPr>
                <w:sz w:val="20"/>
                <w:szCs w:val="20"/>
                <w:color w:val="auto"/>
              </w:rPr>
            </w:pPr>
            <w:r>
              <w:rPr>
                <w:rFonts w:ascii="Arial" w:cs="Arial" w:eastAsia="Arial" w:hAnsi="Arial"/>
                <w:sz w:val="14"/>
                <w:szCs w:val="14"/>
                <w:b w:val="1"/>
                <w:bCs w:val="1"/>
                <w:color w:val="auto"/>
              </w:rPr>
              <w:t>NON-GAAP NET INCOME &amp; DILUTED EPS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GAAP net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12,695</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7,308</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3,407</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26,313</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7,869</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10,917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23,730</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33,096</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Amortization of debt placement fees</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244</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379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1,773</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(9,686)</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(3,271)</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(5,554)</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Income tax effect of non-GAAP adjustments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(935)</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(3,470)</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(3,923)</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(11,048)</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Non-GAAP 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16,597</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15,409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9,747</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49,059</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180"/>
              <w:spacing w:after="0"/>
              <w:rPr>
                <w:sz w:val="20"/>
                <w:szCs w:val="20"/>
                <w:color w:val="auto"/>
              </w:rPr>
            </w:pPr>
            <w:r>
              <w:rPr>
                <w:rFonts w:ascii="Arial" w:cs="Arial" w:eastAsia="Arial" w:hAnsi="Arial"/>
                <w:sz w:val="14"/>
                <w:szCs w:val="14"/>
                <w:color w:val="auto"/>
              </w:rPr>
              <w:t>Non-GAAP diluted EPS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0" w:type="dxa"/>
            <w:vAlign w:val="bottom"/>
            <w:vMerge w:val="continue"/>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0.43</w:t>
            </w:r>
          </w:p>
        </w:tc>
        <w:tc>
          <w:tcPr>
            <w:tcW w:w="3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0.39</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0.25</w:t>
            </w:r>
          </w:p>
        </w:tc>
        <w:tc>
          <w:tcPr>
            <w:tcW w:w="3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800" w:type="dxa"/>
            <w:vAlign w:val="bottom"/>
          </w:tcPr>
          <w:p>
            <w:pPr>
              <w:ind w:left="180"/>
              <w:spacing w:after="0"/>
              <w:rPr>
                <w:sz w:val="20"/>
                <w:szCs w:val="20"/>
                <w:color w:val="auto"/>
              </w:rPr>
            </w:pPr>
            <w:r>
              <w:rPr>
                <w:rFonts w:ascii="Arial" w:cs="Arial" w:eastAsia="Arial" w:hAnsi="Arial"/>
                <w:sz w:val="14"/>
                <w:szCs w:val="14"/>
                <w:color w:val="auto"/>
              </w:rPr>
              <w:t>Weighted average common shares outstanding - Diluted</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38,358</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39,493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38,591</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39,516</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ADJUSTED EBITDA</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GAAP net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12,695</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7,308</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3,407</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26,313</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(440)</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2,799</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3,015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9,336</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8,837</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Income tax provision</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10,144</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4,484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19,673</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11,679</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19,754</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24,608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58,514</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75,214</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(9,686)</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(3,271)</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(5,554)</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Adjusted EBITDA</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41,936</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39,527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75,250</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121,291</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FREE CASH FLOW</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2,587</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49,347</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20,154</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116,538</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Acquisitions of property, plant, and equipment</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(12,332)</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(12,657)</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(33,324)</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(32,060)</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Free Cash Flow</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(9,745)</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36,690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(13,170)</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84,478</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GAAP operating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27,208</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16,458</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36,796</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52,924</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7,869</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10,917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23,730</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33,096</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(9,686)</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(3,271)</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(5,554)</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31,801</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27,650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45,286</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85,581</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EXPENSE</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GAAP operating expense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119,758</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134,304</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366,940</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415,414</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(7,869)</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(10,917)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(23,730)</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(33,096)</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9,686</w:t>
            </w:r>
          </w:p>
        </w:tc>
        <w:tc>
          <w:tcPr>
            <w:tcW w:w="36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3,271</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5,554</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Non-GAAP operating expense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115,165</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123,112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358,450</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382,757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 RECONCILIATIONS</w:t>
            </w: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64"/>
        </w:trPr>
        <w:tc>
          <w:tcPr>
            <w:tcW w:w="5800" w:type="dxa"/>
            <w:vAlign w:val="bottom"/>
          </w:tcPr>
          <w:p>
            <w:pPr>
              <w:ind w:left="80"/>
              <w:spacing w:after="0"/>
              <w:rPr>
                <w:sz w:val="20"/>
                <w:szCs w:val="20"/>
                <w:color w:val="auto"/>
              </w:rPr>
            </w:pPr>
            <w:r>
              <w:rPr>
                <w:rFonts w:ascii="Arial" w:cs="Arial" w:eastAsia="Arial" w:hAnsi="Arial"/>
                <w:sz w:val="14"/>
                <w:szCs w:val="14"/>
                <w:b w:val="1"/>
                <w:bCs w:val="1"/>
                <w:color w:val="auto"/>
              </w:rPr>
              <w:t>NON-GAAP OPERATING INCOME - ELECTRICITY</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Electricity - GAAP operating income (loss)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10,575</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(11,196)</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16,875</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(35,412)</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4,413</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6,129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13,296</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18,473</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(1,960)</w:t>
            </w:r>
          </w:p>
        </w:tc>
        <w:tc>
          <w:tcPr>
            <w:tcW w:w="48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(7,790)</w:t>
            </w:r>
          </w:p>
        </w:tc>
        <w:tc>
          <w:tcPr>
            <w:tcW w:w="48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(8,544)</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Pr>
          <w:p>
            <w:pPr>
              <w:spacing w:after="0"/>
              <w:rPr>
                <w:sz w:val="15"/>
                <w:szCs w:val="15"/>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(3,390)</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(5,673)</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Electricity - Non-GAAP operating income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9,638</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(4,939)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16,708</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(23,758)</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GAS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Gas - GAAP operating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15,741</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23,836</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44,075</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73,889</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1,950</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2,612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5,865</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7,982</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(619)</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(1,303)</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Gas - 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17,072</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25,972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48,637</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81,609</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WATER</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Water - GAAP operating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14,290</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19,157</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10,876</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60,319</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1,506</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2,176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4,569</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6,641</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324</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597</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Water - Non-GAAP operating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16,224</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21,496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16,146</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68,133</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NON-GAAP OPERATING INCOME - CORPORATE UNALLOCATED</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180"/>
              <w:spacing w:after="0"/>
              <w:rPr>
                <w:sz w:val="20"/>
                <w:szCs w:val="20"/>
                <w:color w:val="auto"/>
              </w:rPr>
            </w:pPr>
            <w:r>
              <w:rPr>
                <w:rFonts w:ascii="Arial" w:cs="Arial" w:eastAsia="Arial" w:hAnsi="Arial"/>
                <w:sz w:val="14"/>
                <w:szCs w:val="14"/>
                <w:color w:val="auto"/>
              </w:rPr>
              <w:t>Corporate unallocated - GAAP operating loss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(13,398)</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(15,339)</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(35,030)</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(45,872)</w:t>
            </w:r>
          </w:p>
        </w:tc>
        <w:tc>
          <w:tcPr>
            <w:tcW w:w="0" w:type="dxa"/>
            <w:vAlign w:val="bottom"/>
          </w:tcPr>
          <w:p>
            <w:pPr>
              <w:spacing w:after="0"/>
              <w:rPr>
                <w:sz w:val="1"/>
                <w:szCs w:val="1"/>
                <w:color w:val="auto"/>
              </w:rPr>
            </w:pPr>
          </w:p>
        </w:tc>
      </w:tr>
      <w:tr>
        <w:trPr>
          <w:trHeight w:val="176"/>
        </w:trPr>
        <w:tc>
          <w:tcPr>
            <w:tcW w:w="580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2,250</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(1,190)</w:t>
            </w:r>
          </w:p>
        </w:tc>
        <w:tc>
          <w:tcPr>
            <w:tcW w:w="48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181"/>
        </w:trPr>
        <w:tc>
          <w:tcPr>
            <w:tcW w:w="580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9"/>
        </w:trPr>
        <w:tc>
          <w:tcPr>
            <w:tcW w:w="5800" w:type="dxa"/>
            <w:vAlign w:val="bottom"/>
          </w:tcPr>
          <w:p>
            <w:pPr>
              <w:ind w:left="180"/>
              <w:spacing w:after="0"/>
              <w:rPr>
                <w:sz w:val="20"/>
                <w:szCs w:val="20"/>
                <w:color w:val="auto"/>
              </w:rPr>
            </w:pPr>
            <w:r>
              <w:rPr>
                <w:rFonts w:ascii="Arial" w:cs="Arial" w:eastAsia="Arial" w:hAnsi="Arial"/>
                <w:sz w:val="14"/>
                <w:szCs w:val="14"/>
                <w:color w:val="auto"/>
              </w:rPr>
              <w:t>Corporate unallocated - Non-GAAP operating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(11,133)</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(14,879)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(36,205)</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(40,403)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rPr>
          <w:sz w:val="20"/>
          <w:szCs w:val="20"/>
          <w:color w:val="auto"/>
        </w:rPr>
      </w:pPr>
      <w:r>
        <w:rPr>
          <w:rFonts w:ascii="Arial" w:cs="Arial" w:eastAsia="Arial" w:hAnsi="Arial"/>
          <w:sz w:val="22"/>
          <w:szCs w:val="22"/>
          <w:color w:val="auto"/>
        </w:rPr>
        <w:t>Barbara Doyle</w:t>
      </w:r>
    </w:p>
    <w:p>
      <w:pPr>
        <w:sectPr>
          <w:pgSz w:w="11900" w:h="16850" w:orient="portrait"/>
          <w:cols w:equalWidth="0" w:num="1">
            <w:col w:w="11420"/>
          </w:cols>
          <w:pgMar w:left="240" w:top="306" w:right="239" w:bottom="0" w:gutter="0" w:footer="0" w:header="0"/>
        </w:sectPr>
      </w:pPr>
    </w:p>
    <w:bookmarkStart w:id="16" w:name="page17"/>
    <w:bookmarkEnd w:id="16"/>
    <w:p>
      <w:pPr>
        <w:spacing w:after="0"/>
        <w:rPr>
          <w:sz w:val="20"/>
          <w:szCs w:val="20"/>
          <w:color w:val="auto"/>
        </w:rPr>
      </w:pPr>
      <w:r>
        <w:rPr>
          <w:rFonts w:ascii="Arial" w:cs="Arial" w:eastAsia="Arial" w:hAnsi="Arial"/>
          <w:sz w:val="19"/>
          <w:szCs w:val="19"/>
          <w:color w:val="auto"/>
        </w:rPr>
        <w:t>Vice President, Investor Relations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509-891-3443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Marni Pilcher</w:t>
      </w:r>
    </w:p>
    <w:p>
      <w:pPr>
        <w:spacing w:after="0" w:line="230" w:lineRule="auto"/>
        <w:rPr>
          <w:sz w:val="20"/>
          <w:szCs w:val="20"/>
          <w:color w:val="auto"/>
        </w:rPr>
      </w:pPr>
      <w:r>
        <w:rPr>
          <w:rFonts w:ascii="Arial" w:cs="Arial" w:eastAsia="Arial" w:hAnsi="Arial"/>
          <w:sz w:val="22"/>
          <w:szCs w:val="22"/>
          <w:color w:val="auto"/>
        </w:rPr>
        <w:t>Director,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509-891-3847</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2019-12-05T23:39:27Z</dcterms:created>
  <dcterms:modified xsi:type="dcterms:W3CDTF">2019-12-05T23:39:27Z</dcterms:modified>
</cp:coreProperties>
</file>