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19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November 21, 2006</w:t>
      </w:r>
    </w:p>
    <w:p>
      <w:pPr>
        <w:spacing w:after="0" w:line="2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ITRON, INC.</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943" w:orient="portrait"/>
          <w:cols w:equalWidth="0" w:num="1">
            <w:col w:w="10219"/>
          </w:cols>
          <w:pgMar w:left="240" w:top="218" w:right="1440" w:bottom="0" w:gutter="0" w:footer="0" w:header="0"/>
        </w:sectPr>
      </w:pPr>
    </w:p>
    <w:p>
      <w:pPr>
        <w:spacing w:after="0" w:line="37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Washington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000-22418</w:t>
      </w:r>
    </w:p>
    <w:p>
      <w:pPr>
        <w:spacing w:after="0" w:line="3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No.)</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91-1011792</w:t>
      </w:r>
    </w:p>
    <w:p>
      <w:pPr>
        <w:spacing w:after="0" w:line="31"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943" w:orient="portrait"/>
          <w:cols w:equalWidth="0" w:num="3">
            <w:col w:w="3160" w:space="220"/>
            <w:col w:w="2420" w:space="640"/>
            <w:col w:w="3779"/>
          </w:cols>
          <w:pgMar w:left="240" w:top="218" w:right="1440" w:bottom="0" w:gutter="0" w:footer="0" w:header="0"/>
          <w:type w:val="continuous"/>
        </w:sectPr>
      </w:pPr>
    </w:p>
    <w:p>
      <w:pPr>
        <w:spacing w:after="0" w:line="17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2111 North Molter Road, Liberty Lake, WA 99019</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pacing w:after="0" w:line="169" w:lineRule="exact"/>
        <w:rPr>
          <w:rFonts w:ascii="Courier New" w:cs="Courier New" w:eastAsia="Courier New" w:hAnsi="Courier New"/>
          <w:sz w:val="16"/>
          <w:szCs w:val="16"/>
          <w:color w:val="auto"/>
        </w:rPr>
      </w:pPr>
    </w:p>
    <w:p>
      <w:pPr>
        <w:ind w:left="4120" w:hanging="636"/>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924-9900</w:t>
      </w:r>
    </w:p>
    <w:p>
      <w:pPr>
        <w:spacing w:after="0" w:line="3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372"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w:t>
      </w:r>
    </w:p>
    <w:p>
      <w:pPr>
        <w:spacing w:after="0" w:line="66" w:lineRule="exact"/>
        <w:rPr>
          <w:sz w:val="24"/>
          <w:szCs w:val="24"/>
          <w:color w:val="auto"/>
        </w:rPr>
      </w:pPr>
    </w:p>
    <w:p>
      <w:pPr>
        <w:ind w:left="540" w:right="2099" w:hanging="532"/>
        <w:spacing w:after="0" w:line="347"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Securities Act (17 CFR 230.425)</w:t>
      </w:r>
    </w:p>
    <w:p>
      <w:pPr>
        <w:spacing w:after="0" w:line="18" w:lineRule="exact"/>
        <w:rPr>
          <w:sz w:val="24"/>
          <w:szCs w:val="24"/>
          <w:color w:val="auto"/>
        </w:rPr>
      </w:pPr>
    </w:p>
    <w:p>
      <w:pPr>
        <w:ind w:left="540" w:right="1879" w:hanging="532"/>
        <w:spacing w:after="0" w:line="347"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18" w:lineRule="exact"/>
        <w:rPr>
          <w:sz w:val="24"/>
          <w:szCs w:val="24"/>
          <w:color w:val="auto"/>
        </w:rPr>
      </w:pPr>
    </w:p>
    <w:p>
      <w:pPr>
        <w:ind w:left="540" w:right="2619" w:hanging="532"/>
        <w:spacing w:after="0" w:line="347"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18" w:lineRule="exact"/>
        <w:rPr>
          <w:sz w:val="24"/>
          <w:szCs w:val="24"/>
          <w:color w:val="auto"/>
        </w:rPr>
      </w:pPr>
    </w:p>
    <w:p>
      <w:pPr>
        <w:ind w:left="540" w:right="2619" w:hanging="532"/>
        <w:spacing w:after="0" w:line="347" w:lineRule="auto"/>
        <w:tabs>
          <w:tab w:leader="none" w:pos="2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7.01 Regulation FD Disclosure.</w:t>
      </w:r>
    </w:p>
    <w:p>
      <w:pPr>
        <w:spacing w:after="0" w:line="201" w:lineRule="exact"/>
        <w:rPr>
          <w:sz w:val="24"/>
          <w:szCs w:val="24"/>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On November 21, 2006, Itron Inc. entered into an agreement to acquire all of the outstanding capital stock of Flow Metrix, Inc. (Flow Metrix) in a cash-for-stock merger.</w:t>
      </w:r>
    </w:p>
    <w:p>
      <w:pPr>
        <w:spacing w:after="0" w:line="66" w:lineRule="exact"/>
        <w:rPr>
          <w:sz w:val="24"/>
          <w:szCs w:val="24"/>
          <w:color w:val="auto"/>
        </w:rPr>
      </w:pPr>
    </w:p>
    <w:p>
      <w:pPr>
        <w:ind w:right="2099"/>
        <w:spacing w:after="0" w:line="292" w:lineRule="auto"/>
        <w:rPr>
          <w:sz w:val="20"/>
          <w:szCs w:val="20"/>
          <w:color w:val="auto"/>
        </w:rPr>
      </w:pPr>
      <w:r>
        <w:rPr>
          <w:rFonts w:ascii="Courier New" w:cs="Courier New" w:eastAsia="Courier New" w:hAnsi="Courier New"/>
          <w:sz w:val="18"/>
          <w:szCs w:val="18"/>
          <w:color w:val="auto"/>
        </w:rPr>
        <w:t>Flow Metrix develops and manufactures advanced leak detection systems for underground pipelines which allow customers to reduce their "unaccounted for" water and improve efficiency.</w:t>
      </w:r>
    </w:p>
    <w:p>
      <w:pPr>
        <w:spacing w:after="0" w:line="66" w:lineRule="exact"/>
        <w:rPr>
          <w:sz w:val="24"/>
          <w:szCs w:val="24"/>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The newest product from Flow Metrix is the MLOG(TM) leak detection system, a network of intelligent leak detecting sensors which use acoustics to monitor the entire water distribution system. A typical Flow Metrix installation includes a ratio of one MLOG sensor for approximately every ten water meters and uses Automated Meter Reading (AMR) systems to transmit leak information from underground pipes to the utility. MLOG software is used to analyze the data collected and provide the utility with intelligent analysis to pinpoint leaks.</w:t>
      </w:r>
    </w:p>
    <w:p>
      <w:pPr>
        <w:spacing w:after="0" w:line="72" w:lineRule="exact"/>
        <w:rPr>
          <w:sz w:val="24"/>
          <w:szCs w:val="24"/>
          <w:color w:val="auto"/>
        </w:rPr>
      </w:pPr>
    </w:p>
    <w:p>
      <w:pPr>
        <w:ind w:right="1879"/>
        <w:spacing w:after="0" w:line="306" w:lineRule="auto"/>
        <w:rPr>
          <w:sz w:val="20"/>
          <w:szCs w:val="20"/>
          <w:color w:val="auto"/>
        </w:rPr>
      </w:pPr>
      <w:r>
        <w:rPr>
          <w:rFonts w:ascii="Courier New" w:cs="Courier New" w:eastAsia="Courier New" w:hAnsi="Courier New"/>
          <w:sz w:val="16"/>
          <w:szCs w:val="16"/>
          <w:color w:val="auto"/>
        </w:rPr>
        <w:t>An initial purchase price of $15 million will be paid in cash, subject to a working capital adjustment and certain escrow provisions. An additional payment of up to $3 million may be made if certain technological and integration milestones are achieved within the first 36 months. Additionally, the agreement provides Itron a one year option to purchase additional technology targeted at</w:t>
      </w:r>
    </w:p>
    <w:p>
      <w:pPr>
        <w:sectPr>
          <w:pgSz w:w="11900" w:h="16943" w:orient="portrait"/>
          <w:cols w:equalWidth="0" w:num="1">
            <w:col w:w="10219"/>
          </w:cols>
          <w:pgMar w:left="240" w:top="218"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energy pipeline integrity for a specified price.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The information presented in this Current Report on Form 8-K contains forward-looking statements, which are based on assumptions that we believe to be reasonable at this time. Such assumptions could prove to be incorrect due to a number of factors, including those identified in Itron, Inc.'s Annual Report on Form 10-K for the year ended December 31, 2005 and in our subsequent filings with the Securities and Exchange Commission, and such factors could cause actual results to differ materially from those contained in forward-looking statements. We undertake no obligation to update any of the forward looking statements.</w:t>
      </w:r>
    </w:p>
    <w:p>
      <w:pPr>
        <w:sectPr>
          <w:pgSz w:w="11900" w:h="16838" w:orient="portrait"/>
          <w:cols w:equalWidth="0" w:num="1">
            <w:col w:w="10219"/>
          </w:cols>
          <w:pgMar w:left="240" w:top="110"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November 21, 2006</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Steven M. Helmbrecht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Steven M. Helmbrecht</w:t>
      </w:r>
    </w:p>
    <w:p>
      <w:pPr>
        <w:spacing w:after="0" w:line="238" w:lineRule="auto"/>
        <w:rPr>
          <w:sz w:val="20"/>
          <w:szCs w:val="20"/>
          <w:color w:val="auto"/>
        </w:rPr>
      </w:pPr>
      <w:r>
        <w:rPr>
          <w:rFonts w:ascii="Courier New" w:cs="Courier New" w:eastAsia="Courier New" w:hAnsi="Courier New"/>
          <w:sz w:val="18"/>
          <w:szCs w:val="18"/>
          <w:color w:val="auto"/>
        </w:rPr>
        <w:t>Sr. Vice President and</w:t>
      </w:r>
    </w:p>
    <w:p>
      <w:pPr>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4340" w:space="720"/>
        <w:col w:w="5159"/>
      </w:cols>
      <w:pgMar w:left="240" w:top="6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decimal"/>
      <w:start w:val="509"/>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2019-12-13T15:14:51Z</dcterms:created>
  <dcterms:modified xsi:type="dcterms:W3CDTF">2019-12-13T15:14:51Z</dcterms:modified>
</cp:coreProperties>
</file>