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175895</wp:posOffset>
            </wp:positionV>
            <wp:extent cx="151765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9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26" w:lineRule="exact"/>
        <w:rPr>
          <w:sz w:val="24"/>
          <w:szCs w:val="24"/>
          <w:color w:val="auto"/>
        </w:rPr>
      </w:pPr>
    </w:p>
    <w:p>
      <w:pPr>
        <w:ind w:left="460" w:right="2040" w:hanging="452"/>
        <w:spacing w:after="0" w:line="438" w:lineRule="auto"/>
        <w:tabs>
          <w:tab w:leader="none" w:pos="449"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September 30, 2010</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212"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6"/>
          <w:szCs w:val="16"/>
          <w:color w:val="auto"/>
        </w:rPr>
      </w:pPr>
      <w:r>
        <w:rPr>
          <w:rFonts w:ascii="Arial" w:cs="Arial" w:eastAsia="Arial" w:hAnsi="Arial"/>
          <w:sz w:val="16"/>
          <w:szCs w:val="16"/>
          <w:b w:val="1"/>
          <w:bCs w:val="1"/>
          <w:color w:val="auto"/>
        </w:rPr>
        <w:t>TRANSITION REPORT PURSUANT TO SECTION 13 OR 15(d) OF THE SECURITIES EXCHANGE ACT OF 1934</w:t>
      </w:r>
    </w:p>
    <w:p>
      <w:pPr>
        <w:sectPr>
          <w:pgSz w:w="11900" w:h="16838" w:orient="portrait"/>
          <w:cols w:equalWidth="0" w:num="1">
            <w:col w:w="11420"/>
          </w:cols>
          <w:pgMar w:left="240" w:top="230" w:right="239" w:bottom="1440" w:gutter="0" w:footer="0" w:header="0"/>
        </w:sectPr>
      </w:pPr>
    </w:p>
    <w:p>
      <w:pPr>
        <w:spacing w:after="0" w:line="194" w:lineRule="exact"/>
        <w:rPr>
          <w:sz w:val="24"/>
          <w:szCs w:val="24"/>
          <w:color w:val="auto"/>
        </w:rPr>
      </w:pPr>
    </w:p>
    <w:p>
      <w:pPr>
        <w:ind w:left="460"/>
        <w:spacing w:after="0"/>
        <w:rPr>
          <w:sz w:val="20"/>
          <w:szCs w:val="20"/>
          <w:color w:val="auto"/>
        </w:rPr>
      </w:pPr>
      <w:r>
        <w:rPr>
          <w:rFonts w:ascii="Arial" w:cs="Arial" w:eastAsia="Arial" w:hAnsi="Arial"/>
          <w:sz w:val="16"/>
          <w:szCs w:val="16"/>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174"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to</w:t>
      </w:r>
    </w:p>
    <w:p>
      <w:pPr>
        <w:spacing w:after="0" w:line="194" w:lineRule="exact"/>
        <w:rPr>
          <w:sz w:val="24"/>
          <w:szCs w:val="24"/>
          <w:color w:val="auto"/>
        </w:rPr>
      </w:pPr>
    </w:p>
    <w:p>
      <w:pPr>
        <w:sectPr>
          <w:pgSz w:w="11900" w:h="16838" w:orient="portrait"/>
          <w:cols w:equalWidth="0" w:num="2">
            <w:col w:w="2740" w:space="600"/>
            <w:col w:w="8080"/>
          </w:cols>
          <w:pgMar w:left="240" w:top="230" w:right="239" w:bottom="1440" w:gutter="0" w:footer="0" w:header="0"/>
          <w:type w:val="continuous"/>
        </w:sectPr>
      </w:pPr>
    </w:p>
    <w:p>
      <w:pPr>
        <w:jc w:val="center"/>
        <w:spacing w:after="0"/>
        <w:rPr>
          <w:sz w:val="20"/>
          <w:szCs w:val="20"/>
          <w:color w:val="auto"/>
        </w:rPr>
      </w:pPr>
      <w:r>
        <w:rPr>
          <w:rFonts w:ascii="Arial" w:cs="Arial" w:eastAsia="Arial" w:hAnsi="Arial"/>
          <w:sz w:val="15"/>
          <w:szCs w:val="15"/>
          <w:b w:val="1"/>
          <w:bCs w:val="1"/>
          <w:color w:val="auto"/>
        </w:rPr>
        <w:t>Commission file number 000-22418</w:t>
      </w:r>
    </w:p>
    <w:p>
      <w:pPr>
        <w:sectPr>
          <w:pgSz w:w="11900" w:h="16838" w:orient="portrait"/>
          <w:cols w:equalWidth="0" w:num="1">
            <w:col w:w="11420"/>
          </w:cols>
          <w:pgMar w:left="240" w:top="230" w:right="239" w:bottom="1440" w:gutter="0" w:footer="0" w:header="0"/>
          <w:type w:val="continuous"/>
        </w:sectPr>
      </w:pPr>
    </w:p>
    <w:p>
      <w:pPr>
        <w:spacing w:after="0" w:line="177"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ITRON,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2"/>
          <w:szCs w:val="12"/>
          <w:b w:val="1"/>
          <w:bCs w:val="1"/>
          <w:color w:val="auto"/>
        </w:rPr>
        <w:t>(Exact name of registrant as specified in its charter)</w:t>
      </w:r>
    </w:p>
    <w:p>
      <w:pPr>
        <w:sectPr>
          <w:pgSz w:w="11900" w:h="16838" w:orient="portrait"/>
          <w:cols w:equalWidth="0" w:num="1">
            <w:col w:w="11420"/>
          </w:cols>
          <w:pgMar w:left="240" w:top="230" w:right="239" w:bottom="1440" w:gutter="0" w:footer="0" w:header="0"/>
          <w:type w:val="continuous"/>
        </w:sectPr>
      </w:pPr>
    </w:p>
    <w:p>
      <w:pPr>
        <w:spacing w:after="0" w:line="198" w:lineRule="exact"/>
        <w:rPr>
          <w:sz w:val="24"/>
          <w:szCs w:val="24"/>
          <w:color w:val="auto"/>
        </w:rPr>
      </w:pPr>
    </w:p>
    <w:p>
      <w:pPr>
        <w:jc w:val="center"/>
        <w:ind w:right="700"/>
        <w:spacing w:after="0"/>
        <w:rPr>
          <w:sz w:val="20"/>
          <w:szCs w:val="20"/>
          <w:color w:val="auto"/>
        </w:rPr>
      </w:pPr>
      <w:r>
        <w:rPr>
          <w:rFonts w:ascii="Arial" w:cs="Arial" w:eastAsia="Arial" w:hAnsi="Arial"/>
          <w:sz w:val="18"/>
          <w:szCs w:val="18"/>
          <w:b w:val="1"/>
          <w:bCs w:val="1"/>
          <w:color w:val="auto"/>
        </w:rPr>
        <w:t>Washington</w:t>
      </w:r>
    </w:p>
    <w:p>
      <w:pPr>
        <w:spacing w:after="0" w:line="21" w:lineRule="exact"/>
        <w:rPr>
          <w:sz w:val="24"/>
          <w:szCs w:val="24"/>
          <w:color w:val="auto"/>
        </w:rPr>
      </w:pPr>
    </w:p>
    <w:p>
      <w:pPr>
        <w:jc w:val="center"/>
        <w:ind w:right="700"/>
        <w:spacing w:after="0"/>
        <w:rPr>
          <w:sz w:val="20"/>
          <w:szCs w:val="20"/>
          <w:color w:val="auto"/>
        </w:rPr>
      </w:pPr>
      <w:r>
        <w:rPr>
          <w:rFonts w:ascii="Arial" w:cs="Arial" w:eastAsia="Arial" w:hAnsi="Arial"/>
          <w:sz w:val="16"/>
          <w:szCs w:val="16"/>
          <w:b w:val="1"/>
          <w:bCs w:val="1"/>
          <w:color w:val="auto"/>
        </w:rPr>
        <w:t>(State of Incorporation)</w:t>
      </w:r>
    </w:p>
    <w:p>
      <w:pPr>
        <w:spacing w:after="0" w:line="20" w:lineRule="exact"/>
        <w:rPr>
          <w:sz w:val="24"/>
          <w:szCs w:val="24"/>
          <w:color w:val="auto"/>
        </w:rPr>
      </w:pPr>
      <w:r>
        <w:rPr>
          <w:sz w:val="24"/>
          <w:szCs w:val="24"/>
          <w:color w:val="auto"/>
        </w:rPr>
        <w:br w:type="column"/>
      </w:r>
    </w:p>
    <w:p>
      <w:pPr>
        <w:spacing w:after="0" w:line="178"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91-1011792</w:t>
      </w:r>
    </w:p>
    <w:p>
      <w:pPr>
        <w:spacing w:after="0" w:line="21" w:lineRule="exact"/>
        <w:rPr>
          <w:sz w:val="24"/>
          <w:szCs w:val="24"/>
          <w:color w:val="auto"/>
        </w:rPr>
      </w:pPr>
    </w:p>
    <w:p>
      <w:pPr>
        <w:jc w:val="center"/>
        <w:ind w:right="1200"/>
        <w:spacing w:after="0"/>
        <w:rPr>
          <w:sz w:val="20"/>
          <w:szCs w:val="20"/>
          <w:color w:val="auto"/>
        </w:rPr>
      </w:pPr>
      <w:r>
        <w:rPr>
          <w:rFonts w:ascii="Arial" w:cs="Arial" w:eastAsia="Arial" w:hAnsi="Arial"/>
          <w:sz w:val="16"/>
          <w:szCs w:val="16"/>
          <w:b w:val="1"/>
          <w:bCs w:val="1"/>
          <w:color w:val="auto"/>
        </w:rPr>
        <w:t>(I.R.S. Employer Identification Number)</w:t>
      </w:r>
    </w:p>
    <w:p>
      <w:pPr>
        <w:spacing w:after="0" w:line="182" w:lineRule="exact"/>
        <w:rPr>
          <w:sz w:val="24"/>
          <w:szCs w:val="24"/>
          <w:color w:val="auto"/>
        </w:rPr>
      </w:pPr>
    </w:p>
    <w:p>
      <w:pPr>
        <w:sectPr>
          <w:pgSz w:w="11900" w:h="16838" w:orient="portrait"/>
          <w:cols w:equalWidth="0" w:num="2">
            <w:col w:w="6440" w:space="720"/>
            <w:col w:w="4260"/>
          </w:cols>
          <w:pgMar w:left="240" w:top="230" w:right="239" w:bottom="1440" w:gutter="0" w:footer="0" w:header="0"/>
          <w:type w:val="continuous"/>
        </w:sectPr>
      </w:pPr>
    </w:p>
    <w:p>
      <w:pPr>
        <w:jc w:val="center"/>
        <w:ind w:right="-19"/>
        <w:spacing w:after="0"/>
        <w:rPr>
          <w:sz w:val="20"/>
          <w:szCs w:val="20"/>
          <w:color w:val="auto"/>
        </w:rPr>
      </w:pPr>
      <w:r>
        <w:rPr>
          <w:rFonts w:ascii="Arial" w:cs="Arial" w:eastAsia="Arial" w:hAnsi="Arial"/>
          <w:sz w:val="18"/>
          <w:szCs w:val="18"/>
          <w:b w:val="1"/>
          <w:bCs w:val="1"/>
          <w:color w:val="auto"/>
        </w:rPr>
        <w:t>2111 N Molter Road, Liberty Lake, Washington 99019</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(509) 924-9900</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(Address and telephone number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173355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20" w:lineRule="exact"/>
        <w:rPr>
          <w:sz w:val="24"/>
          <w:szCs w:val="24"/>
          <w:color w:val="auto"/>
        </w:rPr>
      </w:pPr>
    </w:p>
    <w:p>
      <w:pPr>
        <w:jc w:val="both"/>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jc w:val="both"/>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jc w:val="both"/>
        <w:spacing w:after="0" w:line="268"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20"/>
          </w:cols>
          <w:pgMar w:left="240" w:top="230" w:right="239" w:bottom="1440" w:gutter="0" w:footer="0" w:header="0"/>
          <w:type w:val="continuous"/>
        </w:sectPr>
      </w:pPr>
    </w:p>
    <w:p>
      <w:pPr>
        <w:spacing w:after="0" w:line="172" w:lineRule="exact"/>
        <w:rPr>
          <w:sz w:val="24"/>
          <w:szCs w:val="24"/>
          <w:color w:val="auto"/>
        </w:rPr>
      </w:pPr>
    </w:p>
    <w:p>
      <w:pPr>
        <w:ind w:left="460"/>
        <w:spacing w:after="0" w:line="370" w:lineRule="auto"/>
        <w:rPr>
          <w:sz w:val="20"/>
          <w:szCs w:val="20"/>
          <w:color w:val="auto"/>
        </w:rPr>
      </w:pPr>
      <w:r>
        <w:rPr>
          <w:rFonts w:ascii="Arial" w:cs="Arial" w:eastAsia="Arial" w:hAnsi="Arial"/>
          <w:sz w:val="15"/>
          <w:szCs w:val="15"/>
          <w:color w:val="auto"/>
        </w:rPr>
        <w:t>Large accelerated filer Non-accelerated filer</w:t>
      </w:r>
    </w:p>
    <w:p>
      <w:pPr>
        <w:spacing w:after="0" w:line="20" w:lineRule="exact"/>
        <w:rPr>
          <w:sz w:val="24"/>
          <w:szCs w:val="24"/>
          <w:color w:val="auto"/>
        </w:rPr>
      </w:pPr>
      <w:r>
        <w:rPr>
          <w:sz w:val="24"/>
          <w:szCs w:val="24"/>
          <w:color w:val="auto"/>
        </w:rPr>
        <w:br w:type="column"/>
      </w:r>
    </w:p>
    <w:p>
      <w:pPr>
        <w:spacing w:after="0" w:line="120" w:lineRule="exact"/>
        <w:rPr>
          <w:sz w:val="24"/>
          <w:szCs w:val="24"/>
          <w:color w:val="auto"/>
        </w:rPr>
      </w:pPr>
    </w:p>
    <w:p>
      <w:pPr>
        <w:spacing w:after="0" w:line="181" w:lineRule="exact"/>
        <w:rPr>
          <w:sz w:val="20"/>
          <w:szCs w:val="20"/>
          <w:color w:val="auto"/>
        </w:rPr>
      </w:pPr>
      <w:r>
        <w:rPr>
          <w:rFonts w:ascii="MS PGothic" w:cs="MS PGothic" w:eastAsia="MS PGothic" w:hAnsi="MS PGothic"/>
          <w:sz w:val="18"/>
          <w:szCs w:val="18"/>
          <w:color w:val="auto"/>
        </w:rPr>
        <w:t>☒</w:t>
      </w:r>
    </w:p>
    <w:p>
      <w:pPr>
        <w:spacing w:after="0" w:line="83" w:lineRule="exact"/>
        <w:rPr>
          <w:sz w:val="24"/>
          <w:szCs w:val="24"/>
          <w:color w:val="auto"/>
        </w:rPr>
      </w:pPr>
    </w:p>
    <w:p>
      <w:pPr>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(Do not check if a smaller reporting company)</w:t>
      </w:r>
    </w:p>
    <w:p>
      <w:pPr>
        <w:spacing w:after="0" w:line="20" w:lineRule="exact"/>
        <w:rPr>
          <w:sz w:val="24"/>
          <w:szCs w:val="24"/>
          <w:color w:val="auto"/>
        </w:rPr>
      </w:pPr>
      <w:r>
        <w:rPr>
          <w:sz w:val="24"/>
          <w:szCs w:val="24"/>
          <w:color w:val="auto"/>
        </w:rPr>
        <w:br w:type="column"/>
      </w:r>
    </w:p>
    <w:p>
      <w:pPr>
        <w:spacing w:after="0" w:line="152" w:lineRule="exact"/>
        <w:rPr>
          <w:sz w:val="24"/>
          <w:szCs w:val="24"/>
          <w:color w:val="auto"/>
        </w:rPr>
      </w:pPr>
    </w:p>
    <w:p>
      <w:pPr>
        <w:spacing w:after="0"/>
        <w:rPr>
          <w:sz w:val="20"/>
          <w:szCs w:val="20"/>
          <w:color w:val="auto"/>
        </w:rPr>
      </w:pPr>
      <w:r>
        <w:rPr>
          <w:rFonts w:ascii="Arial" w:cs="Arial" w:eastAsia="Arial" w:hAnsi="Arial"/>
          <w:sz w:val="18"/>
          <w:szCs w:val="18"/>
          <w:color w:val="auto"/>
        </w:rPr>
        <w:t>Accelerated filer</w:t>
      </w:r>
    </w:p>
    <w:p>
      <w:pPr>
        <w:spacing w:after="0" w:line="15"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20"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96"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78" w:lineRule="exact"/>
        <w:rPr>
          <w:sz w:val="24"/>
          <w:szCs w:val="24"/>
          <w:color w:val="auto"/>
        </w:rPr>
      </w:pPr>
    </w:p>
    <w:p>
      <w:pPr>
        <w:sectPr>
          <w:pgSz w:w="11900" w:h="16838" w:orient="portrait"/>
          <w:cols w:equalWidth="0" w:num="4">
            <w:col w:w="2020" w:space="360"/>
            <w:col w:w="5100" w:space="720"/>
            <w:col w:w="1920" w:space="460"/>
            <w:col w:w="840"/>
          </w:cols>
          <w:pgMar w:left="240" w:top="230" w:right="239" w:bottom="1440" w:gutter="0" w:footer="0" w:header="0"/>
          <w:type w:val="continuous"/>
        </w:sectPr>
      </w:pPr>
    </w:p>
    <w:p>
      <w:pPr>
        <w:spacing w:after="0" w:line="32" w:lineRule="exact"/>
        <w:rPr>
          <w:sz w:val="24"/>
          <w:szCs w:val="24"/>
          <w:color w:val="auto"/>
        </w:rPr>
      </w:pPr>
    </w:p>
    <w:p>
      <w:pPr>
        <w:spacing w:after="0"/>
        <w:rPr>
          <w:sz w:val="20"/>
          <w:szCs w:val="20"/>
          <w:color w:val="auto"/>
        </w:rPr>
      </w:pPr>
      <w:r>
        <w:rPr>
          <w:rFonts w:ascii="Arial" w:cs="Arial" w:eastAsia="Arial" w:hAnsi="Arial"/>
          <w:sz w:val="15"/>
          <w:szCs w:val="15"/>
          <w:color w:val="auto"/>
        </w:rPr>
        <w:t>Indicate by check mark whether the registrant is a shell company (as defined in Rule 12b-2 of the Exchange Act).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3"/>
          <w:szCs w:val="13"/>
          <w:color w:val="auto"/>
        </w:rPr>
        <w:t>Yes</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5"/>
          <w:szCs w:val="15"/>
          <w:color w:val="auto"/>
        </w:rPr>
        <w:t>No</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44" w:lineRule="exact"/>
        <w:rPr>
          <w:sz w:val="24"/>
          <w:szCs w:val="24"/>
          <w:color w:val="auto"/>
        </w:rPr>
      </w:pPr>
    </w:p>
    <w:p>
      <w:pPr>
        <w:sectPr>
          <w:pgSz w:w="11900" w:h="16838" w:orient="portrait"/>
          <w:cols w:equalWidth="0" w:num="5">
            <w:col w:w="7980" w:space="180"/>
            <w:col w:w="240" w:space="100"/>
            <w:col w:w="160" w:space="180"/>
            <w:col w:w="200" w:space="100"/>
            <w:col w:w="2280"/>
          </w:cols>
          <w:pgMar w:left="240" w:top="230" w:right="239" w:bottom="1440" w:gutter="0" w:footer="0" w:header="0"/>
          <w:type w:val="continuous"/>
        </w:sectPr>
      </w:pPr>
    </w:p>
    <w:p>
      <w:pPr>
        <w:spacing w:after="0" w:line="6"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As of September 30, 2010 there were outstanding 40,406,002 shares of the registrant’s common stock, no par value, which is the only class of common stock of the registrant.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114935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149225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540" w:type="dxa"/>
            <w:vAlign w:val="bottom"/>
            <w:gridSpan w:val="2"/>
          </w:tcPr>
          <w:p>
            <w:pPr>
              <w:jc w:val="center"/>
              <w:ind w:right="4580"/>
              <w:spacing w:after="0"/>
              <w:rPr>
                <w:sz w:val="20"/>
                <w:szCs w:val="20"/>
                <w:color w:val="auto"/>
              </w:rPr>
            </w:pPr>
            <w:r>
              <w:rPr>
                <w:rFonts w:ascii="Arial" w:cs="Arial" w:eastAsia="Arial" w:hAnsi="Arial"/>
                <w:sz w:val="18"/>
                <w:szCs w:val="18"/>
                <w:b w:val="1"/>
                <w:bCs w:val="1"/>
                <w:color w:val="auto"/>
                <w:w w:val="93"/>
              </w:rPr>
              <w:t>Itron, Inc.</w:t>
            </w:r>
          </w:p>
        </w:tc>
        <w:tc>
          <w:tcPr>
            <w:tcW w:w="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7"/>
        </w:trPr>
        <w:tc>
          <w:tcPr>
            <w:tcW w:w="1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800" w:type="dxa"/>
            <w:vAlign w:val="bottom"/>
            <w:gridSpan w:val="3"/>
          </w:tcPr>
          <w:p>
            <w:pPr>
              <w:jc w:val="center"/>
              <w:ind w:right="4320"/>
              <w:spacing w:after="0"/>
              <w:rPr>
                <w:sz w:val="20"/>
                <w:szCs w:val="20"/>
                <w:color w:val="auto"/>
              </w:rPr>
            </w:pPr>
            <w:r>
              <w:rPr>
                <w:rFonts w:ascii="Arial" w:cs="Arial" w:eastAsia="Arial" w:hAnsi="Arial"/>
                <w:sz w:val="18"/>
                <w:szCs w:val="18"/>
                <w:b w:val="1"/>
                <w:bCs w:val="1"/>
                <w:color w:val="auto"/>
                <w:w w:val="86"/>
              </w:rPr>
              <w:t>Table of Contents</w:t>
            </w: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3020" w:type="dxa"/>
            <w:vAlign w:val="bottom"/>
            <w:gridSpan w:val="6"/>
            <w:vMerge w:val="restart"/>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 FINANCIAL INFORMATION</w:t>
              </w:r>
            </w:hyperlink>
          </w:p>
        </w:tc>
        <w:tc>
          <w:tcPr>
            <w:tcW w:w="7760" w:type="dxa"/>
            <w:vAlign w:val="bottom"/>
            <w:gridSpan w:val="8"/>
            <w:vMerge w:val="restart"/>
          </w:tcPr>
          <w:p>
            <w:pPr>
              <w:spacing w:after="0"/>
              <w:rPr>
                <w:sz w:val="24"/>
                <w:szCs w:val="24"/>
                <w:color w:val="auto"/>
              </w:rPr>
            </w:pPr>
          </w:p>
        </w:tc>
        <w:tc>
          <w:tcPr>
            <w:tcW w:w="54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74"/>
        </w:trPr>
        <w:tc>
          <w:tcPr>
            <w:tcW w:w="3020" w:type="dxa"/>
            <w:vAlign w:val="bottom"/>
            <w:tcBorders>
              <w:bottom w:val="single" w:sz="8" w:color="0000EE"/>
            </w:tcBorders>
            <w:gridSpan w:val="6"/>
            <w:vMerge w:val="continue"/>
          </w:tcPr>
          <w:p>
            <w:pPr>
              <w:spacing w:after="0"/>
              <w:rPr>
                <w:sz w:val="14"/>
                <w:szCs w:val="14"/>
                <w:color w:val="auto"/>
              </w:rPr>
            </w:pPr>
          </w:p>
        </w:tc>
        <w:tc>
          <w:tcPr>
            <w:tcW w:w="7760" w:type="dxa"/>
            <w:vAlign w:val="bottom"/>
            <w:gridSpan w:val="8"/>
            <w:vMerge w:val="continue"/>
          </w:tcPr>
          <w:p>
            <w:pPr>
              <w:spacing w:after="0"/>
              <w:rPr>
                <w:sz w:val="14"/>
                <w:szCs w:val="14"/>
                <w:color w:val="auto"/>
              </w:rPr>
            </w:pP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4"/>
        </w:trPr>
        <w:tc>
          <w:tcPr>
            <w:tcW w:w="10780" w:type="dxa"/>
            <w:vAlign w:val="bottom"/>
            <w:gridSpan w:val="14"/>
          </w:tcPr>
          <w:p>
            <w:pPr>
              <w:ind w:left="440"/>
              <w:spacing w:after="0"/>
              <w:rPr>
                <w:rFonts w:ascii="Arial" w:cs="Arial" w:eastAsia="Arial" w:hAnsi="Arial"/>
                <w:sz w:val="18"/>
                <w:szCs w:val="18"/>
                <w:color w:val="auto"/>
              </w:rPr>
            </w:pPr>
            <w:r>
              <w:rPr>
                <w:rFonts w:ascii="Arial" w:cs="Arial" w:eastAsia="Arial" w:hAnsi="Arial"/>
                <w:sz w:val="18"/>
                <w:szCs w:val="18"/>
                <w:color w:val="auto"/>
              </w:rPr>
              <w:t xml:space="preserve">Item 1: </w:t>
            </w:r>
            <w:hyperlink w:anchor="page3">
              <w:r>
                <w:rPr>
                  <w:rFonts w:ascii="Arial" w:cs="Arial" w:eastAsia="Arial" w:hAnsi="Arial"/>
                  <w:sz w:val="18"/>
                  <w:szCs w:val="18"/>
                  <w:color w:val="0000EE"/>
                </w:rPr>
                <w:t>Financial Statements (Unaudited)</w:t>
              </w:r>
            </w:hyperlink>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20" w:type="dxa"/>
            <w:vAlign w:val="bottom"/>
            <w:tcBorders>
              <w:right w:val="single" w:sz="8" w:color="0000EE"/>
            </w:tcBorders>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20" w:type="dxa"/>
            <w:vAlign w:val="bottom"/>
          </w:tcPr>
          <w:p>
            <w:pPr>
              <w:spacing w:after="0"/>
              <w:rPr>
                <w:sz w:val="17"/>
                <w:szCs w:val="17"/>
                <w:color w:val="auto"/>
              </w:rPr>
            </w:pPr>
          </w:p>
        </w:tc>
        <w:tc>
          <w:tcPr>
            <w:tcW w:w="2720" w:type="dxa"/>
            <w:vAlign w:val="bottom"/>
            <w:tcBorders>
              <w:bottom w:val="single" w:sz="8" w:color="0000EE"/>
            </w:tcBorders>
            <w:gridSpan w:val="8"/>
          </w:tcPr>
          <w:p>
            <w:pPr>
              <w:spacing w:after="0" w:line="196" w:lineRule="exact"/>
              <w:rPr>
                <w:rFonts w:ascii="Arial" w:cs="Arial" w:eastAsia="Arial" w:hAnsi="Arial"/>
                <w:sz w:val="18"/>
                <w:szCs w:val="18"/>
                <w:color w:val="0000EE"/>
                <w:w w:val="85"/>
              </w:rPr>
            </w:pPr>
            <w:hyperlink w:anchor="page3">
              <w:r>
                <w:rPr>
                  <w:rFonts w:ascii="Arial" w:cs="Arial" w:eastAsia="Arial" w:hAnsi="Arial"/>
                  <w:sz w:val="18"/>
                  <w:szCs w:val="18"/>
                  <w:color w:val="0000EE"/>
                  <w:w w:val="85"/>
                </w:rPr>
                <w:t>Consolidated Statements of Operations</w:t>
              </w:r>
            </w:hyperlink>
          </w:p>
        </w:tc>
        <w:tc>
          <w:tcPr>
            <w:tcW w:w="6940" w:type="dxa"/>
            <w:vAlign w:val="bottom"/>
            <w:gridSpan w:val="5"/>
          </w:tcPr>
          <w:p>
            <w:pPr>
              <w:spacing w:after="0"/>
              <w:rPr>
                <w:sz w:val="17"/>
                <w:szCs w:val="17"/>
                <w:color w:val="auto"/>
              </w:rPr>
            </w:pPr>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96"/>
        </w:trPr>
        <w:tc>
          <w:tcPr>
            <w:tcW w:w="1120" w:type="dxa"/>
            <w:vAlign w:val="bottom"/>
          </w:tcPr>
          <w:p>
            <w:pPr>
              <w:spacing w:after="0"/>
              <w:rPr>
                <w:sz w:val="17"/>
                <w:szCs w:val="17"/>
                <w:color w:val="auto"/>
              </w:rPr>
            </w:pPr>
          </w:p>
        </w:tc>
        <w:tc>
          <w:tcPr>
            <w:tcW w:w="9660" w:type="dxa"/>
            <w:vAlign w:val="bottom"/>
            <w:gridSpan w:val="13"/>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Consolidated Balance Sheets</w:t>
              </w:r>
            </w:hyperlink>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1120" w:type="dxa"/>
            <w:vAlign w:val="bottom"/>
            <w:tcBorders>
              <w:right w:val="single" w:sz="8" w:color="0000EE"/>
            </w:tcBorders>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20" w:type="dxa"/>
            <w:vAlign w:val="bottom"/>
          </w:tcPr>
          <w:p>
            <w:pPr>
              <w:spacing w:after="0"/>
              <w:rPr>
                <w:sz w:val="17"/>
                <w:szCs w:val="17"/>
                <w:color w:val="auto"/>
              </w:rPr>
            </w:pPr>
          </w:p>
        </w:tc>
        <w:tc>
          <w:tcPr>
            <w:tcW w:w="9660" w:type="dxa"/>
            <w:vAlign w:val="bottom"/>
            <w:gridSpan w:val="13"/>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Consolidated Statements of Cash Flows</w:t>
              </w:r>
            </w:hyperlink>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1120" w:type="dxa"/>
            <w:vAlign w:val="bottom"/>
            <w:tcBorders>
              <w:right w:val="single" w:sz="8" w:color="0000EE"/>
            </w:tcBorders>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1160" w:type="dxa"/>
            <w:vAlign w:val="bottom"/>
            <w:gridSpan w:val="5"/>
            <w:shd w:val="clear" w:color="auto" w:fill="0000EE"/>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20" w:type="dxa"/>
            <w:vAlign w:val="bottom"/>
          </w:tcPr>
          <w:p>
            <w:pPr>
              <w:spacing w:after="0"/>
              <w:rPr>
                <w:sz w:val="17"/>
                <w:szCs w:val="17"/>
                <w:color w:val="auto"/>
              </w:rPr>
            </w:pPr>
          </w:p>
        </w:tc>
        <w:tc>
          <w:tcPr>
            <w:tcW w:w="9660" w:type="dxa"/>
            <w:vAlign w:val="bottom"/>
            <w:gridSpan w:val="13"/>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Notes to Condensed Consolidated Financial Statements</w:t>
              </w:r>
            </w:hyperlink>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1120" w:type="dxa"/>
            <w:vAlign w:val="bottom"/>
            <w:tcBorders>
              <w:right w:val="single" w:sz="8" w:color="0000EE"/>
            </w:tcBorders>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2260" w:type="dxa"/>
            <w:vAlign w:val="bottom"/>
            <w:gridSpan w:val="6"/>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780" w:type="dxa"/>
            <w:vAlign w:val="bottom"/>
            <w:gridSpan w:val="14"/>
          </w:tcPr>
          <w:p>
            <w:pPr>
              <w:ind w:left="440"/>
              <w:spacing w:after="0"/>
              <w:rPr>
                <w:rFonts w:ascii="Arial" w:cs="Arial" w:eastAsia="Arial" w:hAnsi="Arial"/>
                <w:sz w:val="18"/>
                <w:szCs w:val="18"/>
                <w:color w:val="auto"/>
              </w:rPr>
            </w:pPr>
            <w:r>
              <w:rPr>
                <w:rFonts w:ascii="Arial" w:cs="Arial" w:eastAsia="Arial" w:hAnsi="Arial"/>
                <w:sz w:val="18"/>
                <w:szCs w:val="18"/>
                <w:color w:val="auto"/>
              </w:rPr>
              <w:t xml:space="preserve">Item 2: </w:t>
            </w:r>
            <w:hyperlink w:anchor="page40">
              <w:r>
                <w:rPr>
                  <w:rFonts w:ascii="Arial" w:cs="Arial" w:eastAsia="Arial" w:hAnsi="Arial"/>
                  <w:sz w:val="18"/>
                  <w:szCs w:val="18"/>
                  <w:color w:val="0000EE"/>
                </w:rPr>
                <w:t>Management’s Discussion and Analysis of Financial Condition and Results of Operations</w:t>
              </w:r>
            </w:hyperlink>
          </w:p>
        </w:tc>
        <w:tc>
          <w:tcPr>
            <w:tcW w:w="540" w:type="dxa"/>
            <w:vAlign w:val="bottom"/>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0"/>
        </w:trPr>
        <w:tc>
          <w:tcPr>
            <w:tcW w:w="1120" w:type="dxa"/>
            <w:vAlign w:val="bottom"/>
            <w:tcBorders>
              <w:right w:val="single" w:sz="8" w:color="0000EE"/>
            </w:tcBorders>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2520" w:type="dxa"/>
            <w:vAlign w:val="bottom"/>
            <w:gridSpan w:val="7"/>
            <w:shd w:val="clear" w:color="auto" w:fill="0000EE"/>
          </w:tcPr>
          <w:p>
            <w:pPr>
              <w:spacing w:after="0" w:line="20" w:lineRule="exact"/>
              <w:rPr>
                <w:sz w:val="1"/>
                <w:szCs w:val="1"/>
                <w:color w:val="auto"/>
              </w:rPr>
            </w:pPr>
          </w:p>
        </w:tc>
        <w:tc>
          <w:tcPr>
            <w:tcW w:w="2040" w:type="dxa"/>
            <w:vAlign w:val="bottom"/>
            <w:shd w:val="clear" w:color="auto" w:fill="0000EE"/>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780" w:type="dxa"/>
            <w:vAlign w:val="bottom"/>
            <w:gridSpan w:val="14"/>
          </w:tcPr>
          <w:p>
            <w:pPr>
              <w:ind w:left="440"/>
              <w:spacing w:after="0"/>
              <w:rPr>
                <w:rFonts w:ascii="Arial" w:cs="Arial" w:eastAsia="Arial" w:hAnsi="Arial"/>
                <w:sz w:val="18"/>
                <w:szCs w:val="18"/>
                <w:color w:val="auto"/>
              </w:rPr>
            </w:pPr>
            <w:r>
              <w:rPr>
                <w:rFonts w:ascii="Arial" w:cs="Arial" w:eastAsia="Arial" w:hAnsi="Arial"/>
                <w:sz w:val="18"/>
                <w:szCs w:val="18"/>
                <w:color w:val="auto"/>
              </w:rPr>
              <w:t xml:space="preserve">Item 3: </w:t>
            </w:r>
            <w:hyperlink w:anchor="page54">
              <w:r>
                <w:rPr>
                  <w:rFonts w:ascii="Arial" w:cs="Arial" w:eastAsia="Arial" w:hAnsi="Arial"/>
                  <w:sz w:val="18"/>
                  <w:szCs w:val="18"/>
                  <w:color w:val="0000EE"/>
                </w:rPr>
                <w:t>Quantitative and Qualitative Disclosures About Market Risk</w:t>
              </w:r>
            </w:hyperlink>
          </w:p>
        </w:tc>
        <w:tc>
          <w:tcPr>
            <w:tcW w:w="540" w:type="dxa"/>
            <w:vAlign w:val="bottom"/>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0"/>
        </w:trPr>
        <w:tc>
          <w:tcPr>
            <w:tcW w:w="1120" w:type="dxa"/>
            <w:vAlign w:val="bottom"/>
            <w:tcBorders>
              <w:right w:val="single" w:sz="8" w:color="0000EE"/>
            </w:tcBorders>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2520" w:type="dxa"/>
            <w:vAlign w:val="bottom"/>
            <w:gridSpan w:val="7"/>
            <w:shd w:val="clear" w:color="auto" w:fill="0000EE"/>
          </w:tcPr>
          <w:p>
            <w:pPr>
              <w:spacing w:after="0" w:line="20" w:lineRule="exact"/>
              <w:rPr>
                <w:sz w:val="1"/>
                <w:szCs w:val="1"/>
                <w:color w:val="auto"/>
              </w:rPr>
            </w:pPr>
          </w:p>
        </w:tc>
        <w:tc>
          <w:tcPr>
            <w:tcW w:w="554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780" w:type="dxa"/>
            <w:vAlign w:val="bottom"/>
            <w:gridSpan w:val="14"/>
          </w:tcPr>
          <w:p>
            <w:pPr>
              <w:ind w:left="440"/>
              <w:spacing w:after="0"/>
              <w:rPr>
                <w:rFonts w:ascii="Arial" w:cs="Arial" w:eastAsia="Arial" w:hAnsi="Arial"/>
                <w:sz w:val="18"/>
                <w:szCs w:val="18"/>
                <w:color w:val="auto"/>
              </w:rPr>
            </w:pPr>
            <w:r>
              <w:rPr>
                <w:rFonts w:ascii="Arial" w:cs="Arial" w:eastAsia="Arial" w:hAnsi="Arial"/>
                <w:sz w:val="18"/>
                <w:szCs w:val="18"/>
                <w:color w:val="auto"/>
              </w:rPr>
              <w:t xml:space="preserve">Item 4: </w:t>
            </w:r>
            <w:hyperlink w:anchor="page55">
              <w:r>
                <w:rPr>
                  <w:rFonts w:ascii="Arial" w:cs="Arial" w:eastAsia="Arial" w:hAnsi="Arial"/>
                  <w:sz w:val="18"/>
                  <w:szCs w:val="18"/>
                  <w:color w:val="0000EE"/>
                </w:rPr>
                <w:t>Controls and Procedures</w:t>
              </w:r>
            </w:hyperlink>
          </w:p>
        </w:tc>
        <w:tc>
          <w:tcPr>
            <w:tcW w:w="540" w:type="dxa"/>
            <w:vAlign w:val="bottom"/>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0"/>
        </w:trPr>
        <w:tc>
          <w:tcPr>
            <w:tcW w:w="1120" w:type="dxa"/>
            <w:vAlign w:val="bottom"/>
            <w:tcBorders>
              <w:right w:val="single" w:sz="8" w:color="0000EE"/>
            </w:tcBorders>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8060" w:type="dxa"/>
            <w:vAlign w:val="bottom"/>
            <w:gridSpan w:val="9"/>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0780" w:type="dxa"/>
            <w:vAlign w:val="bottom"/>
            <w:gridSpan w:val="14"/>
          </w:tcPr>
          <w:p>
            <w:pPr>
              <w:spacing w:after="0"/>
              <w:rPr>
                <w:rFonts w:ascii="Arial" w:cs="Arial" w:eastAsia="Arial" w:hAnsi="Arial"/>
                <w:sz w:val="18"/>
                <w:szCs w:val="18"/>
                <w:b w:val="1"/>
                <w:bCs w:val="1"/>
                <w:color w:val="0000EE"/>
              </w:rPr>
            </w:pPr>
            <w:hyperlink w:anchor="page56">
              <w:r>
                <w:rPr>
                  <w:rFonts w:ascii="Arial" w:cs="Arial" w:eastAsia="Arial" w:hAnsi="Arial"/>
                  <w:sz w:val="18"/>
                  <w:szCs w:val="18"/>
                  <w:b w:val="1"/>
                  <w:bCs w:val="1"/>
                  <w:color w:val="0000EE"/>
                </w:rPr>
                <w:t>PART II: OTHER INFORMATION</w:t>
              </w:r>
            </w:hyperlink>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2720" w:type="dxa"/>
            <w:vAlign w:val="bottom"/>
            <w:tcBorders>
              <w:top w:val="single" w:sz="8" w:color="0000EE"/>
            </w:tcBorders>
            <w:gridSpan w:val="5"/>
          </w:tcPr>
          <w:p>
            <w:pPr>
              <w:ind w:left="440"/>
              <w:spacing w:after="0"/>
              <w:rPr>
                <w:rFonts w:ascii="Arial" w:cs="Arial" w:eastAsia="Arial" w:hAnsi="Arial"/>
                <w:sz w:val="18"/>
                <w:szCs w:val="18"/>
                <w:color w:val="auto"/>
              </w:rPr>
            </w:pPr>
            <w:r>
              <w:rPr>
                <w:rFonts w:ascii="Arial" w:cs="Arial" w:eastAsia="Arial" w:hAnsi="Arial"/>
                <w:sz w:val="18"/>
                <w:szCs w:val="18"/>
                <w:color w:val="auto"/>
              </w:rPr>
              <w:t xml:space="preserve">Item 1: </w:t>
            </w:r>
            <w:hyperlink w:anchor="page56">
              <w:r>
                <w:rPr>
                  <w:rFonts w:ascii="Arial" w:cs="Arial" w:eastAsia="Arial" w:hAnsi="Arial"/>
                  <w:sz w:val="18"/>
                  <w:szCs w:val="18"/>
                  <w:color w:val="0000EE"/>
                </w:rPr>
                <w:t>Legal Proceedings</w:t>
              </w:r>
            </w:hyperlink>
          </w:p>
        </w:tc>
        <w:tc>
          <w:tcPr>
            <w:tcW w:w="8060" w:type="dxa"/>
            <w:vAlign w:val="bottom"/>
            <w:gridSpan w:val="9"/>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0"/>
        </w:trPr>
        <w:tc>
          <w:tcPr>
            <w:tcW w:w="1120" w:type="dxa"/>
            <w:vAlign w:val="bottom"/>
            <w:tcBorders>
              <w:right w:val="single" w:sz="8" w:color="0000EE"/>
            </w:tcBorders>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520" w:type="dxa"/>
            <w:vAlign w:val="bottom"/>
            <w:tcBorders>
              <w:left w:val="single" w:sz="8" w:color="0000EE"/>
            </w:tcBorders>
            <w:gridSpan w:val="1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780" w:type="dxa"/>
            <w:vAlign w:val="bottom"/>
            <w:gridSpan w:val="14"/>
          </w:tcPr>
          <w:p>
            <w:pPr>
              <w:ind w:left="440"/>
              <w:spacing w:after="0"/>
              <w:rPr>
                <w:rFonts w:ascii="Arial" w:cs="Arial" w:eastAsia="Arial" w:hAnsi="Arial"/>
                <w:sz w:val="18"/>
                <w:szCs w:val="18"/>
                <w:color w:val="auto"/>
              </w:rPr>
            </w:pPr>
            <w:r>
              <w:rPr>
                <w:rFonts w:ascii="Arial" w:cs="Arial" w:eastAsia="Arial" w:hAnsi="Arial"/>
                <w:sz w:val="18"/>
                <w:szCs w:val="18"/>
                <w:color w:val="auto"/>
              </w:rPr>
              <w:t xml:space="preserve">Item 1A: </w:t>
            </w:r>
            <w:hyperlink w:anchor="page56">
              <w:r>
                <w:rPr>
                  <w:rFonts w:ascii="Arial" w:cs="Arial" w:eastAsia="Arial" w:hAnsi="Arial"/>
                  <w:sz w:val="18"/>
                  <w:szCs w:val="18"/>
                  <w:color w:val="0000EE"/>
                </w:rPr>
                <w:t>Risk Factors</w:t>
              </w:r>
            </w:hyperlink>
          </w:p>
        </w:tc>
        <w:tc>
          <w:tcPr>
            <w:tcW w:w="540" w:type="dxa"/>
            <w:vAlign w:val="bottom"/>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520" w:type="dxa"/>
            <w:vAlign w:val="bottom"/>
            <w:gridSpan w:val="1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780" w:type="dxa"/>
            <w:vAlign w:val="bottom"/>
            <w:gridSpan w:val="14"/>
          </w:tcPr>
          <w:p>
            <w:pPr>
              <w:ind w:left="440"/>
              <w:spacing w:after="0"/>
              <w:rPr>
                <w:rFonts w:ascii="Arial" w:cs="Arial" w:eastAsia="Arial" w:hAnsi="Arial"/>
                <w:sz w:val="18"/>
                <w:szCs w:val="18"/>
                <w:color w:val="auto"/>
              </w:rPr>
            </w:pPr>
            <w:r>
              <w:rPr>
                <w:rFonts w:ascii="Arial" w:cs="Arial" w:eastAsia="Arial" w:hAnsi="Arial"/>
                <w:sz w:val="18"/>
                <w:szCs w:val="18"/>
                <w:color w:val="auto"/>
              </w:rPr>
              <w:t xml:space="preserve">Item 5: </w:t>
            </w:r>
            <w:hyperlink w:anchor="page56">
              <w:r>
                <w:rPr>
                  <w:rFonts w:ascii="Arial" w:cs="Arial" w:eastAsia="Arial" w:hAnsi="Arial"/>
                  <w:sz w:val="18"/>
                  <w:szCs w:val="18"/>
                  <w:color w:val="0000EE"/>
                </w:rPr>
                <w:t>Other Information</w:t>
              </w:r>
            </w:hyperlink>
          </w:p>
        </w:tc>
        <w:tc>
          <w:tcPr>
            <w:tcW w:w="540" w:type="dxa"/>
            <w:vAlign w:val="bottom"/>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0"/>
        </w:trPr>
        <w:tc>
          <w:tcPr>
            <w:tcW w:w="1120" w:type="dxa"/>
            <w:vAlign w:val="bottom"/>
            <w:tcBorders>
              <w:right w:val="single" w:sz="8" w:color="0000EE"/>
            </w:tcBorders>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8520" w:type="dxa"/>
            <w:vAlign w:val="bottom"/>
            <w:gridSpan w:val="1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780" w:type="dxa"/>
            <w:vAlign w:val="bottom"/>
            <w:gridSpan w:val="14"/>
          </w:tcPr>
          <w:p>
            <w:pPr>
              <w:ind w:left="440"/>
              <w:spacing w:after="0"/>
              <w:rPr>
                <w:rFonts w:ascii="Arial" w:cs="Arial" w:eastAsia="Arial" w:hAnsi="Arial"/>
                <w:sz w:val="18"/>
                <w:szCs w:val="18"/>
                <w:color w:val="auto"/>
              </w:rPr>
            </w:pPr>
            <w:r>
              <w:rPr>
                <w:rFonts w:ascii="Arial" w:cs="Arial" w:eastAsia="Arial" w:hAnsi="Arial"/>
                <w:sz w:val="18"/>
                <w:szCs w:val="18"/>
                <w:color w:val="auto"/>
              </w:rPr>
              <w:t xml:space="preserve">Item 6: </w:t>
            </w:r>
            <w:hyperlink w:anchor="page56">
              <w:r>
                <w:rPr>
                  <w:rFonts w:ascii="Arial" w:cs="Arial" w:eastAsia="Arial" w:hAnsi="Arial"/>
                  <w:sz w:val="18"/>
                  <w:szCs w:val="18"/>
                  <w:color w:val="0000EE"/>
                </w:rPr>
                <w:t>Exhibits</w:t>
              </w:r>
            </w:hyperlink>
          </w:p>
        </w:tc>
        <w:tc>
          <w:tcPr>
            <w:tcW w:w="540" w:type="dxa"/>
            <w:vAlign w:val="bottom"/>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0"/>
        </w:trPr>
        <w:tc>
          <w:tcPr>
            <w:tcW w:w="1120" w:type="dxa"/>
            <w:vAlign w:val="bottom"/>
            <w:tcBorders>
              <w:right w:val="single" w:sz="8" w:color="0000EE"/>
            </w:tcBorders>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9200" w:type="dxa"/>
            <w:vAlign w:val="bottom"/>
            <w:gridSpan w:val="1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20" w:type="dxa"/>
            <w:vAlign w:val="bottom"/>
            <w:tcBorders>
              <w:bottom w:val="single" w:sz="8" w:color="0000EE"/>
            </w:tcBorders>
          </w:tcPr>
          <w:p>
            <w:pPr>
              <w:spacing w:after="0"/>
              <w:rPr>
                <w:rFonts w:ascii="Arial" w:cs="Arial" w:eastAsia="Arial" w:hAnsi="Arial"/>
                <w:sz w:val="18"/>
                <w:szCs w:val="18"/>
                <w:b w:val="1"/>
                <w:bCs w:val="1"/>
                <w:color w:val="0000EE"/>
              </w:rPr>
            </w:pPr>
            <w:hyperlink w:anchor="page57">
              <w:r>
                <w:rPr>
                  <w:rFonts w:ascii="Arial" w:cs="Arial" w:eastAsia="Arial" w:hAnsi="Arial"/>
                  <w:sz w:val="18"/>
                  <w:szCs w:val="18"/>
                  <w:b w:val="1"/>
                  <w:bCs w:val="1"/>
                  <w:color w:val="0000EE"/>
                </w:rPr>
                <w:t>SIGNATURE</w:t>
              </w:r>
            </w:hyperlink>
          </w:p>
        </w:tc>
        <w:tc>
          <w:tcPr>
            <w:tcW w:w="9660" w:type="dxa"/>
            <w:vAlign w:val="bottom"/>
            <w:gridSpan w:val="13"/>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bl>
    <w:p>
      <w:pPr>
        <w:sectPr>
          <w:pgSz w:w="11900" w:h="16838" w:orient="portrait"/>
          <w:cols w:equalWidth="0" w:num="1">
            <w:col w:w="11320"/>
          </w:cols>
          <w:pgMar w:left="240" w:top="459" w:right="3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 (Unaudited)</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ITRON,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5400" w:type="dxa"/>
            <w:vAlign w:val="bottom"/>
          </w:tcPr>
          <w:p>
            <w:pPr>
              <w:spacing w:after="0"/>
              <w:rPr>
                <w:sz w:val="19"/>
                <w:szCs w:val="19"/>
                <w:color w:val="auto"/>
              </w:rPr>
            </w:pPr>
          </w:p>
        </w:tc>
        <w:tc>
          <w:tcPr>
            <w:tcW w:w="2900" w:type="dxa"/>
            <w:vAlign w:val="bottom"/>
            <w:gridSpan w:val="5"/>
          </w:tcPr>
          <w:p>
            <w:pPr>
              <w:ind w:left="100"/>
              <w:spacing w:after="0"/>
              <w:rPr>
                <w:sz w:val="20"/>
                <w:szCs w:val="20"/>
                <w:color w:val="auto"/>
              </w:rPr>
            </w:pPr>
            <w:r>
              <w:rPr>
                <w:rFonts w:ascii="Arial" w:cs="Arial" w:eastAsia="Arial" w:hAnsi="Arial"/>
                <w:sz w:val="18"/>
                <w:szCs w:val="18"/>
                <w:b w:val="1"/>
                <w:bCs w:val="1"/>
                <w:color w:val="auto"/>
                <w:w w:val="90"/>
              </w:rPr>
              <w:t>Three Months Ended September 30,</w:t>
            </w:r>
          </w:p>
        </w:tc>
        <w:tc>
          <w:tcPr>
            <w:tcW w:w="200" w:type="dxa"/>
            <w:vAlign w:val="bottom"/>
          </w:tcPr>
          <w:p>
            <w:pPr>
              <w:spacing w:after="0"/>
              <w:rPr>
                <w:sz w:val="19"/>
                <w:szCs w:val="19"/>
                <w:color w:val="auto"/>
              </w:rPr>
            </w:pPr>
          </w:p>
        </w:tc>
        <w:tc>
          <w:tcPr>
            <w:tcW w:w="2900" w:type="dxa"/>
            <w:vAlign w:val="bottom"/>
            <w:gridSpan w:val="6"/>
          </w:tcPr>
          <w:p>
            <w:pPr>
              <w:ind w:left="100"/>
              <w:spacing w:after="0"/>
              <w:rPr>
                <w:sz w:val="20"/>
                <w:szCs w:val="20"/>
                <w:color w:val="auto"/>
              </w:rPr>
            </w:pPr>
            <w:r>
              <w:rPr>
                <w:rFonts w:ascii="Arial" w:cs="Arial" w:eastAsia="Arial" w:hAnsi="Arial"/>
                <w:sz w:val="18"/>
                <w:szCs w:val="18"/>
                <w:b w:val="1"/>
                <w:bCs w:val="1"/>
                <w:color w:val="auto"/>
                <w:w w:val="93"/>
              </w:rPr>
              <w:t>Nine Months Ended September 30,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400" w:type="dxa"/>
            <w:vAlign w:val="bottom"/>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392"/>
              <w:spacing w:after="0"/>
              <w:rPr>
                <w:sz w:val="20"/>
                <w:szCs w:val="20"/>
                <w:color w:val="auto"/>
              </w:rPr>
            </w:pPr>
            <w:r>
              <w:rPr>
                <w:rFonts w:ascii="Arial" w:cs="Arial" w:eastAsia="Arial" w:hAnsi="Arial"/>
                <w:sz w:val="18"/>
                <w:szCs w:val="18"/>
                <w:b w:val="1"/>
                <w:bCs w:val="1"/>
                <w:color w:val="auto"/>
              </w:rPr>
              <w:t>2010</w:t>
            </w:r>
          </w:p>
        </w:tc>
        <w:tc>
          <w:tcPr>
            <w:tcW w:w="26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392"/>
              <w:spacing w:after="0"/>
              <w:rPr>
                <w:sz w:val="20"/>
                <w:szCs w:val="20"/>
                <w:color w:val="auto"/>
              </w:rPr>
            </w:pPr>
            <w:r>
              <w:rPr>
                <w:rFonts w:ascii="Arial" w:cs="Arial" w:eastAsia="Arial" w:hAnsi="Arial"/>
                <w:sz w:val="18"/>
                <w:szCs w:val="18"/>
                <w:b w:val="1"/>
                <w:bCs w:val="1"/>
                <w:color w:val="auto"/>
              </w:rPr>
              <w:t>2009</w:t>
            </w:r>
          </w:p>
        </w:tc>
        <w:tc>
          <w:tcPr>
            <w:tcW w:w="200" w:type="dxa"/>
            <w:vAlign w:val="bottom"/>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72"/>
              <w:spacing w:after="0"/>
              <w:rPr>
                <w:sz w:val="20"/>
                <w:szCs w:val="20"/>
                <w:color w:val="auto"/>
              </w:rPr>
            </w:pPr>
            <w:r>
              <w:rPr>
                <w:rFonts w:ascii="Arial" w:cs="Arial" w:eastAsia="Arial" w:hAnsi="Arial"/>
                <w:sz w:val="18"/>
                <w:szCs w:val="18"/>
                <w:b w:val="1"/>
                <w:bCs w:val="1"/>
                <w:color w:val="auto"/>
              </w:rPr>
              <w:t>2010</w:t>
            </w:r>
          </w:p>
        </w:tc>
        <w:tc>
          <w:tcPr>
            <w:tcW w:w="22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392"/>
              <w:spacing w:after="0"/>
              <w:rPr>
                <w:sz w:val="20"/>
                <w:szCs w:val="20"/>
                <w:color w:val="auto"/>
              </w:rPr>
            </w:pPr>
            <w:r>
              <w:rPr>
                <w:rFonts w:ascii="Arial" w:cs="Arial" w:eastAsia="Arial" w:hAnsi="Arial"/>
                <w:sz w:val="18"/>
                <w:szCs w:val="18"/>
                <w:b w:val="1"/>
                <w:bCs w:val="1"/>
                <w:color w:val="auto"/>
              </w:rPr>
              <w:t>2009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0" w:type="dxa"/>
            <w:vAlign w:val="bottom"/>
            <w:gridSpan w:val="5"/>
          </w:tcPr>
          <w:p>
            <w:pPr>
              <w:jc w:val="right"/>
              <w:spacing w:after="0"/>
              <w:rPr>
                <w:sz w:val="20"/>
                <w:szCs w:val="20"/>
                <w:color w:val="auto"/>
              </w:rPr>
            </w:pPr>
            <w:r>
              <w:rPr>
                <w:rFonts w:ascii="Arial" w:cs="Arial" w:eastAsia="Arial" w:hAnsi="Arial"/>
                <w:sz w:val="18"/>
                <w:szCs w:val="18"/>
                <w:b w:val="1"/>
                <w:bCs w:val="1"/>
                <w:color w:val="auto"/>
                <w:w w:val="85"/>
              </w:rPr>
              <w:t>(in thousands, except per share data)</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3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575,968</w:t>
            </w:r>
          </w:p>
        </w:tc>
        <w:tc>
          <w:tcPr>
            <w:tcW w:w="58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408,358</w:t>
            </w:r>
          </w:p>
        </w:tc>
        <w:tc>
          <w:tcPr>
            <w:tcW w:w="5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1,644,708</w:t>
            </w:r>
          </w:p>
        </w:tc>
        <w:tc>
          <w:tcPr>
            <w:tcW w:w="54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1,210,624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Cost of revenues</w:t>
            </w:r>
          </w:p>
        </w:tc>
        <w:tc>
          <w:tcPr>
            <w:tcW w:w="3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391,761</w:t>
            </w:r>
          </w:p>
        </w:tc>
        <w:tc>
          <w:tcPr>
            <w:tcW w:w="2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278,879</w:t>
            </w:r>
          </w:p>
        </w:tc>
        <w:tc>
          <w:tcPr>
            <w:tcW w:w="2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1,125,282</w:t>
            </w:r>
          </w:p>
        </w:tc>
        <w:tc>
          <w:tcPr>
            <w:tcW w:w="2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818,452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3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184,207</w:t>
            </w: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129,479</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519,426</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392,172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542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Sales and marketing</w:t>
            </w:r>
          </w:p>
        </w:tc>
        <w:tc>
          <w:tcPr>
            <w:tcW w:w="3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41,197</w:t>
            </w: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37,669</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123,708</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112,569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ind w:left="420"/>
              <w:spacing w:after="0"/>
              <w:rPr>
                <w:sz w:val="20"/>
                <w:szCs w:val="20"/>
                <w:color w:val="auto"/>
              </w:rPr>
            </w:pPr>
            <w:r>
              <w:rPr>
                <w:rFonts w:ascii="Arial" w:cs="Arial" w:eastAsia="Arial" w:hAnsi="Arial"/>
                <w:sz w:val="18"/>
                <w:szCs w:val="18"/>
                <w:color w:val="auto"/>
              </w:rPr>
              <w:t>Product development</w:t>
            </w:r>
          </w:p>
        </w:tc>
        <w:tc>
          <w:tcPr>
            <w:tcW w:w="340" w:type="dxa"/>
            <w:vAlign w:val="bottom"/>
          </w:tcPr>
          <w:p>
            <w:pPr>
              <w:spacing w:after="0"/>
              <w:rPr>
                <w:sz w:val="18"/>
                <w:szCs w:val="18"/>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34,038</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31,077</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100,100</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93,044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General and administrative</w:t>
            </w:r>
          </w:p>
        </w:tc>
        <w:tc>
          <w:tcPr>
            <w:tcW w:w="3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30,710</w:t>
            </w: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26,606</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97,052</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84,097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00" w:type="dxa"/>
            <w:vAlign w:val="bottom"/>
          </w:tcPr>
          <w:p>
            <w:pPr>
              <w:ind w:left="420"/>
              <w:spacing w:after="0"/>
              <w:rPr>
                <w:sz w:val="20"/>
                <w:szCs w:val="20"/>
                <w:color w:val="auto"/>
              </w:rPr>
            </w:pPr>
            <w:r>
              <w:rPr>
                <w:rFonts w:ascii="Arial" w:cs="Arial" w:eastAsia="Arial" w:hAnsi="Arial"/>
                <w:sz w:val="18"/>
                <w:szCs w:val="18"/>
                <w:color w:val="auto"/>
              </w:rPr>
              <w:t>Amortization of intangible assets</w:t>
            </w:r>
          </w:p>
        </w:tc>
        <w:tc>
          <w:tcPr>
            <w:tcW w:w="3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16,882</w:t>
            </w:r>
          </w:p>
        </w:tc>
        <w:tc>
          <w:tcPr>
            <w:tcW w:w="2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25,121</w:t>
            </w:r>
          </w:p>
        </w:tc>
        <w:tc>
          <w:tcPr>
            <w:tcW w:w="2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51,459</w:t>
            </w:r>
          </w:p>
        </w:tc>
        <w:tc>
          <w:tcPr>
            <w:tcW w:w="2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72,788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operating expenses</w:t>
            </w:r>
          </w:p>
        </w:tc>
        <w:tc>
          <w:tcPr>
            <w:tcW w:w="3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122,827</w:t>
            </w:r>
          </w:p>
        </w:tc>
        <w:tc>
          <w:tcPr>
            <w:tcW w:w="26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120,473</w:t>
            </w:r>
          </w:p>
        </w:tc>
        <w:tc>
          <w:tcPr>
            <w:tcW w:w="2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372,319</w:t>
            </w:r>
          </w:p>
        </w:tc>
        <w:tc>
          <w:tcPr>
            <w:tcW w:w="2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362,498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9"/>
        </w:trPr>
        <w:tc>
          <w:tcPr>
            <w:tcW w:w="542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340" w:type="dxa"/>
            <w:vAlign w:val="bottom"/>
          </w:tcPr>
          <w:p>
            <w:pPr>
              <w:spacing w:after="0"/>
              <w:rPr>
                <w:sz w:val="24"/>
                <w:szCs w:val="24"/>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61,380</w:t>
            </w: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9,006</w:t>
            </w: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147,107</w:t>
            </w: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29,674</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3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ind w:left="420"/>
              <w:spacing w:after="0"/>
              <w:rPr>
                <w:sz w:val="20"/>
                <w:szCs w:val="20"/>
                <w:color w:val="auto"/>
              </w:rPr>
            </w:pPr>
            <w:r>
              <w:rPr>
                <w:rFonts w:ascii="Arial" w:cs="Arial" w:eastAsia="Arial" w:hAnsi="Arial"/>
                <w:sz w:val="18"/>
                <w:szCs w:val="18"/>
                <w:color w:val="auto"/>
              </w:rPr>
              <w:t>Interest income</w:t>
            </w:r>
          </w:p>
        </w:tc>
        <w:tc>
          <w:tcPr>
            <w:tcW w:w="340" w:type="dxa"/>
            <w:vAlign w:val="bottom"/>
          </w:tcPr>
          <w:p>
            <w:pPr>
              <w:spacing w:after="0"/>
              <w:rPr>
                <w:sz w:val="18"/>
                <w:szCs w:val="18"/>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166</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(45)</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444</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971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expense</w:t>
            </w:r>
          </w:p>
        </w:tc>
        <w:tc>
          <w:tcPr>
            <w:tcW w:w="3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(13,328)</w:t>
            </w: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(20,075)</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(42,216)</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(53,319)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ind w:left="420"/>
              <w:spacing w:after="0"/>
              <w:rPr>
                <w:sz w:val="20"/>
                <w:szCs w:val="20"/>
                <w:color w:val="auto"/>
              </w:rPr>
            </w:pPr>
            <w:r>
              <w:rPr>
                <w:rFonts w:ascii="Arial" w:cs="Arial" w:eastAsia="Arial" w:hAnsi="Arial"/>
                <w:sz w:val="18"/>
                <w:szCs w:val="18"/>
                <w:color w:val="auto"/>
              </w:rPr>
              <w:t>Loss on extinguishment of debt, net</w:t>
            </w:r>
          </w:p>
        </w:tc>
        <w:tc>
          <w:tcPr>
            <w:tcW w:w="340" w:type="dxa"/>
            <w:vAlign w:val="bottom"/>
          </w:tcPr>
          <w:p>
            <w:pPr>
              <w:spacing w:after="0"/>
              <w:rPr>
                <w:sz w:val="18"/>
                <w:szCs w:val="18"/>
                <w:color w:val="auto"/>
              </w:rPr>
            </w:pPr>
          </w:p>
        </w:tc>
        <w:tc>
          <w:tcPr>
            <w:tcW w:w="98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(2,460)</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(12,800)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income (expense), net</w:t>
            </w:r>
          </w:p>
        </w:tc>
        <w:tc>
          <w:tcPr>
            <w:tcW w:w="3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(4,423)</w:t>
            </w:r>
          </w:p>
        </w:tc>
        <w:tc>
          <w:tcPr>
            <w:tcW w:w="26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(4,534)</w:t>
            </w:r>
          </w:p>
        </w:tc>
        <w:tc>
          <w:tcPr>
            <w:tcW w:w="2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(5,440)</w:t>
            </w:r>
          </w:p>
        </w:tc>
        <w:tc>
          <w:tcPr>
            <w:tcW w:w="2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(9,445)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400" w:type="dxa"/>
            <w:vAlign w:val="bottom"/>
          </w:tcPr>
          <w:p>
            <w:pPr>
              <w:ind w:left="860"/>
              <w:spacing w:after="0"/>
              <w:rPr>
                <w:sz w:val="20"/>
                <w:szCs w:val="20"/>
                <w:color w:val="auto"/>
              </w:rPr>
            </w:pPr>
            <w:r>
              <w:rPr>
                <w:rFonts w:ascii="Arial" w:cs="Arial" w:eastAsia="Arial" w:hAnsi="Arial"/>
                <w:sz w:val="18"/>
                <w:szCs w:val="18"/>
                <w:color w:val="auto"/>
              </w:rPr>
              <w:t>Total other income (expense)</w:t>
            </w:r>
          </w:p>
        </w:tc>
        <w:tc>
          <w:tcPr>
            <w:tcW w:w="3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(17,585)</w:t>
            </w:r>
          </w:p>
        </w:tc>
        <w:tc>
          <w:tcPr>
            <w:tcW w:w="2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(27,114)</w:t>
            </w:r>
          </w:p>
        </w:tc>
        <w:tc>
          <w:tcPr>
            <w:tcW w:w="2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(47,212)</w:t>
            </w:r>
          </w:p>
        </w:tc>
        <w:tc>
          <w:tcPr>
            <w:tcW w:w="2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(74,593)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54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Income (loss) before income taxes</w:t>
            </w:r>
          </w:p>
        </w:tc>
        <w:tc>
          <w:tcPr>
            <w:tcW w:w="3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43,795</w:t>
            </w: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(18,108)</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99,895</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(44,919)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Income tax (provision) benefit</w:t>
            </w:r>
          </w:p>
        </w:tc>
        <w:tc>
          <w:tcPr>
            <w:tcW w:w="3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(14,687)</w:t>
            </w:r>
          </w:p>
        </w:tc>
        <w:tc>
          <w:tcPr>
            <w:tcW w:w="2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15,146</w:t>
            </w:r>
          </w:p>
        </w:tc>
        <w:tc>
          <w:tcPr>
            <w:tcW w:w="2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(17,100)</w:t>
            </w:r>
          </w:p>
        </w:tc>
        <w:tc>
          <w:tcPr>
            <w:tcW w:w="2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37,517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34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29,108</w:t>
            </w:r>
          </w:p>
        </w:tc>
        <w:tc>
          <w:tcPr>
            <w:tcW w:w="26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(2,962)</w:t>
            </w:r>
          </w:p>
        </w:tc>
        <w:tc>
          <w:tcPr>
            <w:tcW w:w="2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82,795</w:t>
            </w:r>
          </w:p>
        </w:tc>
        <w:tc>
          <w:tcPr>
            <w:tcW w:w="2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(7,402)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20" w:type="dxa"/>
            <w:vAlign w:val="bottom"/>
            <w:gridSpan w:val="2"/>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5420" w:type="dxa"/>
            <w:vAlign w:val="bottom"/>
            <w:gridSpan w:val="2"/>
          </w:tcPr>
          <w:p>
            <w:pPr>
              <w:spacing w:after="0"/>
              <w:rPr>
                <w:sz w:val="20"/>
                <w:szCs w:val="20"/>
                <w:color w:val="auto"/>
              </w:rPr>
            </w:pPr>
            <w:r>
              <w:rPr>
                <w:rFonts w:ascii="Arial" w:cs="Arial" w:eastAsia="Arial" w:hAnsi="Arial"/>
                <w:sz w:val="18"/>
                <w:szCs w:val="18"/>
                <w:color w:val="auto"/>
              </w:rPr>
              <w:t>Earnings (loss) per common share-Basic</w:t>
            </w:r>
          </w:p>
        </w:tc>
        <w:tc>
          <w:tcPr>
            <w:tcW w:w="340" w:type="dxa"/>
            <w:vAlign w:val="bottom"/>
          </w:tcPr>
          <w:p>
            <w:pPr>
              <w:ind w:left="10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0.72</w:t>
            </w:r>
          </w:p>
        </w:tc>
        <w:tc>
          <w:tcPr>
            <w:tcW w:w="580" w:type="dxa"/>
            <w:vAlign w:val="bottom"/>
            <w:gridSpan w:val="2"/>
          </w:tcPr>
          <w:p>
            <w:pPr>
              <w:jc w:val="right"/>
              <w:ind w:right="72"/>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(0.07)</w:t>
            </w:r>
          </w:p>
        </w:tc>
        <w:tc>
          <w:tcPr>
            <w:tcW w:w="5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2.05</w:t>
            </w:r>
          </w:p>
        </w:tc>
        <w:tc>
          <w:tcPr>
            <w:tcW w:w="540" w:type="dxa"/>
            <w:vAlign w:val="bottom"/>
            <w:gridSpan w:val="2"/>
          </w:tcPr>
          <w:p>
            <w:pPr>
              <w:jc w:val="right"/>
              <w:ind w:right="52"/>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(0.19)</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Earnings (loss) per common share-Diluted</w:t>
            </w:r>
          </w:p>
        </w:tc>
        <w:tc>
          <w:tcPr>
            <w:tcW w:w="3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0.71</w:t>
            </w:r>
          </w:p>
        </w:tc>
        <w:tc>
          <w:tcPr>
            <w:tcW w:w="58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(0.07)</w:t>
            </w:r>
          </w:p>
        </w:tc>
        <w:tc>
          <w:tcPr>
            <w:tcW w:w="5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54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20" w:type="dxa"/>
            <w:vAlign w:val="bottom"/>
            <w:gridSpan w:val="2"/>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5420" w:type="dxa"/>
            <w:vAlign w:val="bottom"/>
            <w:gridSpan w:val="2"/>
          </w:tcPr>
          <w:p>
            <w:pPr>
              <w:spacing w:after="0"/>
              <w:rPr>
                <w:sz w:val="20"/>
                <w:szCs w:val="20"/>
                <w:color w:val="auto"/>
              </w:rPr>
            </w:pPr>
            <w:r>
              <w:rPr>
                <w:rFonts w:ascii="Arial" w:cs="Arial" w:eastAsia="Arial" w:hAnsi="Arial"/>
                <w:sz w:val="18"/>
                <w:szCs w:val="18"/>
                <w:color w:val="auto"/>
              </w:rPr>
              <w:t>Weighted average common shares outstanding-Basic</w:t>
            </w:r>
          </w:p>
        </w:tc>
        <w:tc>
          <w:tcPr>
            <w:tcW w:w="340" w:type="dxa"/>
            <w:vAlign w:val="bottom"/>
          </w:tcPr>
          <w:p>
            <w:pPr>
              <w:spacing w:after="0"/>
              <w:rPr>
                <w:sz w:val="24"/>
                <w:szCs w:val="24"/>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40,400</w:t>
            </w: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40,039</w:t>
            </w: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40,307</w:t>
            </w: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38,003</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common shares outstanding-Diluted</w:t>
            </w:r>
          </w:p>
        </w:tc>
        <w:tc>
          <w:tcPr>
            <w:tcW w:w="3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40,828</w:t>
            </w: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40,039</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40,950</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38,003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ITRON,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0" w:type="dxa"/>
            <w:vAlign w:val="bottom"/>
          </w:tcPr>
          <w:p>
            <w:pPr>
              <w:spacing w:after="0"/>
              <w:rPr>
                <w:sz w:val="19"/>
                <w:szCs w:val="19"/>
                <w:color w:val="auto"/>
              </w:rPr>
            </w:pPr>
          </w:p>
        </w:tc>
        <w:tc>
          <w:tcPr>
            <w:tcW w:w="7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60" w:type="dxa"/>
            <w:vAlign w:val="bottom"/>
          </w:tcPr>
          <w:p>
            <w:pPr>
              <w:jc w:val="right"/>
              <w:ind w:right="92"/>
              <w:spacing w:after="0"/>
              <w:rPr>
                <w:sz w:val="20"/>
                <w:szCs w:val="20"/>
                <w:color w:val="auto"/>
              </w:rPr>
            </w:pPr>
            <w:r>
              <w:rPr>
                <w:rFonts w:ascii="Arial" w:cs="Arial" w:eastAsia="Arial" w:hAnsi="Arial"/>
                <w:sz w:val="18"/>
                <w:szCs w:val="18"/>
                <w:b w:val="1"/>
                <w:bCs w:val="1"/>
                <w:color w:val="auto"/>
                <w:w w:val="86"/>
              </w:rPr>
              <w:t>September 30, 2010</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80" w:type="dxa"/>
            <w:vAlign w:val="bottom"/>
            <w:gridSpan w:val="2"/>
          </w:tcPr>
          <w:p>
            <w:pPr>
              <w:spacing w:after="0"/>
              <w:rPr>
                <w:sz w:val="20"/>
                <w:szCs w:val="20"/>
                <w:color w:val="auto"/>
              </w:rPr>
            </w:pPr>
            <w:r>
              <w:rPr>
                <w:rFonts w:ascii="Arial" w:cs="Arial" w:eastAsia="Arial" w:hAnsi="Arial"/>
                <w:sz w:val="18"/>
                <w:szCs w:val="18"/>
                <w:b w:val="1"/>
                <w:bCs w:val="1"/>
                <w:color w:val="auto"/>
              </w:rPr>
              <w:t>December 31, 2009</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4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660" w:type="dxa"/>
            <w:vAlign w:val="bottom"/>
            <w:tcBorders>
              <w:top w:val="single" w:sz="8" w:color="auto"/>
            </w:tcBorders>
          </w:tcPr>
          <w:p>
            <w:pPr>
              <w:jc w:val="right"/>
              <w:ind w:right="392"/>
              <w:spacing w:after="0"/>
              <w:rPr>
                <w:sz w:val="20"/>
                <w:szCs w:val="20"/>
                <w:color w:val="auto"/>
              </w:rPr>
            </w:pPr>
            <w:r>
              <w:rPr>
                <w:rFonts w:ascii="Arial" w:cs="Arial" w:eastAsia="Arial" w:hAnsi="Arial"/>
                <w:sz w:val="18"/>
                <w:szCs w:val="18"/>
                <w:b w:val="1"/>
                <w:bCs w:val="1"/>
                <w:color w:val="auto"/>
              </w:rPr>
              <w:t>(unaudited)</w:t>
            </w:r>
          </w:p>
        </w:tc>
        <w:tc>
          <w:tcPr>
            <w:tcW w:w="2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5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ind w:left="3320"/>
              <w:spacing w:after="0"/>
              <w:rPr>
                <w:sz w:val="20"/>
                <w:szCs w:val="20"/>
                <w:color w:val="auto"/>
              </w:rPr>
            </w:pPr>
            <w:r>
              <w:rPr>
                <w:rFonts w:ascii="Arial" w:cs="Arial" w:eastAsia="Arial" w:hAnsi="Arial"/>
                <w:sz w:val="18"/>
                <w:szCs w:val="18"/>
                <w:b w:val="1"/>
                <w:bCs w:val="1"/>
                <w:color w:val="auto"/>
              </w:rPr>
              <w:t>ASSETS</w:t>
            </w:r>
          </w:p>
        </w:tc>
        <w:tc>
          <w:tcPr>
            <w:tcW w:w="18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spacing w:after="0"/>
              <w:rPr>
                <w:sz w:val="20"/>
                <w:szCs w:val="20"/>
                <w:color w:val="auto"/>
              </w:rPr>
            </w:pPr>
            <w:r>
              <w:rPr>
                <w:rFonts w:ascii="Arial" w:cs="Arial" w:eastAsia="Arial" w:hAnsi="Arial"/>
                <w:sz w:val="18"/>
                <w:szCs w:val="18"/>
                <w:color w:val="auto"/>
              </w:rPr>
              <w:t>Current assets</w:t>
            </w:r>
          </w:p>
        </w:tc>
        <w:tc>
          <w:tcPr>
            <w:tcW w:w="1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148,114</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121,893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ind w:left="420"/>
              <w:spacing w:after="0"/>
              <w:rPr>
                <w:sz w:val="20"/>
                <w:szCs w:val="20"/>
                <w:color w:val="auto"/>
              </w:rPr>
            </w:pPr>
            <w:r>
              <w:rPr>
                <w:rFonts w:ascii="Arial" w:cs="Arial" w:eastAsia="Arial" w:hAnsi="Arial"/>
                <w:sz w:val="18"/>
                <w:szCs w:val="18"/>
                <w:color w:val="auto"/>
              </w:rPr>
              <w:t>Accounts receivable, net</w:t>
            </w:r>
          </w:p>
        </w:tc>
        <w:tc>
          <w:tcPr>
            <w:tcW w:w="180" w:type="dxa"/>
            <w:vAlign w:val="bottom"/>
          </w:tcPr>
          <w:p>
            <w:pPr>
              <w:spacing w:after="0"/>
              <w:rPr>
                <w:sz w:val="18"/>
                <w:szCs w:val="18"/>
                <w:color w:val="auto"/>
              </w:rPr>
            </w:pPr>
          </w:p>
        </w:tc>
        <w:tc>
          <w:tcPr>
            <w:tcW w:w="1660" w:type="dxa"/>
            <w:vAlign w:val="bottom"/>
          </w:tcPr>
          <w:p>
            <w:pPr>
              <w:jc w:val="right"/>
              <w:ind w:right="12"/>
              <w:spacing w:after="0"/>
              <w:rPr>
                <w:sz w:val="20"/>
                <w:szCs w:val="20"/>
                <w:color w:val="auto"/>
              </w:rPr>
            </w:pPr>
            <w:r>
              <w:rPr>
                <w:rFonts w:ascii="Arial" w:cs="Arial" w:eastAsia="Arial" w:hAnsi="Arial"/>
                <w:sz w:val="18"/>
                <w:szCs w:val="18"/>
                <w:color w:val="auto"/>
              </w:rPr>
              <w:t>383,814</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337,948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Inventories</w:t>
            </w:r>
          </w:p>
        </w:tc>
        <w:tc>
          <w:tcPr>
            <w:tcW w:w="180" w:type="dxa"/>
            <w:vAlign w:val="bottom"/>
            <w:shd w:val="clear" w:color="auto" w:fill="CCEEFF"/>
          </w:tcPr>
          <w:p>
            <w:pPr>
              <w:spacing w:after="0"/>
              <w:rPr>
                <w:sz w:val="18"/>
                <w:szCs w:val="18"/>
                <w:color w:val="auto"/>
              </w:rPr>
            </w:pPr>
          </w:p>
        </w:tc>
        <w:tc>
          <w:tcPr>
            <w:tcW w:w="16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225,765</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170,084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ind w:left="420"/>
              <w:spacing w:after="0"/>
              <w:rPr>
                <w:sz w:val="20"/>
                <w:szCs w:val="20"/>
                <w:color w:val="auto"/>
              </w:rPr>
            </w:pPr>
            <w:r>
              <w:rPr>
                <w:rFonts w:ascii="Arial" w:cs="Arial" w:eastAsia="Arial" w:hAnsi="Arial"/>
                <w:sz w:val="18"/>
                <w:szCs w:val="18"/>
                <w:color w:val="auto"/>
              </w:rPr>
              <w:t>Deferred tax assets current, net</w:t>
            </w:r>
          </w:p>
        </w:tc>
        <w:tc>
          <w:tcPr>
            <w:tcW w:w="180" w:type="dxa"/>
            <w:vAlign w:val="bottom"/>
          </w:tcPr>
          <w:p>
            <w:pPr>
              <w:spacing w:after="0"/>
              <w:rPr>
                <w:sz w:val="18"/>
                <w:szCs w:val="18"/>
                <w:color w:val="auto"/>
              </w:rPr>
            </w:pPr>
          </w:p>
        </w:tc>
        <w:tc>
          <w:tcPr>
            <w:tcW w:w="1660" w:type="dxa"/>
            <w:vAlign w:val="bottom"/>
          </w:tcPr>
          <w:p>
            <w:pPr>
              <w:jc w:val="right"/>
              <w:ind w:right="12"/>
              <w:spacing w:after="0"/>
              <w:rPr>
                <w:sz w:val="20"/>
                <w:szCs w:val="20"/>
                <w:color w:val="auto"/>
              </w:rPr>
            </w:pPr>
            <w:r>
              <w:rPr>
                <w:rFonts w:ascii="Arial" w:cs="Arial" w:eastAsia="Arial" w:hAnsi="Arial"/>
                <w:sz w:val="18"/>
                <w:szCs w:val="18"/>
                <w:color w:val="auto"/>
              </w:rPr>
              <w:t>22,965</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20,762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current assets</w:t>
            </w:r>
          </w:p>
        </w:tc>
        <w:tc>
          <w:tcPr>
            <w:tcW w:w="18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72,371</w:t>
            </w:r>
          </w:p>
        </w:tc>
        <w:tc>
          <w:tcPr>
            <w:tcW w:w="2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75,229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460" w:type="dxa"/>
            <w:vAlign w:val="bottom"/>
          </w:tcPr>
          <w:p>
            <w:pPr>
              <w:ind w:left="860"/>
              <w:spacing w:after="0"/>
              <w:rPr>
                <w:sz w:val="20"/>
                <w:szCs w:val="20"/>
                <w:color w:val="auto"/>
              </w:rPr>
            </w:pPr>
            <w:r>
              <w:rPr>
                <w:rFonts w:ascii="Arial" w:cs="Arial" w:eastAsia="Arial" w:hAnsi="Arial"/>
                <w:sz w:val="18"/>
                <w:szCs w:val="18"/>
                <w:color w:val="auto"/>
              </w:rPr>
              <w:t>Total current assets</w:t>
            </w:r>
          </w:p>
        </w:tc>
        <w:tc>
          <w:tcPr>
            <w:tcW w:w="180" w:type="dxa"/>
            <w:vAlign w:val="bottom"/>
          </w:tcPr>
          <w:p>
            <w:pPr>
              <w:spacing w:after="0"/>
              <w:rPr>
                <w:sz w:val="19"/>
                <w:szCs w:val="19"/>
                <w:color w:val="auto"/>
              </w:rPr>
            </w:pPr>
          </w:p>
        </w:tc>
        <w:tc>
          <w:tcPr>
            <w:tcW w:w="1660" w:type="dxa"/>
            <w:vAlign w:val="bottom"/>
          </w:tcPr>
          <w:p>
            <w:pPr>
              <w:jc w:val="right"/>
              <w:ind w:right="12"/>
              <w:spacing w:after="0"/>
              <w:rPr>
                <w:sz w:val="20"/>
                <w:szCs w:val="20"/>
                <w:color w:val="auto"/>
              </w:rPr>
            </w:pPr>
            <w:r>
              <w:rPr>
                <w:rFonts w:ascii="Arial" w:cs="Arial" w:eastAsia="Arial" w:hAnsi="Arial"/>
                <w:sz w:val="18"/>
                <w:szCs w:val="18"/>
                <w:color w:val="auto"/>
              </w:rPr>
              <w:t>853,029</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725,916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74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6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 net</w:t>
            </w:r>
          </w:p>
        </w:tc>
        <w:tc>
          <w:tcPr>
            <w:tcW w:w="180" w:type="dxa"/>
            <w:vAlign w:val="bottom"/>
            <w:shd w:val="clear" w:color="auto" w:fill="CCEEFF"/>
          </w:tcPr>
          <w:p>
            <w:pPr>
              <w:spacing w:after="0"/>
              <w:rPr>
                <w:sz w:val="18"/>
                <w:szCs w:val="18"/>
                <w:color w:val="auto"/>
              </w:rPr>
            </w:pPr>
          </w:p>
        </w:tc>
        <w:tc>
          <w:tcPr>
            <w:tcW w:w="16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302,306</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318,217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spacing w:after="0"/>
              <w:rPr>
                <w:sz w:val="20"/>
                <w:szCs w:val="20"/>
                <w:color w:val="auto"/>
              </w:rPr>
            </w:pPr>
            <w:r>
              <w:rPr>
                <w:rFonts w:ascii="Arial" w:cs="Arial" w:eastAsia="Arial" w:hAnsi="Arial"/>
                <w:sz w:val="18"/>
                <w:szCs w:val="18"/>
                <w:color w:val="auto"/>
              </w:rPr>
              <w:t>Prepaid debt fees</w:t>
            </w:r>
          </w:p>
        </w:tc>
        <w:tc>
          <w:tcPr>
            <w:tcW w:w="180" w:type="dxa"/>
            <w:vAlign w:val="bottom"/>
          </w:tcPr>
          <w:p>
            <w:pPr>
              <w:spacing w:after="0"/>
              <w:rPr>
                <w:sz w:val="18"/>
                <w:szCs w:val="18"/>
                <w:color w:val="auto"/>
              </w:rPr>
            </w:pPr>
          </w:p>
        </w:tc>
        <w:tc>
          <w:tcPr>
            <w:tcW w:w="1660" w:type="dxa"/>
            <w:vAlign w:val="bottom"/>
          </w:tcPr>
          <w:p>
            <w:pPr>
              <w:jc w:val="right"/>
              <w:ind w:right="12"/>
              <w:spacing w:after="0"/>
              <w:rPr>
                <w:sz w:val="20"/>
                <w:szCs w:val="20"/>
                <w:color w:val="auto"/>
              </w:rPr>
            </w:pPr>
            <w:r>
              <w:rPr>
                <w:rFonts w:ascii="Arial" w:cs="Arial" w:eastAsia="Arial" w:hAnsi="Arial"/>
                <w:sz w:val="18"/>
                <w:szCs w:val="18"/>
                <w:color w:val="auto"/>
              </w:rPr>
              <w:t>5,704</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8,628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 noncurrent, net</w:t>
            </w:r>
          </w:p>
        </w:tc>
        <w:tc>
          <w:tcPr>
            <w:tcW w:w="180" w:type="dxa"/>
            <w:vAlign w:val="bottom"/>
            <w:shd w:val="clear" w:color="auto" w:fill="CCEEFF"/>
          </w:tcPr>
          <w:p>
            <w:pPr>
              <w:spacing w:after="0"/>
              <w:rPr>
                <w:sz w:val="18"/>
                <w:szCs w:val="18"/>
                <w:color w:val="auto"/>
              </w:rPr>
            </w:pPr>
          </w:p>
        </w:tc>
        <w:tc>
          <w:tcPr>
            <w:tcW w:w="16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49,612</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89,932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spacing w:after="0"/>
              <w:rPr>
                <w:sz w:val="20"/>
                <w:szCs w:val="20"/>
                <w:color w:val="auto"/>
              </w:rPr>
            </w:pPr>
            <w:r>
              <w:rPr>
                <w:rFonts w:ascii="Arial" w:cs="Arial" w:eastAsia="Arial" w:hAnsi="Arial"/>
                <w:sz w:val="18"/>
                <w:szCs w:val="18"/>
                <w:color w:val="auto"/>
              </w:rPr>
              <w:t>Other noncurrent assets</w:t>
            </w:r>
          </w:p>
        </w:tc>
        <w:tc>
          <w:tcPr>
            <w:tcW w:w="180" w:type="dxa"/>
            <w:vAlign w:val="bottom"/>
          </w:tcPr>
          <w:p>
            <w:pPr>
              <w:spacing w:after="0"/>
              <w:rPr>
                <w:sz w:val="18"/>
                <w:szCs w:val="18"/>
                <w:color w:val="auto"/>
              </w:rPr>
            </w:pPr>
          </w:p>
        </w:tc>
        <w:tc>
          <w:tcPr>
            <w:tcW w:w="1660" w:type="dxa"/>
            <w:vAlign w:val="bottom"/>
          </w:tcPr>
          <w:p>
            <w:pPr>
              <w:jc w:val="right"/>
              <w:ind w:right="12"/>
              <w:spacing w:after="0"/>
              <w:rPr>
                <w:sz w:val="20"/>
                <w:szCs w:val="20"/>
                <w:color w:val="auto"/>
              </w:rPr>
            </w:pPr>
            <w:r>
              <w:rPr>
                <w:rFonts w:ascii="Arial" w:cs="Arial" w:eastAsia="Arial" w:hAnsi="Arial"/>
                <w:sz w:val="18"/>
                <w:szCs w:val="18"/>
                <w:color w:val="auto"/>
              </w:rPr>
              <w:t>16,298</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18,117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180" w:type="dxa"/>
            <w:vAlign w:val="bottom"/>
            <w:shd w:val="clear" w:color="auto" w:fill="CCEEFF"/>
          </w:tcPr>
          <w:p>
            <w:pPr>
              <w:spacing w:after="0"/>
              <w:rPr>
                <w:sz w:val="18"/>
                <w:szCs w:val="18"/>
                <w:color w:val="auto"/>
              </w:rPr>
            </w:pPr>
          </w:p>
        </w:tc>
        <w:tc>
          <w:tcPr>
            <w:tcW w:w="16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315,756</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388,212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60" w:type="dxa"/>
            <w:vAlign w:val="bottom"/>
          </w:tcPr>
          <w:p>
            <w:pPr>
              <w:spacing w:after="0"/>
              <w:rPr>
                <w:sz w:val="20"/>
                <w:szCs w:val="20"/>
                <w:color w:val="auto"/>
              </w:rPr>
            </w:pPr>
            <w:r>
              <w:rPr>
                <w:rFonts w:ascii="Arial" w:cs="Arial" w:eastAsia="Arial" w:hAnsi="Arial"/>
                <w:sz w:val="18"/>
                <w:szCs w:val="18"/>
                <w:color w:val="auto"/>
              </w:rPr>
              <w:t>Goodwill</w:t>
            </w:r>
          </w:p>
        </w:tc>
        <w:tc>
          <w:tcPr>
            <w:tcW w:w="18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1,236,583</w:t>
            </w:r>
          </w:p>
        </w:tc>
        <w:tc>
          <w:tcPr>
            <w:tcW w:w="2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1,305,599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assets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2,779,288</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2,854,621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60" w:type="dxa"/>
            <w:vAlign w:val="bottom"/>
            <w:vMerge w:val="restart"/>
          </w:tcPr>
          <w:p>
            <w:pPr>
              <w:ind w:left="420"/>
              <w:spacing w:after="0"/>
              <w:rPr>
                <w:sz w:val="20"/>
                <w:szCs w:val="20"/>
                <w:color w:val="auto"/>
              </w:rPr>
            </w:pPr>
            <w:r>
              <w:rPr>
                <w:rFonts w:ascii="Arial" w:cs="Arial" w:eastAsia="Arial" w:hAnsi="Arial"/>
                <w:sz w:val="18"/>
                <w:szCs w:val="18"/>
                <w:b w:val="1"/>
                <w:bCs w:val="1"/>
                <w:color w:val="auto"/>
              </w:rPr>
              <w:t>LIABILITIES AND SHAREHOLDERS’ EQUITY</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20" w:type="dxa"/>
            <w:vAlign w:val="bottom"/>
          </w:tcPr>
          <w:p>
            <w:pPr>
              <w:spacing w:after="0"/>
              <w:rPr>
                <w:sz w:val="24"/>
                <w:szCs w:val="24"/>
                <w:color w:val="auto"/>
              </w:rPr>
            </w:pPr>
          </w:p>
        </w:tc>
        <w:tc>
          <w:tcPr>
            <w:tcW w:w="746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8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ind w:left="420"/>
              <w:spacing w:after="0"/>
              <w:rPr>
                <w:sz w:val="20"/>
                <w:szCs w:val="20"/>
                <w:color w:val="auto"/>
              </w:rPr>
            </w:pPr>
            <w:r>
              <w:rPr>
                <w:rFonts w:ascii="Arial" w:cs="Arial" w:eastAsia="Arial" w:hAnsi="Arial"/>
                <w:sz w:val="18"/>
                <w:szCs w:val="18"/>
                <w:color w:val="auto"/>
              </w:rPr>
              <w:t>Accounts payable</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660" w:type="dxa"/>
            <w:vAlign w:val="bottom"/>
          </w:tcPr>
          <w:p>
            <w:pPr>
              <w:jc w:val="right"/>
              <w:ind w:right="12"/>
              <w:spacing w:after="0"/>
              <w:rPr>
                <w:sz w:val="20"/>
                <w:szCs w:val="20"/>
                <w:color w:val="auto"/>
              </w:rPr>
            </w:pPr>
            <w:r>
              <w:rPr>
                <w:rFonts w:ascii="Arial" w:cs="Arial" w:eastAsia="Arial" w:hAnsi="Arial"/>
                <w:sz w:val="18"/>
                <w:szCs w:val="18"/>
                <w:color w:val="auto"/>
              </w:rPr>
              <w:t>238,095</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219,255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current liabilities</w:t>
            </w:r>
          </w:p>
        </w:tc>
        <w:tc>
          <w:tcPr>
            <w:tcW w:w="180" w:type="dxa"/>
            <w:vAlign w:val="bottom"/>
            <w:shd w:val="clear" w:color="auto" w:fill="CCEEFF"/>
          </w:tcPr>
          <w:p>
            <w:pPr>
              <w:spacing w:after="0"/>
              <w:rPr>
                <w:sz w:val="18"/>
                <w:szCs w:val="18"/>
                <w:color w:val="auto"/>
              </w:rPr>
            </w:pPr>
          </w:p>
        </w:tc>
        <w:tc>
          <w:tcPr>
            <w:tcW w:w="16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59,806</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64,583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ind w:left="420"/>
              <w:spacing w:after="0"/>
              <w:rPr>
                <w:sz w:val="20"/>
                <w:szCs w:val="20"/>
                <w:color w:val="auto"/>
              </w:rPr>
            </w:pPr>
            <w:r>
              <w:rPr>
                <w:rFonts w:ascii="Arial" w:cs="Arial" w:eastAsia="Arial" w:hAnsi="Arial"/>
                <w:sz w:val="18"/>
                <w:szCs w:val="18"/>
                <w:color w:val="auto"/>
              </w:rPr>
              <w:t>Wages and benefits payable</w:t>
            </w:r>
          </w:p>
        </w:tc>
        <w:tc>
          <w:tcPr>
            <w:tcW w:w="180" w:type="dxa"/>
            <w:vAlign w:val="bottom"/>
          </w:tcPr>
          <w:p>
            <w:pPr>
              <w:spacing w:after="0"/>
              <w:rPr>
                <w:sz w:val="18"/>
                <w:szCs w:val="18"/>
                <w:color w:val="auto"/>
              </w:rPr>
            </w:pPr>
          </w:p>
        </w:tc>
        <w:tc>
          <w:tcPr>
            <w:tcW w:w="1660" w:type="dxa"/>
            <w:vAlign w:val="bottom"/>
          </w:tcPr>
          <w:p>
            <w:pPr>
              <w:jc w:val="right"/>
              <w:ind w:right="12"/>
              <w:spacing w:after="0"/>
              <w:rPr>
                <w:sz w:val="20"/>
                <w:szCs w:val="20"/>
                <w:color w:val="auto"/>
              </w:rPr>
            </w:pPr>
            <w:r>
              <w:rPr>
                <w:rFonts w:ascii="Arial" w:cs="Arial" w:eastAsia="Arial" w:hAnsi="Arial"/>
                <w:sz w:val="18"/>
                <w:szCs w:val="18"/>
                <w:color w:val="auto"/>
              </w:rPr>
              <w:t>96,713</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71,592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Taxes payable</w:t>
            </w:r>
          </w:p>
        </w:tc>
        <w:tc>
          <w:tcPr>
            <w:tcW w:w="180" w:type="dxa"/>
            <w:vAlign w:val="bottom"/>
            <w:shd w:val="clear" w:color="auto" w:fill="CCEEFF"/>
          </w:tcPr>
          <w:p>
            <w:pPr>
              <w:spacing w:after="0"/>
              <w:rPr>
                <w:sz w:val="18"/>
                <w:szCs w:val="18"/>
                <w:color w:val="auto"/>
              </w:rPr>
            </w:pPr>
          </w:p>
        </w:tc>
        <w:tc>
          <w:tcPr>
            <w:tcW w:w="16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22,879</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14,377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ind w:left="420"/>
              <w:spacing w:after="0"/>
              <w:rPr>
                <w:sz w:val="20"/>
                <w:szCs w:val="20"/>
                <w:color w:val="auto"/>
              </w:rPr>
            </w:pPr>
            <w:r>
              <w:rPr>
                <w:rFonts w:ascii="Arial" w:cs="Arial" w:eastAsia="Arial" w:hAnsi="Arial"/>
                <w:sz w:val="18"/>
                <w:szCs w:val="18"/>
                <w:color w:val="auto"/>
              </w:rPr>
              <w:t>Current portion of debt</w:t>
            </w:r>
          </w:p>
        </w:tc>
        <w:tc>
          <w:tcPr>
            <w:tcW w:w="180" w:type="dxa"/>
            <w:vAlign w:val="bottom"/>
          </w:tcPr>
          <w:p>
            <w:pPr>
              <w:spacing w:after="0"/>
              <w:rPr>
                <w:sz w:val="18"/>
                <w:szCs w:val="18"/>
                <w:color w:val="auto"/>
              </w:rPr>
            </w:pPr>
          </w:p>
        </w:tc>
        <w:tc>
          <w:tcPr>
            <w:tcW w:w="1660" w:type="dxa"/>
            <w:vAlign w:val="bottom"/>
          </w:tcPr>
          <w:p>
            <w:pPr>
              <w:jc w:val="right"/>
              <w:ind w:right="12"/>
              <w:spacing w:after="0"/>
              <w:rPr>
                <w:sz w:val="20"/>
                <w:szCs w:val="20"/>
                <w:color w:val="auto"/>
              </w:rPr>
            </w:pPr>
            <w:r>
              <w:rPr>
                <w:rFonts w:ascii="Arial" w:cs="Arial" w:eastAsia="Arial" w:hAnsi="Arial"/>
                <w:sz w:val="18"/>
                <w:szCs w:val="18"/>
                <w:color w:val="auto"/>
              </w:rPr>
              <w:t>226,246</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10,871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Current portion of warranty</w:t>
            </w:r>
          </w:p>
        </w:tc>
        <w:tc>
          <w:tcPr>
            <w:tcW w:w="180" w:type="dxa"/>
            <w:vAlign w:val="bottom"/>
            <w:shd w:val="clear" w:color="auto" w:fill="CCEEFF"/>
          </w:tcPr>
          <w:p>
            <w:pPr>
              <w:spacing w:after="0"/>
              <w:rPr>
                <w:sz w:val="18"/>
                <w:szCs w:val="18"/>
                <w:color w:val="auto"/>
              </w:rPr>
            </w:pPr>
          </w:p>
        </w:tc>
        <w:tc>
          <w:tcPr>
            <w:tcW w:w="16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28,232</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20,941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ind w:left="420"/>
              <w:spacing w:after="0"/>
              <w:rPr>
                <w:sz w:val="20"/>
                <w:szCs w:val="20"/>
                <w:color w:val="auto"/>
              </w:rPr>
            </w:pPr>
            <w:r>
              <w:rPr>
                <w:rFonts w:ascii="Arial" w:cs="Arial" w:eastAsia="Arial" w:hAnsi="Arial"/>
                <w:sz w:val="18"/>
                <w:szCs w:val="18"/>
                <w:color w:val="auto"/>
              </w:rPr>
              <w:t>Unearned revenue</w:t>
            </w:r>
          </w:p>
        </w:tc>
        <w:tc>
          <w:tcPr>
            <w:tcW w:w="180" w:type="dxa"/>
            <w:vAlign w:val="bottom"/>
          </w:tcPr>
          <w:p>
            <w:pPr>
              <w:spacing w:after="0"/>
              <w:rPr>
                <w:sz w:val="18"/>
                <w:szCs w:val="18"/>
                <w:color w:val="auto"/>
              </w:rPr>
            </w:pPr>
          </w:p>
        </w:tc>
        <w:tc>
          <w:tcPr>
            <w:tcW w:w="1660" w:type="dxa"/>
            <w:vAlign w:val="bottom"/>
          </w:tcPr>
          <w:p>
            <w:pPr>
              <w:jc w:val="right"/>
              <w:ind w:right="12"/>
              <w:spacing w:after="0"/>
              <w:rPr>
                <w:sz w:val="20"/>
                <w:szCs w:val="20"/>
                <w:color w:val="auto"/>
              </w:rPr>
            </w:pPr>
            <w:r>
              <w:rPr>
                <w:rFonts w:ascii="Arial" w:cs="Arial" w:eastAsia="Arial" w:hAnsi="Arial"/>
                <w:sz w:val="18"/>
                <w:szCs w:val="18"/>
                <w:color w:val="auto"/>
              </w:rPr>
              <w:t>30,749</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40,140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tax liabilities current, net</w:t>
            </w:r>
          </w:p>
        </w:tc>
        <w:tc>
          <w:tcPr>
            <w:tcW w:w="18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1,669</w:t>
            </w:r>
          </w:p>
        </w:tc>
        <w:tc>
          <w:tcPr>
            <w:tcW w:w="2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460" w:type="dxa"/>
            <w:vAlign w:val="bottom"/>
          </w:tcPr>
          <w:p>
            <w:pPr>
              <w:ind w:left="860"/>
              <w:spacing w:after="0"/>
              <w:rPr>
                <w:sz w:val="20"/>
                <w:szCs w:val="20"/>
                <w:color w:val="auto"/>
              </w:rPr>
            </w:pPr>
            <w:r>
              <w:rPr>
                <w:rFonts w:ascii="Arial" w:cs="Arial" w:eastAsia="Arial" w:hAnsi="Arial"/>
                <w:sz w:val="18"/>
                <w:szCs w:val="18"/>
                <w:color w:val="auto"/>
              </w:rPr>
              <w:t>Total current liabilities</w:t>
            </w:r>
          </w:p>
        </w:tc>
        <w:tc>
          <w:tcPr>
            <w:tcW w:w="180" w:type="dxa"/>
            <w:vAlign w:val="bottom"/>
          </w:tcPr>
          <w:p>
            <w:pPr>
              <w:spacing w:after="0"/>
              <w:rPr>
                <w:sz w:val="19"/>
                <w:szCs w:val="19"/>
                <w:color w:val="auto"/>
              </w:rPr>
            </w:pPr>
          </w:p>
        </w:tc>
        <w:tc>
          <w:tcPr>
            <w:tcW w:w="1660" w:type="dxa"/>
            <w:vAlign w:val="bottom"/>
          </w:tcPr>
          <w:p>
            <w:pPr>
              <w:jc w:val="right"/>
              <w:ind w:right="12"/>
              <w:spacing w:after="0"/>
              <w:rPr>
                <w:sz w:val="20"/>
                <w:szCs w:val="20"/>
                <w:color w:val="auto"/>
              </w:rPr>
            </w:pPr>
            <w:r>
              <w:rPr>
                <w:rFonts w:ascii="Arial" w:cs="Arial" w:eastAsia="Arial" w:hAnsi="Arial"/>
                <w:sz w:val="18"/>
                <w:szCs w:val="18"/>
                <w:color w:val="auto"/>
              </w:rPr>
              <w:t>704,389</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443,384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74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6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Long-term debt</w:t>
            </w:r>
          </w:p>
        </w:tc>
        <w:tc>
          <w:tcPr>
            <w:tcW w:w="180" w:type="dxa"/>
            <w:vAlign w:val="bottom"/>
            <w:shd w:val="clear" w:color="auto" w:fill="CCEEFF"/>
          </w:tcPr>
          <w:p>
            <w:pPr>
              <w:spacing w:after="0"/>
              <w:rPr>
                <w:sz w:val="18"/>
                <w:szCs w:val="18"/>
                <w:color w:val="auto"/>
              </w:rPr>
            </w:pPr>
          </w:p>
        </w:tc>
        <w:tc>
          <w:tcPr>
            <w:tcW w:w="16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436,704</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770,893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spacing w:after="0"/>
              <w:rPr>
                <w:sz w:val="20"/>
                <w:szCs w:val="20"/>
                <w:color w:val="auto"/>
              </w:rPr>
            </w:pPr>
            <w:r>
              <w:rPr>
                <w:rFonts w:ascii="Arial" w:cs="Arial" w:eastAsia="Arial" w:hAnsi="Arial"/>
                <w:sz w:val="18"/>
                <w:szCs w:val="18"/>
                <w:color w:val="auto"/>
              </w:rPr>
              <w:t>Long-term warranty</w:t>
            </w:r>
          </w:p>
        </w:tc>
        <w:tc>
          <w:tcPr>
            <w:tcW w:w="180" w:type="dxa"/>
            <w:vAlign w:val="bottom"/>
          </w:tcPr>
          <w:p>
            <w:pPr>
              <w:spacing w:after="0"/>
              <w:rPr>
                <w:sz w:val="18"/>
                <w:szCs w:val="18"/>
                <w:color w:val="auto"/>
              </w:rPr>
            </w:pPr>
          </w:p>
        </w:tc>
        <w:tc>
          <w:tcPr>
            <w:tcW w:w="1660" w:type="dxa"/>
            <w:vAlign w:val="bottom"/>
          </w:tcPr>
          <w:p>
            <w:pPr>
              <w:jc w:val="right"/>
              <w:ind w:right="12"/>
              <w:spacing w:after="0"/>
              <w:rPr>
                <w:sz w:val="20"/>
                <w:szCs w:val="20"/>
                <w:color w:val="auto"/>
              </w:rPr>
            </w:pPr>
            <w:r>
              <w:rPr>
                <w:rFonts w:ascii="Arial" w:cs="Arial" w:eastAsia="Arial" w:hAnsi="Arial"/>
                <w:sz w:val="18"/>
                <w:szCs w:val="18"/>
                <w:color w:val="auto"/>
              </w:rPr>
              <w:t>24,993</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12,932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Pension plan benefits</w:t>
            </w:r>
          </w:p>
        </w:tc>
        <w:tc>
          <w:tcPr>
            <w:tcW w:w="180" w:type="dxa"/>
            <w:vAlign w:val="bottom"/>
            <w:shd w:val="clear" w:color="auto" w:fill="CCEEFF"/>
          </w:tcPr>
          <w:p>
            <w:pPr>
              <w:spacing w:after="0"/>
              <w:rPr>
                <w:sz w:val="18"/>
                <w:szCs w:val="18"/>
                <w:color w:val="auto"/>
              </w:rPr>
            </w:pPr>
          </w:p>
        </w:tc>
        <w:tc>
          <w:tcPr>
            <w:tcW w:w="16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60,013</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63,040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spacing w:after="0"/>
              <w:rPr>
                <w:sz w:val="20"/>
                <w:szCs w:val="20"/>
                <w:color w:val="auto"/>
              </w:rPr>
            </w:pPr>
            <w:r>
              <w:rPr>
                <w:rFonts w:ascii="Arial" w:cs="Arial" w:eastAsia="Arial" w:hAnsi="Arial"/>
                <w:sz w:val="18"/>
                <w:szCs w:val="18"/>
                <w:color w:val="auto"/>
              </w:rPr>
              <w:t>Deferred tax liabilities noncurrent, net</w:t>
            </w:r>
          </w:p>
        </w:tc>
        <w:tc>
          <w:tcPr>
            <w:tcW w:w="180" w:type="dxa"/>
            <w:vAlign w:val="bottom"/>
          </w:tcPr>
          <w:p>
            <w:pPr>
              <w:spacing w:after="0"/>
              <w:rPr>
                <w:sz w:val="18"/>
                <w:szCs w:val="18"/>
                <w:color w:val="auto"/>
              </w:rPr>
            </w:pPr>
          </w:p>
        </w:tc>
        <w:tc>
          <w:tcPr>
            <w:tcW w:w="1660" w:type="dxa"/>
            <w:vAlign w:val="bottom"/>
          </w:tcPr>
          <w:p>
            <w:pPr>
              <w:jc w:val="right"/>
              <w:ind w:right="12"/>
              <w:spacing w:after="0"/>
              <w:rPr>
                <w:sz w:val="20"/>
                <w:szCs w:val="20"/>
                <w:color w:val="auto"/>
              </w:rPr>
            </w:pPr>
            <w:r>
              <w:rPr>
                <w:rFonts w:ascii="Arial" w:cs="Arial" w:eastAsia="Arial" w:hAnsi="Arial"/>
                <w:sz w:val="18"/>
                <w:szCs w:val="18"/>
                <w:color w:val="auto"/>
              </w:rPr>
              <w:t>52,128</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80,695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obligations</w:t>
            </w:r>
          </w:p>
        </w:tc>
        <w:tc>
          <w:tcPr>
            <w:tcW w:w="18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68,417</w:t>
            </w:r>
          </w:p>
        </w:tc>
        <w:tc>
          <w:tcPr>
            <w:tcW w:w="2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83,163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460" w:type="dxa"/>
            <w:vAlign w:val="bottom"/>
          </w:tcPr>
          <w:p>
            <w:pPr>
              <w:ind w:left="860"/>
              <w:spacing w:after="0"/>
              <w:rPr>
                <w:sz w:val="20"/>
                <w:szCs w:val="20"/>
                <w:color w:val="auto"/>
              </w:rPr>
            </w:pPr>
            <w:r>
              <w:rPr>
                <w:rFonts w:ascii="Arial" w:cs="Arial" w:eastAsia="Arial" w:hAnsi="Arial"/>
                <w:sz w:val="18"/>
                <w:szCs w:val="18"/>
                <w:color w:val="auto"/>
              </w:rPr>
              <w:t>Total liabilities</w:t>
            </w:r>
          </w:p>
        </w:tc>
        <w:tc>
          <w:tcPr>
            <w:tcW w:w="180" w:type="dxa"/>
            <w:vAlign w:val="bottom"/>
          </w:tcPr>
          <w:p>
            <w:pPr>
              <w:spacing w:after="0"/>
              <w:rPr>
                <w:sz w:val="19"/>
                <w:szCs w:val="19"/>
                <w:color w:val="auto"/>
              </w:rPr>
            </w:pPr>
          </w:p>
        </w:tc>
        <w:tc>
          <w:tcPr>
            <w:tcW w:w="1660" w:type="dxa"/>
            <w:vAlign w:val="bottom"/>
          </w:tcPr>
          <w:p>
            <w:pPr>
              <w:jc w:val="right"/>
              <w:ind w:right="12"/>
              <w:spacing w:after="0"/>
              <w:rPr>
                <w:sz w:val="20"/>
                <w:szCs w:val="20"/>
                <w:color w:val="auto"/>
              </w:rPr>
            </w:pPr>
            <w:r>
              <w:rPr>
                <w:rFonts w:ascii="Arial" w:cs="Arial" w:eastAsia="Arial" w:hAnsi="Arial"/>
                <w:sz w:val="18"/>
                <w:szCs w:val="18"/>
                <w:color w:val="auto"/>
              </w:rPr>
              <w:t>1,346,644</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1,454,107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74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6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18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7480" w:type="dxa"/>
            <w:vAlign w:val="bottom"/>
            <w:gridSpan w:val="2"/>
          </w:tcPr>
          <w:p>
            <w:pPr>
              <w:spacing w:after="0"/>
              <w:rPr>
                <w:sz w:val="20"/>
                <w:szCs w:val="20"/>
                <w:color w:val="auto"/>
              </w:rPr>
            </w:pPr>
            <w:r>
              <w:rPr>
                <w:rFonts w:ascii="Arial" w:cs="Arial" w:eastAsia="Arial" w:hAnsi="Arial"/>
                <w:sz w:val="18"/>
                <w:szCs w:val="18"/>
                <w:color w:val="auto"/>
              </w:rPr>
              <w:t>Shareholders’ equity</w:t>
            </w:r>
          </w:p>
        </w:tc>
        <w:tc>
          <w:tcPr>
            <w:tcW w:w="1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Preferred stock</w:t>
            </w:r>
          </w:p>
        </w:tc>
        <w:tc>
          <w:tcPr>
            <w:tcW w:w="180" w:type="dxa"/>
            <w:vAlign w:val="bottom"/>
            <w:shd w:val="clear" w:color="auto" w:fill="CCEEFF"/>
          </w:tcPr>
          <w:p>
            <w:pPr>
              <w:spacing w:after="0"/>
              <w:rPr>
                <w:sz w:val="18"/>
                <w:szCs w:val="18"/>
                <w:color w:val="auto"/>
              </w:rPr>
            </w:pPr>
          </w:p>
        </w:tc>
        <w:tc>
          <w:tcPr>
            <w:tcW w:w="16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0</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ind w:left="420"/>
              <w:spacing w:after="0"/>
              <w:rPr>
                <w:sz w:val="20"/>
                <w:szCs w:val="20"/>
                <w:color w:val="auto"/>
              </w:rPr>
            </w:pPr>
            <w:r>
              <w:rPr>
                <w:rFonts w:ascii="Arial" w:cs="Arial" w:eastAsia="Arial" w:hAnsi="Arial"/>
                <w:sz w:val="18"/>
                <w:szCs w:val="18"/>
                <w:color w:val="auto"/>
              </w:rPr>
              <w:t>Common stock</w:t>
            </w:r>
          </w:p>
        </w:tc>
        <w:tc>
          <w:tcPr>
            <w:tcW w:w="180" w:type="dxa"/>
            <w:vAlign w:val="bottom"/>
          </w:tcPr>
          <w:p>
            <w:pPr>
              <w:spacing w:after="0"/>
              <w:rPr>
                <w:sz w:val="18"/>
                <w:szCs w:val="18"/>
                <w:color w:val="auto"/>
              </w:rPr>
            </w:pPr>
          </w:p>
        </w:tc>
        <w:tc>
          <w:tcPr>
            <w:tcW w:w="1660" w:type="dxa"/>
            <w:vAlign w:val="bottom"/>
          </w:tcPr>
          <w:p>
            <w:pPr>
              <w:jc w:val="right"/>
              <w:ind w:right="12"/>
              <w:spacing w:after="0"/>
              <w:rPr>
                <w:sz w:val="20"/>
                <w:szCs w:val="20"/>
                <w:color w:val="auto"/>
              </w:rPr>
            </w:pPr>
            <w:r>
              <w:rPr>
                <w:rFonts w:ascii="Arial" w:cs="Arial" w:eastAsia="Arial" w:hAnsi="Arial"/>
                <w:sz w:val="18"/>
                <w:szCs w:val="18"/>
                <w:color w:val="auto"/>
              </w:rPr>
              <w:t>1,321,287</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1,299,134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Accumulated other comprehensive income (loss), net</w:t>
            </w:r>
          </w:p>
        </w:tc>
        <w:tc>
          <w:tcPr>
            <w:tcW w:w="18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(1,688)</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71,130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60" w:type="dxa"/>
            <w:vAlign w:val="bottom"/>
          </w:tcPr>
          <w:p>
            <w:pPr>
              <w:ind w:left="420"/>
              <w:spacing w:after="0"/>
              <w:rPr>
                <w:sz w:val="20"/>
                <w:szCs w:val="20"/>
                <w:color w:val="auto"/>
              </w:rPr>
            </w:pPr>
            <w:r>
              <w:rPr>
                <w:rFonts w:ascii="Arial" w:cs="Arial" w:eastAsia="Arial" w:hAnsi="Arial"/>
                <w:sz w:val="18"/>
                <w:szCs w:val="18"/>
                <w:color w:val="auto"/>
              </w:rPr>
              <w:t>Retained earnings</w:t>
            </w:r>
          </w:p>
        </w:tc>
        <w:tc>
          <w:tcPr>
            <w:tcW w:w="18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113,045</w:t>
            </w:r>
          </w:p>
        </w:tc>
        <w:tc>
          <w:tcPr>
            <w:tcW w:w="2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30,250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shareholders’ equity</w:t>
            </w:r>
          </w:p>
        </w:tc>
        <w:tc>
          <w:tcPr>
            <w:tcW w:w="18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1,432,644</w:t>
            </w:r>
          </w:p>
        </w:tc>
        <w:tc>
          <w:tcPr>
            <w:tcW w:w="2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1,400,514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60" w:type="dxa"/>
            <w:vAlign w:val="bottom"/>
          </w:tcPr>
          <w:p>
            <w:pPr>
              <w:ind w:left="860"/>
              <w:spacing w:after="0"/>
              <w:rPr>
                <w:sz w:val="20"/>
                <w:szCs w:val="20"/>
                <w:color w:val="auto"/>
              </w:rPr>
            </w:pPr>
            <w:r>
              <w:rPr>
                <w:rFonts w:ascii="Arial" w:cs="Arial" w:eastAsia="Arial" w:hAnsi="Arial"/>
                <w:sz w:val="18"/>
                <w:szCs w:val="18"/>
                <w:color w:val="auto"/>
              </w:rPr>
              <w:t>Total liabilities and shareholders’ equity</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660" w:type="dxa"/>
            <w:vAlign w:val="bottom"/>
          </w:tcPr>
          <w:p>
            <w:pPr>
              <w:jc w:val="right"/>
              <w:ind w:right="12"/>
              <w:spacing w:after="0"/>
              <w:rPr>
                <w:sz w:val="20"/>
                <w:szCs w:val="20"/>
                <w:color w:val="auto"/>
              </w:rPr>
            </w:pPr>
            <w:r>
              <w:rPr>
                <w:rFonts w:ascii="Arial" w:cs="Arial" w:eastAsia="Arial" w:hAnsi="Arial"/>
                <w:sz w:val="18"/>
                <w:szCs w:val="18"/>
                <w:color w:val="auto"/>
              </w:rPr>
              <w:t>2,779,288</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2,854,621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ITRON,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0" w:type="dxa"/>
            <w:vAlign w:val="bottom"/>
          </w:tcPr>
          <w:p>
            <w:pPr>
              <w:spacing w:after="0"/>
              <w:rPr>
                <w:sz w:val="19"/>
                <w:szCs w:val="19"/>
                <w:color w:val="auto"/>
              </w:rPr>
            </w:pPr>
          </w:p>
        </w:tc>
        <w:tc>
          <w:tcPr>
            <w:tcW w:w="8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960" w:type="dxa"/>
            <w:vAlign w:val="bottom"/>
            <w:gridSpan w:val="5"/>
          </w:tcPr>
          <w:p>
            <w:pPr>
              <w:ind w:left="20"/>
              <w:spacing w:after="0"/>
              <w:rPr>
                <w:sz w:val="20"/>
                <w:szCs w:val="20"/>
                <w:color w:val="auto"/>
              </w:rPr>
            </w:pPr>
            <w:r>
              <w:rPr>
                <w:rFonts w:ascii="Arial" w:cs="Arial" w:eastAsia="Arial" w:hAnsi="Arial"/>
                <w:sz w:val="18"/>
                <w:szCs w:val="18"/>
                <w:b w:val="1"/>
                <w:bCs w:val="1"/>
                <w:color w:val="auto"/>
                <w:w w:val="98"/>
              </w:rPr>
              <w:t>Nine Months Ended September 30,</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824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412"/>
              <w:spacing w:after="0"/>
              <w:rPr>
                <w:sz w:val="20"/>
                <w:szCs w:val="20"/>
                <w:color w:val="auto"/>
              </w:rPr>
            </w:pPr>
            <w:r>
              <w:rPr>
                <w:rFonts w:ascii="Arial" w:cs="Arial" w:eastAsia="Arial" w:hAnsi="Arial"/>
                <w:sz w:val="18"/>
                <w:szCs w:val="18"/>
                <w:b w:val="1"/>
                <w:bCs w:val="1"/>
                <w:color w:val="auto"/>
              </w:rPr>
              <w:t>2010</w:t>
            </w:r>
          </w:p>
        </w:tc>
        <w:tc>
          <w:tcPr>
            <w:tcW w:w="320" w:type="dxa"/>
            <w:vAlign w:val="bottom"/>
            <w:tcBorders>
              <w:top w:val="single" w:sz="8" w:color="auto"/>
            </w:tcBorders>
          </w:tcPr>
          <w:p>
            <w:pPr>
              <w:spacing w:after="0"/>
              <w:rPr>
                <w:sz w:val="18"/>
                <w:szCs w:val="18"/>
                <w:color w:val="auto"/>
              </w:rPr>
            </w:pPr>
          </w:p>
        </w:tc>
        <w:tc>
          <w:tcPr>
            <w:tcW w:w="46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432"/>
              <w:spacing w:after="0"/>
              <w:rPr>
                <w:sz w:val="20"/>
                <w:szCs w:val="20"/>
                <w:color w:val="auto"/>
              </w:rPr>
            </w:pPr>
            <w:r>
              <w:rPr>
                <w:rFonts w:ascii="Arial" w:cs="Arial" w:eastAsia="Arial" w:hAnsi="Arial"/>
                <w:sz w:val="18"/>
                <w:szCs w:val="18"/>
                <w:b w:val="1"/>
                <w:bCs w:val="1"/>
                <w:color w:val="auto"/>
                <w:w w:val="94"/>
              </w:rPr>
              <w:t>2009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ind w:right="72"/>
              <w:spacing w:after="0"/>
              <w:rPr>
                <w:sz w:val="20"/>
                <w:szCs w:val="20"/>
                <w:color w:val="auto"/>
              </w:rPr>
            </w:pPr>
            <w:r>
              <w:rPr>
                <w:rFonts w:ascii="Arial" w:cs="Arial" w:eastAsia="Arial" w:hAnsi="Arial"/>
                <w:sz w:val="18"/>
                <w:szCs w:val="18"/>
                <w:b w:val="1"/>
                <w:bCs w:val="1"/>
                <w:color w:val="auto"/>
              </w:rPr>
              <w:t>(in</w:t>
            </w:r>
          </w:p>
        </w:tc>
        <w:tc>
          <w:tcPr>
            <w:tcW w:w="78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w w:val="70"/>
              </w:rPr>
              <w:t>thousands)</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Operating activities</w:t>
            </w: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Pr>
          <w:p>
            <w:pPr>
              <w:ind w:left="420"/>
              <w:spacing w:after="0"/>
              <w:rPr>
                <w:sz w:val="20"/>
                <w:szCs w:val="20"/>
                <w:color w:val="auto"/>
              </w:rPr>
            </w:pPr>
            <w:r>
              <w:rPr>
                <w:rFonts w:ascii="Arial" w:cs="Arial" w:eastAsia="Arial" w:hAnsi="Arial"/>
                <w:sz w:val="18"/>
                <w:szCs w:val="18"/>
                <w:color w:val="auto"/>
              </w:rPr>
              <w:t>Net income (loss)</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82,795</w:t>
            </w: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(7,402)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Adjustments to reconcile net income (loss) to net cash provided by operating activities:</w:t>
            </w: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Pr>
          <w:p>
            <w:pPr>
              <w:ind w:left="860"/>
              <w:spacing w:after="0"/>
              <w:rPr>
                <w:sz w:val="20"/>
                <w:szCs w:val="20"/>
                <w:color w:val="auto"/>
              </w:rPr>
            </w:pPr>
            <w:r>
              <w:rPr>
                <w:rFonts w:ascii="Arial" w:cs="Arial" w:eastAsia="Arial" w:hAnsi="Arial"/>
                <w:sz w:val="18"/>
                <w:szCs w:val="18"/>
                <w:color w:val="auto"/>
              </w:rPr>
              <w:t>Depreciation and amortization</w:t>
            </w:r>
          </w:p>
        </w:tc>
        <w:tc>
          <w:tcPr>
            <w:tcW w:w="200" w:type="dxa"/>
            <w:vAlign w:val="bottom"/>
          </w:tcPr>
          <w:p>
            <w:pPr>
              <w:spacing w:after="0"/>
              <w:rPr>
                <w:sz w:val="18"/>
                <w:szCs w:val="18"/>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97,184</w:t>
            </w:r>
          </w:p>
        </w:tc>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113,812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Stock-based compensation</w:t>
            </w: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14,222</w:t>
            </w:r>
          </w:p>
        </w:tc>
        <w:tc>
          <w:tcPr>
            <w:tcW w:w="3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13,467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Pr>
          <w:p>
            <w:pPr>
              <w:ind w:left="860"/>
              <w:spacing w:after="0"/>
              <w:rPr>
                <w:sz w:val="20"/>
                <w:szCs w:val="20"/>
                <w:color w:val="auto"/>
              </w:rPr>
            </w:pPr>
            <w:r>
              <w:rPr>
                <w:rFonts w:ascii="Arial" w:cs="Arial" w:eastAsia="Arial" w:hAnsi="Arial"/>
                <w:sz w:val="18"/>
                <w:szCs w:val="18"/>
                <w:color w:val="auto"/>
              </w:rPr>
              <w:t>Amortization of prepaid debt fees</w:t>
            </w:r>
          </w:p>
        </w:tc>
        <w:tc>
          <w:tcPr>
            <w:tcW w:w="200" w:type="dxa"/>
            <w:vAlign w:val="bottom"/>
          </w:tcPr>
          <w:p>
            <w:pPr>
              <w:spacing w:after="0"/>
              <w:rPr>
                <w:sz w:val="18"/>
                <w:szCs w:val="18"/>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4,219</w:t>
            </w:r>
          </w:p>
        </w:tc>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6,384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Amortization of convertible debt discount</w:t>
            </w: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7,505</w:t>
            </w:r>
          </w:p>
        </w:tc>
        <w:tc>
          <w:tcPr>
            <w:tcW w:w="3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7,262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Pr>
          <w:p>
            <w:pPr>
              <w:ind w:left="860"/>
              <w:spacing w:after="0"/>
              <w:rPr>
                <w:sz w:val="20"/>
                <w:szCs w:val="20"/>
                <w:color w:val="auto"/>
              </w:rPr>
            </w:pPr>
            <w:r>
              <w:rPr>
                <w:rFonts w:ascii="Arial" w:cs="Arial" w:eastAsia="Arial" w:hAnsi="Arial"/>
                <w:sz w:val="18"/>
                <w:szCs w:val="18"/>
                <w:color w:val="auto"/>
              </w:rPr>
              <w:t>Loss on extinguishment of debt, net</w:t>
            </w:r>
          </w:p>
        </w:tc>
        <w:tc>
          <w:tcPr>
            <w:tcW w:w="200" w:type="dxa"/>
            <w:vAlign w:val="bottom"/>
          </w:tcPr>
          <w:p>
            <w:pPr>
              <w:spacing w:after="0"/>
              <w:rPr>
                <w:sz w:val="18"/>
                <w:szCs w:val="18"/>
                <w:color w:val="auto"/>
              </w:rPr>
            </w:pPr>
          </w:p>
        </w:tc>
        <w:tc>
          <w:tcPr>
            <w:tcW w:w="116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9,960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Deferred taxes, net</w:t>
            </w: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711</w:t>
            </w:r>
          </w:p>
        </w:tc>
        <w:tc>
          <w:tcPr>
            <w:tcW w:w="3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(51,341)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Pr>
          <w:p>
            <w:pPr>
              <w:ind w:left="860"/>
              <w:spacing w:after="0"/>
              <w:rPr>
                <w:sz w:val="20"/>
                <w:szCs w:val="20"/>
                <w:color w:val="auto"/>
              </w:rPr>
            </w:pPr>
            <w:r>
              <w:rPr>
                <w:rFonts w:ascii="Arial" w:cs="Arial" w:eastAsia="Arial" w:hAnsi="Arial"/>
                <w:sz w:val="18"/>
                <w:szCs w:val="18"/>
                <w:color w:val="auto"/>
              </w:rPr>
              <w:t>Other adjustments, net</w:t>
            </w:r>
          </w:p>
        </w:tc>
        <w:tc>
          <w:tcPr>
            <w:tcW w:w="200" w:type="dxa"/>
            <w:vAlign w:val="bottom"/>
          </w:tcPr>
          <w:p>
            <w:pPr>
              <w:spacing w:after="0"/>
              <w:rPr>
                <w:sz w:val="18"/>
                <w:szCs w:val="18"/>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4,008</w:t>
            </w:r>
          </w:p>
        </w:tc>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1,768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Changes in operating assets and liabilities, net of acquisitions:</w:t>
            </w: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Pr>
          <w:p>
            <w:pPr>
              <w:ind w:left="420"/>
              <w:spacing w:after="0"/>
              <w:rPr>
                <w:sz w:val="20"/>
                <w:szCs w:val="20"/>
                <w:color w:val="auto"/>
              </w:rPr>
            </w:pPr>
            <w:r>
              <w:rPr>
                <w:rFonts w:ascii="Arial" w:cs="Arial" w:eastAsia="Arial" w:hAnsi="Arial"/>
                <w:sz w:val="18"/>
                <w:szCs w:val="18"/>
                <w:color w:val="auto"/>
              </w:rPr>
              <w:t>Accounts receivable</w:t>
            </w: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(53,770)</w:t>
            </w:r>
          </w:p>
        </w:tc>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11,608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Inventories</w:t>
            </w: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(57,698)</w:t>
            </w:r>
          </w:p>
        </w:tc>
        <w:tc>
          <w:tcPr>
            <w:tcW w:w="3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Pr>
          <w:p>
            <w:pPr>
              <w:ind w:left="420"/>
              <w:spacing w:after="0"/>
              <w:rPr>
                <w:sz w:val="20"/>
                <w:szCs w:val="20"/>
                <w:color w:val="auto"/>
              </w:rPr>
            </w:pPr>
            <w:r>
              <w:rPr>
                <w:rFonts w:ascii="Arial" w:cs="Arial" w:eastAsia="Arial" w:hAnsi="Arial"/>
                <w:sz w:val="18"/>
                <w:szCs w:val="18"/>
                <w:color w:val="auto"/>
              </w:rPr>
              <w:t>Accounts payables, other current liabilities, and taxes payable</w:t>
            </w:r>
          </w:p>
        </w:tc>
        <w:tc>
          <w:tcPr>
            <w:tcW w:w="200" w:type="dxa"/>
            <w:vAlign w:val="bottom"/>
          </w:tcPr>
          <w:p>
            <w:pPr>
              <w:spacing w:after="0"/>
              <w:rPr>
                <w:sz w:val="18"/>
                <w:szCs w:val="18"/>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38,139</w:t>
            </w:r>
          </w:p>
        </w:tc>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(2,473)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Wages and benefits payable</w:t>
            </w: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26,799</w:t>
            </w:r>
          </w:p>
        </w:tc>
        <w:tc>
          <w:tcPr>
            <w:tcW w:w="3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(10,404)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Pr>
          <w:p>
            <w:pPr>
              <w:ind w:left="420"/>
              <w:spacing w:after="0"/>
              <w:rPr>
                <w:sz w:val="20"/>
                <w:szCs w:val="20"/>
                <w:color w:val="auto"/>
              </w:rPr>
            </w:pPr>
            <w:r>
              <w:rPr>
                <w:rFonts w:ascii="Arial" w:cs="Arial" w:eastAsia="Arial" w:hAnsi="Arial"/>
                <w:sz w:val="18"/>
                <w:szCs w:val="18"/>
                <w:color w:val="auto"/>
              </w:rPr>
              <w:t>Unearned revenue</w:t>
            </w: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(8,564)</w:t>
            </w:r>
          </w:p>
        </w:tc>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9,272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Warranty</w:t>
            </w: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16,087</w:t>
            </w:r>
          </w:p>
        </w:tc>
        <w:tc>
          <w:tcPr>
            <w:tcW w:w="3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(5,735)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240" w:type="dxa"/>
            <w:vAlign w:val="bottom"/>
          </w:tcPr>
          <w:p>
            <w:pPr>
              <w:ind w:left="420"/>
              <w:spacing w:after="0"/>
              <w:rPr>
                <w:sz w:val="20"/>
                <w:szCs w:val="20"/>
                <w:color w:val="auto"/>
              </w:rPr>
            </w:pPr>
            <w:r>
              <w:rPr>
                <w:rFonts w:ascii="Arial" w:cs="Arial" w:eastAsia="Arial" w:hAnsi="Arial"/>
                <w:sz w:val="18"/>
                <w:szCs w:val="18"/>
                <w:color w:val="auto"/>
              </w:rPr>
              <w:t>Other operating, net</w:t>
            </w:r>
          </w:p>
        </w:tc>
        <w:tc>
          <w:tcPr>
            <w:tcW w:w="2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(4,521)</w:t>
            </w:r>
          </w:p>
        </w:tc>
        <w:tc>
          <w:tcPr>
            <w:tcW w:w="32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(4,880)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Net cash provided by operating activities</w:t>
            </w: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167,116</w:t>
            </w:r>
          </w:p>
        </w:tc>
        <w:tc>
          <w:tcPr>
            <w:tcW w:w="3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87,087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8260" w:type="dxa"/>
            <w:vAlign w:val="bottom"/>
            <w:gridSpan w:val="2"/>
          </w:tcPr>
          <w:p>
            <w:pPr>
              <w:spacing w:after="0"/>
              <w:rPr>
                <w:sz w:val="20"/>
                <w:szCs w:val="20"/>
                <w:color w:val="auto"/>
              </w:rPr>
            </w:pPr>
            <w:r>
              <w:rPr>
                <w:rFonts w:ascii="Arial" w:cs="Arial" w:eastAsia="Arial" w:hAnsi="Arial"/>
                <w:sz w:val="18"/>
                <w:szCs w:val="18"/>
                <w:color w:val="auto"/>
              </w:rPr>
              <w:t>Investing activities</w:t>
            </w: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Acquisitions of property, plant, and equipment</w:t>
            </w: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(45,507)</w:t>
            </w:r>
          </w:p>
        </w:tc>
        <w:tc>
          <w:tcPr>
            <w:tcW w:w="3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(38,023)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Pr>
          <w:p>
            <w:pPr>
              <w:ind w:left="420"/>
              <w:spacing w:after="0"/>
              <w:rPr>
                <w:sz w:val="20"/>
                <w:szCs w:val="20"/>
                <w:color w:val="auto"/>
              </w:rPr>
            </w:pPr>
            <w:r>
              <w:rPr>
                <w:rFonts w:ascii="Arial" w:cs="Arial" w:eastAsia="Arial" w:hAnsi="Arial"/>
                <w:sz w:val="18"/>
                <w:szCs w:val="18"/>
                <w:color w:val="auto"/>
              </w:rPr>
              <w:t>Business acquisitions &amp; contingent consideration, net of cash equivalents acquired</w:t>
            </w:r>
          </w:p>
        </w:tc>
        <w:tc>
          <w:tcPr>
            <w:tcW w:w="200" w:type="dxa"/>
            <w:vAlign w:val="bottom"/>
          </w:tcPr>
          <w:p>
            <w:pPr>
              <w:spacing w:after="0"/>
              <w:rPr>
                <w:sz w:val="18"/>
                <w:szCs w:val="18"/>
                <w:color w:val="auto"/>
              </w:rPr>
            </w:pPr>
          </w:p>
        </w:tc>
        <w:tc>
          <w:tcPr>
            <w:tcW w:w="116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investing, net</w:t>
            </w:r>
          </w:p>
        </w:tc>
        <w:tc>
          <w:tcPr>
            <w:tcW w:w="20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5,412</w:t>
            </w:r>
          </w:p>
        </w:tc>
        <w:tc>
          <w:tcPr>
            <w:tcW w:w="32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4,101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240" w:type="dxa"/>
            <w:vAlign w:val="bottom"/>
          </w:tcPr>
          <w:p>
            <w:pPr>
              <w:ind w:left="860"/>
              <w:spacing w:after="0"/>
              <w:rPr>
                <w:sz w:val="20"/>
                <w:szCs w:val="20"/>
                <w:color w:val="auto"/>
              </w:rPr>
            </w:pPr>
            <w:r>
              <w:rPr>
                <w:rFonts w:ascii="Arial" w:cs="Arial" w:eastAsia="Arial" w:hAnsi="Arial"/>
                <w:sz w:val="18"/>
                <w:szCs w:val="18"/>
                <w:color w:val="auto"/>
              </w:rPr>
              <w:t>Net cash used in investing activities</w:t>
            </w: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(40,095)</w:t>
            </w:r>
          </w:p>
        </w:tc>
        <w:tc>
          <w:tcPr>
            <w:tcW w:w="3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(35,239)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8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320" w:type="dxa"/>
            <w:vAlign w:val="bottom"/>
          </w:tcPr>
          <w:p>
            <w:pPr>
              <w:spacing w:after="0"/>
              <w:rPr>
                <w:sz w:val="9"/>
                <w:szCs w:val="9"/>
                <w:color w:val="auto"/>
              </w:rPr>
            </w:pPr>
          </w:p>
        </w:tc>
        <w:tc>
          <w:tcPr>
            <w:tcW w:w="46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Financing activities</w:t>
            </w: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Pr>
          <w:p>
            <w:pPr>
              <w:ind w:left="420"/>
              <w:spacing w:after="0"/>
              <w:rPr>
                <w:sz w:val="20"/>
                <w:szCs w:val="20"/>
                <w:color w:val="auto"/>
              </w:rPr>
            </w:pPr>
            <w:r>
              <w:rPr>
                <w:rFonts w:ascii="Arial" w:cs="Arial" w:eastAsia="Arial" w:hAnsi="Arial"/>
                <w:sz w:val="18"/>
                <w:szCs w:val="18"/>
                <w:color w:val="auto"/>
              </w:rPr>
              <w:t>Payments on debt</w:t>
            </w: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(106,524)</w:t>
            </w:r>
          </w:p>
        </w:tc>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(236,495)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Issuance of common stock</w:t>
            </w: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7,931</w:t>
            </w:r>
          </w:p>
        </w:tc>
        <w:tc>
          <w:tcPr>
            <w:tcW w:w="3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165,235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Pr>
          <w:p>
            <w:pPr>
              <w:ind w:left="420"/>
              <w:spacing w:after="0"/>
              <w:rPr>
                <w:sz w:val="20"/>
                <w:szCs w:val="20"/>
                <w:color w:val="auto"/>
              </w:rPr>
            </w:pPr>
            <w:r>
              <w:rPr>
                <w:rFonts w:ascii="Arial" w:cs="Arial" w:eastAsia="Arial" w:hAnsi="Arial"/>
                <w:sz w:val="18"/>
                <w:szCs w:val="18"/>
                <w:color w:val="auto"/>
              </w:rPr>
              <w:t>Prepaid debt fees</w:t>
            </w: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(1,347)</w:t>
            </w:r>
          </w:p>
        </w:tc>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(3,936)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financing, net</w:t>
            </w:r>
          </w:p>
        </w:tc>
        <w:tc>
          <w:tcPr>
            <w:tcW w:w="20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(983)</w:t>
            </w:r>
          </w:p>
        </w:tc>
        <w:tc>
          <w:tcPr>
            <w:tcW w:w="32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240" w:type="dxa"/>
            <w:vAlign w:val="bottom"/>
          </w:tcPr>
          <w:p>
            <w:pPr>
              <w:ind w:left="860"/>
              <w:spacing w:after="0"/>
              <w:rPr>
                <w:sz w:val="20"/>
                <w:szCs w:val="20"/>
                <w:color w:val="auto"/>
              </w:rPr>
            </w:pPr>
            <w:r>
              <w:rPr>
                <w:rFonts w:ascii="Arial" w:cs="Arial" w:eastAsia="Arial" w:hAnsi="Arial"/>
                <w:sz w:val="18"/>
                <w:szCs w:val="18"/>
                <w:color w:val="auto"/>
              </w:rPr>
              <w:t>Net cash used in financing activities</w:t>
            </w: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(100,923)</w:t>
            </w:r>
          </w:p>
        </w:tc>
        <w:tc>
          <w:tcPr>
            <w:tcW w:w="3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(76,505)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8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320" w:type="dxa"/>
            <w:vAlign w:val="bottom"/>
          </w:tcPr>
          <w:p>
            <w:pPr>
              <w:spacing w:after="0"/>
              <w:rPr>
                <w:sz w:val="9"/>
                <w:szCs w:val="9"/>
                <w:color w:val="auto"/>
              </w:rPr>
            </w:pPr>
          </w:p>
        </w:tc>
        <w:tc>
          <w:tcPr>
            <w:tcW w:w="46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Effect of foreign exchange rate changes on cash and cash equivalents</w:t>
            </w:r>
          </w:p>
        </w:tc>
        <w:tc>
          <w:tcPr>
            <w:tcW w:w="20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123</w:t>
            </w:r>
          </w:p>
        </w:tc>
        <w:tc>
          <w:tcPr>
            <w:tcW w:w="32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4,988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8260" w:type="dxa"/>
            <w:vAlign w:val="bottom"/>
            <w:gridSpan w:val="2"/>
          </w:tcPr>
          <w:p>
            <w:pPr>
              <w:spacing w:after="0"/>
              <w:rPr>
                <w:sz w:val="20"/>
                <w:szCs w:val="20"/>
                <w:color w:val="auto"/>
              </w:rPr>
            </w:pPr>
            <w:r>
              <w:rPr>
                <w:rFonts w:ascii="Arial" w:cs="Arial" w:eastAsia="Arial" w:hAnsi="Arial"/>
                <w:sz w:val="18"/>
                <w:szCs w:val="18"/>
                <w:color w:val="auto"/>
              </w:rPr>
              <w:t>Increase (decrease) in cash and cash equivalents</w:t>
            </w:r>
          </w:p>
        </w:tc>
        <w:tc>
          <w:tcPr>
            <w:tcW w:w="200" w:type="dxa"/>
            <w:vAlign w:val="bottom"/>
          </w:tcPr>
          <w:p>
            <w:pPr>
              <w:spacing w:after="0"/>
              <w:rPr>
                <w:sz w:val="19"/>
                <w:szCs w:val="19"/>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26,221</w:t>
            </w:r>
          </w:p>
        </w:tc>
        <w:tc>
          <w:tcPr>
            <w:tcW w:w="3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(19,669)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20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121,893</w:t>
            </w:r>
          </w:p>
        </w:tc>
        <w:tc>
          <w:tcPr>
            <w:tcW w:w="32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144,390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260" w:type="dxa"/>
            <w:vAlign w:val="bottom"/>
            <w:gridSpan w:val="2"/>
          </w:tcPr>
          <w:p>
            <w:pPr>
              <w:spacing w:after="0"/>
              <w:rPr>
                <w:sz w:val="20"/>
                <w:szCs w:val="20"/>
                <w:color w:val="auto"/>
              </w:rPr>
            </w:pPr>
            <w:r>
              <w:rPr>
                <w:rFonts w:ascii="Arial" w:cs="Arial" w:eastAsia="Arial" w:hAnsi="Arial"/>
                <w:sz w:val="18"/>
                <w:szCs w:val="18"/>
                <w:color w:val="auto"/>
              </w:rPr>
              <w:t>Cash and cash equivalents at end of period</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148,114</w:t>
            </w: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124,721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8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320" w:type="dxa"/>
            <w:vAlign w:val="bottom"/>
          </w:tcPr>
          <w:p>
            <w:pPr>
              <w:spacing w:after="0"/>
              <w:rPr>
                <w:sz w:val="8"/>
                <w:szCs w:val="8"/>
                <w:color w:val="auto"/>
              </w:rPr>
            </w:pPr>
          </w:p>
        </w:tc>
        <w:tc>
          <w:tcPr>
            <w:tcW w:w="46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4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Non-cash transactions:</w:t>
            </w: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Pr>
          <w:p>
            <w:pPr>
              <w:ind w:left="420"/>
              <w:spacing w:after="0"/>
              <w:rPr>
                <w:sz w:val="20"/>
                <w:szCs w:val="20"/>
                <w:color w:val="auto"/>
              </w:rPr>
            </w:pPr>
            <w:r>
              <w:rPr>
                <w:rFonts w:ascii="Arial" w:cs="Arial" w:eastAsia="Arial" w:hAnsi="Arial"/>
                <w:sz w:val="18"/>
                <w:szCs w:val="18"/>
                <w:color w:val="auto"/>
              </w:rPr>
              <w:t>Property, plant, and equipment purchased but not yet paid, net</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(5,998)</w:t>
            </w: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5,492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Exchange of debt (face value) for common stock</w:t>
            </w: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120,984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240" w:type="dxa"/>
            <w:vAlign w:val="bottom"/>
          </w:tcPr>
          <w:p>
            <w:pPr>
              <w:ind w:left="420"/>
              <w:spacing w:after="0"/>
              <w:rPr>
                <w:sz w:val="20"/>
                <w:szCs w:val="20"/>
                <w:color w:val="auto"/>
              </w:rPr>
            </w:pPr>
            <w:r>
              <w:rPr>
                <w:rFonts w:ascii="Arial" w:cs="Arial" w:eastAsia="Arial" w:hAnsi="Arial"/>
                <w:sz w:val="18"/>
                <w:szCs w:val="18"/>
                <w:color w:val="auto"/>
              </w:rPr>
              <w:t>Contingent consideration payable for previous acquisitions</w:t>
            </w:r>
          </w:p>
        </w:tc>
        <w:tc>
          <w:tcPr>
            <w:tcW w:w="200" w:type="dxa"/>
            <w:vAlign w:val="bottom"/>
          </w:tcPr>
          <w:p>
            <w:pPr>
              <w:spacing w:after="0"/>
              <w:rPr>
                <w:sz w:val="19"/>
                <w:szCs w:val="19"/>
                <w:color w:val="auto"/>
              </w:rPr>
            </w:pPr>
          </w:p>
        </w:tc>
        <w:tc>
          <w:tcPr>
            <w:tcW w:w="116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320" w:type="dxa"/>
            <w:vAlign w:val="bottom"/>
          </w:tcPr>
          <w:p>
            <w:pPr>
              <w:spacing w:after="0"/>
              <w:rPr>
                <w:sz w:val="8"/>
                <w:szCs w:val="8"/>
                <w:color w:val="auto"/>
              </w:rPr>
            </w:pPr>
          </w:p>
        </w:tc>
        <w:tc>
          <w:tcPr>
            <w:tcW w:w="46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4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Supplemental disclosure of cash flow information:</w:t>
            </w: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Pr>
          <w:p>
            <w:pPr>
              <w:ind w:left="420"/>
              <w:spacing w:after="0"/>
              <w:rPr>
                <w:sz w:val="20"/>
                <w:szCs w:val="20"/>
                <w:color w:val="auto"/>
              </w:rPr>
            </w:pPr>
            <w:r>
              <w:rPr>
                <w:rFonts w:ascii="Arial" w:cs="Arial" w:eastAsia="Arial" w:hAnsi="Arial"/>
                <w:sz w:val="18"/>
                <w:szCs w:val="18"/>
                <w:color w:val="auto"/>
              </w:rPr>
              <w:t>Cash paid during the period for:</w:t>
            </w: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Income taxes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17,447</w:t>
            </w: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19,308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240" w:type="dxa"/>
            <w:vAlign w:val="bottom"/>
          </w:tcPr>
          <w:p>
            <w:pPr>
              <w:ind w:left="860"/>
              <w:spacing w:after="0"/>
              <w:rPr>
                <w:sz w:val="20"/>
                <w:szCs w:val="20"/>
                <w:color w:val="auto"/>
              </w:rPr>
            </w:pPr>
            <w:r>
              <w:rPr>
                <w:rFonts w:ascii="Arial" w:cs="Arial" w:eastAsia="Arial" w:hAnsi="Arial"/>
                <w:sz w:val="18"/>
                <w:szCs w:val="18"/>
                <w:color w:val="auto"/>
              </w:rPr>
              <w:t>Interest, net of amounts capitalized</w:t>
            </w:r>
          </w:p>
        </w:tc>
        <w:tc>
          <w:tcPr>
            <w:tcW w:w="200" w:type="dxa"/>
            <w:vAlign w:val="bottom"/>
          </w:tcPr>
          <w:p>
            <w:pPr>
              <w:spacing w:after="0"/>
              <w:rPr>
                <w:sz w:val="19"/>
                <w:szCs w:val="19"/>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31,666</w:t>
            </w:r>
          </w:p>
        </w:tc>
        <w:tc>
          <w:tcPr>
            <w:tcW w:w="3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43,207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ITRON,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In this Quarterly Report on Form 10-Q, the terms “we,” “us,” “our,” “Itron,” and the “Company” refer to Itron, Inc.</w:t>
      </w:r>
    </w:p>
    <w:p>
      <w:pPr>
        <w:spacing w:after="0" w:line="246"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Note 1:</w:t>
      </w:r>
      <w:r>
        <w:rPr>
          <w:sz w:val="20"/>
          <w:szCs w:val="20"/>
          <w:color w:val="auto"/>
        </w:rPr>
        <w:tab/>
      </w:r>
      <w:r>
        <w:rPr>
          <w:rFonts w:ascii="Arial" w:cs="Arial" w:eastAsia="Arial" w:hAnsi="Arial"/>
          <w:sz w:val="15"/>
          <w:szCs w:val="15"/>
          <w:b w:val="1"/>
          <w:bCs w:val="1"/>
          <w:color w:val="auto"/>
        </w:rPr>
        <w:t>Summary of Significant Accounting Policies</w:t>
      </w:r>
    </w:p>
    <w:p>
      <w:pPr>
        <w:spacing w:after="0" w:line="9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were incorporated in the state of Washington in 1977. We provide a portfolio of products and services to utilities for the energy and water markets throughout the world.</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Financial Statement Preparation</w:t>
      </w:r>
    </w:p>
    <w:p>
      <w:pPr>
        <w:spacing w:after="0" w:line="90" w:lineRule="exact"/>
        <w:rPr>
          <w:sz w:val="20"/>
          <w:szCs w:val="20"/>
          <w:color w:val="auto"/>
        </w:rPr>
      </w:pPr>
    </w:p>
    <w:p>
      <w:pPr>
        <w:jc w:val="both"/>
        <w:spacing w:after="0" w:line="323" w:lineRule="auto"/>
        <w:rPr>
          <w:sz w:val="20"/>
          <w:szCs w:val="20"/>
          <w:color w:val="auto"/>
        </w:rPr>
      </w:pPr>
      <w:r>
        <w:rPr>
          <w:rFonts w:ascii="Arial" w:cs="Arial" w:eastAsia="Arial" w:hAnsi="Arial"/>
          <w:sz w:val="15"/>
          <w:szCs w:val="15"/>
          <w:color w:val="auto"/>
        </w:rPr>
        <w:t>The condensed consolidated financial statements presented in this Quarterly Report on Form 10-Q are unaudited and reflect entries necessary for the fair presentation of the Consolidated Statements of Operations for the three and nine months ended September 30, 2010 and 2009, the Consolidated Balance Sheets as of September 30, 2010 and December 31, 2009, and the Consolidated Statements of Cash Flows for the nine months ended September 30, 2010 and 2009 of Itron, Inc. and its subsidiaries. All entries required for the fair presentation of the financial statements are of a normal recurring nature, except as disclosed.</w:t>
      </w:r>
    </w:p>
    <w:p>
      <w:pPr>
        <w:spacing w:after="0" w:line="98"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Certain information and notes normally included in financial statements prepared in accordance with U.S. generally accepted accounting principles (GAAP) have been condensed or omitted pursuant to the rules and regulations of the Securities and Exchange Commission (SEC) regarding interim results. These condensed consolidated financial statements should be read in conjunction with the 2009 audited financial statements and notes included in our Annual Report on Form 10-K for the year ended December 31, 2009, as filed with the SEC on February 25, 2010. The results of operations for the three and nine months ended September 30, 2010 are not necessarily indicative of the results expected for the full fiscal year or for any other fiscal period.</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Basis of Consolidation</w:t>
      </w:r>
    </w:p>
    <w:p>
      <w:pPr>
        <w:spacing w:after="0" w:line="9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consolidate all entities in which we have a greater than 50% ownership interest. We use the equity method of accounting for entities in which we have a 50% or less investment and exercise significant influence. Entities in which we have less than a 20% investment and where we do not exercise significant influence are accounted for under the cost method. We consider for consolidation any variable interest entity of which we are the primary beneficiary. At September 30, 2010, our investments in variable interest entities and noncontrolling interests were not material. Intercompany transactions and balances have been eliminated upon consolidation.</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Cash and Cash Equivalents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We consider all highly liquid instruments with remaining maturities of three months or less at the date of acquisition to be cash equivalents.</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Derivative Instruments</w:t>
      </w:r>
    </w:p>
    <w:p>
      <w:pPr>
        <w:spacing w:after="0" w:line="9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All derivative instruments, whether designated in hedging relationships or not, are recorded on the Consolidated Balance Sheets at fair value as either assets or liabilities. The components and fair values of our derivative instruments, which are primarily interest rate swaps, are determined using the fair value measurements of significant other observable inputs (Level 2), as defined by GAAP.</w:t>
      </w:r>
    </w:p>
    <w:p>
      <w:pPr>
        <w:spacing w:after="0" w:line="140"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net fair value of our derivative instruments may switch between a net asset and a net liability depending on market circumstances at the end of the period. We include the effect of our counterparty credit risk based on current published credit default swap rates when the net fair value of our derivative instruments are in a net asset position and the effect of our own nonperformance risk when the net fair value of our derivative instruments are in a net liability position. If the derivative is designated as a fair value hedge, the changes in the fair value of the derivative and of the hedged item attributable to the hedged risk are recognized in earnings. If the derivative is designated as a cash flow hedge, the effective portions of changes in the fair value of the derivative are recorded as a component of other comprehensive income (loss) (OCI) and are recognized in earnings when the hedged item affects earnings. For our hedge of a net investment, the effective portion of any unrealized gain or loss from the foreign currency revaluation of the hedging instrument is reported in OCI as a net unrealized gain or loss on derivative instruments. Ineffective portions of fair</w:t>
      </w:r>
    </w:p>
    <w:p>
      <w:pPr>
        <w:spacing w:after="0" w:line="9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value changes or the changes in fair value of derivative instruments that do not qualify for hedging activities are recognized in other income (expense) in the Consolidated Statements of Operations. We classify cash flows from our derivative programs as cash flows from operating activities in the Consolidated Statements of Cash Flows.</w:t>
      </w:r>
    </w:p>
    <w:p>
      <w:pPr>
        <w:spacing w:after="0" w:line="140"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Derivatives are not used for trading or speculative purposes. Our derivatives are with major international financial institutions, with whom we have master netting agreements; however, our derivative positions are not disclosed on a net basis. There are no credit-risk-related contingent features within our derivative instruments. Refer to Note 7 and Note 12 for further disclosures of our derivative instruments and their impact on OCI.</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Accounts Receivable and Allowance for Doubtful Accounts</w:t>
      </w:r>
    </w:p>
    <w:p>
      <w:pPr>
        <w:spacing w:after="0" w:line="90"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Accounts receivable are recorded for invoices issued to customers in accordance with our contractual arrangements. Interest and late payment fees are minimal. Unbilled receivables are recorded when revenues are recognized upon product shipment or service delivery and invoicing occurs at a later date. The allowance for doubtful accounts is based on our historical experience of bad debts and our specific review of outstanding receivables at period-end. Accounts receivable are written-off against the allowance when we believe an account, or a portion thereof, is no longer collectible.</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Inventories</w:t>
      </w:r>
    </w:p>
    <w:p>
      <w:pPr>
        <w:spacing w:after="0" w:line="9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Inventories are stated at the lower of cost or market using the first-in, first-out method. Cost includes raw materials and labor, plus applied direct and indirect costs.</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Property, Plant, and Equipment</w:t>
      </w:r>
    </w:p>
    <w:p>
      <w:pPr>
        <w:spacing w:after="0" w:line="90"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Property, plant, and equipment are stated at cost less accumulated depreciation. Depreciation is computed using the straight-line method over the estimated useful lives of the assets, generally thirty years for buildings and improvements and three to five years for machinery and equipment, computers and purchased software, and furniture. Leasehold improvements are capitalized and amortized over the term of the applicable lease, including renewable periods if reasonably assured, or over the useful lives, whichever is shorter. Construction in process represents capital expenditures incurred for assets not yet placed in service. Costs related to internally developed software and software purchased for internal uses are capitalized and are amortized over the estimated useful lives of the assets. Repair and maintenance costs are expensed as incurred. We have no major planned maintenance activities.</w:t>
      </w:r>
    </w:p>
    <w:p>
      <w:pPr>
        <w:spacing w:after="0" w:line="12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review long-lived assets for impairment whenever events or circumstances indicate the carrying amount of an asset or asset group may not be recoverable. We have had no significant impairments of long-lived assets. Assets held for sale are classified within other current assets in the Consolidated Balance Sheets, are reported at the lower of the carrying amount or fair value less costs to sell, and are no longer depreciated. We had no assets held for sale at September 30, 2010 or December 31, 2009.</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Prepaid Debt Fees</w:t>
      </w:r>
    </w:p>
    <w:p>
      <w:pPr>
        <w:spacing w:after="0" w:line="9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Prepaid debt fees represent the capitalized direct costs incurred related to the issuance of debt and are recorded as noncurrent assets. These costs are amortized to interest expense over the lives of the respective borrowings, including contingent maturity or call features, using the effective interest method, or straight-line method when associated with a revolving credit facility. When debt is repaid early, the related portion of unamortized prepaid debt fees is written-off and included in interest expense.</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Business Combinations</w:t>
      </w:r>
    </w:p>
    <w:p>
      <w:pPr>
        <w:spacing w:after="0" w:line="90"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On the date of acquisition, the assets acquired, liabilities assumed, and any noncontrolling interests in the acquiree are recorded at their fair values. The acquiree results of operations are also included as of the date of acquisition in the consolidated results. Intangible assets that arise from contractual/legal rights, or are capable of being separated, as well as in-process research and development, are measured and recorded at fair value, and amortized over the estimated useful life. If practicable, assets acquired and liabilities assumed arising from contingencies are measured and recorded at fair value. If not practicable, such assets and liabilities are measured and recorded when it is probable that a gain or loss has occurred and the amount can be reasonably estimated. The residual balance of the purchase price, after fair value allocations to all identified assets and liabilities, represents goodwill. Acquisition-related costs are expensed as incurred. Restructuring costs are generally expensed in periods subsequent to the acquisition date, and changes in deferred tax asset valuation allowances and acquired income tax uncertainties, including penalties and interest, after the measurement period are recognized as a component of provision for income taxes.</w:t>
      </w:r>
    </w:p>
    <w:p>
      <w:pPr>
        <w:spacing w:after="0" w:line="9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Goodwill and Intangible Assets</w:t>
      </w:r>
    </w:p>
    <w:p>
      <w:pPr>
        <w:spacing w:after="0" w:line="90"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Goodwill and intangible assets have resulted from our acquisitions. We use estimates in determining and assigning the fair value of goodwill and intangible assets at acquisition, including estimates of useful lives of intangible assets, the amount and timing of related future cash flows, and fair values of the related operations. Our intangible assets have finite lives, are amortized over their estimated useful lives based on estimated discounted cash flows, and are tested for impairment when events or changes in circumstances indicate the carrying value may not be recoverable.</w:t>
      </w:r>
    </w:p>
    <w:p>
      <w:pPr>
        <w:spacing w:after="0" w:line="113"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Goodwill is assigned to our reporting units based on the expected benefit from the synergies arising from each business combination, determined by using certain financial metrics, including the forecasted discounted cash flows associated with each reporting unit. Goodwill is tested for impairment as of October 1 of each year, or more frequently if a significant impairment indicator occurs. Determining the fair value of a reporting unit is judgmental in nature and involves the use of significant estimates and assumptions. We forecast discounted future cash flows at the reporting unit level using risk-adjusted discount rates and estimated future revenues and operating costs, which take into consideration factors such as existing backlog, expected future orders, supplier contracts, and expectations of competitive and economic environments. We also identify similar publicly traded companies and develop a correlation, referred to as a multiple, to apply to the operating results of our reporting units.</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Warranty</w:t>
      </w:r>
    </w:p>
    <w:p>
      <w:pPr>
        <w:spacing w:after="0" w:line="90"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We offer standard warranties on our hardware products and large application software products. We accrue the estimated cost of warranty claims based on historical and projected product performance trends and costs. Testing of new products in the development stage helps identify and correct potential warranty issues prior to manufacturing. Continuing quality control efforts during manufacturing reduce our exposure to warranty claims. If our quality control efforts fail to detect a fault in one of our products, we could experience an increase in warranty claims. We track warranty claims to identify potential warranty trends. If an unusual trend is noted, an additional warranty accrual may be assessed and recorded when a failure event is probable and the cost can be reasonably estimated. Management continually evaluates the sufficiency of the warranty provisions and makes adjustments when necessary. The warranty allowances may fluctuate due to changes in estimates for material, labor, and other costs we may incur to repair or replace projected product failures, and we may incur additional warranty and related expenses in the future with respect to new or established products, which could adversely affect our financial position and results of operations. The long-term warranty balance includes estimated warranty claims beyond one year. Warranty expense is classified within cost of revenues.</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Contingencies</w:t>
      </w:r>
    </w:p>
    <w:p>
      <w:pPr>
        <w:spacing w:after="0" w:line="90"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A loss contingency is recorded if it is probable that an asset has been impaired or a liability has been incurred and the amount of the loss can be reasonably estimated. We evaluate, among other factors, the degree of probability of an unfavorable outcome and our ability to make a reasonable estimate of the amount of the ultimate loss. Changes in these factors and related estimates could materially affect our financial position and results of operations.</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Bonus and Profit Sharing</w:t>
      </w:r>
    </w:p>
    <w:p>
      <w:pPr>
        <w:spacing w:after="0" w:line="9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various employee bonus and profit sharing plans, which provide award amounts for the achievement of annual financial and nonfinancial targets. If management determines it is probable that the targets will be achieved, and the amounts can be reasonably estimated, a compensation accrual is recorded based on the proportional achievement of the financial and nonfinancial targets. Although we monitor and accrue expenses quarterly based on our progress toward the achievement of the annual targets, the actual results at the end of the year may require awards that are significantly greater or less than the estimates made in earlier quarters.</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Defined Benefit Pension Plans</w:t>
      </w:r>
    </w:p>
    <w:p>
      <w:pPr>
        <w:spacing w:after="0" w:line="90"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We sponsor both funded and unfunded non-U.S. defined benefit pension plans. We recognize a liability for the projected benefit obligation in excess of plan assets or an asset for plan assets in excess of the projected benefit obligation. We also recognize the funded status of our defined benefit pension plans on our Consolidated Balance Sheets and recognize as a component of OCI, net of tax, the actuarial gains or losses and prior service costs or credits, if any, that arise during the period but that are not recognized as components of net periodic benefit cost.</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Revenue Recognition</w:t>
      </w:r>
    </w:p>
    <w:p>
      <w:pPr>
        <w:spacing w:after="0" w:line="90"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Revenues consist primarily of hardware sales, software license fees, software implementation, project management services, installation, consulting, and post-sale maintenance support.</w:t>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On January 1, 2010, we adopted Financial Accounting Standards Board (FASB) Accounting Standards Update (ASU) 2009-13, </w:t>
      </w:r>
      <w:r>
        <w:rPr>
          <w:rFonts w:ascii="Arial" w:cs="Arial" w:eastAsia="Arial" w:hAnsi="Arial"/>
          <w:sz w:val="16"/>
          <w:szCs w:val="16"/>
          <w:i w:val="1"/>
          <w:iCs w:val="1"/>
          <w:color w:val="auto"/>
        </w:rPr>
        <w:t>Revenue Recognition (Topic 605)</w:t>
      </w:r>
    </w:p>
    <w:p>
      <w:pPr>
        <w:spacing w:after="0" w:line="38" w:lineRule="exact"/>
        <w:rPr>
          <w:sz w:val="20"/>
          <w:szCs w:val="20"/>
          <w:color w:val="auto"/>
        </w:rPr>
      </w:pPr>
    </w:p>
    <w:p>
      <w:pPr>
        <w:jc w:val="both"/>
        <w:spacing w:after="0" w:line="290" w:lineRule="auto"/>
        <w:rPr>
          <w:sz w:val="20"/>
          <w:szCs w:val="20"/>
          <w:color w:val="auto"/>
        </w:rPr>
      </w:pPr>
      <w:r>
        <w:rPr>
          <w:rFonts w:ascii="Arial" w:cs="Arial" w:eastAsia="Arial" w:hAnsi="Arial"/>
          <w:sz w:val="16"/>
          <w:szCs w:val="16"/>
          <w:i w:val="1"/>
          <w:iCs w:val="1"/>
          <w:color w:val="auto"/>
        </w:rPr>
        <w:t xml:space="preserve">– Multiple-Deliverable Revenue Arrangements (a consensus of the FASB Emerging Issues Tax Force) </w:t>
      </w:r>
      <w:r>
        <w:rPr>
          <w:rFonts w:ascii="Arial" w:cs="Arial" w:eastAsia="Arial" w:hAnsi="Arial"/>
          <w:sz w:val="16"/>
          <w:szCs w:val="16"/>
          <w:color w:val="auto"/>
        </w:rPr>
        <w:t>and ASU 2009-14,</w:t>
      </w:r>
      <w:r>
        <w:rPr>
          <w:rFonts w:ascii="Arial" w:cs="Arial" w:eastAsia="Arial" w:hAnsi="Arial"/>
          <w:sz w:val="16"/>
          <w:szCs w:val="16"/>
          <w:i w:val="1"/>
          <w:iCs w:val="1"/>
          <w:color w:val="auto"/>
        </w:rPr>
        <w:t xml:space="preserve"> Software (Topic 985), Certain Revenue Arrangements That Include Software Elements (a consensus of the FASB Emerging Issues Task Force) </w:t>
      </w:r>
      <w:r>
        <w:rPr>
          <w:rFonts w:ascii="Arial" w:cs="Arial" w:eastAsia="Arial" w:hAnsi="Arial"/>
          <w:sz w:val="16"/>
          <w:szCs w:val="16"/>
          <w:color w:val="auto"/>
        </w:rPr>
        <w:t>on a prospective basis for new arrangements and</w:t>
      </w:r>
      <w:r>
        <w:rPr>
          <w:rFonts w:ascii="Arial" w:cs="Arial" w:eastAsia="Arial" w:hAnsi="Arial"/>
          <w:sz w:val="16"/>
          <w:szCs w:val="16"/>
          <w:i w:val="1"/>
          <w:iCs w:val="1"/>
          <w:color w:val="auto"/>
        </w:rPr>
        <w:t xml:space="preserve"> </w:t>
      </w:r>
      <w:r>
        <w:rPr>
          <w:rFonts w:ascii="Arial" w:cs="Arial" w:eastAsia="Arial" w:hAnsi="Arial"/>
          <w:sz w:val="16"/>
          <w:szCs w:val="16"/>
          <w:color w:val="auto"/>
        </w:rPr>
        <w:t>arrangements that are materially modified. This new guidance did not have a material impact on our financial statements for the three and nine months ended September 30, 2010, as we already had the ability to divide the deliverables within our revenue arrangements into separate units of accounting. Further, there would have been no change to the amount of revenue recognized in the year ended December 31, 2009 if arrangements prior to the adoption of ASU 2009-13 and ASU 2009-14 had been subject to the measurement requirements of this new guidance.</w:t>
      </w:r>
    </w:p>
    <w:p>
      <w:pPr>
        <w:spacing w:after="0" w:line="11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allocate consideration to each deliverable in an arrangement based on its relative selling price. We determine selling price using vendor specific objective evidence (VSOE), if it exists, otherwise third-party evidence (TPE). If neither VSOE nor TPE of selling price exists for a unit of accounting, we use estimated selling price (ESP).</w:t>
      </w:r>
    </w:p>
    <w:p>
      <w:pPr>
        <w:spacing w:after="0" w:line="14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VSOE is generally limited to the price charged when the same or similar product is sold separately or, if applicable, the stated renewal rate in the agreement. If a product or service is seldom sold separately, it is unlikely that we can determine VSOE for the product or service. We define VSOE as a median price of recent standalone transactions that are priced within a narrow range. TPE is determined based on the prices charged by our competitors for a similar deliverable when sold separately.</w:t>
      </w:r>
    </w:p>
    <w:p>
      <w:pPr>
        <w:spacing w:after="0" w:line="143"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For arrangements entered into or materially modified after January 1, 2010, if we are unable to establish selling price using VSOE or TPE, we will use ESP in the allocation of arrangement consideration. The objective of ESP is to determine the price at which we would transact if the product or service were sold by us on a standalone basis. Our determination of ESP involves a weighting of several factors based on the specific facts and circumstances of the arrangement. Specifically, we consider the cost to produce the deliverable, the anticipated margin on that deliverable, the selling price and profit margin for similar parts, our ongoing pricing strategy and policies (as evident in the price list established and updated by management on a regular basis), the value of any enhancements that have been built into the deliverable, and the characteristics of the varying markets in which the deliverable is sold.</w:t>
      </w:r>
    </w:p>
    <w:p>
      <w:pPr>
        <w:spacing w:after="0" w:line="120"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We analyze the selling prices used in our allocation of arrangement consideration on an annual basis. Selling prices are analyzed on a more frequent basis if a significant change in our business necessitates a more timely analysis or if we experience significant variances in our selling prices.</w:t>
      </w:r>
    </w:p>
    <w:p>
      <w:pPr>
        <w:spacing w:after="0" w:line="8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Revenue arrangements with multiple deliverables are divided into separate units of accounting if the delivered item(s) have value to the customer on a standalone basis and delivery/performance of the undelivered item(s) is probable. The total arrangement consideration is allocated among the separate units of accounting based on their relative fair values and the applicable revenue recognition criteria considered for each unit of accounting. For our standard contract arrangements that combine deliverables such as hardware, meter reading system software, installation, and project management services, each deliverable is generally considered a single unit of accounting. The amount allocable to a delivered item is limited to the amount that we are entitled to collect and that is not contingent upon the delivery/performance of additional items.</w:t>
      </w:r>
    </w:p>
    <w:p>
      <w:pPr>
        <w:spacing w:after="0" w:line="12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Revenues are recognized when (1) persuasive evidence of an arrangement exists, (2) delivery has occurred or services have been rendered, (3) the sales price is fixed or determinable, and (4) collectability is reasonably assured. Hardware revenues are generally recognized at the time of shipment, receipt by customer, or, if applicable, upon completion of customer acceptance provisions.</w:t>
      </w:r>
    </w:p>
    <w:p>
      <w:pPr>
        <w:spacing w:after="0" w:line="14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multiple element software arrangements that do not include hardware, revenue recognition is dependent upon the availability of VSOE for fair value for each of the elements. The lack of VSOE, or the existence of extended payment terms or other inherent risks, may affect the timing of revenue recognition for software arrangements.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spacing w:after="0"/>
        <w:rPr>
          <w:sz w:val="20"/>
          <w:szCs w:val="20"/>
          <w:color w:val="auto"/>
        </w:rPr>
      </w:pPr>
      <w:r>
        <w:rPr>
          <w:rFonts w:ascii="Arial" w:cs="Arial" w:eastAsia="Arial" w:hAnsi="Arial"/>
          <w:sz w:val="16"/>
          <w:szCs w:val="16"/>
          <w:color w:val="auto"/>
        </w:rPr>
        <w:t>We primarily enter into two types of multiple deliverable arrangements, which may include any combination of hardware and associated software and services.</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Arrangements that do not include the deployment of our OpenWay</w:t>
      </w:r>
      <w:r>
        <w:rPr>
          <w:rFonts w:ascii="Arial" w:cs="Arial" w:eastAsia="Arial" w:hAnsi="Arial"/>
          <w:sz w:val="11"/>
          <w:szCs w:val="11"/>
          <w:color w:val="auto"/>
        </w:rPr>
        <w:t>®</w:t>
      </w:r>
      <w:r>
        <w:rPr>
          <w:rFonts w:ascii="Arial" w:cs="Arial" w:eastAsia="Arial" w:hAnsi="Arial"/>
          <w:sz w:val="18"/>
          <w:szCs w:val="18"/>
          <w:color w:val="auto"/>
        </w:rPr>
        <w:t xml:space="preserve"> technology are recognized as follows:</w:t>
      </w:r>
    </w:p>
    <w:p>
      <w:pPr>
        <w:spacing w:after="0" w:line="90" w:lineRule="exact"/>
        <w:rPr>
          <w:sz w:val="20"/>
          <w:szCs w:val="20"/>
          <w:color w:val="auto"/>
        </w:rPr>
      </w:pPr>
    </w:p>
    <w:p>
      <w:pPr>
        <w:ind w:left="1120" w:hanging="315"/>
        <w:spacing w:after="0"/>
        <w:tabs>
          <w:tab w:leader="none" w:pos="112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Revenue from hardware shipments is recognized upon delivery once title and risk of loss pass to the customer.</w:t>
      </w:r>
    </w:p>
    <w:p>
      <w:pPr>
        <w:spacing w:after="0" w:line="90" w:lineRule="exact"/>
        <w:rPr>
          <w:rFonts w:ascii="Arial" w:cs="Arial" w:eastAsia="Arial" w:hAnsi="Arial"/>
          <w:sz w:val="18"/>
          <w:szCs w:val="18"/>
          <w:color w:val="auto"/>
        </w:rPr>
      </w:pPr>
    </w:p>
    <w:p>
      <w:pPr>
        <w:jc w:val="both"/>
        <w:ind w:left="1120" w:hanging="315"/>
        <w:spacing w:after="0" w:line="259" w:lineRule="auto"/>
        <w:tabs>
          <w:tab w:leader="none" w:pos="1120" w:val="left"/>
        </w:tabs>
        <w:numPr>
          <w:ilvl w:val="0"/>
          <w:numId w:val="4"/>
        </w:numPr>
        <w:rPr>
          <w:rFonts w:ascii="Arial" w:cs="Arial" w:eastAsia="Arial" w:hAnsi="Arial"/>
          <w:sz w:val="18"/>
          <w:szCs w:val="18"/>
          <w:color w:val="auto"/>
        </w:rPr>
      </w:pPr>
      <w:r>
        <w:rPr>
          <w:rFonts w:ascii="Arial" w:cs="Arial" w:eastAsia="Arial" w:hAnsi="Arial"/>
          <w:sz w:val="18"/>
          <w:szCs w:val="18"/>
          <w:color w:val="auto"/>
        </w:rPr>
        <w:t>If implementation services are essential to the functionality of the associated software, software and implementation revenues are recognized using either the percentage-of-completion methodology of contract accounting if project costs can be estimated, or the completed contract methodology if project costs cannot be reliably estimated.</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Arrangements to deploy our OpenWay technology are recognized as follows:</w:t>
      </w:r>
    </w:p>
    <w:p>
      <w:pPr>
        <w:spacing w:after="0" w:line="90" w:lineRule="exact"/>
        <w:rPr>
          <w:sz w:val="20"/>
          <w:szCs w:val="20"/>
          <w:color w:val="auto"/>
        </w:rPr>
      </w:pPr>
    </w:p>
    <w:p>
      <w:pPr>
        <w:ind w:left="1120" w:hanging="315"/>
        <w:spacing w:after="0"/>
        <w:tabs>
          <w:tab w:leader="none" w:pos="112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Revenue from hardware shipments is recognized upon delivery once title and risk of loss pass to the customer.</w:t>
      </w:r>
    </w:p>
    <w:p>
      <w:pPr>
        <w:spacing w:after="0" w:line="90" w:lineRule="exact"/>
        <w:rPr>
          <w:rFonts w:ascii="Arial" w:cs="Arial" w:eastAsia="Arial" w:hAnsi="Arial"/>
          <w:sz w:val="18"/>
          <w:szCs w:val="18"/>
          <w:color w:val="auto"/>
        </w:rPr>
      </w:pPr>
    </w:p>
    <w:p>
      <w:pPr>
        <w:jc w:val="both"/>
        <w:ind w:left="1120" w:hanging="315"/>
        <w:spacing w:after="0" w:line="259" w:lineRule="auto"/>
        <w:tabs>
          <w:tab w:leader="none" w:pos="112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Revenue from associated software and services is recognized using the units-of-delivery method of contract accounting. This methodology often results in the deferral of costs and revenues as professional services and software implementation typically commence prior to deployment of hardware.</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In all cases, hardware and software post-sale maintenance support fees are recognized ratably over the life of the related service contract.</w:t>
      </w:r>
    </w:p>
    <w:p>
      <w:pPr>
        <w:spacing w:after="0" w:line="17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Shipping and handling costs and incidental expenses billed to customers are recorded as revenue, with the associated cost charged to cost of revenues. We record sales, use, and value added taxes billed to our customers on a net basis.</w:t>
      </w:r>
    </w:p>
    <w:p>
      <w:pPr>
        <w:spacing w:after="0" w:line="13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Unearned revenue is recorded when a customer pays for products or services, but the criteria for revenue recognition have not been met as of the balance sheet date. Unearned revenues of $36.6 million and $45.4 million at September 30, 2010 and December 31, 2009 related primarily to professional services and software associated with our OpenWay contracts, extended warranty, and prepaid post contract support. Deferred cost is recorded for products or services for which ownership (typically defined as title and risk of loss) has transferred to the customer, but the criteria for revenue recognition have not been met as of the balance sheet date. Deferred costs were $10.0 million and $19.7 million at September 30, 2010 and December 31, 2009 and are recorded within other assets in the Consolidated Balance Sheets.</w:t>
      </w:r>
    </w:p>
    <w:p>
      <w:pPr>
        <w:spacing w:after="0" w:line="22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Product and Software Development Costs</w:t>
      </w:r>
    </w:p>
    <w:p>
      <w:pPr>
        <w:spacing w:after="0" w:line="9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Product and software development costs primarily include employee compensation and third party contracting fees. For software we develop to be marketed or sold, we capitalize development costs after technological feasibility is established. Due to the relatively short period of time between technological feasibility and the completion of product and software development, and the immaterial nature of these costs, we generally do not capitalize product and software development expenses.</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Stock-Based Compensation</w:t>
      </w:r>
    </w:p>
    <w:p>
      <w:pPr>
        <w:spacing w:after="0" w:line="90" w:lineRule="exact"/>
        <w:rPr>
          <w:sz w:val="20"/>
          <w:szCs w:val="20"/>
          <w:color w:val="auto"/>
        </w:rPr>
      </w:pPr>
    </w:p>
    <w:p>
      <w:pPr>
        <w:jc w:val="both"/>
        <w:spacing w:after="0" w:line="312" w:lineRule="auto"/>
        <w:rPr>
          <w:sz w:val="20"/>
          <w:szCs w:val="20"/>
          <w:color w:val="auto"/>
        </w:rPr>
      </w:pPr>
      <w:r>
        <w:rPr>
          <w:rFonts w:ascii="Arial" w:cs="Arial" w:eastAsia="Arial" w:hAnsi="Arial"/>
          <w:sz w:val="15"/>
          <w:szCs w:val="15"/>
          <w:color w:val="auto"/>
        </w:rPr>
        <w:t>We measure and recognize compensation expense for all stock-based awards made to employees and directors, including stock options, stock sold pursuant to our Amended and Restated 2002 Employee Stock Purchase Plan (ESPP), and the issuance of restricted and unrestricted stock awards and units, based on estimated fair values. The fair values of stock options and ESPP awards are estimated at the date of grant using the Black-Scholes option-pricing model, which includes assumptions for the dividend yield, expected volatility, risk-free interest rate, and expected life. For restricted and unrestricted stock awards and units, the fair value is the market close price of our common stock on the date of grant. We expense stock-based compensation, adjusted for estimated forfeitures, using the straight-line method over the required vesting period. Excess tax benefits are credited to common stock when the deduction reduces cash taxes payable. When we have tax deductions in excess of the compensation cost, they are classified as financing cash inflows in the Consolidated Statements of Cash Flows.</w:t>
      </w:r>
    </w:p>
    <w:p>
      <w:pPr>
        <w:spacing w:after="0" w:line="18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Loss on Extinguishment of Debt, Net</w:t>
      </w:r>
    </w:p>
    <w:p>
      <w:pPr>
        <w:spacing w:after="0" w:line="9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Upon partial or full redemption of our borrowings, we recognize a gain or loss for the difference between the cash paid and the net carrying amount of the debt redeemed. Included in the net carrying amount is any unamortized premium or</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discount from the original issuance of the debt. Due to the particular characteristics of our convertible notes, we recognize a gain or loss upon conversion or derecognition for the difference between the net carrying amount of the liability component (including any unamortized discount and debt issuance costs) and the fair value of the consideration transferred to the holder that is allocated to the liability component, which is equal to the fair value of the liability component immediately prior to extinguishment. In the case of an induced conversion, a loss is recognized for the amount of the fair value of the securities or other consideration transferred to the holder in excess of fair value of the consideration issuable in accordance with the original conversion terms of the debt.</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Income Taxes</w:t>
      </w:r>
    </w:p>
    <w:p>
      <w:pPr>
        <w:spacing w:after="0" w:line="90"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We account for income taxes using the asset and liability method of accounting. Deferred tax assets and liabilities are recognized based upon anticipated future tax consequences attributable to the differences between the financial statement carrying amounts of existing assets and liabilities and their respective income tax bases, and operating loss and tax credit carryforwards in each of the jurisdictions in which we operate. Deferred tax assets and liabilities are measured using enacted tax rates expected to apply to taxable income in the years in which those temporary differences are expected to be recovered or settled. The calculation of our tax liabilities involves applying complex tax regulations in different tax jurisdictions to our tax positions. The effect on deferred tax assets and liabilities of a change in tax rates is recognized in income in the period that includes the enactment date. A valuation allowance is recorded to reduce the carrying amounts of deferred tax assets if it is more likely than not that such assets will not be realized. We do not record tax liabilities on undistributed earnings of international subsidiaries that are permanently reinvested.</w:t>
      </w:r>
    </w:p>
    <w:p>
      <w:pPr>
        <w:spacing w:after="0" w:line="11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compute our interim income tax provision through the use of an estimated annual effective tax rate (ETR) applied to year-to-date operating results and specific events that are discretely recognized as they occur. In determining the estimated annual ETR, we analyze various factors, including projections of our annual earnings, taxing jurisdictions in which the earnings will be generated, the impact of state and local income taxes, our ability to use tax credits and net operating loss carryforwards, and available tax planning alternatives. Discrete items, including the effect of changes in tax laws, tax rates, and certain circumstances with respect to valuation allowances or other unusual or non-recurring tax adjustments, are reflected in the period in which they occur as an addition to, or reduction from, the income tax provision, rather than included in the estimated annual ETR.</w:t>
      </w:r>
    </w:p>
    <w:p>
      <w:pPr>
        <w:spacing w:after="0" w:line="12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 tax position is first evaluated for recognition based on its technical merits. Tax positions that have a greater than fifty percent likelihood of being realized upon ultimate settlement are then measured to determine amounts to be recognized in the financial statements. This measurement incorporates information about potential settlements with taxing authorities. A previously recognized tax position is derecognized in the first period in which the position no longer meets the more-likely-than-not recognition threshold. We classify interest expense and penalties related to uncertain tax positions and interest income on tax overpayments as part of income tax expense.</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Foreign Exchange</w:t>
      </w:r>
    </w:p>
    <w:p>
      <w:pPr>
        <w:spacing w:after="0" w:line="9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consolidated financial statements are reported in U.S. dollars. Assets and liabilities of international subsidiaries with a non-U.S. dollar functional currency are translated to U.S. dollars at the exchange rates in effect on the balance sheet date, or the last business day of the period, if applicable. Revenues and expenses for these subsidiaries are translated to U.S. dollars using a weighted average rate for the relevant reporting period. Translation adjustments resulting from this process are included, net of tax, in OCI. Gains and losses that arise from exchange rate fluctuations for monetary asset and liability balances that are not denominated in an entity’s functional currency are included within other income (expense), net in the Consolidated Statements of Operations. Currency gains and losses of intercompany balances deemed to be long-term in nature or designated as a hedge of the net investment in international subsidiaries are included, net of tax, in OCI.</w:t>
      </w:r>
    </w:p>
    <w:p>
      <w:pPr>
        <w:spacing w:after="0" w:line="22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Fair Value Measurements</w:t>
      </w:r>
    </w:p>
    <w:p>
      <w:pPr>
        <w:spacing w:after="0" w:line="9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For assets and liabilities measured at fair value, the GAAP fair value hierarchy prioritizes the inputs used in different valuation methodologies, assigning the highest priority to unadjusted quoted prices for identical assets and liabilities in actively traded markets (Level 1) and the lowest priority to unobservable inputs (Level 3). Level 2 inputs consist of quoted prices for similar assets and liabilities in active markets; quoted prices for identical or similar assets and liabilities in non-active markets; and model-derived valuations in which significant inputs are corroborated by observable market data either directly or indirectly through correlation or other means (inputs may include yield curves, volatility, credit risks, and default rates). We hold no assets or liabilities measured using Level 1 fair value inputs.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Use of Estimates</w:t>
      </w:r>
    </w:p>
    <w:p>
      <w:pPr>
        <w:spacing w:after="0" w:line="90"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The preparation of financial statements in conformity with GAAP requires management to make estimates and assumptions. These estimates and assumptions affect the reported amounts of assets and liabilities at the date of the financial statements and the reported amounts of revenues and expenses during the reporting period. Due to various factors affecting future costs and operations, actual results could differ materially from these estimates.</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New Accounting Pronouncements</w:t>
      </w:r>
    </w:p>
    <w:p>
      <w:pPr>
        <w:spacing w:after="0" w:line="90"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 xml:space="preserve">In April 2010, the FASB issued ASU 2010-13, </w:t>
      </w:r>
      <w:r>
        <w:rPr>
          <w:rFonts w:ascii="Arial" w:cs="Arial" w:eastAsia="Arial" w:hAnsi="Arial"/>
          <w:sz w:val="16"/>
          <w:szCs w:val="16"/>
          <w:i w:val="1"/>
          <w:iCs w:val="1"/>
          <w:color w:val="auto"/>
        </w:rPr>
        <w:t>Effect of Denominating the Exercise Price of a Share-Based Payment Award in the Currency of the Market in</w:t>
      </w:r>
      <w:r>
        <w:rPr>
          <w:rFonts w:ascii="Arial" w:cs="Arial" w:eastAsia="Arial" w:hAnsi="Arial"/>
          <w:sz w:val="16"/>
          <w:szCs w:val="16"/>
          <w:color w:val="auto"/>
        </w:rPr>
        <w:t xml:space="preserve"> </w:t>
      </w:r>
      <w:r>
        <w:rPr>
          <w:rFonts w:ascii="Arial" w:cs="Arial" w:eastAsia="Arial" w:hAnsi="Arial"/>
          <w:sz w:val="16"/>
          <w:szCs w:val="16"/>
          <w:i w:val="1"/>
          <w:iCs w:val="1"/>
          <w:color w:val="auto"/>
        </w:rPr>
        <w:t>Which the Underlying Equity Security Primarily Trades</w:t>
      </w:r>
      <w:r>
        <w:rPr>
          <w:rFonts w:ascii="Arial" w:cs="Arial" w:eastAsia="Arial" w:hAnsi="Arial"/>
          <w:sz w:val="16"/>
          <w:szCs w:val="16"/>
          <w:color w:val="auto"/>
        </w:rPr>
        <w:t>, to eliminate disparity in practice. ASU 2010-13 clarifies that differences between currencies of the</w:t>
      </w:r>
      <w:r>
        <w:rPr>
          <w:rFonts w:ascii="Arial" w:cs="Arial" w:eastAsia="Arial" w:hAnsi="Arial"/>
          <w:sz w:val="16"/>
          <w:szCs w:val="16"/>
          <w:i w:val="1"/>
          <w:iCs w:val="1"/>
          <w:color w:val="auto"/>
        </w:rPr>
        <w:t xml:space="preserve"> </w:t>
      </w:r>
      <w:r>
        <w:rPr>
          <w:rFonts w:ascii="Arial" w:cs="Arial" w:eastAsia="Arial" w:hAnsi="Arial"/>
          <w:sz w:val="16"/>
          <w:szCs w:val="16"/>
          <w:color w:val="auto"/>
        </w:rPr>
        <w:t>underlying equity securities of the share-based payment award and the functional currency of the employer entity or the employee’s payroll currency should not be considered to contain a condition that is not a market, performance, or service condition. Therefore, an entity would not classify such an award as a liability if it otherwise qualifies as equity. This pronouncement will be effective on January 1, 2011 and will not have an impact on our consolidated financial statements as we treat this type of share-based payment award as equity.</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Note 2:</w:t>
      </w:r>
      <w:r>
        <w:rPr>
          <w:sz w:val="20"/>
          <w:szCs w:val="20"/>
          <w:color w:val="auto"/>
        </w:rPr>
        <w:tab/>
      </w:r>
      <w:r>
        <w:rPr>
          <w:rFonts w:ascii="Arial" w:cs="Arial" w:eastAsia="Arial" w:hAnsi="Arial"/>
          <w:sz w:val="16"/>
          <w:szCs w:val="16"/>
          <w:b w:val="1"/>
          <w:bCs w:val="1"/>
          <w:color w:val="auto"/>
        </w:rPr>
        <w:t>Earnings Per Share and Capital Structure</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computation of basic and diluted earnings per share (EPS):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4960" w:type="dxa"/>
            <w:vAlign w:val="bottom"/>
          </w:tcPr>
          <w:p>
            <w:pPr>
              <w:spacing w:after="0"/>
              <w:rPr>
                <w:sz w:val="19"/>
                <w:szCs w:val="19"/>
                <w:color w:val="auto"/>
              </w:rPr>
            </w:pPr>
          </w:p>
        </w:tc>
        <w:tc>
          <w:tcPr>
            <w:tcW w:w="2980" w:type="dxa"/>
            <w:vAlign w:val="bottom"/>
            <w:gridSpan w:val="5"/>
          </w:tcPr>
          <w:p>
            <w:pPr>
              <w:jc w:val="right"/>
              <w:ind w:right="52"/>
              <w:spacing w:after="0"/>
              <w:rPr>
                <w:sz w:val="20"/>
                <w:szCs w:val="20"/>
                <w:color w:val="auto"/>
              </w:rPr>
            </w:pPr>
            <w:r>
              <w:rPr>
                <w:rFonts w:ascii="Arial" w:cs="Arial" w:eastAsia="Arial" w:hAnsi="Arial"/>
                <w:sz w:val="18"/>
                <w:szCs w:val="18"/>
                <w:b w:val="1"/>
                <w:bCs w:val="1"/>
                <w:color w:val="auto"/>
                <w:w w:val="92"/>
              </w:rPr>
              <w:t>Three Months Ended September 30,</w:t>
            </w:r>
          </w:p>
        </w:tc>
        <w:tc>
          <w:tcPr>
            <w:tcW w:w="460" w:type="dxa"/>
            <w:vAlign w:val="bottom"/>
          </w:tcPr>
          <w:p>
            <w:pPr>
              <w:spacing w:after="0"/>
              <w:rPr>
                <w:sz w:val="19"/>
                <w:szCs w:val="19"/>
                <w:color w:val="auto"/>
              </w:rPr>
            </w:pPr>
          </w:p>
        </w:tc>
        <w:tc>
          <w:tcPr>
            <w:tcW w:w="3000" w:type="dxa"/>
            <w:vAlign w:val="bottom"/>
            <w:gridSpan w:val="6"/>
          </w:tcPr>
          <w:p>
            <w:pPr>
              <w:ind w:left="140"/>
              <w:spacing w:after="0"/>
              <w:rPr>
                <w:sz w:val="20"/>
                <w:szCs w:val="20"/>
                <w:color w:val="auto"/>
              </w:rPr>
            </w:pPr>
            <w:r>
              <w:rPr>
                <w:rFonts w:ascii="Arial" w:cs="Arial" w:eastAsia="Arial" w:hAnsi="Arial"/>
                <w:sz w:val="18"/>
                <w:szCs w:val="18"/>
                <w:b w:val="1"/>
                <w:bCs w:val="1"/>
                <w:color w:val="auto"/>
                <w:w w:val="95"/>
              </w:rPr>
              <w:t>Nine Months Ended September 30,</w:t>
            </w:r>
          </w:p>
        </w:tc>
      </w:tr>
      <w:tr>
        <w:trPr>
          <w:trHeight w:val="212"/>
        </w:trPr>
        <w:tc>
          <w:tcPr>
            <w:tcW w:w="20" w:type="dxa"/>
            <w:vAlign w:val="bottom"/>
          </w:tcPr>
          <w:p>
            <w:pPr>
              <w:spacing w:after="0"/>
              <w:rPr>
                <w:sz w:val="18"/>
                <w:szCs w:val="18"/>
                <w:color w:val="auto"/>
              </w:rPr>
            </w:pPr>
          </w:p>
        </w:tc>
        <w:tc>
          <w:tcPr>
            <w:tcW w:w="4960" w:type="dxa"/>
            <w:vAlign w:val="bottom"/>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52"/>
              <w:spacing w:after="0"/>
              <w:rPr>
                <w:sz w:val="20"/>
                <w:szCs w:val="20"/>
                <w:color w:val="auto"/>
              </w:rPr>
            </w:pPr>
            <w:r>
              <w:rPr>
                <w:rFonts w:ascii="Arial" w:cs="Arial" w:eastAsia="Arial" w:hAnsi="Arial"/>
                <w:sz w:val="18"/>
                <w:szCs w:val="18"/>
                <w:b w:val="1"/>
                <w:bCs w:val="1"/>
                <w:color w:val="auto"/>
              </w:rPr>
              <w:t>2010</w:t>
            </w:r>
          </w:p>
        </w:tc>
        <w:tc>
          <w:tcPr>
            <w:tcW w:w="52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52"/>
              <w:spacing w:after="0"/>
              <w:rPr>
                <w:sz w:val="20"/>
                <w:szCs w:val="20"/>
                <w:color w:val="auto"/>
              </w:rPr>
            </w:pPr>
            <w:r>
              <w:rPr>
                <w:rFonts w:ascii="Arial" w:cs="Arial" w:eastAsia="Arial" w:hAnsi="Arial"/>
                <w:sz w:val="18"/>
                <w:szCs w:val="18"/>
                <w:b w:val="1"/>
                <w:bCs w:val="1"/>
                <w:color w:val="auto"/>
              </w:rPr>
              <w:t>2009</w:t>
            </w:r>
          </w:p>
        </w:tc>
        <w:tc>
          <w:tcPr>
            <w:tcW w:w="460" w:type="dxa"/>
            <w:vAlign w:val="bottom"/>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332"/>
              <w:spacing w:after="0"/>
              <w:rPr>
                <w:sz w:val="20"/>
                <w:szCs w:val="20"/>
                <w:color w:val="auto"/>
              </w:rPr>
            </w:pPr>
            <w:r>
              <w:rPr>
                <w:rFonts w:ascii="Arial" w:cs="Arial" w:eastAsia="Arial" w:hAnsi="Arial"/>
                <w:sz w:val="18"/>
                <w:szCs w:val="18"/>
                <w:b w:val="1"/>
                <w:bCs w:val="1"/>
                <w:color w:val="auto"/>
              </w:rPr>
              <w:t>2010</w:t>
            </w:r>
          </w:p>
        </w:tc>
        <w:tc>
          <w:tcPr>
            <w:tcW w:w="520" w:type="dxa"/>
            <w:vAlign w:val="bottom"/>
            <w:tcBorders>
              <w:top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332"/>
              <w:spacing w:after="0"/>
              <w:rPr>
                <w:sz w:val="20"/>
                <w:szCs w:val="20"/>
                <w:color w:val="auto"/>
              </w:rPr>
            </w:pPr>
            <w:r>
              <w:rPr>
                <w:rFonts w:ascii="Arial" w:cs="Arial" w:eastAsia="Arial" w:hAnsi="Arial"/>
                <w:sz w:val="18"/>
                <w:szCs w:val="18"/>
                <w:b w:val="1"/>
                <w:bCs w:val="1"/>
                <w:color w:val="auto"/>
              </w:rPr>
              <w:t>2009</w:t>
            </w:r>
          </w:p>
        </w:tc>
        <w:tc>
          <w:tcPr>
            <w:tcW w:w="10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4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40" w:type="dxa"/>
            <w:vAlign w:val="bottom"/>
            <w:gridSpan w:val="2"/>
          </w:tcPr>
          <w:p>
            <w:pPr>
              <w:jc w:val="right"/>
              <w:ind w:right="52"/>
              <w:spacing w:after="0"/>
              <w:rPr>
                <w:sz w:val="20"/>
                <w:szCs w:val="20"/>
                <w:color w:val="auto"/>
              </w:rPr>
            </w:pPr>
            <w:r>
              <w:rPr>
                <w:rFonts w:ascii="Arial" w:cs="Arial" w:eastAsia="Arial" w:hAnsi="Arial"/>
                <w:sz w:val="18"/>
                <w:szCs w:val="18"/>
                <w:b w:val="1"/>
                <w:bCs w:val="1"/>
                <w:color w:val="auto"/>
                <w:w w:val="87"/>
              </w:rPr>
              <w:t>(in thousands,</w:t>
            </w:r>
          </w:p>
        </w:tc>
        <w:tc>
          <w:tcPr>
            <w:tcW w:w="460" w:type="dxa"/>
            <w:vAlign w:val="bottom"/>
          </w:tcPr>
          <w:p>
            <w:pPr>
              <w:spacing w:after="0"/>
              <w:rPr>
                <w:sz w:val="20"/>
                <w:szCs w:val="20"/>
                <w:color w:val="auto"/>
              </w:rPr>
            </w:pPr>
            <w:r>
              <w:rPr>
                <w:rFonts w:ascii="Arial" w:cs="Arial" w:eastAsia="Arial" w:hAnsi="Arial"/>
                <w:sz w:val="18"/>
                <w:szCs w:val="18"/>
                <w:b w:val="1"/>
                <w:bCs w:val="1"/>
                <w:color w:val="auto"/>
                <w:w w:val="77"/>
              </w:rPr>
              <w:t>except</w:t>
            </w:r>
          </w:p>
        </w:tc>
        <w:tc>
          <w:tcPr>
            <w:tcW w:w="1180" w:type="dxa"/>
            <w:vAlign w:val="bottom"/>
            <w:gridSpan w:val="2"/>
          </w:tcPr>
          <w:p>
            <w:pPr>
              <w:jc w:val="right"/>
              <w:spacing w:after="0"/>
              <w:rPr>
                <w:sz w:val="20"/>
                <w:szCs w:val="20"/>
                <w:color w:val="auto"/>
              </w:rPr>
            </w:pPr>
            <w:r>
              <w:rPr>
                <w:rFonts w:ascii="Arial" w:cs="Arial" w:eastAsia="Arial" w:hAnsi="Arial"/>
                <w:sz w:val="18"/>
                <w:szCs w:val="18"/>
                <w:b w:val="1"/>
                <w:bCs w:val="1"/>
                <w:color w:val="auto"/>
                <w:w w:val="85"/>
              </w:rPr>
              <w:t>per share data)</w:t>
            </w: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available to common shareholders</w:t>
            </w:r>
          </w:p>
        </w:tc>
        <w:tc>
          <w:tcPr>
            <w:tcW w:w="3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29,108</w:t>
            </w:r>
          </w:p>
        </w:tc>
        <w:tc>
          <w:tcPr>
            <w:tcW w:w="84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(2,962)</w:t>
            </w:r>
          </w:p>
        </w:tc>
        <w:tc>
          <w:tcPr>
            <w:tcW w:w="76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82,795</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(7,402)</w:t>
            </w:r>
          </w:p>
        </w:tc>
        <w:tc>
          <w:tcPr>
            <w:tcW w:w="100" w:type="dxa"/>
            <w:vAlign w:val="bottom"/>
            <w:shd w:val="clear" w:color="auto" w:fill="CCEEFF"/>
          </w:tcPr>
          <w:p>
            <w:pPr>
              <w:spacing w:after="0"/>
              <w:rPr>
                <w:sz w:val="18"/>
                <w:szCs w:val="18"/>
                <w:color w:val="auto"/>
              </w:rPr>
            </w:pPr>
          </w:p>
        </w:tc>
      </w:tr>
      <w:tr>
        <w:trPr>
          <w:trHeight w:val="323"/>
        </w:trPr>
        <w:tc>
          <w:tcPr>
            <w:tcW w:w="4980" w:type="dxa"/>
            <w:vAlign w:val="bottom"/>
            <w:gridSpan w:val="2"/>
          </w:tcPr>
          <w:p>
            <w:pPr>
              <w:spacing w:after="0"/>
              <w:rPr>
                <w:sz w:val="20"/>
                <w:szCs w:val="20"/>
                <w:color w:val="auto"/>
              </w:rPr>
            </w:pPr>
            <w:r>
              <w:rPr>
                <w:rFonts w:ascii="Arial" w:cs="Arial" w:eastAsia="Arial" w:hAnsi="Arial"/>
                <w:sz w:val="18"/>
                <w:szCs w:val="18"/>
                <w:color w:val="auto"/>
              </w:rPr>
              <w:t>Weighted average common shares outstanding-Basic</w:t>
            </w:r>
          </w:p>
        </w:tc>
        <w:tc>
          <w:tcPr>
            <w:tcW w:w="300" w:type="dxa"/>
            <w:vAlign w:val="bottom"/>
          </w:tcPr>
          <w:p>
            <w:pPr>
              <w:spacing w:after="0"/>
              <w:rPr>
                <w:sz w:val="24"/>
                <w:szCs w:val="24"/>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40,400</w:t>
            </w:r>
          </w:p>
        </w:tc>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40,039</w:t>
            </w: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40,307</w:t>
            </w: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38,003</w:t>
            </w:r>
          </w:p>
        </w:tc>
        <w:tc>
          <w:tcPr>
            <w:tcW w:w="100" w:type="dxa"/>
            <w:vAlign w:val="bottom"/>
          </w:tcPr>
          <w:p>
            <w:pPr>
              <w:spacing w:after="0"/>
              <w:rPr>
                <w:sz w:val="24"/>
                <w:szCs w:val="24"/>
                <w:color w:val="auto"/>
              </w:rPr>
            </w:pPr>
          </w:p>
        </w:tc>
      </w:tr>
      <w:tr>
        <w:trPr>
          <w:trHeight w:val="217"/>
        </w:trPr>
        <w:tc>
          <w:tcPr>
            <w:tcW w:w="20" w:type="dxa"/>
            <w:vAlign w:val="bottom"/>
          </w:tcPr>
          <w:p>
            <w:pPr>
              <w:spacing w:after="0"/>
              <w:rPr>
                <w:sz w:val="18"/>
                <w:szCs w:val="18"/>
                <w:color w:val="auto"/>
              </w:rPr>
            </w:pPr>
          </w:p>
        </w:tc>
        <w:tc>
          <w:tcPr>
            <w:tcW w:w="4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Dilutive effect of convertible notes</w:t>
            </w: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138</w:t>
            </w:r>
          </w:p>
        </w:tc>
        <w:tc>
          <w:tcPr>
            <w:tcW w:w="5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960" w:type="dxa"/>
            <w:vAlign w:val="bottom"/>
          </w:tcPr>
          <w:p>
            <w:pPr>
              <w:ind w:left="420"/>
              <w:spacing w:after="0"/>
              <w:rPr>
                <w:sz w:val="20"/>
                <w:szCs w:val="20"/>
                <w:color w:val="auto"/>
              </w:rPr>
            </w:pPr>
            <w:r>
              <w:rPr>
                <w:rFonts w:ascii="Arial" w:cs="Arial" w:eastAsia="Arial" w:hAnsi="Arial"/>
                <w:sz w:val="18"/>
                <w:szCs w:val="18"/>
                <w:color w:val="auto"/>
              </w:rPr>
              <w:t>Dilutive effect of stock-based awards</w:t>
            </w: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428</w:t>
            </w:r>
          </w:p>
        </w:tc>
        <w:tc>
          <w:tcPr>
            <w:tcW w:w="5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505</w:t>
            </w:r>
          </w:p>
        </w:tc>
        <w:tc>
          <w:tcPr>
            <w:tcW w:w="5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common shares outstanding-Diluted</w:t>
            </w:r>
          </w:p>
        </w:tc>
        <w:tc>
          <w:tcPr>
            <w:tcW w:w="3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40,828</w:t>
            </w:r>
          </w:p>
        </w:tc>
        <w:tc>
          <w:tcPr>
            <w:tcW w:w="5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40,039</w:t>
            </w:r>
          </w:p>
        </w:tc>
        <w:tc>
          <w:tcPr>
            <w:tcW w:w="46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40,950</w:t>
            </w:r>
          </w:p>
        </w:tc>
        <w:tc>
          <w:tcPr>
            <w:tcW w:w="5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38,003</w:t>
            </w:r>
          </w:p>
        </w:tc>
        <w:tc>
          <w:tcPr>
            <w:tcW w:w="100" w:type="dxa"/>
            <w:vAlign w:val="bottom"/>
            <w:shd w:val="clear" w:color="auto" w:fill="CCEEFF"/>
          </w:tcPr>
          <w:p>
            <w:pPr>
              <w:spacing w:after="0"/>
              <w:rPr>
                <w:sz w:val="18"/>
                <w:szCs w:val="18"/>
                <w:color w:val="auto"/>
              </w:rPr>
            </w:pPr>
          </w:p>
        </w:tc>
      </w:tr>
      <w:tr>
        <w:trPr>
          <w:trHeight w:val="222"/>
        </w:trPr>
        <w:tc>
          <w:tcPr>
            <w:tcW w:w="4980" w:type="dxa"/>
            <w:vAlign w:val="bottom"/>
            <w:gridSpan w:val="2"/>
          </w:tcPr>
          <w:p>
            <w:pPr>
              <w:spacing w:after="0"/>
              <w:rPr>
                <w:sz w:val="20"/>
                <w:szCs w:val="20"/>
                <w:color w:val="auto"/>
              </w:rPr>
            </w:pPr>
            <w:r>
              <w:rPr>
                <w:rFonts w:ascii="Arial" w:cs="Arial" w:eastAsia="Arial" w:hAnsi="Arial"/>
                <w:sz w:val="18"/>
                <w:szCs w:val="18"/>
                <w:color w:val="auto"/>
              </w:rPr>
              <w:t>Earnings (loss) per common share-Basic</w:t>
            </w:r>
          </w:p>
        </w:tc>
        <w:tc>
          <w:tcPr>
            <w:tcW w:w="30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0.72</w:t>
            </w:r>
          </w:p>
        </w:tc>
        <w:tc>
          <w:tcPr>
            <w:tcW w:w="840" w:type="dxa"/>
            <w:vAlign w:val="bottom"/>
            <w:gridSpan w:val="2"/>
          </w:tcPr>
          <w:p>
            <w:pPr>
              <w:jc w:val="right"/>
              <w:ind w:right="52"/>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(0.07)</w:t>
            </w:r>
          </w:p>
        </w:tc>
        <w:tc>
          <w:tcPr>
            <w:tcW w:w="760" w:type="dxa"/>
            <w:vAlign w:val="bottom"/>
            <w:gridSpan w:val="2"/>
          </w:tcPr>
          <w:p>
            <w:pPr>
              <w:jc w:val="right"/>
              <w:ind w:right="32"/>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2.05</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(0.19)</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Earnings (loss) per common share-Diluted</w:t>
            </w:r>
          </w:p>
        </w:tc>
        <w:tc>
          <w:tcPr>
            <w:tcW w:w="3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0.71</w:t>
            </w:r>
          </w:p>
        </w:tc>
        <w:tc>
          <w:tcPr>
            <w:tcW w:w="84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(0.07)</w:t>
            </w:r>
          </w:p>
        </w:tc>
        <w:tc>
          <w:tcPr>
            <w:tcW w:w="76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2.02</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(0.19)</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Convertible Notes</w:t>
      </w:r>
    </w:p>
    <w:p>
      <w:pPr>
        <w:spacing w:after="0" w:line="90" w:lineRule="exact"/>
        <w:rPr>
          <w:sz w:val="20"/>
          <w:szCs w:val="20"/>
          <w:color w:val="auto"/>
        </w:rPr>
      </w:pPr>
    </w:p>
    <w:p>
      <w:pPr>
        <w:jc w:val="both"/>
        <w:spacing w:after="0" w:line="312" w:lineRule="auto"/>
        <w:rPr>
          <w:sz w:val="20"/>
          <w:szCs w:val="20"/>
          <w:color w:val="auto"/>
        </w:rPr>
      </w:pPr>
      <w:r>
        <w:rPr>
          <w:rFonts w:ascii="Arial" w:cs="Arial" w:eastAsia="Arial" w:hAnsi="Arial"/>
          <w:sz w:val="15"/>
          <w:szCs w:val="15"/>
          <w:color w:val="auto"/>
        </w:rPr>
        <w:t>We are required, pursuant to the indenture for the convertible notes, to settle the principal amount of the convertible notes in cash and may elect to settle the remaining conversion obligation (stock price in excess of conversion price) in cash, shares, or a combination. We include in the EPS calculation the amount of shares it would take to satisfy the conversion obligation, assuming that all of the convertible notes are converted. The average closing prices of our common stock for the three and nine months ended September 30, 2010 and 2009 were used as the basis for determining the dilutive effect on EPS. The average price of our common stock for the nine months ended September 30, 2010 exceeded the conversion price of $65.16 and, therefore, approximately 138,000 shares have been included in the diluted EPS calculation for that period. The average price of our common stock for the three months ended September 30, 2010 and the three and nine months ended September 30, 2009 did not exceed the conversion price of $65.16 and, therefore, did not have an effect on diluted shares outstanding.</w:t>
      </w:r>
    </w:p>
    <w:p>
      <w:pPr>
        <w:spacing w:after="0" w:line="18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Stock-based Awards</w:t>
      </w:r>
    </w:p>
    <w:p>
      <w:pPr>
        <w:spacing w:after="0" w:line="9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For stock-based awards, the dilutive effect is calculated using the treasury stock method. Under this method, the dilutive effect is computed as if the awards were exercised at the beginning of the period (or at time of issuance, if later) and assumes the related proceeds were used to repurchase common stock at the average market price during the period. Related proceeds include the amount the employee must pay upon exercise, future compensation cost associated with the stock award, and the amount of excess tax benefits, if any. Approximately 526,000 and 1.0 million stock-based awards were excluded from the calculation of diluted EPS for the three months ended September 30, 2010 and 2009, and approximately 432,000 and 1.0 million stock-based awards were excluded from the calculation of diluted EPS for the nine months ended September 30, 2010 and 2009 because they were anti-dilutive. These stock-based awards could be dilutive in future periods.</w:t>
      </w:r>
    </w:p>
    <w:p>
      <w:pPr>
        <w:spacing w:after="0" w:line="22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Preferred Stock</w:t>
      </w:r>
    </w:p>
    <w:p>
      <w:pPr>
        <w:spacing w:after="0" w:line="9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authorized the issuance of 10 million shares of preferred stock with no par value. In the event of a liquidation, dissolution, or winding up of the affairs of the corporation, whether voluntary or involuntary, the holders of any outstanding preferred stock will be entitled to be paid a preferential amount per share to be determined by the Board of Directors prior to any payment to holders of common stock. Shares of preferred stock may be converted into common stock based on terms, conditions, and rates as defined in the Rights Agreement, which may be adjusted by the Board of Directors. There was no preferred stock sold or outstanding at September 30, 2010 and December 31, 2009.</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Note 3:</w:t>
      </w:r>
      <w:r>
        <w:rPr>
          <w:sz w:val="20"/>
          <w:szCs w:val="20"/>
          <w:color w:val="auto"/>
        </w:rPr>
        <w:tab/>
      </w:r>
      <w:r>
        <w:rPr>
          <w:rFonts w:ascii="Arial" w:cs="Arial" w:eastAsia="Arial" w:hAnsi="Arial"/>
          <w:sz w:val="15"/>
          <w:szCs w:val="15"/>
          <w:b w:val="1"/>
          <w:bCs w:val="1"/>
          <w:color w:val="auto"/>
        </w:rPr>
        <w:t>Certain Balance Sheet Components</w:t>
      </w:r>
    </w:p>
    <w:p>
      <w:pPr>
        <w:spacing w:after="0" w:line="96" w:lineRule="exact"/>
        <w:rPr>
          <w:sz w:val="20"/>
          <w:szCs w:val="20"/>
          <w:color w:val="auto"/>
        </w:rPr>
      </w:pPr>
    </w:p>
    <w:tbl>
      <w:tblPr>
        <w:tblLayout w:type="fixed"/>
        <w:tblInd w:w="240" w:type="dxa"/>
        <w:tblCellMar>
          <w:top w:w="0" w:type="dxa"/>
          <w:left w:w="0" w:type="dxa"/>
          <w:bottom w:w="0" w:type="dxa"/>
          <w:right w:w="0" w:type="dxa"/>
        </w:tblCellMar>
      </w:tblPr>
      <w:tr>
        <w:trPr>
          <w:trHeight w:val="222"/>
        </w:trPr>
        <w:tc>
          <w:tcPr>
            <w:tcW w:w="7120" w:type="dxa"/>
            <w:vAlign w:val="bottom"/>
            <w:gridSpan w:val="2"/>
          </w:tcPr>
          <w:p>
            <w:pPr>
              <w:spacing w:after="0"/>
              <w:rPr>
                <w:sz w:val="20"/>
                <w:szCs w:val="20"/>
                <w:color w:val="auto"/>
              </w:rPr>
            </w:pPr>
            <w:r>
              <w:rPr>
                <w:rFonts w:ascii="Arial" w:cs="Arial" w:eastAsia="Arial" w:hAnsi="Arial"/>
                <w:sz w:val="18"/>
                <w:szCs w:val="18"/>
                <w:i w:val="1"/>
                <w:iCs w:val="1"/>
                <w:color w:val="auto"/>
              </w:rPr>
              <w:t>Accounts receivable, net</w:t>
            </w:r>
          </w:p>
        </w:tc>
        <w:tc>
          <w:tcPr>
            <w:tcW w:w="4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419"/>
        </w:trPr>
        <w:tc>
          <w:tcPr>
            <w:tcW w:w="220" w:type="dxa"/>
            <w:vAlign w:val="bottom"/>
          </w:tcPr>
          <w:p>
            <w:pPr>
              <w:spacing w:after="0"/>
              <w:rPr>
                <w:sz w:val="24"/>
                <w:szCs w:val="24"/>
                <w:color w:val="auto"/>
              </w:rPr>
            </w:pPr>
          </w:p>
        </w:tc>
        <w:tc>
          <w:tcPr>
            <w:tcW w:w="6900" w:type="dxa"/>
            <w:vAlign w:val="bottom"/>
          </w:tcPr>
          <w:p>
            <w:pPr>
              <w:spacing w:after="0"/>
              <w:rPr>
                <w:sz w:val="24"/>
                <w:szCs w:val="24"/>
                <w:color w:val="auto"/>
              </w:rPr>
            </w:pPr>
          </w:p>
        </w:tc>
        <w:tc>
          <w:tcPr>
            <w:tcW w:w="1660" w:type="dxa"/>
            <w:vAlign w:val="bottom"/>
            <w:gridSpan w:val="2"/>
          </w:tcPr>
          <w:p>
            <w:pPr>
              <w:jc w:val="right"/>
              <w:ind w:right="92"/>
              <w:spacing w:after="0"/>
              <w:rPr>
                <w:sz w:val="20"/>
                <w:szCs w:val="20"/>
                <w:color w:val="auto"/>
              </w:rPr>
            </w:pPr>
            <w:r>
              <w:rPr>
                <w:rFonts w:ascii="Arial" w:cs="Arial" w:eastAsia="Arial" w:hAnsi="Arial"/>
                <w:sz w:val="18"/>
                <w:szCs w:val="18"/>
                <w:b w:val="1"/>
                <w:bCs w:val="1"/>
                <w:color w:val="auto"/>
                <w:w w:val="99"/>
              </w:rPr>
              <w:t>At September 30,</w:t>
            </w:r>
          </w:p>
        </w:tc>
        <w:tc>
          <w:tcPr>
            <w:tcW w:w="260" w:type="dxa"/>
            <w:vAlign w:val="bottom"/>
          </w:tcPr>
          <w:p>
            <w:pPr>
              <w:spacing w:after="0"/>
              <w:rPr>
                <w:sz w:val="24"/>
                <w:szCs w:val="24"/>
                <w:color w:val="auto"/>
              </w:rPr>
            </w:pPr>
          </w:p>
        </w:tc>
        <w:tc>
          <w:tcPr>
            <w:tcW w:w="1680" w:type="dxa"/>
            <w:vAlign w:val="bottom"/>
            <w:gridSpan w:val="3"/>
          </w:tcPr>
          <w:p>
            <w:pPr>
              <w:ind w:left="160"/>
              <w:spacing w:after="0"/>
              <w:rPr>
                <w:sz w:val="20"/>
                <w:szCs w:val="20"/>
                <w:color w:val="auto"/>
              </w:rPr>
            </w:pPr>
            <w:r>
              <w:rPr>
                <w:rFonts w:ascii="Arial" w:cs="Arial" w:eastAsia="Arial" w:hAnsi="Arial"/>
                <w:sz w:val="18"/>
                <w:szCs w:val="18"/>
                <w:b w:val="1"/>
                <w:bCs w:val="1"/>
                <w:color w:val="auto"/>
              </w:rPr>
              <w:t>At December 31,</w:t>
            </w:r>
          </w:p>
        </w:tc>
      </w:tr>
      <w:tr>
        <w:trPr>
          <w:trHeight w:val="293"/>
        </w:trPr>
        <w:tc>
          <w:tcPr>
            <w:tcW w:w="220" w:type="dxa"/>
            <w:vAlign w:val="bottom"/>
          </w:tcPr>
          <w:p>
            <w:pPr>
              <w:spacing w:after="0"/>
              <w:rPr>
                <w:sz w:val="24"/>
                <w:szCs w:val="24"/>
                <w:color w:val="auto"/>
              </w:rPr>
            </w:pPr>
          </w:p>
        </w:tc>
        <w:tc>
          <w:tcPr>
            <w:tcW w:w="690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572"/>
              <w:spacing w:after="0"/>
              <w:rPr>
                <w:sz w:val="20"/>
                <w:szCs w:val="20"/>
                <w:color w:val="auto"/>
              </w:rPr>
            </w:pPr>
            <w:r>
              <w:rPr>
                <w:rFonts w:ascii="Arial" w:cs="Arial" w:eastAsia="Arial" w:hAnsi="Arial"/>
                <w:sz w:val="18"/>
                <w:szCs w:val="18"/>
                <w:b w:val="1"/>
                <w:bCs w:val="1"/>
                <w:color w:val="auto"/>
              </w:rPr>
              <w:t>2010</w:t>
            </w:r>
          </w:p>
        </w:tc>
        <w:tc>
          <w:tcPr>
            <w:tcW w:w="26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532"/>
              <w:spacing w:after="0"/>
              <w:rPr>
                <w:sz w:val="20"/>
                <w:szCs w:val="20"/>
                <w:color w:val="auto"/>
              </w:rPr>
            </w:pPr>
            <w:r>
              <w:rPr>
                <w:rFonts w:ascii="Arial" w:cs="Arial" w:eastAsia="Arial" w:hAnsi="Arial"/>
                <w:sz w:val="18"/>
                <w:szCs w:val="18"/>
                <w:b w:val="1"/>
                <w:bCs w:val="1"/>
                <w:color w:val="auto"/>
              </w:rPr>
              <w:t>2009</w:t>
            </w:r>
          </w:p>
        </w:tc>
        <w:tc>
          <w:tcPr>
            <w:tcW w:w="100" w:type="dxa"/>
            <w:vAlign w:val="bottom"/>
          </w:tcPr>
          <w:p>
            <w:pPr>
              <w:spacing w:after="0"/>
              <w:rPr>
                <w:sz w:val="24"/>
                <w:szCs w:val="24"/>
                <w:color w:val="auto"/>
              </w:rPr>
            </w:pPr>
          </w:p>
        </w:tc>
      </w:tr>
      <w:tr>
        <w:trPr>
          <w:trHeight w:val="216"/>
        </w:trPr>
        <w:tc>
          <w:tcPr>
            <w:tcW w:w="220" w:type="dxa"/>
            <w:vAlign w:val="bottom"/>
          </w:tcPr>
          <w:p>
            <w:pPr>
              <w:spacing w:after="0"/>
              <w:rPr>
                <w:sz w:val="18"/>
                <w:szCs w:val="18"/>
                <w:color w:val="auto"/>
              </w:rPr>
            </w:pPr>
          </w:p>
        </w:tc>
        <w:tc>
          <w:tcPr>
            <w:tcW w:w="69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40" w:type="dxa"/>
            <w:vAlign w:val="bottom"/>
          </w:tcPr>
          <w:p>
            <w:pPr>
              <w:jc w:val="right"/>
              <w:ind w:right="152"/>
              <w:spacing w:after="0"/>
              <w:rPr>
                <w:sz w:val="20"/>
                <w:szCs w:val="20"/>
                <w:color w:val="auto"/>
              </w:rPr>
            </w:pPr>
            <w:r>
              <w:rPr>
                <w:rFonts w:ascii="Arial" w:cs="Arial" w:eastAsia="Arial" w:hAnsi="Arial"/>
                <w:sz w:val="18"/>
                <w:szCs w:val="18"/>
                <w:b w:val="1"/>
                <w:bCs w:val="1"/>
                <w:color w:val="auto"/>
              </w:rPr>
              <w:t>(in</w:t>
            </w:r>
          </w:p>
        </w:tc>
        <w:tc>
          <w:tcPr>
            <w:tcW w:w="760" w:type="dxa"/>
            <w:vAlign w:val="bottom"/>
            <w:gridSpan w:val="2"/>
          </w:tcPr>
          <w:p>
            <w:pPr>
              <w:jc w:val="right"/>
              <w:ind w:right="32"/>
              <w:spacing w:after="0"/>
              <w:rPr>
                <w:sz w:val="20"/>
                <w:szCs w:val="20"/>
                <w:color w:val="auto"/>
              </w:rPr>
            </w:pPr>
            <w:r>
              <w:rPr>
                <w:rFonts w:ascii="Arial" w:cs="Arial" w:eastAsia="Arial" w:hAnsi="Arial"/>
                <w:sz w:val="16"/>
                <w:szCs w:val="16"/>
                <w:b w:val="1"/>
                <w:bCs w:val="1"/>
                <w:color w:val="auto"/>
                <w:w w:val="71"/>
              </w:rPr>
              <w:t>thousands)</w:t>
            </w: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20" w:type="dxa"/>
            <w:vAlign w:val="bottom"/>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Trade receivables (net of allowance of $5,766 and $6,339)</w:t>
            </w:r>
          </w:p>
        </w:tc>
        <w:tc>
          <w:tcPr>
            <w:tcW w:w="42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343,358</w:t>
            </w:r>
          </w:p>
        </w:tc>
        <w:tc>
          <w:tcPr>
            <w:tcW w:w="760" w:type="dxa"/>
            <w:vAlign w:val="bottom"/>
            <w:gridSpan w:val="2"/>
            <w:shd w:val="clear" w:color="auto" w:fill="CCEEFF"/>
          </w:tcPr>
          <w:p>
            <w:pPr>
              <w:jc w:val="right"/>
              <w:ind w:right="252"/>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319,237</w:t>
            </w:r>
          </w:p>
        </w:tc>
        <w:tc>
          <w:tcPr>
            <w:tcW w:w="100" w:type="dxa"/>
            <w:vAlign w:val="bottom"/>
            <w:shd w:val="clear" w:color="auto" w:fill="CCEEFF"/>
          </w:tcPr>
          <w:p>
            <w:pPr>
              <w:spacing w:after="0"/>
              <w:rPr>
                <w:sz w:val="18"/>
                <w:szCs w:val="18"/>
                <w:color w:val="auto"/>
              </w:rPr>
            </w:pPr>
          </w:p>
        </w:tc>
      </w:tr>
      <w:tr>
        <w:trPr>
          <w:trHeight w:val="223"/>
        </w:trPr>
        <w:tc>
          <w:tcPr>
            <w:tcW w:w="220" w:type="dxa"/>
            <w:vAlign w:val="bottom"/>
          </w:tcPr>
          <w:p>
            <w:pPr>
              <w:spacing w:after="0"/>
              <w:rPr>
                <w:sz w:val="19"/>
                <w:szCs w:val="19"/>
                <w:color w:val="auto"/>
              </w:rPr>
            </w:pPr>
          </w:p>
        </w:tc>
        <w:tc>
          <w:tcPr>
            <w:tcW w:w="6900" w:type="dxa"/>
            <w:vAlign w:val="bottom"/>
          </w:tcPr>
          <w:p>
            <w:pPr>
              <w:spacing w:after="0"/>
              <w:rPr>
                <w:sz w:val="20"/>
                <w:szCs w:val="20"/>
                <w:color w:val="auto"/>
              </w:rPr>
            </w:pPr>
            <w:r>
              <w:rPr>
                <w:rFonts w:ascii="Arial" w:cs="Arial" w:eastAsia="Arial" w:hAnsi="Arial"/>
                <w:sz w:val="18"/>
                <w:szCs w:val="18"/>
                <w:color w:val="auto"/>
              </w:rPr>
              <w:t>Unbilled receivables</w:t>
            </w:r>
          </w:p>
        </w:tc>
        <w:tc>
          <w:tcPr>
            <w:tcW w:w="4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40,456</w:t>
            </w:r>
          </w:p>
        </w:tc>
        <w:tc>
          <w:tcPr>
            <w:tcW w:w="26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18,711</w:t>
            </w:r>
          </w:p>
        </w:tc>
        <w:tc>
          <w:tcPr>
            <w:tcW w:w="100" w:type="dxa"/>
            <w:vAlign w:val="bottom"/>
          </w:tcPr>
          <w:p>
            <w:pPr>
              <w:spacing w:after="0"/>
              <w:rPr>
                <w:sz w:val="19"/>
                <w:szCs w:val="19"/>
                <w:color w:val="auto"/>
              </w:rPr>
            </w:pPr>
          </w:p>
        </w:tc>
      </w:tr>
      <w:tr>
        <w:trPr>
          <w:trHeight w:val="216"/>
        </w:trPr>
        <w:tc>
          <w:tcPr>
            <w:tcW w:w="220" w:type="dxa"/>
            <w:vAlign w:val="bottom"/>
          </w:tcPr>
          <w:p>
            <w:pPr>
              <w:spacing w:after="0"/>
              <w:rPr>
                <w:sz w:val="18"/>
                <w:szCs w:val="18"/>
                <w:color w:val="auto"/>
              </w:rPr>
            </w:pPr>
          </w:p>
        </w:tc>
        <w:tc>
          <w:tcPr>
            <w:tcW w:w="69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accounts receivable, net</w:t>
            </w:r>
          </w:p>
        </w:tc>
        <w:tc>
          <w:tcPr>
            <w:tcW w:w="42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383,814</w:t>
            </w:r>
          </w:p>
        </w:tc>
        <w:tc>
          <w:tcPr>
            <w:tcW w:w="760" w:type="dxa"/>
            <w:vAlign w:val="bottom"/>
            <w:gridSpan w:val="2"/>
            <w:shd w:val="clear" w:color="auto" w:fill="CCEEFF"/>
          </w:tcPr>
          <w:p>
            <w:pPr>
              <w:jc w:val="right"/>
              <w:ind w:right="252"/>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337,948</w:t>
            </w:r>
          </w:p>
        </w:tc>
        <w:tc>
          <w:tcPr>
            <w:tcW w:w="100" w:type="dxa"/>
            <w:vAlign w:val="bottom"/>
            <w:shd w:val="clear" w:color="auto" w:fill="CCEEFF"/>
          </w:tcPr>
          <w:p>
            <w:pPr>
              <w:spacing w:after="0"/>
              <w:rPr>
                <w:sz w:val="18"/>
                <w:szCs w:val="18"/>
                <w:color w:val="auto"/>
              </w:rPr>
            </w:pPr>
          </w:p>
        </w:tc>
      </w:tr>
      <w:tr>
        <w:trPr>
          <w:trHeight w:val="20"/>
        </w:trPr>
        <w:tc>
          <w:tcPr>
            <w:tcW w:w="220" w:type="dxa"/>
            <w:vAlign w:val="bottom"/>
          </w:tcPr>
          <w:p>
            <w:pPr>
              <w:spacing w:after="0" w:line="20" w:lineRule="exact"/>
              <w:rPr>
                <w:sz w:val="1"/>
                <w:szCs w:val="1"/>
                <w:color w:val="auto"/>
              </w:rPr>
            </w:pPr>
          </w:p>
        </w:tc>
        <w:tc>
          <w:tcPr>
            <w:tcW w:w="69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840" w:type="dxa"/>
            <w:vAlign w:val="bottom"/>
            <w:gridSpan w:val="3"/>
          </w:tcPr>
          <w:p>
            <w:pPr>
              <w:spacing w:after="0"/>
              <w:rPr>
                <w:sz w:val="20"/>
                <w:szCs w:val="20"/>
                <w:color w:val="auto"/>
              </w:rPr>
            </w:pPr>
            <w:r>
              <w:rPr>
                <w:rFonts w:ascii="Arial" w:cs="Arial" w:eastAsia="Arial" w:hAnsi="Arial"/>
                <w:sz w:val="18"/>
                <w:szCs w:val="18"/>
                <w:color w:val="auto"/>
              </w:rPr>
              <w:t>A summary of the allowance for doubtful accounts activity is as follows:</w:t>
            </w:r>
          </w:p>
        </w:tc>
        <w:tc>
          <w:tcPr>
            <w:tcW w:w="4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419"/>
        </w:trPr>
        <w:tc>
          <w:tcPr>
            <w:tcW w:w="20" w:type="dxa"/>
            <w:vAlign w:val="bottom"/>
          </w:tcPr>
          <w:p>
            <w:pPr>
              <w:spacing w:after="0"/>
              <w:rPr>
                <w:sz w:val="24"/>
                <w:szCs w:val="24"/>
                <w:color w:val="auto"/>
              </w:rPr>
            </w:pPr>
          </w:p>
        </w:tc>
        <w:tc>
          <w:tcPr>
            <w:tcW w:w="4960" w:type="dxa"/>
            <w:vAlign w:val="bottom"/>
          </w:tcPr>
          <w:p>
            <w:pPr>
              <w:spacing w:after="0"/>
              <w:rPr>
                <w:sz w:val="24"/>
                <w:szCs w:val="24"/>
                <w:color w:val="auto"/>
              </w:rPr>
            </w:pPr>
          </w:p>
        </w:tc>
        <w:tc>
          <w:tcPr>
            <w:tcW w:w="3100" w:type="dxa"/>
            <w:vAlign w:val="bottom"/>
            <w:gridSpan w:val="5"/>
          </w:tcPr>
          <w:p>
            <w:pPr>
              <w:jc w:val="right"/>
              <w:ind w:right="112"/>
              <w:spacing w:after="0"/>
              <w:rPr>
                <w:sz w:val="20"/>
                <w:szCs w:val="20"/>
                <w:color w:val="auto"/>
              </w:rPr>
            </w:pPr>
            <w:r>
              <w:rPr>
                <w:rFonts w:ascii="Arial" w:cs="Arial" w:eastAsia="Arial" w:hAnsi="Arial"/>
                <w:sz w:val="18"/>
                <w:szCs w:val="18"/>
                <w:b w:val="1"/>
                <w:bCs w:val="1"/>
                <w:color w:val="auto"/>
                <w:w w:val="94"/>
              </w:rPr>
              <w:t>Three Months Ended September 30,</w:t>
            </w: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920" w:type="dxa"/>
            <w:vAlign w:val="bottom"/>
            <w:gridSpan w:val="5"/>
          </w:tcPr>
          <w:p>
            <w:pPr>
              <w:ind w:left="20"/>
              <w:spacing w:after="0"/>
              <w:rPr>
                <w:sz w:val="20"/>
                <w:szCs w:val="20"/>
                <w:color w:val="auto"/>
              </w:rPr>
            </w:pPr>
            <w:r>
              <w:rPr>
                <w:rFonts w:ascii="Arial" w:cs="Arial" w:eastAsia="Arial" w:hAnsi="Arial"/>
                <w:sz w:val="18"/>
                <w:szCs w:val="18"/>
                <w:b w:val="1"/>
                <w:bCs w:val="1"/>
                <w:color w:val="auto"/>
                <w:w w:val="97"/>
              </w:rPr>
              <w:t>Nine Months Ended September 30,</w:t>
            </w:r>
          </w:p>
        </w:tc>
      </w:tr>
      <w:tr>
        <w:trPr>
          <w:trHeight w:val="212"/>
        </w:trPr>
        <w:tc>
          <w:tcPr>
            <w:tcW w:w="20" w:type="dxa"/>
            <w:vAlign w:val="bottom"/>
          </w:tcPr>
          <w:p>
            <w:pPr>
              <w:spacing w:after="0"/>
              <w:rPr>
                <w:sz w:val="18"/>
                <w:szCs w:val="18"/>
                <w:color w:val="auto"/>
              </w:rPr>
            </w:pPr>
          </w:p>
        </w:tc>
        <w:tc>
          <w:tcPr>
            <w:tcW w:w="4960" w:type="dxa"/>
            <w:vAlign w:val="bottom"/>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2010</w:t>
            </w:r>
          </w:p>
        </w:tc>
        <w:tc>
          <w:tcPr>
            <w:tcW w:w="480" w:type="dxa"/>
            <w:vAlign w:val="bottom"/>
            <w:tcBorders>
              <w:top w:val="single" w:sz="8" w:color="auto"/>
              <w:bottom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432"/>
              <w:spacing w:after="0"/>
              <w:rPr>
                <w:sz w:val="20"/>
                <w:szCs w:val="20"/>
                <w:color w:val="auto"/>
              </w:rPr>
            </w:pPr>
            <w:r>
              <w:rPr>
                <w:rFonts w:ascii="Arial" w:cs="Arial" w:eastAsia="Arial" w:hAnsi="Arial"/>
                <w:sz w:val="18"/>
                <w:szCs w:val="18"/>
                <w:b w:val="1"/>
                <w:bCs w:val="1"/>
                <w:color w:val="auto"/>
              </w:rPr>
              <w:t>2009</w:t>
            </w:r>
          </w:p>
        </w:tc>
        <w:tc>
          <w:tcPr>
            <w:tcW w:w="24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392"/>
              <w:spacing w:after="0"/>
              <w:rPr>
                <w:sz w:val="20"/>
                <w:szCs w:val="20"/>
                <w:color w:val="auto"/>
              </w:rPr>
            </w:pPr>
            <w:r>
              <w:rPr>
                <w:rFonts w:ascii="Arial" w:cs="Arial" w:eastAsia="Arial" w:hAnsi="Arial"/>
                <w:sz w:val="18"/>
                <w:szCs w:val="18"/>
                <w:b w:val="1"/>
                <w:bCs w:val="1"/>
                <w:color w:val="auto"/>
              </w:rPr>
              <w:t>2010</w:t>
            </w:r>
          </w:p>
        </w:tc>
        <w:tc>
          <w:tcPr>
            <w:tcW w:w="360" w:type="dxa"/>
            <w:vAlign w:val="bottom"/>
            <w:tcBorders>
              <w:top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392"/>
              <w:spacing w:after="0"/>
              <w:rPr>
                <w:sz w:val="20"/>
                <w:szCs w:val="20"/>
                <w:color w:val="auto"/>
              </w:rPr>
            </w:pPr>
            <w:r>
              <w:rPr>
                <w:rFonts w:ascii="Arial" w:cs="Arial" w:eastAsia="Arial" w:hAnsi="Arial"/>
                <w:sz w:val="18"/>
                <w:szCs w:val="18"/>
                <w:b w:val="1"/>
                <w:bCs w:val="1"/>
                <w:color w:val="auto"/>
              </w:rPr>
              <w:t>2009</w:t>
            </w:r>
          </w:p>
        </w:tc>
        <w:tc>
          <w:tcPr>
            <w:tcW w:w="10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49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0" w:type="dxa"/>
            <w:vAlign w:val="bottom"/>
            <w:gridSpan w:val="4"/>
          </w:tcPr>
          <w:p>
            <w:pPr>
              <w:jc w:val="right"/>
              <w:ind w:right="872"/>
              <w:spacing w:after="0"/>
              <w:rPr>
                <w:sz w:val="20"/>
                <w:szCs w:val="20"/>
                <w:color w:val="auto"/>
              </w:rPr>
            </w:pPr>
            <w:r>
              <w:rPr>
                <w:rFonts w:ascii="Arial" w:cs="Arial" w:eastAsia="Arial" w:hAnsi="Arial"/>
                <w:sz w:val="18"/>
                <w:szCs w:val="18"/>
                <w:b w:val="1"/>
                <w:bCs w:val="1"/>
                <w:color w:val="auto"/>
              </w:rPr>
              <w:t>(in thousands)</w:t>
            </w: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860" w:type="dxa"/>
            <w:vAlign w:val="bottom"/>
            <w:shd w:val="clear" w:color="auto" w:fill="CCEEFF"/>
          </w:tcPr>
          <w:p>
            <w:pPr>
              <w:jc w:val="right"/>
              <w:ind w:right="592"/>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6,298</w:t>
            </w: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7,271</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6,339</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5,954</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960" w:type="dxa"/>
            <w:vAlign w:val="bottom"/>
          </w:tcPr>
          <w:p>
            <w:pPr>
              <w:ind w:left="420"/>
              <w:spacing w:after="0"/>
              <w:rPr>
                <w:sz w:val="20"/>
                <w:szCs w:val="20"/>
                <w:color w:val="auto"/>
              </w:rPr>
            </w:pPr>
            <w:r>
              <w:rPr>
                <w:rFonts w:ascii="Arial" w:cs="Arial" w:eastAsia="Arial" w:hAnsi="Arial"/>
                <w:sz w:val="18"/>
                <w:szCs w:val="18"/>
                <w:color w:val="auto"/>
              </w:rPr>
              <w:t>Provision for (release of) doubtful accounts, net</w:t>
            </w:r>
          </w:p>
        </w:tc>
        <w:tc>
          <w:tcPr>
            <w:tcW w:w="8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99"/>
              </w:rPr>
              <w:t>(904)</w:t>
            </w: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(378)</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(242)</w:t>
            </w: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1,512</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written off</w:t>
            </w:r>
          </w:p>
        </w:tc>
        <w:tc>
          <w:tcPr>
            <w:tcW w:w="8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(748)</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960" w:type="dxa"/>
            <w:vAlign w:val="bottom"/>
          </w:tcPr>
          <w:p>
            <w:pPr>
              <w:ind w:left="420"/>
              <w:spacing w:after="0"/>
              <w:rPr>
                <w:sz w:val="20"/>
                <w:szCs w:val="20"/>
                <w:color w:val="auto"/>
              </w:rPr>
            </w:pPr>
            <w:r>
              <w:rPr>
                <w:rFonts w:ascii="Arial" w:cs="Arial" w:eastAsia="Arial" w:hAnsi="Arial"/>
                <w:sz w:val="18"/>
                <w:szCs w:val="18"/>
                <w:color w:val="auto"/>
              </w:rPr>
              <w:t>Effects of change in exchange rates</w:t>
            </w:r>
          </w:p>
        </w:tc>
        <w:tc>
          <w:tcPr>
            <w:tcW w:w="86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393</w:t>
            </w:r>
          </w:p>
        </w:tc>
        <w:tc>
          <w:tcPr>
            <w:tcW w:w="3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w:t>
            </w:r>
          </w:p>
        </w:tc>
        <w:tc>
          <w:tcPr>
            <w:tcW w:w="2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w:t>
            </w:r>
          </w:p>
        </w:tc>
        <w:tc>
          <w:tcPr>
            <w:tcW w:w="36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860" w:type="dxa"/>
            <w:vAlign w:val="bottom"/>
            <w:shd w:val="clear" w:color="auto" w:fill="CCEEFF"/>
          </w:tcPr>
          <w:p>
            <w:pPr>
              <w:jc w:val="right"/>
              <w:ind w:right="592"/>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5,766</w:t>
            </w: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6,904</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5,766</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6,904</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8" w:lineRule="exact"/>
        <w:rPr>
          <w:sz w:val="20"/>
          <w:szCs w:val="20"/>
          <w:color w:val="auto"/>
        </w:rPr>
      </w:pPr>
    </w:p>
    <w:tbl>
      <w:tblPr>
        <w:tblLayout w:type="fixed"/>
        <w:tblInd w:w="240" w:type="dxa"/>
        <w:tblCellMar>
          <w:top w:w="0" w:type="dxa"/>
          <w:left w:w="0" w:type="dxa"/>
          <w:bottom w:w="0" w:type="dxa"/>
          <w:right w:w="0" w:type="dxa"/>
        </w:tblCellMar>
      </w:tblPr>
      <w:tr>
        <w:trPr>
          <w:trHeight w:val="222"/>
        </w:trPr>
        <w:tc>
          <w:tcPr>
            <w:tcW w:w="7120" w:type="dxa"/>
            <w:vAlign w:val="bottom"/>
            <w:gridSpan w:val="2"/>
          </w:tcPr>
          <w:p>
            <w:pPr>
              <w:spacing w:after="0"/>
              <w:rPr>
                <w:sz w:val="20"/>
                <w:szCs w:val="20"/>
                <w:color w:val="auto"/>
              </w:rPr>
            </w:pPr>
            <w:r>
              <w:rPr>
                <w:rFonts w:ascii="Arial" w:cs="Arial" w:eastAsia="Arial" w:hAnsi="Arial"/>
                <w:sz w:val="18"/>
                <w:szCs w:val="18"/>
                <w:i w:val="1"/>
                <w:iCs w:val="1"/>
                <w:color w:val="auto"/>
              </w:rPr>
              <w:t>Inventories</w:t>
            </w:r>
          </w:p>
        </w:tc>
        <w:tc>
          <w:tcPr>
            <w:tcW w:w="1660" w:type="dxa"/>
            <w:vAlign w:val="bottom"/>
            <w:gridSpan w:val="2"/>
            <w:vMerge w:val="restart"/>
          </w:tcPr>
          <w:p>
            <w:pPr>
              <w:jc w:val="right"/>
              <w:ind w:right="92"/>
              <w:spacing w:after="0"/>
              <w:rPr>
                <w:sz w:val="20"/>
                <w:szCs w:val="20"/>
                <w:color w:val="auto"/>
              </w:rPr>
            </w:pPr>
            <w:r>
              <w:rPr>
                <w:rFonts w:ascii="Arial" w:cs="Arial" w:eastAsia="Arial" w:hAnsi="Arial"/>
                <w:sz w:val="18"/>
                <w:szCs w:val="18"/>
                <w:b w:val="1"/>
                <w:bCs w:val="1"/>
                <w:color w:val="auto"/>
                <w:w w:val="99"/>
              </w:rPr>
              <w:t>At September 30,</w:t>
            </w:r>
          </w:p>
        </w:tc>
        <w:tc>
          <w:tcPr>
            <w:tcW w:w="260" w:type="dxa"/>
            <w:vAlign w:val="bottom"/>
          </w:tcPr>
          <w:p>
            <w:pPr>
              <w:spacing w:after="0"/>
              <w:rPr>
                <w:sz w:val="19"/>
                <w:szCs w:val="19"/>
                <w:color w:val="auto"/>
              </w:rPr>
            </w:pPr>
          </w:p>
        </w:tc>
        <w:tc>
          <w:tcPr>
            <w:tcW w:w="1680" w:type="dxa"/>
            <w:vAlign w:val="bottom"/>
            <w:gridSpan w:val="3"/>
            <w:vMerge w:val="restart"/>
          </w:tcPr>
          <w:p>
            <w:pPr>
              <w:ind w:left="160"/>
              <w:spacing w:after="0"/>
              <w:rPr>
                <w:sz w:val="20"/>
                <w:szCs w:val="20"/>
                <w:color w:val="auto"/>
              </w:rPr>
            </w:pPr>
            <w:r>
              <w:rPr>
                <w:rFonts w:ascii="Arial" w:cs="Arial" w:eastAsia="Arial" w:hAnsi="Arial"/>
                <w:sz w:val="18"/>
                <w:szCs w:val="18"/>
                <w:b w:val="1"/>
                <w:bCs w:val="1"/>
                <w:color w:val="auto"/>
              </w:rPr>
              <w:t>At December 31,</w:t>
            </w: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6900" w:type="dxa"/>
            <w:vAlign w:val="bottom"/>
          </w:tcPr>
          <w:p>
            <w:pPr>
              <w:spacing w:after="0"/>
              <w:rPr>
                <w:sz w:val="18"/>
                <w:szCs w:val="18"/>
                <w:color w:val="auto"/>
              </w:rPr>
            </w:pPr>
          </w:p>
        </w:tc>
        <w:tc>
          <w:tcPr>
            <w:tcW w:w="166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168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93"/>
        </w:trPr>
        <w:tc>
          <w:tcPr>
            <w:tcW w:w="220" w:type="dxa"/>
            <w:vAlign w:val="bottom"/>
          </w:tcPr>
          <w:p>
            <w:pPr>
              <w:spacing w:after="0"/>
              <w:rPr>
                <w:sz w:val="24"/>
                <w:szCs w:val="24"/>
                <w:color w:val="auto"/>
              </w:rPr>
            </w:pPr>
          </w:p>
        </w:tc>
        <w:tc>
          <w:tcPr>
            <w:tcW w:w="690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572"/>
              <w:spacing w:after="0"/>
              <w:rPr>
                <w:sz w:val="20"/>
                <w:szCs w:val="20"/>
                <w:color w:val="auto"/>
              </w:rPr>
            </w:pPr>
            <w:r>
              <w:rPr>
                <w:rFonts w:ascii="Arial" w:cs="Arial" w:eastAsia="Arial" w:hAnsi="Arial"/>
                <w:sz w:val="18"/>
                <w:szCs w:val="18"/>
                <w:b w:val="1"/>
                <w:bCs w:val="1"/>
                <w:color w:val="auto"/>
              </w:rPr>
              <w:t>2010</w:t>
            </w:r>
          </w:p>
        </w:tc>
        <w:tc>
          <w:tcPr>
            <w:tcW w:w="26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532"/>
              <w:spacing w:after="0"/>
              <w:rPr>
                <w:sz w:val="20"/>
                <w:szCs w:val="20"/>
                <w:color w:val="auto"/>
              </w:rPr>
            </w:pPr>
            <w:r>
              <w:rPr>
                <w:rFonts w:ascii="Arial" w:cs="Arial" w:eastAsia="Arial" w:hAnsi="Arial"/>
                <w:sz w:val="18"/>
                <w:szCs w:val="18"/>
                <w:b w:val="1"/>
                <w:bCs w:val="1"/>
                <w:color w:val="auto"/>
              </w:rPr>
              <w:t>2009</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69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40" w:type="dxa"/>
            <w:vAlign w:val="bottom"/>
          </w:tcPr>
          <w:p>
            <w:pPr>
              <w:jc w:val="right"/>
              <w:ind w:right="152"/>
              <w:spacing w:after="0"/>
              <w:rPr>
                <w:sz w:val="20"/>
                <w:szCs w:val="20"/>
                <w:color w:val="auto"/>
              </w:rPr>
            </w:pPr>
            <w:r>
              <w:rPr>
                <w:rFonts w:ascii="Arial" w:cs="Arial" w:eastAsia="Arial" w:hAnsi="Arial"/>
                <w:sz w:val="18"/>
                <w:szCs w:val="18"/>
                <w:b w:val="1"/>
                <w:bCs w:val="1"/>
                <w:color w:val="auto"/>
              </w:rPr>
              <w:t>(in</w:t>
            </w:r>
          </w:p>
        </w:tc>
        <w:tc>
          <w:tcPr>
            <w:tcW w:w="760" w:type="dxa"/>
            <w:vAlign w:val="bottom"/>
            <w:gridSpan w:val="2"/>
          </w:tcPr>
          <w:p>
            <w:pPr>
              <w:jc w:val="right"/>
              <w:ind w:right="32"/>
              <w:spacing w:after="0"/>
              <w:rPr>
                <w:sz w:val="20"/>
                <w:szCs w:val="20"/>
                <w:color w:val="auto"/>
              </w:rPr>
            </w:pPr>
            <w:r>
              <w:rPr>
                <w:rFonts w:ascii="Arial" w:cs="Arial" w:eastAsia="Arial" w:hAnsi="Arial"/>
                <w:sz w:val="16"/>
                <w:szCs w:val="16"/>
                <w:b w:val="1"/>
                <w:bCs w:val="1"/>
                <w:color w:val="auto"/>
                <w:w w:val="71"/>
              </w:rPr>
              <w:t>thousands)</w:t>
            </w: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Materials</w:t>
            </w:r>
          </w:p>
        </w:tc>
        <w:tc>
          <w:tcPr>
            <w:tcW w:w="42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115,760</w:t>
            </w:r>
          </w:p>
        </w:tc>
        <w:tc>
          <w:tcPr>
            <w:tcW w:w="760" w:type="dxa"/>
            <w:vAlign w:val="bottom"/>
            <w:gridSpan w:val="2"/>
            <w:shd w:val="clear" w:color="auto" w:fill="CCEEFF"/>
          </w:tcPr>
          <w:p>
            <w:pPr>
              <w:jc w:val="right"/>
              <w:ind w:right="252"/>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85,358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6900" w:type="dxa"/>
            <w:vAlign w:val="bottom"/>
          </w:tcPr>
          <w:p>
            <w:pPr>
              <w:spacing w:after="0"/>
              <w:rPr>
                <w:sz w:val="20"/>
                <w:szCs w:val="20"/>
                <w:color w:val="auto"/>
              </w:rPr>
            </w:pPr>
            <w:r>
              <w:rPr>
                <w:rFonts w:ascii="Arial" w:cs="Arial" w:eastAsia="Arial" w:hAnsi="Arial"/>
                <w:sz w:val="18"/>
                <w:szCs w:val="18"/>
                <w:color w:val="auto"/>
              </w:rPr>
              <w:t>Work in process</w:t>
            </w:r>
          </w:p>
        </w:tc>
        <w:tc>
          <w:tcPr>
            <w:tcW w:w="420" w:type="dxa"/>
            <w:vAlign w:val="bottom"/>
          </w:tcPr>
          <w:p>
            <w:pPr>
              <w:spacing w:after="0"/>
              <w:rPr>
                <w:sz w:val="18"/>
                <w:szCs w:val="18"/>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20,832</w:t>
            </w: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17,668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4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89,173</w:t>
            </w:r>
          </w:p>
        </w:tc>
        <w:tc>
          <w:tcPr>
            <w:tcW w:w="26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67,058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20" w:type="dxa"/>
            <w:vAlign w:val="bottom"/>
          </w:tcPr>
          <w:p>
            <w:pPr>
              <w:spacing w:after="0"/>
              <w:rPr>
                <w:sz w:val="19"/>
                <w:szCs w:val="19"/>
                <w:color w:val="auto"/>
              </w:rPr>
            </w:pPr>
          </w:p>
        </w:tc>
        <w:tc>
          <w:tcPr>
            <w:tcW w:w="6900" w:type="dxa"/>
            <w:vAlign w:val="bottom"/>
          </w:tcPr>
          <w:p>
            <w:pPr>
              <w:ind w:left="440"/>
              <w:spacing w:after="0"/>
              <w:rPr>
                <w:sz w:val="20"/>
                <w:szCs w:val="20"/>
                <w:color w:val="auto"/>
              </w:rPr>
            </w:pPr>
            <w:r>
              <w:rPr>
                <w:rFonts w:ascii="Arial" w:cs="Arial" w:eastAsia="Arial" w:hAnsi="Arial"/>
                <w:sz w:val="18"/>
                <w:szCs w:val="18"/>
                <w:color w:val="auto"/>
              </w:rPr>
              <w:t>Total inventories</w:t>
            </w:r>
          </w:p>
        </w:tc>
        <w:tc>
          <w:tcPr>
            <w:tcW w:w="42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225,765</w:t>
            </w:r>
          </w:p>
        </w:tc>
        <w:tc>
          <w:tcPr>
            <w:tcW w:w="760" w:type="dxa"/>
            <w:vAlign w:val="bottom"/>
            <w:gridSpan w:val="2"/>
          </w:tcPr>
          <w:p>
            <w:pPr>
              <w:jc w:val="right"/>
              <w:ind w:right="252"/>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170,084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69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Our inventory levels may vary period to period as a result of our factory scheduling and timing of contract fulfillments.</w:t>
      </w:r>
    </w:p>
    <w:p>
      <w:pPr>
        <w:spacing w:after="0" w:line="171"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Consigned inventory is held at third-party locations; however, we retain title to the inventory until purchased by the third-party. Consigned inventory, consisting of raw materials and finished goods, was $15.5 million and $10.6 million at September 30, 2010 and December 31, 2009, respectively.</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360" w:type="dxa"/>
            <w:vAlign w:val="bottom"/>
            <w:gridSpan w:val="2"/>
          </w:tcPr>
          <w:p>
            <w:pPr>
              <w:ind w:left="240"/>
              <w:spacing w:after="0"/>
              <w:rPr>
                <w:sz w:val="20"/>
                <w:szCs w:val="20"/>
                <w:color w:val="auto"/>
              </w:rPr>
            </w:pPr>
            <w:r>
              <w:rPr>
                <w:rFonts w:ascii="Arial" w:cs="Arial" w:eastAsia="Arial" w:hAnsi="Arial"/>
                <w:sz w:val="18"/>
                <w:szCs w:val="18"/>
                <w:i w:val="1"/>
                <w:iCs w:val="1"/>
                <w:color w:val="auto"/>
              </w:rPr>
              <w:t>Property, plant, and equipment, net</w:t>
            </w: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9"/>
        </w:trPr>
        <w:tc>
          <w:tcPr>
            <w:tcW w:w="460" w:type="dxa"/>
            <w:vAlign w:val="bottom"/>
          </w:tcPr>
          <w:p>
            <w:pPr>
              <w:spacing w:after="0"/>
              <w:rPr>
                <w:sz w:val="24"/>
                <w:szCs w:val="24"/>
                <w:color w:val="auto"/>
              </w:rPr>
            </w:pPr>
          </w:p>
        </w:tc>
        <w:tc>
          <w:tcPr>
            <w:tcW w:w="4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20" w:type="dxa"/>
            <w:vAlign w:val="bottom"/>
            <w:gridSpan w:val="3"/>
          </w:tcPr>
          <w:p>
            <w:pPr>
              <w:jc w:val="right"/>
              <w:ind w:right="52"/>
              <w:spacing w:after="0"/>
              <w:rPr>
                <w:sz w:val="20"/>
                <w:szCs w:val="20"/>
                <w:color w:val="auto"/>
              </w:rPr>
            </w:pPr>
            <w:r>
              <w:rPr>
                <w:rFonts w:ascii="Arial" w:cs="Arial" w:eastAsia="Arial" w:hAnsi="Arial"/>
                <w:sz w:val="18"/>
                <w:szCs w:val="18"/>
                <w:b w:val="1"/>
                <w:bCs w:val="1"/>
                <w:color w:val="auto"/>
                <w:w w:val="99"/>
              </w:rPr>
              <w:t>At September 30,</w:t>
            </w: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580" w:type="dxa"/>
            <w:vAlign w:val="bottom"/>
            <w:gridSpan w:val="4"/>
          </w:tcPr>
          <w:p>
            <w:pPr>
              <w:ind w:left="60"/>
              <w:spacing w:after="0"/>
              <w:rPr>
                <w:sz w:val="20"/>
                <w:szCs w:val="20"/>
                <w:color w:val="auto"/>
              </w:rPr>
            </w:pPr>
            <w:r>
              <w:rPr>
                <w:rFonts w:ascii="Arial" w:cs="Arial" w:eastAsia="Arial" w:hAnsi="Arial"/>
                <w:sz w:val="18"/>
                <w:szCs w:val="18"/>
                <w:b w:val="1"/>
                <w:bCs w:val="1"/>
                <w:color w:val="auto"/>
              </w:rPr>
              <w:t>At December 31,</w:t>
            </w:r>
          </w:p>
        </w:tc>
        <w:tc>
          <w:tcPr>
            <w:tcW w:w="0" w:type="dxa"/>
            <w:vAlign w:val="bottom"/>
          </w:tcPr>
          <w:p>
            <w:pPr>
              <w:spacing w:after="0"/>
              <w:rPr>
                <w:sz w:val="1"/>
                <w:szCs w:val="1"/>
                <w:color w:val="auto"/>
              </w:rPr>
            </w:pPr>
          </w:p>
        </w:tc>
      </w:tr>
      <w:tr>
        <w:trPr>
          <w:trHeight w:val="293"/>
        </w:trPr>
        <w:tc>
          <w:tcPr>
            <w:tcW w:w="460" w:type="dxa"/>
            <w:vAlign w:val="bottom"/>
          </w:tcPr>
          <w:p>
            <w:pPr>
              <w:spacing w:after="0"/>
              <w:rPr>
                <w:sz w:val="24"/>
                <w:szCs w:val="24"/>
                <w:color w:val="auto"/>
              </w:rPr>
            </w:pPr>
          </w:p>
        </w:tc>
        <w:tc>
          <w:tcPr>
            <w:tcW w:w="4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20" w:type="dxa"/>
            <w:vAlign w:val="bottom"/>
            <w:tcBorders>
              <w:bottom w:val="single" w:sz="8" w:color="auto"/>
            </w:tcBorders>
            <w:gridSpan w:val="3"/>
          </w:tcPr>
          <w:p>
            <w:pPr>
              <w:jc w:val="right"/>
              <w:ind w:right="532"/>
              <w:spacing w:after="0"/>
              <w:rPr>
                <w:sz w:val="20"/>
                <w:szCs w:val="20"/>
                <w:color w:val="auto"/>
              </w:rPr>
            </w:pPr>
            <w:r>
              <w:rPr>
                <w:rFonts w:ascii="Arial" w:cs="Arial" w:eastAsia="Arial" w:hAnsi="Arial"/>
                <w:sz w:val="18"/>
                <w:szCs w:val="18"/>
                <w:b w:val="1"/>
                <w:bCs w:val="1"/>
                <w:color w:val="auto"/>
              </w:rPr>
              <w:t>2010</w:t>
            </w:r>
          </w:p>
        </w:tc>
        <w:tc>
          <w:tcPr>
            <w:tcW w:w="40" w:type="dxa"/>
            <w:vAlign w:val="bottom"/>
            <w:tcBorders>
              <w:bottom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532"/>
              <w:spacing w:after="0"/>
              <w:rPr>
                <w:sz w:val="20"/>
                <w:szCs w:val="20"/>
                <w:color w:val="auto"/>
              </w:rPr>
            </w:pPr>
            <w:r>
              <w:rPr>
                <w:rFonts w:ascii="Arial" w:cs="Arial" w:eastAsia="Arial" w:hAnsi="Arial"/>
                <w:sz w:val="18"/>
                <w:szCs w:val="18"/>
                <w:b w:val="1"/>
                <w:bCs w:val="1"/>
                <w:color w:val="auto"/>
                <w:w w:val="84"/>
              </w:rPr>
              <w:t>2009</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52"/>
              <w:spacing w:after="0"/>
              <w:rPr>
                <w:sz w:val="20"/>
                <w:szCs w:val="20"/>
                <w:color w:val="auto"/>
              </w:rPr>
            </w:pPr>
            <w:r>
              <w:rPr>
                <w:rFonts w:ascii="Arial" w:cs="Arial" w:eastAsia="Arial" w:hAnsi="Arial"/>
                <w:sz w:val="18"/>
                <w:szCs w:val="18"/>
                <w:b w:val="1"/>
                <w:bCs w:val="1"/>
                <w:color w:val="auto"/>
              </w:rPr>
              <w:t>(in</w:t>
            </w:r>
          </w:p>
        </w:tc>
        <w:tc>
          <w:tcPr>
            <w:tcW w:w="860" w:type="dxa"/>
            <w:vAlign w:val="bottom"/>
            <w:gridSpan w:val="5"/>
          </w:tcPr>
          <w:p>
            <w:pPr>
              <w:jc w:val="right"/>
              <w:ind w:right="220"/>
              <w:spacing w:after="0"/>
              <w:rPr>
                <w:sz w:val="20"/>
                <w:szCs w:val="20"/>
                <w:color w:val="auto"/>
              </w:rPr>
            </w:pPr>
            <w:r>
              <w:rPr>
                <w:rFonts w:ascii="Arial" w:cs="Arial" w:eastAsia="Arial" w:hAnsi="Arial"/>
                <w:sz w:val="16"/>
                <w:szCs w:val="16"/>
                <w:b w:val="1"/>
                <w:bCs w:val="1"/>
                <w:color w:val="auto"/>
                <w:w w:val="71"/>
              </w:rPr>
              <w:t>thousands)</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Machinery and equipment</w:t>
            </w: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52"/>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258,073</w:t>
            </w: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72"/>
              <w:spacing w:after="0"/>
              <w:rPr>
                <w:sz w:val="20"/>
                <w:szCs w:val="20"/>
                <w:color w:val="auto"/>
              </w:rPr>
            </w:pPr>
            <w:r>
              <w:rPr>
                <w:rFonts w:ascii="Arial" w:cs="Arial" w:eastAsia="Arial" w:hAnsi="Arial"/>
                <w:sz w:val="18"/>
                <w:szCs w:val="18"/>
                <w:color w:val="auto"/>
                <w:w w:val="99"/>
              </w:rPr>
              <w:t>$</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243,652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Computers and purchased software</w:t>
            </w: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61,248</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66,787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Buildings, furniture, and improvements</w:t>
            </w: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144,705</w:t>
            </w: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144,639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Land</w:t>
            </w: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36,586</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37,738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Construction in progress, including purchased equipment</w:t>
            </w: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22,464</w:t>
            </w:r>
          </w:p>
        </w:tc>
        <w:tc>
          <w:tcPr>
            <w:tcW w:w="40" w:type="dxa"/>
            <w:vAlign w:val="bottom"/>
            <w:tcBorders>
              <w:bottom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22,009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60" w:type="dxa"/>
            <w:vAlign w:val="bottom"/>
          </w:tcPr>
          <w:p>
            <w:pPr>
              <w:spacing w:after="0"/>
              <w:rPr>
                <w:sz w:val="19"/>
                <w:szCs w:val="19"/>
                <w:color w:val="auto"/>
              </w:rPr>
            </w:pPr>
          </w:p>
        </w:tc>
        <w:tc>
          <w:tcPr>
            <w:tcW w:w="4900" w:type="dxa"/>
            <w:vAlign w:val="bottom"/>
          </w:tcPr>
          <w:p>
            <w:pPr>
              <w:ind w:left="440"/>
              <w:spacing w:after="0"/>
              <w:rPr>
                <w:sz w:val="20"/>
                <w:szCs w:val="20"/>
                <w:color w:val="auto"/>
              </w:rPr>
            </w:pPr>
            <w:r>
              <w:rPr>
                <w:rFonts w:ascii="Arial" w:cs="Arial" w:eastAsia="Arial" w:hAnsi="Arial"/>
                <w:sz w:val="18"/>
                <w:szCs w:val="18"/>
                <w:color w:val="auto"/>
              </w:rPr>
              <w:t>Total cost</w:t>
            </w: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523,076</w:t>
            </w: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514,825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460" w:type="dxa"/>
            <w:vAlign w:val="bottom"/>
          </w:tcPr>
          <w:p>
            <w:pPr>
              <w:spacing w:after="0"/>
              <w:rPr>
                <w:sz w:val="18"/>
                <w:szCs w:val="18"/>
                <w:color w:val="auto"/>
              </w:rPr>
            </w:pPr>
          </w:p>
        </w:tc>
        <w:tc>
          <w:tcPr>
            <w:tcW w:w="49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Accumulated depreciation</w:t>
            </w: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(220,770)</w:t>
            </w:r>
          </w:p>
        </w:tc>
        <w:tc>
          <w:tcPr>
            <w:tcW w:w="40" w:type="dxa"/>
            <w:vAlign w:val="bottom"/>
            <w:tcBorders>
              <w:bottom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(196,608)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60" w:type="dxa"/>
            <w:vAlign w:val="bottom"/>
          </w:tcPr>
          <w:p>
            <w:pPr>
              <w:spacing w:after="0"/>
              <w:rPr>
                <w:sz w:val="19"/>
                <w:szCs w:val="19"/>
                <w:color w:val="auto"/>
              </w:rPr>
            </w:pPr>
          </w:p>
        </w:tc>
        <w:tc>
          <w:tcPr>
            <w:tcW w:w="4900" w:type="dxa"/>
            <w:vAlign w:val="bottom"/>
          </w:tcPr>
          <w:p>
            <w:pPr>
              <w:ind w:left="880"/>
              <w:spacing w:after="0"/>
              <w:rPr>
                <w:sz w:val="20"/>
                <w:szCs w:val="20"/>
                <w:color w:val="auto"/>
              </w:rPr>
            </w:pPr>
            <w:r>
              <w:rPr>
                <w:rFonts w:ascii="Arial" w:cs="Arial" w:eastAsia="Arial" w:hAnsi="Arial"/>
                <w:sz w:val="18"/>
                <w:szCs w:val="18"/>
                <w:color w:val="auto"/>
              </w:rPr>
              <w:t>Property, plant, and equipment, net</w:t>
            </w: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gridSpan w:val="2"/>
          </w:tcPr>
          <w:p>
            <w:pPr>
              <w:jc w:val="right"/>
              <w:ind w:right="452"/>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302,306</w:t>
            </w: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80" w:type="dxa"/>
            <w:vAlign w:val="bottom"/>
            <w:gridSpan w:val="2"/>
          </w:tcPr>
          <w:p>
            <w:pPr>
              <w:jc w:val="right"/>
              <w:ind w:right="172"/>
              <w:spacing w:after="0"/>
              <w:rPr>
                <w:sz w:val="20"/>
                <w:szCs w:val="20"/>
                <w:color w:val="auto"/>
              </w:rPr>
            </w:pPr>
            <w:r>
              <w:rPr>
                <w:rFonts w:ascii="Arial" w:cs="Arial" w:eastAsia="Arial" w:hAnsi="Arial"/>
                <w:sz w:val="18"/>
                <w:szCs w:val="18"/>
                <w:color w:val="auto"/>
                <w:w w:val="99"/>
              </w:rPr>
              <w:t>$</w:t>
            </w: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318,217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40" w:type="dxa"/>
            <w:vAlign w:val="bottom"/>
            <w:gridSpan w:val="4"/>
            <w:vMerge w:val="restart"/>
          </w:tcPr>
          <w:p>
            <w:pPr>
              <w:jc w:val="right"/>
              <w:ind w:right="212"/>
              <w:spacing w:after="0"/>
              <w:rPr>
                <w:sz w:val="20"/>
                <w:szCs w:val="20"/>
                <w:color w:val="auto"/>
              </w:rPr>
            </w:pPr>
            <w:r>
              <w:rPr>
                <w:rFonts w:ascii="Arial" w:cs="Arial" w:eastAsia="Arial" w:hAnsi="Arial"/>
                <w:sz w:val="18"/>
                <w:szCs w:val="18"/>
                <w:color w:val="auto"/>
                <w:w w:val="87"/>
              </w:rPr>
              <w:t>Depreciation expense for the three and nine months ended September 30 was as follows:</w:t>
            </w: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6540" w:type="dxa"/>
            <w:vAlign w:val="bottom"/>
            <w:gridSpan w:val="4"/>
            <w:vMerge w:val="continue"/>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460" w:type="dxa"/>
            <w:vAlign w:val="bottom"/>
          </w:tcPr>
          <w:p>
            <w:pPr>
              <w:spacing w:after="0"/>
              <w:rPr>
                <w:sz w:val="24"/>
                <w:szCs w:val="24"/>
                <w:color w:val="auto"/>
              </w:rPr>
            </w:pPr>
          </w:p>
        </w:tc>
        <w:tc>
          <w:tcPr>
            <w:tcW w:w="4900" w:type="dxa"/>
            <w:vAlign w:val="bottom"/>
          </w:tcPr>
          <w:p>
            <w:pPr>
              <w:spacing w:after="0"/>
              <w:rPr>
                <w:sz w:val="24"/>
                <w:szCs w:val="24"/>
                <w:color w:val="auto"/>
              </w:rPr>
            </w:pPr>
          </w:p>
        </w:tc>
        <w:tc>
          <w:tcPr>
            <w:tcW w:w="2720" w:type="dxa"/>
            <w:vAlign w:val="bottom"/>
            <w:gridSpan w:val="6"/>
          </w:tcPr>
          <w:p>
            <w:pPr>
              <w:jc w:val="right"/>
              <w:spacing w:after="0"/>
              <w:rPr>
                <w:sz w:val="20"/>
                <w:szCs w:val="20"/>
                <w:color w:val="auto"/>
              </w:rPr>
            </w:pPr>
            <w:r>
              <w:rPr>
                <w:rFonts w:ascii="Arial" w:cs="Arial" w:eastAsia="Arial" w:hAnsi="Arial"/>
                <w:sz w:val="18"/>
                <w:szCs w:val="18"/>
                <w:b w:val="1"/>
                <w:bCs w:val="1"/>
                <w:color w:val="auto"/>
                <w:w w:val="87"/>
              </w:rPr>
              <w:t>Three Months Ended September 30,</w:t>
            </w:r>
          </w:p>
        </w:tc>
        <w:tc>
          <w:tcPr>
            <w:tcW w:w="160" w:type="dxa"/>
            <w:vAlign w:val="bottom"/>
          </w:tcPr>
          <w:p>
            <w:pPr>
              <w:spacing w:after="0"/>
              <w:rPr>
                <w:sz w:val="24"/>
                <w:szCs w:val="24"/>
                <w:color w:val="auto"/>
              </w:rPr>
            </w:pPr>
          </w:p>
        </w:tc>
        <w:tc>
          <w:tcPr>
            <w:tcW w:w="2720" w:type="dxa"/>
            <w:vAlign w:val="bottom"/>
            <w:gridSpan w:val="9"/>
          </w:tcPr>
          <w:p>
            <w:pPr>
              <w:spacing w:after="0"/>
              <w:rPr>
                <w:sz w:val="20"/>
                <w:szCs w:val="20"/>
                <w:color w:val="auto"/>
              </w:rPr>
            </w:pPr>
            <w:r>
              <w:rPr>
                <w:rFonts w:ascii="Arial" w:cs="Arial" w:eastAsia="Arial" w:hAnsi="Arial"/>
                <w:sz w:val="18"/>
                <w:szCs w:val="18"/>
                <w:b w:val="1"/>
                <w:bCs w:val="1"/>
                <w:color w:val="auto"/>
                <w:w w:val="91"/>
              </w:rPr>
              <w:t>Nine Months Ended September 30,</w:t>
            </w:r>
          </w:p>
        </w:tc>
        <w:tc>
          <w:tcPr>
            <w:tcW w:w="0" w:type="dxa"/>
            <w:vAlign w:val="bottom"/>
          </w:tcPr>
          <w:p>
            <w:pPr>
              <w:spacing w:after="0"/>
              <w:rPr>
                <w:sz w:val="1"/>
                <w:szCs w:val="1"/>
                <w:color w:val="auto"/>
              </w:rPr>
            </w:pPr>
          </w:p>
        </w:tc>
      </w:tr>
      <w:tr>
        <w:trPr>
          <w:trHeight w:val="212"/>
        </w:trPr>
        <w:tc>
          <w:tcPr>
            <w:tcW w:w="460" w:type="dxa"/>
            <w:vAlign w:val="bottom"/>
          </w:tcPr>
          <w:p>
            <w:pPr>
              <w:spacing w:after="0"/>
              <w:rPr>
                <w:sz w:val="18"/>
                <w:szCs w:val="18"/>
                <w:color w:val="auto"/>
              </w:rPr>
            </w:pPr>
          </w:p>
        </w:tc>
        <w:tc>
          <w:tcPr>
            <w:tcW w:w="4900" w:type="dxa"/>
            <w:vAlign w:val="bottom"/>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332"/>
              <w:spacing w:after="0"/>
              <w:rPr>
                <w:sz w:val="20"/>
                <w:szCs w:val="20"/>
                <w:color w:val="auto"/>
              </w:rPr>
            </w:pPr>
            <w:r>
              <w:rPr>
                <w:rFonts w:ascii="Arial" w:cs="Arial" w:eastAsia="Arial" w:hAnsi="Arial"/>
                <w:sz w:val="18"/>
                <w:szCs w:val="18"/>
                <w:b w:val="1"/>
                <w:bCs w:val="1"/>
                <w:color w:val="auto"/>
              </w:rPr>
              <w:t>2010</w:t>
            </w:r>
          </w:p>
        </w:tc>
        <w:tc>
          <w:tcPr>
            <w:tcW w:w="320" w:type="dxa"/>
            <w:vAlign w:val="bottom"/>
            <w:tcBorders>
              <w:top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gridSpan w:val="2"/>
          </w:tcPr>
          <w:p>
            <w:pPr>
              <w:jc w:val="right"/>
              <w:ind w:right="352"/>
              <w:spacing w:after="0"/>
              <w:rPr>
                <w:sz w:val="20"/>
                <w:szCs w:val="20"/>
                <w:color w:val="auto"/>
              </w:rPr>
            </w:pPr>
            <w:r>
              <w:rPr>
                <w:rFonts w:ascii="Arial" w:cs="Arial" w:eastAsia="Arial" w:hAnsi="Arial"/>
                <w:sz w:val="18"/>
                <w:szCs w:val="18"/>
                <w:b w:val="1"/>
                <w:bCs w:val="1"/>
                <w:color w:val="auto"/>
              </w:rPr>
              <w:t>2009</w:t>
            </w:r>
          </w:p>
        </w:tc>
        <w:tc>
          <w:tcPr>
            <w:tcW w:w="160" w:type="dxa"/>
            <w:vAlign w:val="bottom"/>
          </w:tcPr>
          <w:p>
            <w:pPr>
              <w:spacing w:after="0"/>
              <w:rPr>
                <w:sz w:val="18"/>
                <w:szCs w:val="18"/>
                <w:color w:val="auto"/>
              </w:rPr>
            </w:pPr>
          </w:p>
        </w:tc>
        <w:tc>
          <w:tcPr>
            <w:tcW w:w="7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2010</w:t>
            </w:r>
          </w:p>
        </w:tc>
        <w:tc>
          <w:tcPr>
            <w:tcW w:w="260" w:type="dxa"/>
            <w:vAlign w:val="bottom"/>
            <w:tcBorders>
              <w:top w:val="single" w:sz="8" w:color="auto"/>
              <w:bottom w:val="single" w:sz="8" w:color="auto"/>
            </w:tcBorders>
          </w:tcPr>
          <w:p>
            <w:pPr>
              <w:spacing w:after="0"/>
              <w:rPr>
                <w:sz w:val="18"/>
                <w:szCs w:val="18"/>
                <w:color w:val="auto"/>
              </w:rPr>
            </w:pPr>
          </w:p>
        </w:tc>
        <w:tc>
          <w:tcPr>
            <w:tcW w:w="40" w:type="dxa"/>
            <w:vAlign w:val="bottom"/>
            <w:tcBorders>
              <w:top w:val="single" w:sz="8" w:color="auto"/>
              <w:bottom w:val="single" w:sz="8" w:color="auto"/>
            </w:tcBorders>
          </w:tcPr>
          <w:p>
            <w:pPr>
              <w:spacing w:after="0"/>
              <w:rPr>
                <w:sz w:val="18"/>
                <w:szCs w:val="18"/>
                <w:color w:val="auto"/>
              </w:rPr>
            </w:pPr>
          </w:p>
        </w:tc>
        <w:tc>
          <w:tcPr>
            <w:tcW w:w="60" w:type="dxa"/>
            <w:vAlign w:val="bottom"/>
            <w:tcBorders>
              <w:top w:val="single" w:sz="8" w:color="auto"/>
              <w:bottom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312"/>
              <w:spacing w:after="0"/>
              <w:rPr>
                <w:sz w:val="20"/>
                <w:szCs w:val="20"/>
                <w:color w:val="auto"/>
              </w:rPr>
            </w:pPr>
            <w:r>
              <w:rPr>
                <w:rFonts w:ascii="Arial" w:cs="Arial" w:eastAsia="Arial" w:hAnsi="Arial"/>
                <w:sz w:val="18"/>
                <w:szCs w:val="18"/>
                <w:b w:val="1"/>
                <w:bCs w:val="1"/>
                <w:color w:val="auto"/>
              </w:rPr>
              <w:t>2009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4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20" w:type="dxa"/>
            <w:vAlign w:val="bottom"/>
            <w:gridSpan w:val="3"/>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(in millions)</w:t>
            </w: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60" w:type="dxa"/>
            <w:vAlign w:val="bottom"/>
          </w:tcPr>
          <w:p>
            <w:pPr>
              <w:spacing w:after="0"/>
              <w:rPr>
                <w:sz w:val="19"/>
                <w:szCs w:val="19"/>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Depreciation expense</w:t>
            </w:r>
          </w:p>
        </w:tc>
        <w:tc>
          <w:tcPr>
            <w:tcW w:w="2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15.2</w:t>
            </w: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2"/>
              <w:spacing w:after="0"/>
              <w:rPr>
                <w:sz w:val="20"/>
                <w:szCs w:val="20"/>
                <w:color w:val="auto"/>
              </w:rPr>
            </w:pPr>
            <w:r>
              <w:rPr>
                <w:rFonts w:ascii="Arial" w:cs="Arial" w:eastAsia="Arial" w:hAnsi="Arial"/>
                <w:sz w:val="18"/>
                <w:szCs w:val="18"/>
                <w:color w:val="auto"/>
              </w:rPr>
              <w:t>14.3</w:t>
            </w:r>
          </w:p>
        </w:tc>
        <w:tc>
          <w:tcPr>
            <w:tcW w:w="900" w:type="dxa"/>
            <w:vAlign w:val="bottom"/>
            <w:gridSpan w:val="2"/>
          </w:tcPr>
          <w:p>
            <w:pPr>
              <w:jc w:val="right"/>
              <w:ind w:right="472"/>
              <w:spacing w:after="0"/>
              <w:rPr>
                <w:sz w:val="20"/>
                <w:szCs w:val="20"/>
                <w:color w:val="auto"/>
              </w:rPr>
            </w:pPr>
            <w:r>
              <w:rPr>
                <w:rFonts w:ascii="Arial" w:cs="Arial" w:eastAsia="Arial" w:hAnsi="Arial"/>
                <w:sz w:val="18"/>
                <w:szCs w:val="18"/>
                <w:color w:val="auto"/>
              </w:rPr>
              <w:t>$</w:t>
            </w:r>
          </w:p>
        </w:tc>
        <w:tc>
          <w:tcPr>
            <w:tcW w:w="340" w:type="dxa"/>
            <w:vAlign w:val="bottom"/>
            <w:gridSpan w:val="3"/>
          </w:tcPr>
          <w:p>
            <w:pPr>
              <w:jc w:val="right"/>
              <w:ind w:right="20"/>
              <w:spacing w:after="0"/>
              <w:rPr>
                <w:sz w:val="20"/>
                <w:szCs w:val="20"/>
                <w:color w:val="auto"/>
              </w:rPr>
            </w:pPr>
            <w:r>
              <w:rPr>
                <w:rFonts w:ascii="Arial" w:cs="Arial" w:eastAsia="Arial" w:hAnsi="Arial"/>
                <w:sz w:val="18"/>
                <w:szCs w:val="18"/>
                <w:color w:val="auto"/>
                <w:w w:val="85"/>
              </w:rPr>
              <w:t>45.7</w:t>
            </w:r>
          </w:p>
        </w:tc>
        <w:tc>
          <w:tcPr>
            <w:tcW w:w="5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21" w:lineRule="exact"/>
        <w:rPr>
          <w:sz w:val="20"/>
          <w:szCs w:val="20"/>
          <w:color w:val="auto"/>
        </w:rPr>
      </w:pPr>
    </w:p>
    <w:p>
      <w:pPr>
        <w:sectPr>
          <w:pgSz w:w="11900" w:h="16838" w:orient="portrait"/>
          <w:cols w:equalWidth="0" w:num="1">
            <w:col w:w="11420"/>
          </w:cols>
          <w:pgMar w:left="240" w:top="459" w:right="239" w:bottom="1440" w:gutter="0" w:footer="0" w:header="0"/>
        </w:sectPr>
      </w:pPr>
    </w:p>
    <w:p>
      <w:pPr>
        <w:jc w:val="center"/>
        <w:spacing w:after="0"/>
        <w:rPr>
          <w:sz w:val="20"/>
          <w:szCs w:val="20"/>
          <w:color w:val="auto"/>
        </w:rPr>
      </w:pPr>
      <w:r>
        <w:rPr>
          <w:rFonts w:ascii="Arial" w:cs="Arial" w:eastAsia="Arial" w:hAnsi="Arial"/>
          <w:sz w:val="19"/>
          <w:szCs w:val="19"/>
          <w:color w:val="auto"/>
        </w:rPr>
        <w:t>13</w:t>
      </w:r>
    </w:p>
    <w:p>
      <w:pPr>
        <w:sectPr>
          <w:pgSz w:w="11900" w:h="16838" w:orient="portrait"/>
          <w:cols w:equalWidth="0" w:num="1">
            <w:col w:w="11420"/>
          </w:cols>
          <w:pgMar w:left="240" w:top="459" w:right="239" w:bottom="1440" w:gutter="0" w:footer="0" w:header="0"/>
          <w:type w:val="continuous"/>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Note 4:</w:t>
      </w:r>
      <w:r>
        <w:rPr>
          <w:sz w:val="20"/>
          <w:szCs w:val="20"/>
          <w:color w:val="auto"/>
        </w:rPr>
        <w:tab/>
      </w:r>
      <w:r>
        <w:rPr>
          <w:rFonts w:ascii="Arial" w:cs="Arial" w:eastAsia="Arial" w:hAnsi="Arial"/>
          <w:sz w:val="15"/>
          <w:szCs w:val="15"/>
          <w:b w:val="1"/>
          <w:bCs w:val="1"/>
          <w:color w:val="auto"/>
        </w:rPr>
        <w:t>Intangible Assets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gross carrying amount and accumulated amortization of our intangible assets, other than goodwill, are as follows: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74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gridSpan w:val="4"/>
          </w:tcPr>
          <w:p>
            <w:pPr>
              <w:ind w:left="60"/>
              <w:spacing w:after="0"/>
              <w:rPr>
                <w:sz w:val="20"/>
                <w:szCs w:val="20"/>
                <w:color w:val="auto"/>
              </w:rPr>
            </w:pPr>
            <w:r>
              <w:rPr>
                <w:rFonts w:ascii="Arial" w:cs="Arial" w:eastAsia="Arial" w:hAnsi="Arial"/>
                <w:sz w:val="18"/>
                <w:szCs w:val="18"/>
                <w:b w:val="1"/>
                <w:bCs w:val="1"/>
                <w:color w:val="auto"/>
                <w:w w:val="96"/>
              </w:rPr>
              <w:t>At September 30, 2010</w:t>
            </w:r>
          </w:p>
        </w:tc>
        <w:tc>
          <w:tcPr>
            <w:tcW w:w="2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gridSpan w:val="4"/>
          </w:tcPr>
          <w:p>
            <w:pPr>
              <w:ind w:left="120"/>
              <w:spacing w:after="0"/>
              <w:rPr>
                <w:sz w:val="20"/>
                <w:szCs w:val="20"/>
                <w:color w:val="auto"/>
              </w:rPr>
            </w:pPr>
            <w:r>
              <w:rPr>
                <w:rFonts w:ascii="Arial" w:cs="Arial" w:eastAsia="Arial" w:hAnsi="Arial"/>
                <w:sz w:val="18"/>
                <w:szCs w:val="18"/>
                <w:b w:val="1"/>
                <w:bCs w:val="1"/>
                <w:color w:val="auto"/>
                <w:w w:val="98"/>
              </w:rPr>
              <w:t>At December 31, 2009</w:t>
            </w:r>
          </w:p>
        </w:tc>
        <w:tc>
          <w:tcPr>
            <w:tcW w:w="2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23"/>
        </w:trPr>
        <w:tc>
          <w:tcPr>
            <w:tcW w:w="27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560" w:type="dxa"/>
            <w:vAlign w:val="bottom"/>
            <w:gridSpan w:val="3"/>
          </w:tcPr>
          <w:p>
            <w:pPr>
              <w:ind w:left="80"/>
              <w:spacing w:after="0"/>
              <w:rPr>
                <w:sz w:val="20"/>
                <w:szCs w:val="20"/>
                <w:color w:val="auto"/>
              </w:rPr>
            </w:pPr>
            <w:r>
              <w:rPr>
                <w:rFonts w:ascii="Arial" w:cs="Arial" w:eastAsia="Arial" w:hAnsi="Arial"/>
                <w:sz w:val="18"/>
                <w:szCs w:val="18"/>
                <w:b w:val="1"/>
                <w:bCs w:val="1"/>
                <w:color w:val="auto"/>
              </w:rPr>
              <w:t>Accumulated</w:t>
            </w:r>
          </w:p>
        </w:tc>
        <w:tc>
          <w:tcPr>
            <w:tcW w:w="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580" w:type="dxa"/>
            <w:vAlign w:val="bottom"/>
            <w:gridSpan w:val="3"/>
          </w:tcPr>
          <w:p>
            <w:pPr>
              <w:ind w:left="80"/>
              <w:spacing w:after="0"/>
              <w:rPr>
                <w:sz w:val="20"/>
                <w:szCs w:val="20"/>
                <w:color w:val="auto"/>
              </w:rPr>
            </w:pPr>
            <w:r>
              <w:rPr>
                <w:rFonts w:ascii="Arial" w:cs="Arial" w:eastAsia="Arial" w:hAnsi="Arial"/>
                <w:sz w:val="18"/>
                <w:szCs w:val="18"/>
                <w:b w:val="1"/>
                <w:bCs w:val="1"/>
                <w:color w:val="auto"/>
              </w:rPr>
              <w:t>Accumulated</w:t>
            </w:r>
          </w:p>
        </w:tc>
        <w:tc>
          <w:tcPr>
            <w:tcW w:w="2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3"/>
        </w:trPr>
        <w:tc>
          <w:tcPr>
            <w:tcW w:w="2740" w:type="dxa"/>
            <w:vAlign w:val="bottom"/>
          </w:tcPr>
          <w:p>
            <w:pPr>
              <w:spacing w:after="0"/>
              <w:rPr>
                <w:sz w:val="21"/>
                <w:szCs w:val="21"/>
                <w:color w:val="auto"/>
              </w:rPr>
            </w:pPr>
          </w:p>
        </w:tc>
        <w:tc>
          <w:tcPr>
            <w:tcW w:w="112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b w:val="1"/>
                <w:bCs w:val="1"/>
                <w:color w:val="auto"/>
                <w:w w:val="87"/>
              </w:rPr>
              <w:t>Gross Assets</w:t>
            </w:r>
          </w:p>
        </w:tc>
        <w:tc>
          <w:tcPr>
            <w:tcW w:w="380" w:type="dxa"/>
            <w:vAlign w:val="bottom"/>
          </w:tcPr>
          <w:p>
            <w:pPr>
              <w:spacing w:after="0"/>
              <w:rPr>
                <w:sz w:val="21"/>
                <w:szCs w:val="21"/>
                <w:color w:val="auto"/>
              </w:rPr>
            </w:pPr>
          </w:p>
        </w:tc>
        <w:tc>
          <w:tcPr>
            <w:tcW w:w="118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b w:val="1"/>
                <w:bCs w:val="1"/>
                <w:color w:val="auto"/>
                <w:w w:val="98"/>
              </w:rPr>
              <w:t>Amortization</w:t>
            </w:r>
          </w:p>
        </w:tc>
        <w:tc>
          <w:tcPr>
            <w:tcW w:w="38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rPr>
              <w:t>Net</w:t>
            </w:r>
          </w:p>
        </w:tc>
        <w:tc>
          <w:tcPr>
            <w:tcW w:w="400" w:type="dxa"/>
            <w:vAlign w:val="bottom"/>
          </w:tcPr>
          <w:p>
            <w:pPr>
              <w:spacing w:after="0"/>
              <w:rPr>
                <w:sz w:val="21"/>
                <w:szCs w:val="21"/>
                <w:color w:val="auto"/>
              </w:rPr>
            </w:pPr>
          </w:p>
        </w:tc>
        <w:tc>
          <w:tcPr>
            <w:tcW w:w="112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b w:val="1"/>
                <w:bCs w:val="1"/>
                <w:color w:val="auto"/>
                <w:w w:val="86"/>
              </w:rPr>
              <w:t>Gross Assets</w:t>
            </w:r>
          </w:p>
        </w:tc>
        <w:tc>
          <w:tcPr>
            <w:tcW w:w="400" w:type="dxa"/>
            <w:vAlign w:val="bottom"/>
          </w:tcPr>
          <w:p>
            <w:pPr>
              <w:spacing w:after="0"/>
              <w:rPr>
                <w:sz w:val="21"/>
                <w:szCs w:val="21"/>
                <w:color w:val="auto"/>
              </w:rPr>
            </w:pPr>
          </w:p>
        </w:tc>
        <w:tc>
          <w:tcPr>
            <w:tcW w:w="116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b w:val="1"/>
                <w:bCs w:val="1"/>
                <w:color w:val="auto"/>
                <w:w w:val="96"/>
              </w:rPr>
              <w:t>Amortization</w:t>
            </w:r>
          </w:p>
        </w:tc>
        <w:tc>
          <w:tcPr>
            <w:tcW w:w="42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rPr>
              <w:t>Net</w:t>
            </w:r>
          </w:p>
        </w:tc>
        <w:tc>
          <w:tcPr>
            <w:tcW w:w="100" w:type="dxa"/>
            <w:vAlign w:val="bottom"/>
          </w:tcPr>
          <w:p>
            <w:pPr>
              <w:spacing w:after="0"/>
              <w:rPr>
                <w:sz w:val="21"/>
                <w:szCs w:val="21"/>
                <w:color w:val="auto"/>
              </w:rPr>
            </w:pPr>
          </w:p>
        </w:tc>
      </w:tr>
      <w:tr>
        <w:trPr>
          <w:trHeight w:val="211"/>
        </w:trPr>
        <w:tc>
          <w:tcPr>
            <w:tcW w:w="2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jc w:val="right"/>
              <w:ind w:right="32"/>
              <w:spacing w:after="0"/>
              <w:rPr>
                <w:sz w:val="20"/>
                <w:szCs w:val="20"/>
                <w:color w:val="auto"/>
              </w:rPr>
            </w:pPr>
            <w:r>
              <w:rPr>
                <w:rFonts w:ascii="Arial" w:cs="Arial" w:eastAsia="Arial" w:hAnsi="Arial"/>
                <w:sz w:val="18"/>
                <w:szCs w:val="18"/>
                <w:b w:val="1"/>
                <w:bCs w:val="1"/>
                <w:color w:val="auto"/>
              </w:rPr>
              <w:t>(in</w:t>
            </w:r>
          </w:p>
        </w:tc>
        <w:tc>
          <w:tcPr>
            <w:tcW w:w="800" w:type="dxa"/>
            <w:vAlign w:val="bottom"/>
            <w:gridSpan w:val="2"/>
          </w:tcPr>
          <w:p>
            <w:pPr>
              <w:spacing w:after="0"/>
              <w:rPr>
                <w:sz w:val="20"/>
                <w:szCs w:val="20"/>
                <w:color w:val="auto"/>
              </w:rPr>
            </w:pPr>
            <w:r>
              <w:rPr>
                <w:rFonts w:ascii="Arial" w:cs="Arial" w:eastAsia="Arial" w:hAnsi="Arial"/>
                <w:sz w:val="18"/>
                <w:szCs w:val="18"/>
                <w:b w:val="1"/>
                <w:bCs w:val="1"/>
                <w:color w:val="auto"/>
                <w:w w:val="80"/>
              </w:rPr>
              <w:t>thousands)</w:t>
            </w:r>
          </w:p>
        </w:tc>
        <w:tc>
          <w:tcPr>
            <w:tcW w:w="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Core-developed technology</w:t>
            </w:r>
          </w:p>
        </w:tc>
        <w:tc>
          <w:tcPr>
            <w:tcW w:w="32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384,229</w:t>
            </w:r>
          </w:p>
        </w:tc>
        <w:tc>
          <w:tcPr>
            <w:tcW w:w="70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(267,666)</w:t>
            </w:r>
          </w:p>
        </w:tc>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8"/>
              </w:rPr>
              <w:t>116,563</w:t>
            </w:r>
          </w:p>
        </w:tc>
        <w:tc>
          <w:tcPr>
            <w:tcW w:w="80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398,043</w:t>
            </w:r>
          </w:p>
        </w:tc>
        <w:tc>
          <w:tcPr>
            <w:tcW w:w="7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(244,545)</w:t>
            </w: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153,498</w:t>
            </w:r>
          </w:p>
        </w:tc>
        <w:tc>
          <w:tcPr>
            <w:tcW w:w="100" w:type="dxa"/>
            <w:vAlign w:val="bottom"/>
            <w:shd w:val="clear" w:color="auto" w:fill="CCEEFF"/>
          </w:tcPr>
          <w:p>
            <w:pPr>
              <w:spacing w:after="0"/>
              <w:rPr>
                <w:sz w:val="18"/>
                <w:szCs w:val="18"/>
                <w:color w:val="auto"/>
              </w:rPr>
            </w:pPr>
          </w:p>
        </w:tc>
      </w:tr>
      <w:tr>
        <w:trPr>
          <w:trHeight w:val="208"/>
        </w:trPr>
        <w:tc>
          <w:tcPr>
            <w:tcW w:w="2740" w:type="dxa"/>
            <w:vAlign w:val="bottom"/>
          </w:tcPr>
          <w:p>
            <w:pPr>
              <w:spacing w:after="0"/>
              <w:rPr>
                <w:sz w:val="20"/>
                <w:szCs w:val="20"/>
                <w:color w:val="auto"/>
              </w:rPr>
            </w:pPr>
            <w:r>
              <w:rPr>
                <w:rFonts w:ascii="Arial" w:cs="Arial" w:eastAsia="Arial" w:hAnsi="Arial"/>
                <w:sz w:val="18"/>
                <w:szCs w:val="18"/>
                <w:color w:val="auto"/>
              </w:rPr>
              <w:t>Customer contracts and</w:t>
            </w: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2"/>
        </w:trPr>
        <w:tc>
          <w:tcPr>
            <w:tcW w:w="2740" w:type="dxa"/>
            <w:vAlign w:val="bottom"/>
          </w:tcPr>
          <w:p>
            <w:pPr>
              <w:ind w:left="220"/>
              <w:spacing w:after="0"/>
              <w:rPr>
                <w:sz w:val="20"/>
                <w:szCs w:val="20"/>
                <w:color w:val="auto"/>
              </w:rPr>
            </w:pPr>
            <w:r>
              <w:rPr>
                <w:rFonts w:ascii="Arial" w:cs="Arial" w:eastAsia="Arial" w:hAnsi="Arial"/>
                <w:sz w:val="18"/>
                <w:szCs w:val="18"/>
                <w:color w:val="auto"/>
              </w:rPr>
              <w:t>relationships</w:t>
            </w:r>
          </w:p>
        </w:tc>
        <w:tc>
          <w:tcPr>
            <w:tcW w:w="320" w:type="dxa"/>
            <w:vAlign w:val="bottom"/>
          </w:tcPr>
          <w:p>
            <w:pPr>
              <w:spacing w:after="0"/>
              <w:rPr>
                <w:sz w:val="19"/>
                <w:szCs w:val="19"/>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289,533</w:t>
            </w: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(106,580)</w:t>
            </w:r>
          </w:p>
        </w:tc>
        <w:tc>
          <w:tcPr>
            <w:tcW w:w="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jc w:val="right"/>
              <w:ind w:right="12"/>
              <w:spacing w:after="0"/>
              <w:rPr>
                <w:sz w:val="20"/>
                <w:szCs w:val="20"/>
                <w:color w:val="auto"/>
              </w:rPr>
            </w:pPr>
            <w:r>
              <w:rPr>
                <w:rFonts w:ascii="Arial" w:cs="Arial" w:eastAsia="Arial" w:hAnsi="Arial"/>
                <w:sz w:val="18"/>
                <w:szCs w:val="18"/>
                <w:color w:val="auto"/>
                <w:w w:val="98"/>
              </w:rPr>
              <w:t>182,953</w:t>
            </w:r>
          </w:p>
        </w:tc>
        <w:tc>
          <w:tcPr>
            <w:tcW w:w="4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95"/>
              </w:rPr>
              <w:t>306,061</w:t>
            </w:r>
          </w:p>
        </w:tc>
        <w:tc>
          <w:tcPr>
            <w:tcW w:w="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(92,187)</w:t>
            </w:r>
          </w:p>
        </w:tc>
        <w:tc>
          <w:tcPr>
            <w:tcW w:w="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98"/>
              </w:rPr>
              <w:t>213,874</w:t>
            </w:r>
          </w:p>
        </w:tc>
        <w:tc>
          <w:tcPr>
            <w:tcW w:w="100" w:type="dxa"/>
            <w:vAlign w:val="bottom"/>
          </w:tcPr>
          <w:p>
            <w:pPr>
              <w:spacing w:after="0"/>
              <w:rPr>
                <w:sz w:val="19"/>
                <w:szCs w:val="19"/>
                <w:color w:val="auto"/>
              </w:rPr>
            </w:pPr>
          </w:p>
        </w:tc>
      </w:tr>
      <w:tr>
        <w:trPr>
          <w:trHeight w:val="218"/>
        </w:trPr>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Trademarks and trade names</w:t>
            </w: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74,378</w:t>
            </w: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(59,037)</w:t>
            </w:r>
          </w:p>
        </w:tc>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15,341</w:t>
            </w:r>
          </w:p>
        </w:tc>
        <w:tc>
          <w:tcPr>
            <w:tcW w:w="4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77,439</w:t>
            </w:r>
          </w:p>
        </w:tc>
        <w:tc>
          <w:tcPr>
            <w:tcW w:w="4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(57,957)</w:t>
            </w: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19,482</w:t>
            </w:r>
          </w:p>
        </w:tc>
        <w:tc>
          <w:tcPr>
            <w:tcW w:w="100" w:type="dxa"/>
            <w:vAlign w:val="bottom"/>
            <w:shd w:val="clear" w:color="auto" w:fill="CCEEFF"/>
          </w:tcPr>
          <w:p>
            <w:pPr>
              <w:spacing w:after="0"/>
              <w:rPr>
                <w:sz w:val="18"/>
                <w:szCs w:val="18"/>
                <w:color w:val="auto"/>
              </w:rPr>
            </w:pPr>
          </w:p>
        </w:tc>
      </w:tr>
      <w:tr>
        <w:trPr>
          <w:trHeight w:val="223"/>
        </w:trPr>
        <w:tc>
          <w:tcPr>
            <w:tcW w:w="2740" w:type="dxa"/>
            <w:vAlign w:val="bottom"/>
          </w:tcPr>
          <w:p>
            <w:pPr>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24,386</w:t>
            </w:r>
          </w:p>
        </w:tc>
        <w:tc>
          <w:tcPr>
            <w:tcW w:w="3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(23,487)</w:t>
            </w:r>
          </w:p>
        </w:tc>
        <w:tc>
          <w:tcPr>
            <w:tcW w:w="3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899</w:t>
            </w:r>
          </w:p>
        </w:tc>
        <w:tc>
          <w:tcPr>
            <w:tcW w:w="4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24,713</w:t>
            </w:r>
          </w:p>
        </w:tc>
        <w:tc>
          <w:tcPr>
            <w:tcW w:w="4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(23,355)</w:t>
            </w:r>
          </w:p>
        </w:tc>
        <w:tc>
          <w:tcPr>
            <w:tcW w:w="4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1,358</w:t>
            </w:r>
          </w:p>
        </w:tc>
        <w:tc>
          <w:tcPr>
            <w:tcW w:w="100" w:type="dxa"/>
            <w:vAlign w:val="bottom"/>
          </w:tcPr>
          <w:p>
            <w:pPr>
              <w:spacing w:after="0"/>
              <w:rPr>
                <w:sz w:val="19"/>
                <w:szCs w:val="19"/>
                <w:color w:val="auto"/>
              </w:rPr>
            </w:pPr>
          </w:p>
        </w:tc>
      </w:tr>
      <w:tr>
        <w:trPr>
          <w:trHeight w:val="216"/>
        </w:trPr>
        <w:tc>
          <w:tcPr>
            <w:tcW w:w="27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intangible assets</w:t>
            </w:r>
          </w:p>
        </w:tc>
        <w:tc>
          <w:tcPr>
            <w:tcW w:w="32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772,526</w:t>
            </w:r>
          </w:p>
        </w:tc>
        <w:tc>
          <w:tcPr>
            <w:tcW w:w="70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(456,770)</w:t>
            </w:r>
          </w:p>
        </w:tc>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8"/>
              </w:rPr>
              <w:t>315,756</w:t>
            </w:r>
          </w:p>
        </w:tc>
        <w:tc>
          <w:tcPr>
            <w:tcW w:w="80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806,256</w:t>
            </w:r>
          </w:p>
        </w:tc>
        <w:tc>
          <w:tcPr>
            <w:tcW w:w="7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(418,044)</w:t>
            </w: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388,212</w:t>
            </w:r>
          </w:p>
        </w:tc>
        <w:tc>
          <w:tcPr>
            <w:tcW w:w="100" w:type="dxa"/>
            <w:vAlign w:val="bottom"/>
            <w:shd w:val="clear" w:color="auto" w:fill="CCEEFF"/>
          </w:tcPr>
          <w:p>
            <w:pPr>
              <w:spacing w:after="0"/>
              <w:rPr>
                <w:sz w:val="18"/>
                <w:szCs w:val="18"/>
                <w:color w:val="auto"/>
              </w:rPr>
            </w:pPr>
          </w:p>
        </w:tc>
      </w:tr>
      <w:tr>
        <w:trPr>
          <w:trHeight w:val="20"/>
        </w:trPr>
        <w:tc>
          <w:tcPr>
            <w:tcW w:w="27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6120" w:type="dxa"/>
            <w:vAlign w:val="bottom"/>
            <w:gridSpan w:val="2"/>
          </w:tcPr>
          <w:p>
            <w:pPr>
              <w:spacing w:after="0"/>
              <w:rPr>
                <w:sz w:val="20"/>
                <w:szCs w:val="20"/>
                <w:color w:val="auto"/>
              </w:rPr>
            </w:pPr>
            <w:r>
              <w:rPr>
                <w:rFonts w:ascii="Arial" w:cs="Arial" w:eastAsia="Arial" w:hAnsi="Arial"/>
                <w:sz w:val="18"/>
                <w:szCs w:val="18"/>
                <w:color w:val="auto"/>
              </w:rPr>
              <w:t>A summary of the intangible asset account activity is as follows:</w:t>
            </w:r>
          </w:p>
        </w:tc>
        <w:tc>
          <w:tcPr>
            <w:tcW w:w="2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420"/>
        </w:trPr>
        <w:tc>
          <w:tcPr>
            <w:tcW w:w="20" w:type="dxa"/>
            <w:vAlign w:val="bottom"/>
          </w:tcPr>
          <w:p>
            <w:pPr>
              <w:spacing w:after="0"/>
              <w:rPr>
                <w:sz w:val="24"/>
                <w:szCs w:val="24"/>
                <w:color w:val="auto"/>
              </w:rPr>
            </w:pPr>
          </w:p>
        </w:tc>
        <w:tc>
          <w:tcPr>
            <w:tcW w:w="6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180" w:type="dxa"/>
            <w:vAlign w:val="bottom"/>
            <w:gridSpan w:val="5"/>
          </w:tcPr>
          <w:p>
            <w:pPr>
              <w:ind w:left="100"/>
              <w:spacing w:after="0"/>
              <w:rPr>
                <w:sz w:val="20"/>
                <w:szCs w:val="20"/>
                <w:color w:val="auto"/>
              </w:rPr>
            </w:pPr>
            <w:r>
              <w:rPr>
                <w:rFonts w:ascii="Arial" w:cs="Arial" w:eastAsia="Arial" w:hAnsi="Arial"/>
                <w:sz w:val="18"/>
                <w:szCs w:val="18"/>
                <w:b w:val="1"/>
                <w:bCs w:val="1"/>
                <w:color w:val="auto"/>
              </w:rPr>
              <w:t>Nine Months Ended September 30,</w:t>
            </w:r>
          </w:p>
        </w:tc>
      </w:tr>
      <w:tr>
        <w:trPr>
          <w:trHeight w:val="211"/>
        </w:trPr>
        <w:tc>
          <w:tcPr>
            <w:tcW w:w="20" w:type="dxa"/>
            <w:vAlign w:val="bottom"/>
          </w:tcPr>
          <w:p>
            <w:pPr>
              <w:spacing w:after="0"/>
              <w:rPr>
                <w:sz w:val="18"/>
                <w:szCs w:val="18"/>
                <w:color w:val="auto"/>
              </w:rPr>
            </w:pPr>
          </w:p>
        </w:tc>
        <w:tc>
          <w:tcPr>
            <w:tcW w:w="6100" w:type="dxa"/>
            <w:vAlign w:val="bottom"/>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412"/>
              <w:spacing w:after="0"/>
              <w:rPr>
                <w:sz w:val="20"/>
                <w:szCs w:val="20"/>
                <w:color w:val="auto"/>
              </w:rPr>
            </w:pPr>
            <w:r>
              <w:rPr>
                <w:rFonts w:ascii="Arial" w:cs="Arial" w:eastAsia="Arial" w:hAnsi="Arial"/>
                <w:sz w:val="18"/>
                <w:szCs w:val="18"/>
                <w:b w:val="1"/>
                <w:bCs w:val="1"/>
                <w:color w:val="auto"/>
              </w:rPr>
              <w:t>2010</w:t>
            </w:r>
          </w:p>
        </w:tc>
        <w:tc>
          <w:tcPr>
            <w:tcW w:w="600" w:type="dxa"/>
            <w:vAlign w:val="bottom"/>
            <w:tcBorders>
              <w:top w:val="single" w:sz="8" w:color="auto"/>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432"/>
              <w:spacing w:after="0"/>
              <w:rPr>
                <w:sz w:val="20"/>
                <w:szCs w:val="20"/>
                <w:color w:val="auto"/>
              </w:rPr>
            </w:pPr>
            <w:r>
              <w:rPr>
                <w:rFonts w:ascii="Arial" w:cs="Arial" w:eastAsia="Arial" w:hAnsi="Arial"/>
                <w:sz w:val="18"/>
                <w:szCs w:val="18"/>
                <w:b w:val="1"/>
                <w:bCs w:val="1"/>
                <w:color w:val="auto"/>
              </w:rPr>
              <w:t>2009</w:t>
            </w:r>
          </w:p>
        </w:tc>
        <w:tc>
          <w:tcPr>
            <w:tcW w:w="10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6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ind w:left="880"/>
              <w:spacing w:after="0"/>
              <w:rPr>
                <w:sz w:val="20"/>
                <w:szCs w:val="20"/>
                <w:color w:val="auto"/>
              </w:rPr>
            </w:pPr>
            <w:r>
              <w:rPr>
                <w:rFonts w:ascii="Arial" w:cs="Arial" w:eastAsia="Arial" w:hAnsi="Arial"/>
                <w:sz w:val="18"/>
                <w:szCs w:val="18"/>
                <w:b w:val="1"/>
                <w:bCs w:val="1"/>
                <w:color w:val="auto"/>
                <w:w w:val="81"/>
              </w:rPr>
              <w:t>(in</w:t>
            </w:r>
          </w:p>
        </w:tc>
        <w:tc>
          <w:tcPr>
            <w:tcW w:w="10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w w:val="86"/>
              </w:rPr>
              <w:t>thousands)</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 intangible assets, gross</w:t>
            </w:r>
          </w:p>
        </w:tc>
        <w:tc>
          <w:tcPr>
            <w:tcW w:w="2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5"/>
              </w:rPr>
              <w:t>806,256</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796,236</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100" w:type="dxa"/>
            <w:vAlign w:val="bottom"/>
          </w:tcPr>
          <w:p>
            <w:pPr>
              <w:ind w:left="420"/>
              <w:spacing w:after="0"/>
              <w:rPr>
                <w:sz w:val="20"/>
                <w:szCs w:val="20"/>
                <w:color w:val="auto"/>
              </w:rPr>
            </w:pPr>
            <w:r>
              <w:rPr>
                <w:rFonts w:ascii="Arial" w:cs="Arial" w:eastAsia="Arial" w:hAnsi="Arial"/>
                <w:sz w:val="18"/>
                <w:szCs w:val="18"/>
                <w:color w:val="auto"/>
              </w:rPr>
              <w:t>Effect of change in exchange rates</w:t>
            </w: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w w:val="92"/>
              </w:rPr>
              <w:t>(33,730)</w:t>
            </w:r>
          </w:p>
        </w:tc>
        <w:tc>
          <w:tcPr>
            <w:tcW w:w="6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18,996</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Ending balance, intangible assets, gross</w:t>
            </w:r>
          </w:p>
        </w:tc>
        <w:tc>
          <w:tcPr>
            <w:tcW w:w="2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5"/>
              </w:rPr>
              <w:t>772,526</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815,232</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Intangible assets of our international subsidiaries are recorded in their respective functional currency; therefore, the carrying amounts of intangible assets increase or decrease, with a corresponding change in accumulated OCI, due to changes in foreign currency exchange rates.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Intangible asset amortization expense is as follows: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040" w:type="dxa"/>
            <w:vAlign w:val="bottom"/>
          </w:tcPr>
          <w:p>
            <w:pPr>
              <w:spacing w:after="0"/>
              <w:rPr>
                <w:sz w:val="19"/>
                <w:szCs w:val="19"/>
                <w:color w:val="auto"/>
              </w:rPr>
            </w:pPr>
          </w:p>
        </w:tc>
        <w:tc>
          <w:tcPr>
            <w:tcW w:w="3020" w:type="dxa"/>
            <w:vAlign w:val="bottom"/>
            <w:gridSpan w:val="5"/>
          </w:tcPr>
          <w:p>
            <w:pPr>
              <w:jc w:val="right"/>
              <w:ind w:right="72"/>
              <w:spacing w:after="0"/>
              <w:rPr>
                <w:sz w:val="20"/>
                <w:szCs w:val="20"/>
                <w:color w:val="auto"/>
              </w:rPr>
            </w:pPr>
            <w:r>
              <w:rPr>
                <w:rFonts w:ascii="Arial" w:cs="Arial" w:eastAsia="Arial" w:hAnsi="Arial"/>
                <w:sz w:val="18"/>
                <w:szCs w:val="18"/>
                <w:b w:val="1"/>
                <w:bCs w:val="1"/>
                <w:color w:val="auto"/>
                <w:w w:val="92"/>
              </w:rPr>
              <w:t>Three Months Ended September 30,</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20" w:type="dxa"/>
            <w:vAlign w:val="bottom"/>
            <w:gridSpan w:val="7"/>
          </w:tcPr>
          <w:p>
            <w:pPr>
              <w:ind w:left="160"/>
              <w:spacing w:after="0"/>
              <w:rPr>
                <w:sz w:val="20"/>
                <w:szCs w:val="20"/>
                <w:color w:val="auto"/>
              </w:rPr>
            </w:pPr>
            <w:r>
              <w:rPr>
                <w:rFonts w:ascii="Arial" w:cs="Arial" w:eastAsia="Arial" w:hAnsi="Arial"/>
                <w:sz w:val="18"/>
                <w:szCs w:val="18"/>
                <w:b w:val="1"/>
                <w:bCs w:val="1"/>
                <w:color w:val="auto"/>
                <w:w w:val="95"/>
              </w:rPr>
              <w:t>Nine Months Ended September 30,</w:t>
            </w:r>
          </w:p>
        </w:tc>
      </w:tr>
      <w:tr>
        <w:trPr>
          <w:trHeight w:val="212"/>
        </w:trPr>
        <w:tc>
          <w:tcPr>
            <w:tcW w:w="3040" w:type="dxa"/>
            <w:vAlign w:val="bottom"/>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312"/>
              <w:spacing w:after="0"/>
              <w:rPr>
                <w:sz w:val="20"/>
                <w:szCs w:val="20"/>
                <w:color w:val="auto"/>
              </w:rPr>
            </w:pPr>
            <w:r>
              <w:rPr>
                <w:rFonts w:ascii="Arial" w:cs="Arial" w:eastAsia="Arial" w:hAnsi="Arial"/>
                <w:sz w:val="18"/>
                <w:szCs w:val="18"/>
                <w:b w:val="1"/>
                <w:bCs w:val="1"/>
                <w:color w:val="auto"/>
                <w:w w:val="84"/>
              </w:rPr>
              <w:t>2010</w:t>
            </w:r>
          </w:p>
        </w:tc>
        <w:tc>
          <w:tcPr>
            <w:tcW w:w="640" w:type="dxa"/>
            <w:vAlign w:val="bottom"/>
            <w:tcBorders>
              <w:top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52"/>
              <w:spacing w:after="0"/>
              <w:rPr>
                <w:sz w:val="20"/>
                <w:szCs w:val="20"/>
                <w:color w:val="auto"/>
              </w:rPr>
            </w:pPr>
            <w:r>
              <w:rPr>
                <w:rFonts w:ascii="Arial" w:cs="Arial" w:eastAsia="Arial" w:hAnsi="Arial"/>
                <w:sz w:val="18"/>
                <w:szCs w:val="18"/>
                <w:b w:val="1"/>
                <w:bCs w:val="1"/>
                <w:color w:val="auto"/>
              </w:rPr>
              <w:t>2009</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rPr>
              <w:t>2010</w:t>
            </w:r>
          </w:p>
        </w:tc>
        <w:tc>
          <w:tcPr>
            <w:tcW w:w="10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312"/>
              <w:spacing w:after="0"/>
              <w:rPr>
                <w:sz w:val="20"/>
                <w:szCs w:val="20"/>
                <w:color w:val="auto"/>
              </w:rPr>
            </w:pPr>
            <w:r>
              <w:rPr>
                <w:rFonts w:ascii="Arial" w:cs="Arial" w:eastAsia="Arial" w:hAnsi="Arial"/>
                <w:sz w:val="18"/>
                <w:szCs w:val="18"/>
                <w:b w:val="1"/>
                <w:bCs w:val="1"/>
                <w:color w:val="auto"/>
              </w:rPr>
              <w:t>2009</w:t>
            </w:r>
          </w:p>
        </w:tc>
        <w:tc>
          <w:tcPr>
            <w:tcW w:w="100" w:type="dxa"/>
            <w:vAlign w:val="bottom"/>
          </w:tcPr>
          <w:p>
            <w:pPr>
              <w:spacing w:after="0"/>
              <w:rPr>
                <w:sz w:val="18"/>
                <w:szCs w:val="18"/>
                <w:color w:val="auto"/>
              </w:rPr>
            </w:pPr>
          </w:p>
        </w:tc>
      </w:tr>
      <w:tr>
        <w:trPr>
          <w:trHeight w:val="210"/>
        </w:trPr>
        <w:tc>
          <w:tcPr>
            <w:tcW w:w="30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(in</w:t>
            </w:r>
          </w:p>
        </w:tc>
        <w:tc>
          <w:tcPr>
            <w:tcW w:w="500" w:type="dxa"/>
            <w:vAlign w:val="bottom"/>
            <w:gridSpan w:val="2"/>
          </w:tcPr>
          <w:p>
            <w:pPr>
              <w:jc w:val="right"/>
              <w:spacing w:after="0"/>
              <w:rPr>
                <w:sz w:val="20"/>
                <w:szCs w:val="20"/>
                <w:color w:val="auto"/>
              </w:rPr>
            </w:pPr>
            <w:r>
              <w:rPr>
                <w:rFonts w:ascii="Arial" w:cs="Arial" w:eastAsia="Arial" w:hAnsi="Arial"/>
                <w:sz w:val="16"/>
                <w:szCs w:val="16"/>
                <w:b w:val="1"/>
                <w:bCs w:val="1"/>
                <w:color w:val="auto"/>
                <w:w w:val="72"/>
              </w:rPr>
              <w:t>millions)</w:t>
            </w: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intangible assets</w:t>
            </w:r>
          </w:p>
        </w:tc>
        <w:tc>
          <w:tcPr>
            <w:tcW w:w="40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780" w:type="dxa"/>
            <w:vAlign w:val="bottom"/>
            <w:gridSpan w:val="3"/>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51.5</w:t>
            </w:r>
          </w:p>
        </w:tc>
        <w:tc>
          <w:tcPr>
            <w:tcW w:w="100" w:type="dxa"/>
            <w:vAlign w:val="bottom"/>
            <w:tcBorders>
              <w:right w:val="single" w:sz="8" w:color="CCEEFF"/>
            </w:tcBorders>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72.8</w:t>
            </w:r>
          </w:p>
        </w:tc>
        <w:tc>
          <w:tcPr>
            <w:tcW w:w="100" w:type="dxa"/>
            <w:vAlign w:val="bottom"/>
            <w:shd w:val="clear" w:color="auto" w:fill="CCEEFF"/>
          </w:tcPr>
          <w:p>
            <w:pPr>
              <w:spacing w:after="0"/>
              <w:rPr>
                <w:sz w:val="18"/>
                <w:szCs w:val="18"/>
                <w:color w:val="auto"/>
              </w:rPr>
            </w:pPr>
          </w:p>
        </w:tc>
      </w:tr>
      <w:tr>
        <w:trPr>
          <w:trHeight w:val="376"/>
        </w:trPr>
        <w:tc>
          <w:tcPr>
            <w:tcW w:w="4200" w:type="dxa"/>
            <w:vAlign w:val="bottom"/>
            <w:gridSpan w:val="3"/>
          </w:tcPr>
          <w:p>
            <w:pPr>
              <w:spacing w:after="0"/>
              <w:rPr>
                <w:sz w:val="20"/>
                <w:szCs w:val="20"/>
                <w:color w:val="auto"/>
              </w:rPr>
            </w:pPr>
            <w:r>
              <w:rPr>
                <w:rFonts w:ascii="Arial" w:cs="Arial" w:eastAsia="Arial" w:hAnsi="Arial"/>
                <w:sz w:val="18"/>
                <w:szCs w:val="18"/>
                <w:color w:val="auto"/>
                <w:w w:val="88"/>
              </w:rPr>
              <w:t>Estimated future annual amortization expense is as follows:</w:t>
            </w: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06"/>
        </w:trPr>
        <w:tc>
          <w:tcPr>
            <w:tcW w:w="30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60" w:type="dxa"/>
            <w:vAlign w:val="bottom"/>
            <w:gridSpan w:val="4"/>
          </w:tcPr>
          <w:p>
            <w:pPr>
              <w:jc w:val="center"/>
              <w:ind w:right="100"/>
              <w:spacing w:after="0"/>
              <w:rPr>
                <w:sz w:val="20"/>
                <w:szCs w:val="20"/>
                <w:color w:val="auto"/>
              </w:rPr>
            </w:pPr>
            <w:r>
              <w:rPr>
                <w:rFonts w:ascii="Arial" w:cs="Arial" w:eastAsia="Arial" w:hAnsi="Arial"/>
                <w:sz w:val="18"/>
                <w:szCs w:val="18"/>
                <w:b w:val="1"/>
                <w:bCs w:val="1"/>
                <w:color w:val="auto"/>
                <w:w w:val="89"/>
              </w:rPr>
              <w:t>Estimated Annual</w:t>
            </w: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9"/>
        </w:trPr>
        <w:tc>
          <w:tcPr>
            <w:tcW w:w="30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Years ending December 31,</w:t>
            </w:r>
          </w:p>
        </w:tc>
        <w:tc>
          <w:tcPr>
            <w:tcW w:w="4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gridSpan w:val="4"/>
          </w:tcPr>
          <w:p>
            <w:pPr>
              <w:jc w:val="center"/>
              <w:ind w:right="100"/>
              <w:spacing w:after="0"/>
              <w:rPr>
                <w:sz w:val="20"/>
                <w:szCs w:val="20"/>
                <w:color w:val="auto"/>
              </w:rPr>
            </w:pPr>
            <w:r>
              <w:rPr>
                <w:rFonts w:ascii="Arial" w:cs="Arial" w:eastAsia="Arial" w:hAnsi="Arial"/>
                <w:sz w:val="18"/>
                <w:szCs w:val="18"/>
                <w:b w:val="1"/>
                <w:bCs w:val="1"/>
                <w:color w:val="auto"/>
                <w:w w:val="90"/>
              </w:rPr>
              <w:t>Amortization</w:t>
            </w: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1"/>
        </w:trPr>
        <w:tc>
          <w:tcPr>
            <w:tcW w:w="30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gridSpan w:val="4"/>
          </w:tcPr>
          <w:p>
            <w:pPr>
              <w:jc w:val="center"/>
              <w:ind w:right="100"/>
              <w:spacing w:after="0"/>
              <w:rPr>
                <w:sz w:val="20"/>
                <w:szCs w:val="20"/>
                <w:color w:val="auto"/>
              </w:rPr>
            </w:pPr>
            <w:r>
              <w:rPr>
                <w:rFonts w:ascii="Arial" w:cs="Arial" w:eastAsia="Arial" w:hAnsi="Arial"/>
                <w:sz w:val="18"/>
                <w:szCs w:val="18"/>
                <w:b w:val="1"/>
                <w:bCs w:val="1"/>
                <w:color w:val="auto"/>
                <w:w w:val="87"/>
              </w:rPr>
              <w:t>(in thousands)</w:t>
            </w: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4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87"/>
              </w:rPr>
              <w:t>2010 (amount remaining at September 30, 2010)</w:t>
            </w:r>
          </w:p>
        </w:tc>
        <w:tc>
          <w:tcPr>
            <w:tcW w:w="7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17,488</w:t>
            </w:r>
          </w:p>
        </w:tc>
        <w:tc>
          <w:tcPr>
            <w:tcW w:w="100" w:type="dxa"/>
            <w:vAlign w:val="bottom"/>
            <w:tcBorders>
              <w:right w:val="single" w:sz="8" w:color="CCEEFF"/>
            </w:tcBorders>
            <w:shd w:val="clear" w:color="auto" w:fill="CCEEFF"/>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040" w:type="dxa"/>
            <w:vAlign w:val="bottom"/>
          </w:tcPr>
          <w:p>
            <w:pPr>
              <w:spacing w:after="0"/>
              <w:rPr>
                <w:sz w:val="20"/>
                <w:szCs w:val="20"/>
                <w:color w:val="auto"/>
              </w:rPr>
            </w:pPr>
            <w:r>
              <w:rPr>
                <w:rFonts w:ascii="Arial" w:cs="Arial" w:eastAsia="Arial" w:hAnsi="Arial"/>
                <w:sz w:val="18"/>
                <w:szCs w:val="18"/>
                <w:color w:val="auto"/>
              </w:rPr>
              <w:t>2011</w:t>
            </w:r>
          </w:p>
        </w:tc>
        <w:tc>
          <w:tcPr>
            <w:tcW w:w="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59,849</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2012</w:t>
            </w:r>
          </w:p>
        </w:tc>
        <w:tc>
          <w:tcPr>
            <w:tcW w:w="4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46,096</w:t>
            </w:r>
          </w:p>
        </w:tc>
        <w:tc>
          <w:tcPr>
            <w:tcW w:w="100" w:type="dxa"/>
            <w:vAlign w:val="bottom"/>
            <w:tcBorders>
              <w:right w:val="single" w:sz="8" w:color="CCEEFF"/>
            </w:tcBorders>
            <w:shd w:val="clear" w:color="auto" w:fill="CCEEFF"/>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040" w:type="dxa"/>
            <w:vAlign w:val="bottom"/>
          </w:tcPr>
          <w:p>
            <w:pPr>
              <w:spacing w:after="0"/>
              <w:rPr>
                <w:sz w:val="20"/>
                <w:szCs w:val="20"/>
                <w:color w:val="auto"/>
              </w:rPr>
            </w:pPr>
            <w:r>
              <w:rPr>
                <w:rFonts w:ascii="Arial" w:cs="Arial" w:eastAsia="Arial" w:hAnsi="Arial"/>
                <w:sz w:val="18"/>
                <w:szCs w:val="18"/>
                <w:color w:val="auto"/>
              </w:rPr>
              <w:t>2013</w:t>
            </w:r>
          </w:p>
        </w:tc>
        <w:tc>
          <w:tcPr>
            <w:tcW w:w="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37,289</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2014</w:t>
            </w:r>
          </w:p>
        </w:tc>
        <w:tc>
          <w:tcPr>
            <w:tcW w:w="4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30,616</w:t>
            </w:r>
          </w:p>
        </w:tc>
        <w:tc>
          <w:tcPr>
            <w:tcW w:w="100" w:type="dxa"/>
            <w:vAlign w:val="bottom"/>
            <w:tcBorders>
              <w:right w:val="single" w:sz="8" w:color="CCEEFF"/>
            </w:tcBorders>
            <w:shd w:val="clear" w:color="auto" w:fill="CCEEFF"/>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3"/>
        </w:trPr>
        <w:tc>
          <w:tcPr>
            <w:tcW w:w="3040" w:type="dxa"/>
            <w:vAlign w:val="bottom"/>
          </w:tcPr>
          <w:p>
            <w:pPr>
              <w:spacing w:after="0"/>
              <w:rPr>
                <w:sz w:val="20"/>
                <w:szCs w:val="20"/>
                <w:color w:val="auto"/>
              </w:rPr>
            </w:pPr>
            <w:r>
              <w:rPr>
                <w:rFonts w:ascii="Arial" w:cs="Arial" w:eastAsia="Arial" w:hAnsi="Arial"/>
                <w:sz w:val="18"/>
                <w:szCs w:val="18"/>
                <w:color w:val="auto"/>
              </w:rPr>
              <w:t>Beyond 2014</w:t>
            </w:r>
          </w:p>
        </w:tc>
        <w:tc>
          <w:tcPr>
            <w:tcW w:w="4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124,418</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30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intangible assets, net</w:t>
            </w:r>
          </w:p>
        </w:tc>
        <w:tc>
          <w:tcPr>
            <w:tcW w:w="4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315,756</w:t>
            </w:r>
          </w:p>
        </w:tc>
        <w:tc>
          <w:tcPr>
            <w:tcW w:w="100" w:type="dxa"/>
            <w:vAlign w:val="bottom"/>
            <w:tcBorders>
              <w:right w:val="single" w:sz="8" w:color="CCEEFF"/>
            </w:tcBorders>
            <w:shd w:val="clear" w:color="auto" w:fill="CCEEFF"/>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
        </w:trPr>
        <w:tc>
          <w:tcPr>
            <w:tcW w:w="30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4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Note 5:</w:t>
      </w:r>
      <w:r>
        <w:rPr>
          <w:sz w:val="20"/>
          <w:szCs w:val="20"/>
          <w:color w:val="auto"/>
        </w:rPr>
        <w:tab/>
      </w:r>
      <w:r>
        <w:rPr>
          <w:rFonts w:ascii="Arial" w:cs="Arial" w:eastAsia="Arial" w:hAnsi="Arial"/>
          <w:sz w:val="16"/>
          <w:szCs w:val="16"/>
          <w:b w:val="1"/>
          <w:bCs w:val="1"/>
          <w:color w:val="auto"/>
        </w:rPr>
        <w:t>Goodwill</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reflects goodwill allocated to each reporting segment at September 30, 2010 and 2009:</w:t>
      </w:r>
    </w:p>
    <w:p>
      <w:pPr>
        <w:spacing w:after="0" w:line="206" w:lineRule="exact"/>
        <w:rPr>
          <w:sz w:val="20"/>
          <w:szCs w:val="20"/>
          <w:color w:val="auto"/>
        </w:rPr>
      </w:pPr>
    </w:p>
    <w:tbl>
      <w:tblPr>
        <w:tblLayout w:type="fixed"/>
        <w:tblInd w:w="4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ind w:right="92"/>
              <w:spacing w:after="0"/>
              <w:rPr>
                <w:sz w:val="20"/>
                <w:szCs w:val="20"/>
                <w:color w:val="auto"/>
              </w:rPr>
            </w:pPr>
            <w:r>
              <w:rPr>
                <w:rFonts w:ascii="Arial" w:cs="Arial" w:eastAsia="Arial" w:hAnsi="Arial"/>
                <w:sz w:val="18"/>
                <w:szCs w:val="18"/>
                <w:b w:val="1"/>
                <w:bCs w:val="1"/>
                <w:color w:val="auto"/>
                <w:w w:val="92"/>
              </w:rPr>
              <w:t>Itron North</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ind w:right="352"/>
              <w:spacing w:after="0"/>
              <w:rPr>
                <w:sz w:val="20"/>
                <w:szCs w:val="20"/>
                <w:color w:val="auto"/>
              </w:rPr>
            </w:pPr>
            <w:r>
              <w:rPr>
                <w:rFonts w:ascii="Arial" w:cs="Arial" w:eastAsia="Arial" w:hAnsi="Arial"/>
                <w:sz w:val="18"/>
                <w:szCs w:val="18"/>
                <w:b w:val="1"/>
                <w:bCs w:val="1"/>
                <w:color w:val="auto"/>
              </w:rPr>
              <w:t>Itron</w:t>
            </w: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ind w:right="212"/>
              <w:spacing w:after="0"/>
              <w:rPr>
                <w:sz w:val="20"/>
                <w:szCs w:val="20"/>
                <w:color w:val="auto"/>
              </w:rPr>
            </w:pPr>
            <w:r>
              <w:rPr>
                <w:rFonts w:ascii="Arial" w:cs="Arial" w:eastAsia="Arial" w:hAnsi="Arial"/>
                <w:sz w:val="18"/>
                <w:szCs w:val="18"/>
                <w:b w:val="1"/>
                <w:bCs w:val="1"/>
                <w:color w:val="auto"/>
              </w:rPr>
              <w:t>America</w:t>
            </w:r>
          </w:p>
        </w:tc>
        <w:tc>
          <w:tcPr>
            <w:tcW w:w="200" w:type="dxa"/>
            <w:vAlign w:val="bottom"/>
          </w:tcPr>
          <w:p>
            <w:pPr>
              <w:spacing w:after="0"/>
              <w:rPr>
                <w:sz w:val="19"/>
                <w:szCs w:val="19"/>
                <w:color w:val="auto"/>
              </w:rPr>
            </w:pPr>
          </w:p>
        </w:tc>
        <w:tc>
          <w:tcPr>
            <w:tcW w:w="1260" w:type="dxa"/>
            <w:vAlign w:val="bottom"/>
            <w:gridSpan w:val="2"/>
          </w:tcPr>
          <w:p>
            <w:pPr>
              <w:jc w:val="right"/>
              <w:ind w:right="52"/>
              <w:spacing w:after="0"/>
              <w:rPr>
                <w:sz w:val="20"/>
                <w:szCs w:val="20"/>
                <w:color w:val="auto"/>
              </w:rPr>
            </w:pPr>
            <w:r>
              <w:rPr>
                <w:rFonts w:ascii="Arial" w:cs="Arial" w:eastAsia="Arial" w:hAnsi="Arial"/>
                <w:sz w:val="18"/>
                <w:szCs w:val="18"/>
                <w:b w:val="1"/>
                <w:bCs w:val="1"/>
                <w:color w:val="auto"/>
              </w:rPr>
              <w:t>International</w:t>
            </w:r>
          </w:p>
        </w:tc>
        <w:tc>
          <w:tcPr>
            <w:tcW w:w="180" w:type="dxa"/>
            <w:vAlign w:val="bottom"/>
          </w:tcPr>
          <w:p>
            <w:pPr>
              <w:spacing w:after="0"/>
              <w:rPr>
                <w:sz w:val="19"/>
                <w:szCs w:val="19"/>
                <w:color w:val="auto"/>
              </w:rPr>
            </w:pPr>
          </w:p>
        </w:tc>
        <w:tc>
          <w:tcPr>
            <w:tcW w:w="1440" w:type="dxa"/>
            <w:vAlign w:val="bottom"/>
            <w:gridSpan w:val="3"/>
          </w:tcPr>
          <w:p>
            <w:pPr>
              <w:ind w:left="100"/>
              <w:spacing w:after="0"/>
              <w:rPr>
                <w:sz w:val="20"/>
                <w:szCs w:val="20"/>
                <w:color w:val="auto"/>
              </w:rPr>
            </w:pPr>
            <w:r>
              <w:rPr>
                <w:rFonts w:ascii="Arial" w:cs="Arial" w:eastAsia="Arial" w:hAnsi="Arial"/>
                <w:sz w:val="18"/>
                <w:szCs w:val="18"/>
                <w:b w:val="1"/>
                <w:bCs w:val="1"/>
                <w:color w:val="auto"/>
              </w:rPr>
              <w:t>Total Company</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1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5"/>
              </w:rPr>
              <w:t>(in thousands)</w:t>
            </w:r>
          </w:p>
        </w:tc>
        <w:tc>
          <w:tcPr>
            <w:tcW w:w="18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Goodwill balance at January 1, 2009</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193,598</w:t>
            </w:r>
          </w:p>
        </w:tc>
        <w:tc>
          <w:tcPr>
            <w:tcW w:w="50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1,092,255</w:t>
            </w:r>
          </w:p>
        </w:tc>
        <w:tc>
          <w:tcPr>
            <w:tcW w:w="5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1,285,853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ind w:left="420"/>
              <w:spacing w:after="0"/>
              <w:rPr>
                <w:sz w:val="20"/>
                <w:szCs w:val="20"/>
                <w:color w:val="auto"/>
              </w:rPr>
            </w:pPr>
            <w:r>
              <w:rPr>
                <w:rFonts w:ascii="Arial" w:cs="Arial" w:eastAsia="Arial" w:hAnsi="Arial"/>
                <w:sz w:val="18"/>
                <w:szCs w:val="18"/>
                <w:color w:val="auto"/>
              </w:rPr>
              <w:t>Adjustment of previous acquisitions</w:t>
            </w: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2,100</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2,100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Effect of change in exchange rates</w:t>
            </w:r>
          </w:p>
        </w:tc>
        <w:tc>
          <w:tcPr>
            <w:tcW w:w="1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1,218</w:t>
            </w:r>
          </w:p>
        </w:tc>
        <w:tc>
          <w:tcPr>
            <w:tcW w:w="2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34,761</w:t>
            </w:r>
          </w:p>
        </w:tc>
        <w:tc>
          <w:tcPr>
            <w:tcW w:w="18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35,979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180" w:type="dxa"/>
            <w:vAlign w:val="bottom"/>
            <w:gridSpan w:val="2"/>
          </w:tcPr>
          <w:p>
            <w:pPr>
              <w:spacing w:after="0"/>
              <w:rPr>
                <w:sz w:val="20"/>
                <w:szCs w:val="20"/>
                <w:color w:val="auto"/>
              </w:rPr>
            </w:pPr>
            <w:r>
              <w:rPr>
                <w:rFonts w:ascii="Arial" w:cs="Arial" w:eastAsia="Arial" w:hAnsi="Arial"/>
                <w:sz w:val="18"/>
                <w:szCs w:val="18"/>
                <w:color w:val="auto"/>
              </w:rPr>
              <w:t>Goodwill balance at September 30, 2009</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196,916</w:t>
            </w:r>
          </w:p>
        </w:tc>
        <w:tc>
          <w:tcPr>
            <w:tcW w:w="500" w:type="dxa"/>
            <w:vAlign w:val="bottom"/>
            <w:gridSpan w:val="2"/>
          </w:tcPr>
          <w:p>
            <w:pPr>
              <w:jc w:val="right"/>
              <w:ind w:right="52"/>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1,127,016</w:t>
            </w:r>
          </w:p>
        </w:tc>
        <w:tc>
          <w:tcPr>
            <w:tcW w:w="5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1,323,932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6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960" w:type="dxa"/>
            <w:vAlign w:val="bottom"/>
          </w:tcPr>
          <w:p>
            <w:pPr>
              <w:spacing w:after="0"/>
              <w:rPr>
                <w:sz w:val="8"/>
                <w:szCs w:val="8"/>
                <w:color w:val="auto"/>
              </w:rPr>
            </w:pPr>
          </w:p>
        </w:tc>
        <w:tc>
          <w:tcPr>
            <w:tcW w:w="180" w:type="dxa"/>
            <w:vAlign w:val="bottom"/>
          </w:tcPr>
          <w:p>
            <w:pPr>
              <w:spacing w:after="0"/>
              <w:rPr>
                <w:sz w:val="8"/>
                <w:szCs w:val="8"/>
                <w:color w:val="auto"/>
              </w:rPr>
            </w:pPr>
          </w:p>
        </w:tc>
        <w:tc>
          <w:tcPr>
            <w:tcW w:w="380" w:type="dxa"/>
            <w:vAlign w:val="bottom"/>
          </w:tcPr>
          <w:p>
            <w:pPr>
              <w:spacing w:after="0"/>
              <w:rPr>
                <w:sz w:val="8"/>
                <w:szCs w:val="8"/>
                <w:color w:val="auto"/>
              </w:rPr>
            </w:pPr>
          </w:p>
        </w:tc>
        <w:tc>
          <w:tcPr>
            <w:tcW w:w="9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Goodwill balance at January 1, 2010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197,515</w:t>
            </w:r>
          </w:p>
        </w:tc>
        <w:tc>
          <w:tcPr>
            <w:tcW w:w="50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1,108,084</w:t>
            </w:r>
          </w:p>
        </w:tc>
        <w:tc>
          <w:tcPr>
            <w:tcW w:w="5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1,305,599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60" w:type="dxa"/>
            <w:vAlign w:val="bottom"/>
          </w:tcPr>
          <w:p>
            <w:pPr>
              <w:ind w:left="420"/>
              <w:spacing w:after="0"/>
              <w:rPr>
                <w:sz w:val="20"/>
                <w:szCs w:val="20"/>
                <w:color w:val="auto"/>
              </w:rPr>
            </w:pPr>
            <w:r>
              <w:rPr>
                <w:rFonts w:ascii="Arial" w:cs="Arial" w:eastAsia="Arial" w:hAnsi="Arial"/>
                <w:sz w:val="18"/>
                <w:szCs w:val="18"/>
                <w:color w:val="auto"/>
              </w:rPr>
              <w:t>Effect of change in exchange rates</w:t>
            </w:r>
          </w:p>
        </w:tc>
        <w:tc>
          <w:tcPr>
            <w:tcW w:w="1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w:t>
            </w:r>
          </w:p>
        </w:tc>
        <w:tc>
          <w:tcPr>
            <w:tcW w:w="2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(69,146)</w:t>
            </w:r>
          </w:p>
        </w:tc>
        <w:tc>
          <w:tcPr>
            <w:tcW w:w="18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(69,016)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Goodwill balance at September 30, 2010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197,645</w:t>
            </w:r>
          </w:p>
        </w:tc>
        <w:tc>
          <w:tcPr>
            <w:tcW w:w="50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1,038,938</w:t>
            </w:r>
          </w:p>
        </w:tc>
        <w:tc>
          <w:tcPr>
            <w:tcW w:w="5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1,236,583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Due to continued refinements of our management and geographic reporting structures, minor amounts of goodwill have been reallocated between our reporting segments. Historical segment information has been revised to conform to our current segment reporting structure.</w:t>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Adjustment of previous acquisitions </w:t>
      </w:r>
      <w:r>
        <w:rPr>
          <w:rFonts w:ascii="Arial" w:cs="Arial" w:eastAsia="Arial" w:hAnsi="Arial"/>
          <w:sz w:val="16"/>
          <w:szCs w:val="16"/>
          <w:color w:val="auto"/>
        </w:rPr>
        <w:t>in 2009 represents contingent consideration that became payable associated with two acquisitions completed in 2006</w:t>
      </w:r>
      <w:r>
        <w:rPr>
          <w:rFonts w:ascii="Arial" w:cs="Arial" w:eastAsia="Arial" w:hAnsi="Arial"/>
          <w:sz w:val="16"/>
          <w:szCs w:val="16"/>
          <w:i w:val="1"/>
          <w:iCs w:val="1"/>
          <w:color w:val="auto"/>
        </w:rPr>
        <w:t>.</w:t>
      </w:r>
    </w:p>
    <w:p>
      <w:pPr>
        <w:spacing w:after="0" w:line="26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Note 6:</w:t>
      </w:r>
      <w:r>
        <w:rPr>
          <w:sz w:val="20"/>
          <w:szCs w:val="20"/>
          <w:color w:val="auto"/>
        </w:rPr>
        <w:tab/>
      </w:r>
      <w:r>
        <w:rPr>
          <w:rFonts w:ascii="Arial" w:cs="Arial" w:eastAsia="Arial" w:hAnsi="Arial"/>
          <w:sz w:val="16"/>
          <w:szCs w:val="16"/>
          <w:b w:val="1"/>
          <w:bCs w:val="1"/>
          <w:color w:val="auto"/>
        </w:rPr>
        <w:t>Debt</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our borrowings are as follows: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1560" w:type="dxa"/>
            <w:vAlign w:val="bottom"/>
            <w:gridSpan w:val="2"/>
          </w:tcPr>
          <w:p>
            <w:pPr>
              <w:jc w:val="center"/>
              <w:spacing w:after="0"/>
              <w:rPr>
                <w:sz w:val="20"/>
                <w:szCs w:val="20"/>
                <w:color w:val="auto"/>
              </w:rPr>
            </w:pPr>
            <w:r>
              <w:rPr>
                <w:rFonts w:ascii="Arial" w:cs="Arial" w:eastAsia="Arial" w:hAnsi="Arial"/>
                <w:sz w:val="18"/>
                <w:szCs w:val="18"/>
                <w:b w:val="1"/>
                <w:bCs w:val="1"/>
                <w:color w:val="auto"/>
                <w:w w:val="88"/>
              </w:rPr>
              <w:t>At September 30,</w:t>
            </w:r>
          </w:p>
        </w:tc>
        <w:tc>
          <w:tcPr>
            <w:tcW w:w="780" w:type="dxa"/>
            <w:vAlign w:val="bottom"/>
          </w:tcPr>
          <w:p>
            <w:pPr>
              <w:spacing w:after="0"/>
              <w:rPr>
                <w:sz w:val="18"/>
                <w:szCs w:val="18"/>
                <w:color w:val="auto"/>
              </w:rPr>
            </w:pPr>
          </w:p>
        </w:tc>
        <w:tc>
          <w:tcPr>
            <w:tcW w:w="156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w w:val="96"/>
              </w:rPr>
              <w:t>At December 31,</w:t>
            </w:r>
          </w:p>
        </w:tc>
      </w:tr>
      <w:tr>
        <w:trPr>
          <w:trHeight w:val="228"/>
        </w:trPr>
        <w:tc>
          <w:tcPr>
            <w:tcW w:w="20" w:type="dxa"/>
            <w:vAlign w:val="bottom"/>
          </w:tcPr>
          <w:p>
            <w:pPr>
              <w:spacing w:after="0"/>
              <w:rPr>
                <w:sz w:val="19"/>
                <w:szCs w:val="19"/>
                <w:color w:val="auto"/>
              </w:rPr>
            </w:pPr>
          </w:p>
        </w:tc>
        <w:tc>
          <w:tcPr>
            <w:tcW w:w="384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32"/>
              <w:spacing w:after="0"/>
              <w:rPr>
                <w:sz w:val="20"/>
                <w:szCs w:val="20"/>
                <w:color w:val="auto"/>
              </w:rPr>
            </w:pPr>
            <w:r>
              <w:rPr>
                <w:rFonts w:ascii="Arial" w:cs="Arial" w:eastAsia="Arial" w:hAnsi="Arial"/>
                <w:sz w:val="18"/>
                <w:szCs w:val="18"/>
                <w:b w:val="1"/>
                <w:bCs w:val="1"/>
                <w:color w:val="auto"/>
              </w:rPr>
              <w:t>2010</w:t>
            </w:r>
          </w:p>
        </w:tc>
        <w:tc>
          <w:tcPr>
            <w:tcW w:w="7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72"/>
              <w:spacing w:after="0"/>
              <w:rPr>
                <w:sz w:val="20"/>
                <w:szCs w:val="20"/>
                <w:color w:val="auto"/>
              </w:rPr>
            </w:pPr>
            <w:r>
              <w:rPr>
                <w:rFonts w:ascii="Arial" w:cs="Arial" w:eastAsia="Arial" w:hAnsi="Arial"/>
                <w:sz w:val="18"/>
                <w:szCs w:val="18"/>
                <w:b w:val="1"/>
                <w:bCs w:val="1"/>
                <w:color w:val="auto"/>
              </w:rPr>
              <w:t>2009</w:t>
            </w:r>
          </w:p>
        </w:tc>
        <w:tc>
          <w:tcPr>
            <w:tcW w:w="100" w:type="dxa"/>
            <w:vAlign w:val="bottom"/>
          </w:tcPr>
          <w:p>
            <w:pPr>
              <w:spacing w:after="0"/>
              <w:rPr>
                <w:sz w:val="19"/>
                <w:szCs w:val="19"/>
                <w:color w:val="auto"/>
              </w:rPr>
            </w:pPr>
          </w:p>
        </w:tc>
      </w:tr>
      <w:tr>
        <w:trPr>
          <w:trHeight w:val="212"/>
        </w:trPr>
        <w:tc>
          <w:tcPr>
            <w:tcW w:w="2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ind w:left="980"/>
              <w:spacing w:after="0"/>
              <w:rPr>
                <w:sz w:val="20"/>
                <w:szCs w:val="20"/>
                <w:color w:val="auto"/>
              </w:rPr>
            </w:pPr>
            <w:r>
              <w:rPr>
                <w:rFonts w:ascii="Arial" w:cs="Arial" w:eastAsia="Arial" w:hAnsi="Arial"/>
                <w:sz w:val="18"/>
                <w:szCs w:val="18"/>
                <w:b w:val="1"/>
                <w:bCs w:val="1"/>
                <w:color w:val="auto"/>
                <w:w w:val="81"/>
              </w:rPr>
              <w:t>(in</w:t>
            </w:r>
          </w:p>
        </w:tc>
        <w:tc>
          <w:tcPr>
            <w:tcW w:w="780" w:type="dxa"/>
            <w:vAlign w:val="bottom"/>
          </w:tcPr>
          <w:p>
            <w:pPr>
              <w:ind w:left="60"/>
              <w:spacing w:after="0"/>
              <w:rPr>
                <w:sz w:val="20"/>
                <w:szCs w:val="20"/>
                <w:color w:val="auto"/>
              </w:rPr>
            </w:pPr>
            <w:r>
              <w:rPr>
                <w:rFonts w:ascii="Arial" w:cs="Arial" w:eastAsia="Arial" w:hAnsi="Arial"/>
                <w:sz w:val="18"/>
                <w:szCs w:val="18"/>
                <w:b w:val="1"/>
                <w:bCs w:val="1"/>
                <w:color w:val="auto"/>
                <w:w w:val="72"/>
              </w:rPr>
              <w:t>thousands)</w:t>
            </w:r>
          </w:p>
        </w:tc>
        <w:tc>
          <w:tcPr>
            <w:tcW w:w="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Term loans</w:t>
            </w: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40" w:type="dxa"/>
            <w:vAlign w:val="bottom"/>
          </w:tcPr>
          <w:p>
            <w:pPr>
              <w:ind w:left="420"/>
              <w:spacing w:after="0"/>
              <w:rPr>
                <w:sz w:val="20"/>
                <w:szCs w:val="20"/>
                <w:color w:val="auto"/>
              </w:rPr>
            </w:pPr>
            <w:r>
              <w:rPr>
                <w:rFonts w:ascii="Arial" w:cs="Arial" w:eastAsia="Arial" w:hAnsi="Arial"/>
                <w:sz w:val="18"/>
                <w:szCs w:val="18"/>
                <w:color w:val="auto"/>
              </w:rPr>
              <w:t>USD denominated term loan</w:t>
            </w:r>
          </w:p>
        </w:tc>
        <w:tc>
          <w:tcPr>
            <w:tcW w:w="38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1180" w:type="dxa"/>
            <w:vAlign w:val="bottom"/>
          </w:tcPr>
          <w:p>
            <w:pPr>
              <w:jc w:val="center"/>
              <w:ind w:left="332"/>
              <w:spacing w:after="0"/>
              <w:rPr>
                <w:sz w:val="20"/>
                <w:szCs w:val="20"/>
                <w:color w:val="auto"/>
              </w:rPr>
            </w:pPr>
            <w:r>
              <w:rPr>
                <w:rFonts w:ascii="Arial" w:cs="Arial" w:eastAsia="Arial" w:hAnsi="Arial"/>
                <w:sz w:val="18"/>
                <w:szCs w:val="18"/>
                <w:color w:val="auto"/>
                <w:w w:val="86"/>
              </w:rPr>
              <w:t>220,154</w:t>
            </w:r>
          </w:p>
        </w:tc>
        <w:tc>
          <w:tcPr>
            <w:tcW w:w="1140" w:type="dxa"/>
            <w:vAlign w:val="bottom"/>
            <w:gridSpan w:val="2"/>
          </w:tcPr>
          <w:p>
            <w:pPr>
              <w:jc w:val="right"/>
              <w:ind w:right="112"/>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284,693</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EUR denominated term loan</w:t>
            </w: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jc w:val="center"/>
              <w:ind w:left="332"/>
              <w:spacing w:after="0"/>
              <w:rPr>
                <w:sz w:val="20"/>
                <w:szCs w:val="20"/>
                <w:color w:val="auto"/>
              </w:rPr>
            </w:pPr>
            <w:r>
              <w:rPr>
                <w:rFonts w:ascii="Arial" w:cs="Arial" w:eastAsia="Arial" w:hAnsi="Arial"/>
                <w:sz w:val="18"/>
                <w:szCs w:val="18"/>
                <w:color w:val="auto"/>
                <w:w w:val="86"/>
              </w:rPr>
              <w:t>227,123</w:t>
            </w:r>
          </w:p>
        </w:tc>
        <w:tc>
          <w:tcPr>
            <w:tcW w:w="7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288,902</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Convertible senior subordinated notes</w:t>
            </w: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center"/>
              <w:ind w:left="332"/>
              <w:spacing w:after="0"/>
              <w:rPr>
                <w:sz w:val="20"/>
                <w:szCs w:val="20"/>
                <w:color w:val="auto"/>
              </w:rPr>
            </w:pPr>
            <w:r>
              <w:rPr>
                <w:rFonts w:ascii="Arial" w:cs="Arial" w:eastAsia="Arial" w:hAnsi="Arial"/>
                <w:sz w:val="18"/>
                <w:szCs w:val="18"/>
                <w:color w:val="auto"/>
                <w:w w:val="86"/>
              </w:rPr>
              <w:t>215,673</w:t>
            </w:r>
          </w:p>
        </w:tc>
        <w:tc>
          <w:tcPr>
            <w:tcW w:w="7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208,169</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jc w:val="center"/>
              <w:ind w:left="332"/>
              <w:spacing w:after="0"/>
              <w:rPr>
                <w:sz w:val="20"/>
                <w:szCs w:val="20"/>
                <w:color w:val="auto"/>
              </w:rPr>
            </w:pPr>
            <w:r>
              <w:rPr>
                <w:rFonts w:ascii="Arial" w:cs="Arial" w:eastAsia="Arial" w:hAnsi="Arial"/>
                <w:sz w:val="18"/>
                <w:szCs w:val="18"/>
                <w:color w:val="auto"/>
                <w:w w:val="86"/>
              </w:rPr>
              <w:t>662,950</w:t>
            </w:r>
          </w:p>
        </w:tc>
        <w:tc>
          <w:tcPr>
            <w:tcW w:w="7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781,764</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Current portion of debt</w:t>
            </w: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center"/>
              <w:ind w:left="292"/>
              <w:spacing w:after="0"/>
              <w:rPr>
                <w:sz w:val="20"/>
                <w:szCs w:val="20"/>
                <w:color w:val="auto"/>
              </w:rPr>
            </w:pPr>
            <w:r>
              <w:rPr>
                <w:rFonts w:ascii="Arial" w:cs="Arial" w:eastAsia="Arial" w:hAnsi="Arial"/>
                <w:sz w:val="18"/>
                <w:szCs w:val="18"/>
                <w:color w:val="auto"/>
                <w:w w:val="88"/>
              </w:rPr>
              <w:t>(226,246)</w:t>
            </w:r>
          </w:p>
        </w:tc>
        <w:tc>
          <w:tcPr>
            <w:tcW w:w="7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(10,871)</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Long-term debt</w:t>
            </w:r>
          </w:p>
        </w:tc>
        <w:tc>
          <w:tcPr>
            <w:tcW w:w="38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center"/>
              <w:ind w:left="332"/>
              <w:spacing w:after="0"/>
              <w:rPr>
                <w:sz w:val="20"/>
                <w:szCs w:val="20"/>
                <w:color w:val="auto"/>
              </w:rPr>
            </w:pPr>
            <w:r>
              <w:rPr>
                <w:rFonts w:ascii="Arial" w:cs="Arial" w:eastAsia="Arial" w:hAnsi="Arial"/>
                <w:sz w:val="18"/>
                <w:szCs w:val="18"/>
                <w:color w:val="auto"/>
                <w:w w:val="86"/>
              </w:rPr>
              <w:t>436,704</w:t>
            </w:r>
          </w:p>
        </w:tc>
        <w:tc>
          <w:tcPr>
            <w:tcW w:w="1140" w:type="dxa"/>
            <w:vAlign w:val="bottom"/>
            <w:gridSpan w:val="2"/>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770,893</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Credit Facility</w:t>
      </w:r>
    </w:p>
    <w:p>
      <w:pPr>
        <w:spacing w:after="0" w:line="90"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Our credit facility is dated April 18, 2007 and includes two amendments dated April 24, 2009 and February 10, 2010. The principal balance of our euro denominated term loan at September 30, 2010 and December 31, 2009 was €168.3 million and €200.8 million, respectively. Interest rates on the credit facility are based on the respective borrowing’s denominated London Interbank Offered Rate (LIBOR) or the Wells Fargo Bank, National Association’s prime rate, plus an additional margin subject to our consolidated leverage ratio. The additional interest rate margin was 3.50% at September 30, 2010 and 3.75% at December 31, 2009. Our interest rates were 3.77% for the U.S. dollar denominated and 4.26% for the euro denominated term loans at September 30, 2010. Scheduled amortization of principal payments is 1% per year (0.25% quarterly) with an excess cash flow provision for additional annual principal repayment requirements. The amount of the excess cash flow provision payment varies according to our consolidated leverage ratio. Maturities of the term loans and the multicurrency revolving line of credit are in April 2014 and 2013, respectively. The credit facility is secured by substantially all of the assets of Itron, Inc. and our U.S. domestic operating subsidiaries and includes covenants, which contain certain financial ratios and place restrictions on the incurrence of debt, the payment of dividends, certain investments, incurrence of capital expenditures above a set limit, and mergers.</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credit facility includes a multicurrency revolving line of credit, which was increased from $115 million to $240 million on June 9, 2010. The increase was completed without amending the credit facility. Prepaid debt fees of $1.1 million were capitalized associated with the increase in the credit line. There were no other changes to the credit facility.</w:t>
      </w:r>
    </w:p>
    <w:p>
      <w:pPr>
        <w:spacing w:after="0" w:line="140"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At September 30, 2010, there were no borrowings outstanding under the revolving line of credit, and $46.8 million was utilized by outstanding standby letters of credit, resulting in $193.2 million being available for additional borrowings.</w:t>
      </w:r>
    </w:p>
    <w:p>
      <w:pPr>
        <w:spacing w:after="0" w:line="132"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We repaid $32.6 million and $106.5 million of the term loans during the three and nine months ended September 30, 2010, respectively. Repayments of $57.0 million and $127.2 million were made during the three and nine months ended September 30, 2009, respectively. These term loan repayments were made with cash flows from operations and cash on hand. We were in compliance with the debt covenants under the credit facility at September 30, 2010.</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Convertible Senior Subordinated Notes</w:t>
      </w:r>
    </w:p>
    <w:p>
      <w:pPr>
        <w:spacing w:after="0" w:line="90"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On August 4, 2006, we issued $345 million of 2.50% convertible notes due August 2026. Fixed interest payments are required every six months, in February and August of each year. For each six month period beginning August 2011, contingent interest payments of approximately 0.19% of the average trading price of the convertible notes will be made if certain thresholds are met or events occur, as outlined in the indenture. The convertible notes are registered with the SEC and are generally transferable. Our convertible notes are not considered conventional convertible debt as the number of shares, or cash, to be received by the holders was not fixed at the inception of the obligation. We have concluded that the conversion feature of our convertible notes does not need to be bifurcated from the host contract and accounted for as a freestanding derivative, as the conversion feature is indexed to our own stock and would be classified within stockholders’ equity if it were a freestanding instrument.</w:t>
      </w:r>
    </w:p>
    <w:p>
      <w:pPr>
        <w:spacing w:after="0" w:line="11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convertible notes may be converted at the option of the holder at a conversion rate of 15.3478 shares of our common stock for each $1,000 principal amount of the convertible notes, under the following circumstances, as defined in the indenture:</w:t>
      </w:r>
    </w:p>
    <w:p>
      <w:pPr>
        <w:sectPr>
          <w:pgSz w:w="11900" w:h="16838" w:orient="portrait"/>
          <w:cols w:equalWidth="0" w:num="1">
            <w:col w:w="11420"/>
          </w:cols>
          <w:pgMar w:left="240" w:top="459" w:right="239" w:bottom="1440" w:gutter="0" w:footer="0" w:header="0"/>
        </w:sectPr>
      </w:pPr>
    </w:p>
    <w:p>
      <w:pPr>
        <w:spacing w:after="0" w:line="219" w:lineRule="exact"/>
        <w:rPr>
          <w:sz w:val="20"/>
          <w:szCs w:val="20"/>
          <w:color w:val="auto"/>
        </w:rPr>
      </w:pPr>
    </w:p>
    <w:p>
      <w:pPr>
        <w:jc w:val="center"/>
        <w:ind w:left="220"/>
        <w:spacing w:after="0"/>
        <w:rPr>
          <w:sz w:val="20"/>
          <w:szCs w:val="20"/>
          <w:color w:val="auto"/>
        </w:rPr>
      </w:pPr>
      <w:r>
        <w:rPr>
          <w:rFonts w:ascii="Arial" w:cs="Arial" w:eastAsia="Arial" w:hAnsi="Arial"/>
          <w:sz w:val="6"/>
          <w:szCs w:val="6"/>
          <w:color w:val="auto"/>
        </w:rPr>
        <w:t>¡</w:t>
      </w:r>
    </w:p>
    <w:p>
      <w:pPr>
        <w:spacing w:after="0" w:line="377" w:lineRule="exact"/>
        <w:rPr>
          <w:sz w:val="20"/>
          <w:szCs w:val="20"/>
          <w:color w:val="auto"/>
        </w:rPr>
      </w:pPr>
    </w:p>
    <w:p>
      <w:pPr>
        <w:jc w:val="center"/>
        <w:ind w:left="220"/>
        <w:spacing w:after="0"/>
        <w:rPr>
          <w:sz w:val="20"/>
          <w:szCs w:val="20"/>
          <w:color w:val="auto"/>
        </w:rPr>
      </w:pPr>
      <w:r>
        <w:rPr>
          <w:rFonts w:ascii="Arial" w:cs="Arial" w:eastAsia="Arial" w:hAnsi="Arial"/>
          <w:sz w:val="6"/>
          <w:szCs w:val="6"/>
          <w:color w:val="auto"/>
        </w:rPr>
        <w:t>¡</w:t>
      </w:r>
    </w:p>
    <w:p>
      <w:pPr>
        <w:spacing w:after="0" w:line="255" w:lineRule="exact"/>
        <w:rPr>
          <w:sz w:val="20"/>
          <w:szCs w:val="20"/>
          <w:color w:val="auto"/>
        </w:rPr>
      </w:pPr>
    </w:p>
    <w:p>
      <w:pPr>
        <w:jc w:val="center"/>
        <w:ind w:left="220"/>
        <w:spacing w:after="0"/>
        <w:rPr>
          <w:sz w:val="20"/>
          <w:szCs w:val="20"/>
          <w:color w:val="auto"/>
        </w:rPr>
      </w:pPr>
      <w:r>
        <w:rPr>
          <w:rFonts w:ascii="Arial" w:cs="Arial" w:eastAsia="Arial" w:hAnsi="Arial"/>
          <w:sz w:val="6"/>
          <w:szCs w:val="6"/>
          <w:color w:val="auto"/>
        </w:rPr>
        <w:t>¡</w:t>
      </w:r>
    </w:p>
    <w:p>
      <w:pPr>
        <w:spacing w:after="0" w:line="363" w:lineRule="exact"/>
        <w:rPr>
          <w:sz w:val="20"/>
          <w:szCs w:val="20"/>
          <w:color w:val="auto"/>
        </w:rPr>
      </w:pPr>
    </w:p>
    <w:p>
      <w:pPr>
        <w:ind w:left="220"/>
        <w:spacing w:after="0"/>
        <w:rPr>
          <w:sz w:val="20"/>
          <w:szCs w:val="20"/>
          <w:color w:val="auto"/>
        </w:rPr>
      </w:pPr>
      <w:r>
        <w:rPr>
          <w:rFonts w:ascii="Arial" w:cs="Arial" w:eastAsia="Arial" w:hAnsi="Arial"/>
          <w:sz w:val="6"/>
          <w:szCs w:val="6"/>
          <w:color w:val="auto"/>
        </w:rPr>
        <w:t>¡</w:t>
      </w:r>
    </w:p>
    <w:p>
      <w:pPr>
        <w:spacing w:after="0" w:line="147" w:lineRule="exact"/>
        <w:rPr>
          <w:sz w:val="20"/>
          <w:szCs w:val="20"/>
          <w:color w:val="auto"/>
        </w:rPr>
      </w:pPr>
    </w:p>
    <w:p>
      <w:pPr>
        <w:ind w:left="220"/>
        <w:spacing w:after="0"/>
        <w:rPr>
          <w:sz w:val="20"/>
          <w:szCs w:val="20"/>
          <w:color w:val="auto"/>
        </w:rPr>
      </w:pPr>
      <w:r>
        <w:rPr>
          <w:rFonts w:ascii="Arial" w:cs="Arial" w:eastAsia="Arial" w:hAnsi="Arial"/>
          <w:sz w:val="6"/>
          <w:szCs w:val="6"/>
          <w:color w:val="auto"/>
        </w:rPr>
        <w:t>¡</w:t>
      </w:r>
    </w:p>
    <w:p>
      <w:pPr>
        <w:spacing w:after="0" w:line="242" w:lineRule="exact"/>
        <w:rPr>
          <w:sz w:val="20"/>
          <w:szCs w:val="20"/>
          <w:color w:val="auto"/>
        </w:rPr>
      </w:pPr>
    </w:p>
    <w:p>
      <w:pPr>
        <w:jc w:val="center"/>
        <w:ind w:left="220"/>
        <w:spacing w:after="0"/>
        <w:rPr>
          <w:sz w:val="20"/>
          <w:szCs w:val="20"/>
          <w:color w:val="auto"/>
        </w:rPr>
      </w:pPr>
      <w:r>
        <w:rPr>
          <w:rFonts w:ascii="Arial" w:cs="Arial" w:eastAsia="Arial" w:hAnsi="Arial"/>
          <w:sz w:val="6"/>
          <w:szCs w:val="6"/>
          <w:color w:val="auto"/>
        </w:rPr>
        <w:t>¡</w:t>
      </w:r>
    </w:p>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if the closing sale price per share of our common stock exceeds $78.19, which is 120% of the conversion price of $65.16, for at least 20 trading days in the 30 consecutive trading day period ending on the last trading day of the preceding fiscal quarter;</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color w:val="auto"/>
        </w:rPr>
        <w:t>between July 1, 2011 and August 1, 2011, and any time after August 1, 2024;</w:t>
      </w:r>
    </w:p>
    <w:p>
      <w:pPr>
        <w:spacing w:after="0" w:line="15"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during the five business days after any five consecutive trading day period in which the trading price of the convertible notes for each day was less than 98% of the average conversion value of the convertible notes;</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if the convertible notes are called for redemption;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if a fundamental change occurs; 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upon the occurrence of defined corporate events.</w:t>
      </w:r>
    </w:p>
    <w:p>
      <w:pPr>
        <w:spacing w:after="0" w:line="178" w:lineRule="exact"/>
        <w:rPr>
          <w:sz w:val="20"/>
          <w:szCs w:val="20"/>
          <w:color w:val="auto"/>
        </w:rPr>
      </w:pPr>
    </w:p>
    <w:p>
      <w:pPr>
        <w:sectPr>
          <w:pgSz w:w="11900" w:h="16838" w:orient="portrait"/>
          <w:cols w:equalWidth="0" w:num="2">
            <w:col w:w="240" w:space="220"/>
            <w:col w:w="10960"/>
          </w:cols>
          <w:pgMar w:left="240" w:top="459" w:right="239" w:bottom="1440" w:gutter="0" w:footer="0" w:header="0"/>
          <w:type w:val="continuous"/>
        </w:sectPr>
      </w:pPr>
    </w:p>
    <w:p>
      <w:pPr>
        <w:jc w:val="both"/>
        <w:spacing w:after="0" w:line="256" w:lineRule="auto"/>
        <w:rPr>
          <w:sz w:val="20"/>
          <w:szCs w:val="20"/>
          <w:color w:val="auto"/>
        </w:rPr>
      </w:pPr>
      <w:r>
        <w:rPr>
          <w:rFonts w:ascii="Arial" w:cs="Arial" w:eastAsia="Arial" w:hAnsi="Arial"/>
          <w:sz w:val="18"/>
          <w:szCs w:val="18"/>
          <w:color w:val="auto"/>
        </w:rPr>
        <w:t>The amount payable upon conversion is the result of a formula based on the closing prices of our common stock for 20 consecutive trading days following the date of the conversion notice. Based on the conversion ratio of 15.3478 shares per $1,000 principal amount of the convertible notes, if our stock price is lower than the conversion price of $65.16, the amount payable will be less than the $1,000 principal amount and will be settled in cash. Our closing stock price at September 30, 2010 was $61.23 per share.</w:t>
      </w:r>
    </w:p>
    <w:p>
      <w:pPr>
        <w:spacing w:after="0" w:line="143"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Upon conversion, the principal amount of the convertible notes will be settled in cash and, at our option, the remaining conversion obligation (stock price in excess of conversion price) may be settled in cash, shares, or a combination. The conversion rate for the convertible notes is subject to adjustment upon the occurrence of certain corporate events, as defined in the indenture, to ensure that the economic rights of the convertible note holders are preserved.</w:t>
      </w:r>
    </w:p>
    <w:p>
      <w:pPr>
        <w:spacing w:after="0" w:line="107" w:lineRule="exact"/>
        <w:rPr>
          <w:sz w:val="20"/>
          <w:szCs w:val="20"/>
          <w:color w:val="auto"/>
        </w:rPr>
      </w:pPr>
    </w:p>
    <w:p>
      <w:pPr>
        <w:jc w:val="both"/>
        <w:ind w:right="20"/>
        <w:spacing w:after="0" w:line="332" w:lineRule="auto"/>
        <w:rPr>
          <w:sz w:val="20"/>
          <w:szCs w:val="20"/>
          <w:color w:val="auto"/>
        </w:rPr>
      </w:pPr>
      <w:r>
        <w:rPr>
          <w:rFonts w:ascii="Arial" w:cs="Arial" w:eastAsia="Arial" w:hAnsi="Arial"/>
          <w:sz w:val="16"/>
          <w:szCs w:val="16"/>
          <w:color w:val="auto"/>
        </w:rPr>
        <w:t>The convertible notes also contain purchase options, at the option of the holders, which if exercised would require us to repurchase all or a portion of the convertible notes on August 1, 2011, August 1, 2016, and August 1, 2021 at 100% of the principal amount, plus accrued and unpaid interest.</w:t>
      </w:r>
    </w:p>
    <w:p>
      <w:pPr>
        <w:spacing w:after="0" w:line="8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On or after August 1, 2011, we have the option to redeem all or a portion of the convertible notes at a redemption price equal to 100% of the principal amount plus accrued and unpaid interest.</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w:t>
      </w:r>
    </w:p>
    <w:p>
      <w:pPr>
        <w:sectPr>
          <w:pgSz w:w="11900" w:h="16838" w:orient="portrait"/>
          <w:cols w:equalWidth="0" w:num="1">
            <w:col w:w="11420"/>
          </w:cols>
          <w:pgMar w:left="240" w:top="459" w:right="239" w:bottom="1440" w:gutter="0" w:footer="0" w:header="0"/>
          <w:type w:val="continuous"/>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convertible notes are unsecured, subordinated to our credit facility (senior secured borrowings), and are guaranteed by one U.S. subsidiary, which is 100% owned. The convertible notes contain covenants, which place restrictions on the incurrence of debt and certain mergers. We were in compliance with these debt covenants at September 30, 2010.</w:t>
      </w:r>
    </w:p>
    <w:p>
      <w:pPr>
        <w:spacing w:after="0" w:line="14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On July 1, 2010, we classified the convertible notes as current on the Consolidated Balance Sheet due to the combination of put, call, and conversion options occurring within the next 12 months.</w:t>
      </w:r>
    </w:p>
    <w:p>
      <w:pPr>
        <w:spacing w:after="0" w:line="13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convertible notes were separated between the liability and equity components, in a manner that reflected our non-convertible debt borrowing rate. Our non-convertible debt borrowing rate at the time of our convertible notes’ issuance was determined to be 7.38%, which also reflects the effective interest rate on the liability component. The carrying amounts of the debt and equity components are as follows: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100" w:type="dxa"/>
            <w:vAlign w:val="bottom"/>
          </w:tcPr>
          <w:p>
            <w:pPr>
              <w:spacing w:after="0"/>
              <w:rPr>
                <w:sz w:val="18"/>
                <w:szCs w:val="18"/>
                <w:color w:val="auto"/>
              </w:rPr>
            </w:pPr>
          </w:p>
        </w:tc>
        <w:tc>
          <w:tcPr>
            <w:tcW w:w="1660" w:type="dxa"/>
            <w:vAlign w:val="bottom"/>
            <w:gridSpan w:val="2"/>
          </w:tcPr>
          <w:p>
            <w:pPr>
              <w:jc w:val="right"/>
              <w:ind w:right="92"/>
              <w:spacing w:after="0"/>
              <w:rPr>
                <w:sz w:val="20"/>
                <w:szCs w:val="20"/>
                <w:color w:val="auto"/>
              </w:rPr>
            </w:pPr>
            <w:r>
              <w:rPr>
                <w:rFonts w:ascii="Arial" w:cs="Arial" w:eastAsia="Arial" w:hAnsi="Arial"/>
                <w:sz w:val="18"/>
                <w:szCs w:val="18"/>
                <w:b w:val="1"/>
                <w:bCs w:val="1"/>
                <w:color w:val="auto"/>
                <w:w w:val="99"/>
              </w:rPr>
              <w:t>At September 30,</w:t>
            </w:r>
          </w:p>
        </w:tc>
        <w:tc>
          <w:tcPr>
            <w:tcW w:w="220" w:type="dxa"/>
            <w:vAlign w:val="bottom"/>
          </w:tcPr>
          <w:p>
            <w:pPr>
              <w:spacing w:after="0"/>
              <w:rPr>
                <w:sz w:val="18"/>
                <w:szCs w:val="18"/>
                <w:color w:val="auto"/>
              </w:rPr>
            </w:pPr>
          </w:p>
        </w:tc>
        <w:tc>
          <w:tcPr>
            <w:tcW w:w="1680" w:type="dxa"/>
            <w:vAlign w:val="bottom"/>
            <w:gridSpan w:val="3"/>
          </w:tcPr>
          <w:p>
            <w:pPr>
              <w:ind w:left="160"/>
              <w:spacing w:after="0"/>
              <w:rPr>
                <w:sz w:val="20"/>
                <w:szCs w:val="20"/>
                <w:color w:val="auto"/>
              </w:rPr>
            </w:pPr>
            <w:r>
              <w:rPr>
                <w:rFonts w:ascii="Arial" w:cs="Arial" w:eastAsia="Arial" w:hAnsi="Arial"/>
                <w:sz w:val="18"/>
                <w:szCs w:val="18"/>
                <w:b w:val="1"/>
                <w:bCs w:val="1"/>
                <w:color w:val="auto"/>
              </w:rPr>
              <w:t>At December 31,</w:t>
            </w:r>
          </w:p>
        </w:tc>
      </w:tr>
      <w:tr>
        <w:trPr>
          <w:trHeight w:val="229"/>
        </w:trPr>
        <w:tc>
          <w:tcPr>
            <w:tcW w:w="20" w:type="dxa"/>
            <w:vAlign w:val="bottom"/>
          </w:tcPr>
          <w:p>
            <w:pPr>
              <w:spacing w:after="0"/>
              <w:rPr>
                <w:sz w:val="19"/>
                <w:szCs w:val="19"/>
                <w:color w:val="auto"/>
              </w:rPr>
            </w:pPr>
          </w:p>
        </w:tc>
        <w:tc>
          <w:tcPr>
            <w:tcW w:w="510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72"/>
              <w:spacing w:after="0"/>
              <w:rPr>
                <w:sz w:val="20"/>
                <w:szCs w:val="20"/>
                <w:color w:val="auto"/>
              </w:rPr>
            </w:pPr>
            <w:r>
              <w:rPr>
                <w:rFonts w:ascii="Arial" w:cs="Arial" w:eastAsia="Arial" w:hAnsi="Arial"/>
                <w:sz w:val="18"/>
                <w:szCs w:val="18"/>
                <w:b w:val="1"/>
                <w:bCs w:val="1"/>
                <w:color w:val="auto"/>
              </w:rPr>
              <w:t>2010</w:t>
            </w:r>
          </w:p>
        </w:tc>
        <w:tc>
          <w:tcPr>
            <w:tcW w:w="22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532"/>
              <w:spacing w:after="0"/>
              <w:rPr>
                <w:sz w:val="20"/>
                <w:szCs w:val="20"/>
                <w:color w:val="auto"/>
              </w:rPr>
            </w:pPr>
            <w:r>
              <w:rPr>
                <w:rFonts w:ascii="Arial" w:cs="Arial" w:eastAsia="Arial" w:hAnsi="Arial"/>
                <w:sz w:val="18"/>
                <w:szCs w:val="18"/>
                <w:b w:val="1"/>
                <w:bCs w:val="1"/>
                <w:color w:val="auto"/>
              </w:rPr>
              <w:t>2009</w:t>
            </w:r>
          </w:p>
        </w:tc>
        <w:tc>
          <w:tcPr>
            <w:tcW w:w="100" w:type="dxa"/>
            <w:vAlign w:val="bottom"/>
          </w:tcPr>
          <w:p>
            <w:pPr>
              <w:spacing w:after="0"/>
              <w:rPr>
                <w:sz w:val="19"/>
                <w:szCs w:val="19"/>
                <w:color w:val="auto"/>
              </w:rPr>
            </w:pPr>
          </w:p>
        </w:tc>
      </w:tr>
      <w:tr>
        <w:trPr>
          <w:trHeight w:val="211"/>
        </w:trPr>
        <w:tc>
          <w:tcPr>
            <w:tcW w:w="20" w:type="dxa"/>
            <w:vAlign w:val="bottom"/>
          </w:tcPr>
          <w:p>
            <w:pPr>
              <w:spacing w:after="0"/>
              <w:rPr>
                <w:sz w:val="18"/>
                <w:szCs w:val="18"/>
                <w:color w:val="auto"/>
              </w:rPr>
            </w:pPr>
          </w:p>
        </w:tc>
        <w:tc>
          <w:tcPr>
            <w:tcW w:w="5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40" w:type="dxa"/>
            <w:vAlign w:val="bottom"/>
          </w:tcPr>
          <w:p>
            <w:pPr>
              <w:jc w:val="right"/>
              <w:ind w:right="172"/>
              <w:spacing w:after="0"/>
              <w:rPr>
                <w:sz w:val="20"/>
                <w:szCs w:val="20"/>
                <w:color w:val="auto"/>
              </w:rPr>
            </w:pPr>
            <w:r>
              <w:rPr>
                <w:rFonts w:ascii="Arial" w:cs="Arial" w:eastAsia="Arial" w:hAnsi="Arial"/>
                <w:sz w:val="18"/>
                <w:szCs w:val="18"/>
                <w:b w:val="1"/>
                <w:bCs w:val="1"/>
                <w:color w:val="auto"/>
              </w:rPr>
              <w:t>(in</w:t>
            </w:r>
          </w:p>
        </w:tc>
        <w:tc>
          <w:tcPr>
            <w:tcW w:w="720" w:type="dxa"/>
            <w:vAlign w:val="bottom"/>
            <w:gridSpan w:val="2"/>
          </w:tcPr>
          <w:p>
            <w:pPr>
              <w:jc w:val="right"/>
              <w:ind w:right="32"/>
              <w:spacing w:after="0"/>
              <w:rPr>
                <w:sz w:val="20"/>
                <w:szCs w:val="20"/>
                <w:color w:val="auto"/>
              </w:rPr>
            </w:pPr>
            <w:r>
              <w:rPr>
                <w:rFonts w:ascii="Arial" w:cs="Arial" w:eastAsia="Arial" w:hAnsi="Arial"/>
                <w:sz w:val="15"/>
                <w:szCs w:val="15"/>
                <w:b w:val="1"/>
                <w:bCs w:val="1"/>
                <w:color w:val="auto"/>
                <w:w w:val="71"/>
              </w:rPr>
              <w:t>thousands)</w:t>
            </w: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Face value of convertible debt</w:t>
            </w:r>
          </w:p>
        </w:tc>
        <w:tc>
          <w:tcPr>
            <w:tcW w:w="42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223,604</w:t>
            </w:r>
          </w:p>
        </w:tc>
        <w:tc>
          <w:tcPr>
            <w:tcW w:w="720" w:type="dxa"/>
            <w:vAlign w:val="bottom"/>
            <w:gridSpan w:val="2"/>
            <w:shd w:val="clear" w:color="auto" w:fill="CCEEFF"/>
          </w:tcPr>
          <w:p>
            <w:pPr>
              <w:jc w:val="right"/>
              <w:ind w:right="252"/>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223,604</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Unamortized discount</w:t>
            </w:r>
          </w:p>
        </w:tc>
        <w:tc>
          <w:tcPr>
            <w:tcW w:w="4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(7,931)</w:t>
            </w:r>
          </w:p>
        </w:tc>
        <w:tc>
          <w:tcPr>
            <w:tcW w:w="22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(15,435)</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Net carrying amount of debt component</w:t>
            </w:r>
          </w:p>
        </w:tc>
        <w:tc>
          <w:tcPr>
            <w:tcW w:w="42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215,673</w:t>
            </w:r>
          </w:p>
        </w:tc>
        <w:tc>
          <w:tcPr>
            <w:tcW w:w="22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ind w:right="252"/>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208,169</w:t>
            </w:r>
          </w:p>
        </w:tc>
        <w:tc>
          <w:tcPr>
            <w:tcW w:w="100" w:type="dxa"/>
            <w:vAlign w:val="bottom"/>
            <w:shd w:val="clear" w:color="auto" w:fill="CCEEFF"/>
          </w:tcPr>
          <w:p>
            <w:pPr>
              <w:spacing w:after="0"/>
              <w:rPr>
                <w:sz w:val="18"/>
                <w:szCs w:val="18"/>
                <w:color w:val="auto"/>
              </w:rPr>
            </w:pPr>
          </w:p>
        </w:tc>
      </w:tr>
      <w:tr>
        <w:trPr>
          <w:trHeight w:val="20"/>
        </w:trPr>
        <w:tc>
          <w:tcPr>
            <w:tcW w:w="5120" w:type="dxa"/>
            <w:vAlign w:val="bottom"/>
            <w:gridSpan w:val="2"/>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17"/>
        </w:trPr>
        <w:tc>
          <w:tcPr>
            <w:tcW w:w="5120" w:type="dxa"/>
            <w:vAlign w:val="bottom"/>
            <w:gridSpan w:val="2"/>
          </w:tcPr>
          <w:p>
            <w:pPr>
              <w:spacing w:after="0"/>
              <w:rPr>
                <w:sz w:val="20"/>
                <w:szCs w:val="20"/>
                <w:color w:val="auto"/>
              </w:rPr>
            </w:pPr>
            <w:r>
              <w:rPr>
                <w:rFonts w:ascii="Arial" w:cs="Arial" w:eastAsia="Arial" w:hAnsi="Arial"/>
                <w:sz w:val="18"/>
                <w:szCs w:val="18"/>
                <w:color w:val="auto"/>
              </w:rPr>
              <w:t>Carrying amount of equity component</w:t>
            </w:r>
          </w:p>
        </w:tc>
        <w:tc>
          <w:tcPr>
            <w:tcW w:w="42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31,831</w:t>
            </w:r>
          </w:p>
        </w:tc>
        <w:tc>
          <w:tcPr>
            <w:tcW w:w="720" w:type="dxa"/>
            <w:vAlign w:val="bottom"/>
            <w:gridSpan w:val="2"/>
          </w:tcPr>
          <w:p>
            <w:pPr>
              <w:jc w:val="right"/>
              <w:ind w:right="252"/>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31,831</w:t>
            </w:r>
          </w:p>
        </w:tc>
        <w:tc>
          <w:tcPr>
            <w:tcW w:w="10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The interest expense relating to both the contractual interest coupon and amortization of the discount on the liability component are as follows: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900" w:type="dxa"/>
            <w:vAlign w:val="bottom"/>
            <w:gridSpan w:val="4"/>
          </w:tcPr>
          <w:p>
            <w:pPr>
              <w:jc w:val="right"/>
              <w:ind w:right="92"/>
              <w:spacing w:after="0"/>
              <w:rPr>
                <w:sz w:val="20"/>
                <w:szCs w:val="20"/>
                <w:color w:val="auto"/>
              </w:rPr>
            </w:pPr>
            <w:r>
              <w:rPr>
                <w:rFonts w:ascii="Arial" w:cs="Arial" w:eastAsia="Arial" w:hAnsi="Arial"/>
                <w:sz w:val="18"/>
                <w:szCs w:val="18"/>
                <w:b w:val="1"/>
                <w:bCs w:val="1"/>
                <w:color w:val="auto"/>
                <w:w w:val="88"/>
              </w:rPr>
              <w:t>Three Months Ended September 30,</w:t>
            </w:r>
          </w:p>
        </w:tc>
        <w:tc>
          <w:tcPr>
            <w:tcW w:w="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920" w:type="dxa"/>
            <w:vAlign w:val="bottom"/>
            <w:gridSpan w:val="5"/>
          </w:tcPr>
          <w:p>
            <w:pPr>
              <w:ind w:left="20"/>
              <w:spacing w:after="0"/>
              <w:rPr>
                <w:sz w:val="20"/>
                <w:szCs w:val="20"/>
                <w:color w:val="auto"/>
              </w:rPr>
            </w:pPr>
            <w:r>
              <w:rPr>
                <w:rFonts w:ascii="Arial" w:cs="Arial" w:eastAsia="Arial" w:hAnsi="Arial"/>
                <w:sz w:val="18"/>
                <w:szCs w:val="18"/>
                <w:b w:val="1"/>
                <w:bCs w:val="1"/>
                <w:color w:val="auto"/>
                <w:w w:val="97"/>
              </w:rPr>
              <w:t>Nine Months Ended September 30,</w:t>
            </w:r>
          </w:p>
        </w:tc>
      </w:tr>
      <w:tr>
        <w:trPr>
          <w:trHeight w:val="212"/>
        </w:trPr>
        <w:tc>
          <w:tcPr>
            <w:tcW w:w="20" w:type="dxa"/>
            <w:vAlign w:val="bottom"/>
          </w:tcPr>
          <w:p>
            <w:pPr>
              <w:spacing w:after="0"/>
              <w:rPr>
                <w:sz w:val="18"/>
                <w:szCs w:val="18"/>
                <w:color w:val="auto"/>
              </w:rPr>
            </w:pPr>
          </w:p>
        </w:tc>
        <w:tc>
          <w:tcPr>
            <w:tcW w:w="484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392"/>
              <w:spacing w:after="0"/>
              <w:rPr>
                <w:sz w:val="20"/>
                <w:szCs w:val="20"/>
                <w:color w:val="auto"/>
              </w:rPr>
            </w:pPr>
            <w:r>
              <w:rPr>
                <w:rFonts w:ascii="Arial" w:cs="Arial" w:eastAsia="Arial" w:hAnsi="Arial"/>
                <w:sz w:val="18"/>
                <w:szCs w:val="18"/>
                <w:b w:val="1"/>
                <w:bCs w:val="1"/>
                <w:color w:val="auto"/>
              </w:rPr>
              <w:t>2010</w:t>
            </w:r>
          </w:p>
        </w:tc>
        <w:tc>
          <w:tcPr>
            <w:tcW w:w="460" w:type="dxa"/>
            <w:vAlign w:val="bottom"/>
            <w:tcBorders>
              <w:top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392"/>
              <w:spacing w:after="0"/>
              <w:rPr>
                <w:sz w:val="20"/>
                <w:szCs w:val="20"/>
                <w:color w:val="auto"/>
              </w:rPr>
            </w:pPr>
            <w:r>
              <w:rPr>
                <w:rFonts w:ascii="Arial" w:cs="Arial" w:eastAsia="Arial" w:hAnsi="Arial"/>
                <w:sz w:val="18"/>
                <w:szCs w:val="18"/>
                <w:b w:val="1"/>
                <w:bCs w:val="1"/>
                <w:color w:val="auto"/>
              </w:rPr>
              <w:t>2009</w:t>
            </w:r>
          </w:p>
        </w:tc>
        <w:tc>
          <w:tcPr>
            <w:tcW w:w="38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372"/>
              <w:spacing w:after="0"/>
              <w:rPr>
                <w:sz w:val="20"/>
                <w:szCs w:val="20"/>
                <w:color w:val="auto"/>
              </w:rPr>
            </w:pPr>
            <w:r>
              <w:rPr>
                <w:rFonts w:ascii="Arial" w:cs="Arial" w:eastAsia="Arial" w:hAnsi="Arial"/>
                <w:sz w:val="18"/>
                <w:szCs w:val="18"/>
                <w:b w:val="1"/>
                <w:bCs w:val="1"/>
                <w:color w:val="auto"/>
              </w:rPr>
              <w:t>2010</w:t>
            </w:r>
          </w:p>
        </w:tc>
        <w:tc>
          <w:tcPr>
            <w:tcW w:w="440" w:type="dxa"/>
            <w:vAlign w:val="bottom"/>
            <w:tcBorders>
              <w:top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72"/>
              <w:spacing w:after="0"/>
              <w:rPr>
                <w:sz w:val="20"/>
                <w:szCs w:val="20"/>
                <w:color w:val="auto"/>
              </w:rPr>
            </w:pPr>
            <w:r>
              <w:rPr>
                <w:rFonts w:ascii="Arial" w:cs="Arial" w:eastAsia="Arial" w:hAnsi="Arial"/>
                <w:sz w:val="18"/>
                <w:szCs w:val="18"/>
                <w:b w:val="1"/>
                <w:bCs w:val="1"/>
                <w:color w:val="auto"/>
              </w:rPr>
              <w:t>2009</w:t>
            </w:r>
          </w:p>
        </w:tc>
        <w:tc>
          <w:tcPr>
            <w:tcW w:w="10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4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jc w:val="center"/>
              <w:ind w:left="332"/>
              <w:spacing w:after="0"/>
              <w:rPr>
                <w:sz w:val="20"/>
                <w:szCs w:val="20"/>
                <w:color w:val="auto"/>
              </w:rPr>
            </w:pPr>
            <w:r>
              <w:rPr>
                <w:rFonts w:ascii="Arial" w:cs="Arial" w:eastAsia="Arial" w:hAnsi="Arial"/>
                <w:sz w:val="18"/>
                <w:szCs w:val="18"/>
                <w:b w:val="1"/>
                <w:bCs w:val="1"/>
                <w:color w:val="auto"/>
                <w:w w:val="90"/>
              </w:rPr>
              <w:t>(in</w:t>
            </w:r>
          </w:p>
        </w:tc>
        <w:tc>
          <w:tcPr>
            <w:tcW w:w="1640" w:type="dxa"/>
            <w:vAlign w:val="bottom"/>
            <w:gridSpan w:val="3"/>
          </w:tcPr>
          <w:p>
            <w:pPr>
              <w:jc w:val="right"/>
              <w:ind w:right="872"/>
              <w:spacing w:after="0"/>
              <w:rPr>
                <w:sz w:val="20"/>
                <w:szCs w:val="20"/>
                <w:color w:val="auto"/>
              </w:rPr>
            </w:pPr>
            <w:r>
              <w:rPr>
                <w:rFonts w:ascii="Arial" w:cs="Arial" w:eastAsia="Arial" w:hAnsi="Arial"/>
                <w:sz w:val="16"/>
                <w:szCs w:val="16"/>
                <w:b w:val="1"/>
                <w:bCs w:val="1"/>
                <w:color w:val="auto"/>
                <w:w w:val="76"/>
              </w:rPr>
              <w:t>thousands)</w:t>
            </w: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Contractual interest coupon</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1,398</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center"/>
              <w:ind w:left="332"/>
              <w:spacing w:after="0"/>
              <w:rPr>
                <w:sz w:val="20"/>
                <w:szCs w:val="20"/>
                <w:color w:val="auto"/>
              </w:rPr>
            </w:pPr>
            <w:r>
              <w:rPr>
                <w:rFonts w:ascii="Arial" w:cs="Arial" w:eastAsia="Arial" w:hAnsi="Arial"/>
                <w:sz w:val="18"/>
                <w:szCs w:val="18"/>
                <w:color w:val="auto"/>
                <w:w w:val="88"/>
              </w:rPr>
              <w:t>1,398</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4,193</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4,442</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Amortization of the discount on the liability component</w:t>
            </w: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2,547</w:t>
            </w:r>
          </w:p>
        </w:tc>
        <w:tc>
          <w:tcPr>
            <w:tcW w:w="46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center"/>
              <w:ind w:left="332"/>
              <w:spacing w:after="0"/>
              <w:rPr>
                <w:sz w:val="20"/>
                <w:szCs w:val="20"/>
                <w:color w:val="auto"/>
              </w:rPr>
            </w:pPr>
            <w:r>
              <w:rPr>
                <w:rFonts w:ascii="Arial" w:cs="Arial" w:eastAsia="Arial" w:hAnsi="Arial"/>
                <w:sz w:val="18"/>
                <w:szCs w:val="18"/>
                <w:color w:val="auto"/>
                <w:w w:val="88"/>
              </w:rPr>
              <w:t>2,367</w:t>
            </w:r>
          </w:p>
        </w:tc>
        <w:tc>
          <w:tcPr>
            <w:tcW w:w="3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7,504</w:t>
            </w:r>
          </w:p>
        </w:tc>
        <w:tc>
          <w:tcPr>
            <w:tcW w:w="44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7,262</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Total interest expense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3,945</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center"/>
              <w:ind w:left="332"/>
              <w:spacing w:after="0"/>
              <w:rPr>
                <w:sz w:val="20"/>
                <w:szCs w:val="20"/>
                <w:color w:val="auto"/>
              </w:rPr>
            </w:pPr>
            <w:r>
              <w:rPr>
                <w:rFonts w:ascii="Arial" w:cs="Arial" w:eastAsia="Arial" w:hAnsi="Arial"/>
                <w:sz w:val="18"/>
                <w:szCs w:val="18"/>
                <w:color w:val="auto"/>
                <w:w w:val="88"/>
              </w:rPr>
              <w:t>3,765</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11,697</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11,704</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Due to the combination of put, call, and conversion options that are part of the terms of the convertible note agreement, the remaining discount on the liability component will be amortized over nine months as of September 30, 2010.</w:t>
      </w:r>
    </w:p>
    <w:p>
      <w:pPr>
        <w:spacing w:after="0" w:line="13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During the first quarter of 2009, we entered into exchange agreements with certain holders of our convertible notes to issue, in the aggregate, approximately 2.3 million shares of common stock, valued at $132.9 million, in exchange for, in the aggregate, $121.0 million principal amount of the convertible notes, representing 35% of the aggregate principal outstanding at the date of the exchanges. All of the convertible notes we acquired pursuant to the exchange agreements were retired upon the closing of the exchanges.</w:t>
      </w:r>
    </w:p>
    <w:p>
      <w:pPr>
        <w:spacing w:after="0" w:line="14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exchange agreements were treated as induced conversions as the holders received a greater number of shares of common stock than would have been issued under the original conversion terms of the convertible notes. At the time of the exchange agreements, none of the conversion contingencies were met. Under the original terms of the convertible notes, the amount payable on conversion was to be paid in cash, and the remaining conversion obligation (stock price in excess of conversion price) was payable in cash or shares of common stock, at our option. Under the terms of the exchange agreements, all of the settlement was paid in shares. The difference in the value of the shares of common stock issued under the exchange agreement and the value of the shares of common stock used to derive the amount payable under the original conversion agreement resulted in a loss on extinguishment of debt of $23.3 million (the inducement loss). Upon derecognition of the convertible notes, we remeasured the fair value of the liability and equity components using a borrowing rate for similar non-convertible debt that would be applicable to us at the date of the exchange agreements. Because borrowing rates increased, the remeasurement of the components of the convertible notes resulted in a gain on extinguishment of $13.4 million (the revaluation gain). As a result, we recognized a net loss on extinguishment of debt of $10.3 million, calculated as the inducement loss, plus an allocation of advisory fees, less the revaluation gain. The remaining settlement consideration of $9.5 million, including an allocation of advisory fees, was recorded as a reduction of common stock.</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Senior Subordinated Notes</w:t>
      </w:r>
    </w:p>
    <w:p>
      <w:pPr>
        <w:spacing w:after="0" w:line="9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July 17, 2009, we paid the remaining $111.7 million outstanding balance on our 7.75% senior subordinated notes and recognized a loss on extinguishment of $2.5 million, which included the remaining unamortized debt discount of $336,000. Unamortized prepaid debt fees of $2.0 million were recorded to interest expense.</w:t>
      </w:r>
    </w:p>
    <w:p>
      <w:pPr>
        <w:spacing w:after="0" w:line="215"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Note 7:</w:t>
      </w:r>
      <w:r>
        <w:rPr>
          <w:sz w:val="20"/>
          <w:szCs w:val="20"/>
          <w:color w:val="auto"/>
        </w:rPr>
        <w:tab/>
      </w:r>
      <w:r>
        <w:rPr>
          <w:rFonts w:ascii="Arial" w:cs="Arial" w:eastAsia="Arial" w:hAnsi="Arial"/>
          <w:sz w:val="16"/>
          <w:szCs w:val="16"/>
          <w:b w:val="1"/>
          <w:bCs w:val="1"/>
          <w:color w:val="auto"/>
        </w:rPr>
        <w:t>Derivative Financial Instruments</w:t>
      </w:r>
    </w:p>
    <w:p>
      <w:pPr>
        <w:spacing w:after="0" w:line="9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As part of our risk management strategy, we use derivative instruments to hedge certain foreign currency and interest rate exposures. Refer to Note 1, Note 12, and Note 13 for additional disclosures on our derivative instruments.</w:t>
      </w:r>
    </w:p>
    <w:p>
      <w:pPr>
        <w:spacing w:after="0" w:line="13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The fair values of our derivative instruments are determined using the income approach and significant other observable inputs (also known as “Level 2”), as defined by Accounting Standards Codification (ASC) 820-10-20, </w:t>
      </w:r>
      <w:r>
        <w:rPr>
          <w:rFonts w:ascii="Arial" w:cs="Arial" w:eastAsia="Arial" w:hAnsi="Arial"/>
          <w:sz w:val="18"/>
          <w:szCs w:val="18"/>
          <w:i w:val="1"/>
          <w:iCs w:val="1"/>
          <w:color w:val="auto"/>
        </w:rPr>
        <w:t>Fair Value Measurements</w:t>
      </w:r>
      <w:r>
        <w:rPr>
          <w:rFonts w:ascii="Arial" w:cs="Arial" w:eastAsia="Arial" w:hAnsi="Arial"/>
          <w:sz w:val="18"/>
          <w:szCs w:val="18"/>
          <w:color w:val="auto"/>
        </w:rPr>
        <w:t>. We have used observable market inputs based on the type of derivative and the nature of the underlying instrument. The key inputs used at September 30, 2010 included interest rate yield curves (swap rates and futures) and foreign exchange spot and forward rates, all of which are available in an active market. We have utilized the mid-market pricing convention for these inputs at September 30, 2010. We include the effect of our counterparty credit risk based on current published credit default swap rates when the net fair value of our derivative instruments is in a net asset position. We consider our own nonperformance risk when the net fair value of our derivative instruments is in a net liability position by discounting our derivative liabilities to reflect the potential credit risk to our counterparty through applying a current market indicative credit spread to all cash flows.</w:t>
      </w:r>
    </w:p>
    <w:p>
      <w:pPr>
        <w:spacing w:after="0" w:line="14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fair values of our derivative instruments determined using the fair value measurement of significant other observable inputs (Level 2) at September 30, 2010 and December 31, 2009 are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38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5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gridSpan w:val="3"/>
          </w:tcPr>
          <w:p>
            <w:pPr>
              <w:jc w:val="center"/>
              <w:ind w:left="452"/>
              <w:spacing w:after="0"/>
              <w:rPr>
                <w:sz w:val="20"/>
                <w:szCs w:val="20"/>
                <w:color w:val="auto"/>
              </w:rPr>
            </w:pPr>
            <w:r>
              <w:rPr>
                <w:rFonts w:ascii="Arial" w:cs="Arial" w:eastAsia="Arial" w:hAnsi="Arial"/>
                <w:sz w:val="18"/>
                <w:szCs w:val="18"/>
                <w:b w:val="1"/>
                <w:bCs w:val="1"/>
                <w:color w:val="auto"/>
                <w:w w:val="92"/>
              </w:rPr>
              <w:t>Fair Value</w:t>
            </w:r>
          </w:p>
        </w:tc>
        <w:tc>
          <w:tcPr>
            <w:tcW w:w="8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8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5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80" w:type="dxa"/>
            <w:vAlign w:val="bottom"/>
          </w:tcPr>
          <w:p>
            <w:pPr>
              <w:jc w:val="right"/>
              <w:ind w:right="472"/>
              <w:spacing w:after="0" w:line="197" w:lineRule="exact"/>
              <w:rPr>
                <w:sz w:val="20"/>
                <w:szCs w:val="20"/>
                <w:color w:val="auto"/>
              </w:rPr>
            </w:pPr>
            <w:r>
              <w:rPr>
                <w:rFonts w:ascii="Arial" w:cs="Arial" w:eastAsia="Arial" w:hAnsi="Arial"/>
                <w:sz w:val="18"/>
                <w:szCs w:val="18"/>
                <w:b w:val="1"/>
                <w:bCs w:val="1"/>
                <w:color w:val="auto"/>
              </w:rPr>
              <w:t>At</w:t>
            </w:r>
          </w:p>
        </w:tc>
        <w:tc>
          <w:tcPr>
            <w:tcW w:w="5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60" w:type="dxa"/>
            <w:vAlign w:val="bottom"/>
          </w:tcPr>
          <w:p>
            <w:pPr>
              <w:jc w:val="right"/>
              <w:ind w:right="412"/>
              <w:spacing w:after="0" w:line="197" w:lineRule="exact"/>
              <w:rPr>
                <w:sz w:val="20"/>
                <w:szCs w:val="20"/>
                <w:color w:val="auto"/>
              </w:rPr>
            </w:pPr>
            <w:r>
              <w:rPr>
                <w:rFonts w:ascii="Arial" w:cs="Arial" w:eastAsia="Arial" w:hAnsi="Arial"/>
                <w:sz w:val="18"/>
                <w:szCs w:val="18"/>
                <w:b w:val="1"/>
                <w:bCs w:val="1"/>
                <w:color w:val="auto"/>
              </w:rPr>
              <w:t>At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540" w:type="dxa"/>
            <w:vAlign w:val="bottom"/>
            <w:vMerge w:val="restart"/>
          </w:tcPr>
          <w:p>
            <w:pPr>
              <w:spacing w:after="0"/>
              <w:rPr>
                <w:sz w:val="20"/>
                <w:szCs w:val="20"/>
                <w:color w:val="auto"/>
              </w:rPr>
            </w:pPr>
            <w:r>
              <w:rPr>
                <w:rFonts w:ascii="Arial" w:cs="Arial" w:eastAsia="Arial" w:hAnsi="Arial"/>
                <w:sz w:val="18"/>
                <w:szCs w:val="18"/>
                <w:b w:val="1"/>
                <w:bCs w:val="1"/>
                <w:color w:val="auto"/>
              </w:rPr>
              <w:t>Balance Sheet Location</w:t>
            </w:r>
          </w:p>
        </w:tc>
        <w:tc>
          <w:tcPr>
            <w:tcW w:w="420" w:type="dxa"/>
            <w:vAlign w:val="bottom"/>
            <w:vMerge w:val="restart"/>
          </w:tcPr>
          <w:p>
            <w:pPr>
              <w:spacing w:after="0"/>
              <w:rPr>
                <w:sz w:val="18"/>
                <w:szCs w:val="18"/>
                <w:color w:val="auto"/>
              </w:rPr>
            </w:pPr>
          </w:p>
        </w:tc>
        <w:tc>
          <w:tcPr>
            <w:tcW w:w="1300" w:type="dxa"/>
            <w:vAlign w:val="bottom"/>
            <w:gridSpan w:val="2"/>
          </w:tcPr>
          <w:p>
            <w:pPr>
              <w:ind w:left="80"/>
              <w:spacing w:after="0"/>
              <w:rPr>
                <w:sz w:val="20"/>
                <w:szCs w:val="20"/>
                <w:color w:val="auto"/>
              </w:rPr>
            </w:pPr>
            <w:r>
              <w:rPr>
                <w:rFonts w:ascii="Arial" w:cs="Arial" w:eastAsia="Arial" w:hAnsi="Arial"/>
                <w:sz w:val="18"/>
                <w:szCs w:val="18"/>
                <w:b w:val="1"/>
                <w:bCs w:val="1"/>
                <w:color w:val="auto"/>
                <w:w w:val="97"/>
              </w:rPr>
              <w:t>September 30,</w:t>
            </w:r>
          </w:p>
        </w:tc>
        <w:tc>
          <w:tcPr>
            <w:tcW w:w="500" w:type="dxa"/>
            <w:vAlign w:val="bottom"/>
          </w:tcPr>
          <w:p>
            <w:pPr>
              <w:spacing w:after="0"/>
              <w:rPr>
                <w:sz w:val="18"/>
                <w:szCs w:val="18"/>
                <w:color w:val="auto"/>
              </w:rPr>
            </w:pPr>
          </w:p>
        </w:tc>
        <w:tc>
          <w:tcPr>
            <w:tcW w:w="1300" w:type="dxa"/>
            <w:vAlign w:val="bottom"/>
            <w:gridSpan w:val="3"/>
          </w:tcPr>
          <w:p>
            <w:pPr>
              <w:ind w:left="10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8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540" w:type="dxa"/>
            <w:vAlign w:val="bottom"/>
            <w:tcBorders>
              <w:bottom w:val="single" w:sz="8" w:color="auto"/>
            </w:tcBorders>
            <w:vMerge w:val="continue"/>
          </w:tcPr>
          <w:p>
            <w:pPr>
              <w:spacing w:after="0"/>
              <w:rPr>
                <w:sz w:val="19"/>
                <w:szCs w:val="19"/>
                <w:color w:val="auto"/>
              </w:rPr>
            </w:pPr>
          </w:p>
        </w:tc>
        <w:tc>
          <w:tcPr>
            <w:tcW w:w="420" w:type="dxa"/>
            <w:vAlign w:val="bottom"/>
            <w:vMerge w:val="continue"/>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92"/>
              <w:spacing w:after="0"/>
              <w:rPr>
                <w:sz w:val="20"/>
                <w:szCs w:val="20"/>
                <w:color w:val="auto"/>
              </w:rPr>
            </w:pPr>
            <w:r>
              <w:rPr>
                <w:rFonts w:ascii="Arial" w:cs="Arial" w:eastAsia="Arial" w:hAnsi="Arial"/>
                <w:sz w:val="18"/>
                <w:szCs w:val="18"/>
                <w:b w:val="1"/>
                <w:bCs w:val="1"/>
                <w:color w:val="auto"/>
              </w:rPr>
              <w:t>2010</w:t>
            </w:r>
          </w:p>
        </w:tc>
        <w:tc>
          <w:tcPr>
            <w:tcW w:w="5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b w:val="1"/>
                <w:bCs w:val="1"/>
                <w:color w:val="auto"/>
              </w:rPr>
              <w:t>2009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360" w:type="dxa"/>
            <w:vAlign w:val="bottom"/>
            <w:gridSpan w:val="3"/>
          </w:tcPr>
          <w:p>
            <w:pPr>
              <w:spacing w:after="0"/>
              <w:rPr>
                <w:sz w:val="20"/>
                <w:szCs w:val="20"/>
                <w:color w:val="auto"/>
              </w:rPr>
            </w:pPr>
            <w:r>
              <w:rPr>
                <w:rFonts w:ascii="Arial" w:cs="Arial" w:eastAsia="Arial" w:hAnsi="Arial"/>
                <w:sz w:val="18"/>
                <w:szCs w:val="18"/>
                <w:b w:val="1"/>
                <w:bCs w:val="1"/>
                <w:color w:val="auto"/>
              </w:rPr>
              <w:t>Asset Derivatives</w:t>
            </w:r>
          </w:p>
        </w:tc>
        <w:tc>
          <w:tcPr>
            <w:tcW w:w="35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20" w:type="dxa"/>
            <w:vAlign w:val="bottom"/>
            <w:gridSpan w:val="3"/>
          </w:tcPr>
          <w:p>
            <w:pPr>
              <w:jc w:val="center"/>
              <w:ind w:left="452"/>
              <w:spacing w:after="0"/>
              <w:rPr>
                <w:sz w:val="20"/>
                <w:szCs w:val="20"/>
                <w:color w:val="auto"/>
              </w:rPr>
            </w:pPr>
            <w:r>
              <w:rPr>
                <w:rFonts w:ascii="Arial" w:cs="Arial" w:eastAsia="Arial" w:hAnsi="Arial"/>
                <w:sz w:val="18"/>
                <w:szCs w:val="18"/>
                <w:b w:val="1"/>
                <w:bCs w:val="1"/>
                <w:color w:val="auto"/>
                <w:w w:val="87"/>
              </w:rPr>
              <w:t>(in thousands)</w:t>
            </w: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82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8300" w:type="dxa"/>
            <w:vAlign w:val="bottom"/>
            <w:gridSpan w:val="4"/>
            <w:shd w:val="clear" w:color="auto" w:fill="CCEEFF"/>
          </w:tcPr>
          <w:p>
            <w:pPr>
              <w:spacing w:after="0"/>
              <w:rPr>
                <w:sz w:val="20"/>
                <w:szCs w:val="20"/>
                <w:color w:val="auto"/>
              </w:rPr>
            </w:pPr>
            <w:r>
              <w:rPr>
                <w:rFonts w:ascii="Arial" w:cs="Arial" w:eastAsia="Arial" w:hAnsi="Arial"/>
                <w:sz w:val="18"/>
                <w:szCs w:val="18"/>
                <w:b w:val="1"/>
                <w:bCs w:val="1"/>
                <w:color w:val="auto"/>
              </w:rPr>
              <w:t>Derivatives not designated as hedging instruments under ASC 815-20</w:t>
            </w:r>
          </w:p>
        </w:tc>
        <w:tc>
          <w:tcPr>
            <w:tcW w:w="3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2"/>
          </w:tcPr>
          <w:p>
            <w:pPr>
              <w:ind w:left="200"/>
              <w:spacing w:after="0"/>
              <w:rPr>
                <w:sz w:val="20"/>
                <w:szCs w:val="20"/>
                <w:color w:val="auto"/>
              </w:rPr>
            </w:pPr>
            <w:r>
              <w:rPr>
                <w:rFonts w:ascii="Arial" w:cs="Arial" w:eastAsia="Arial" w:hAnsi="Arial"/>
                <w:sz w:val="18"/>
                <w:szCs w:val="18"/>
                <w:color w:val="auto"/>
              </w:rPr>
              <w:t>Foreign exchange forward contracts</w:t>
            </w:r>
          </w:p>
        </w:tc>
        <w:tc>
          <w:tcPr>
            <w:tcW w:w="3960" w:type="dxa"/>
            <w:vAlign w:val="bottom"/>
            <w:gridSpan w:val="2"/>
          </w:tcPr>
          <w:p>
            <w:pPr>
              <w:spacing w:after="0"/>
              <w:rPr>
                <w:sz w:val="20"/>
                <w:szCs w:val="20"/>
                <w:color w:val="auto"/>
              </w:rPr>
            </w:pPr>
            <w:r>
              <w:rPr>
                <w:rFonts w:ascii="Arial" w:cs="Arial" w:eastAsia="Arial" w:hAnsi="Arial"/>
                <w:sz w:val="18"/>
                <w:szCs w:val="18"/>
                <w:color w:val="auto"/>
              </w:rPr>
              <w:t>Other current assets</w:t>
            </w:r>
          </w:p>
        </w:tc>
        <w:tc>
          <w:tcPr>
            <w:tcW w:w="320" w:type="dxa"/>
            <w:vAlign w:val="bottom"/>
          </w:tcPr>
          <w:p>
            <w:pPr>
              <w:ind w:left="8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283</w:t>
            </w:r>
          </w:p>
        </w:tc>
        <w:tc>
          <w:tcPr>
            <w:tcW w:w="84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3,986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6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Liability Derivatives</w:t>
            </w:r>
          </w:p>
        </w:tc>
        <w:tc>
          <w:tcPr>
            <w:tcW w:w="35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2"/>
        </w:trPr>
        <w:tc>
          <w:tcPr>
            <w:tcW w:w="4360" w:type="dxa"/>
            <w:vAlign w:val="bottom"/>
            <w:gridSpan w:val="3"/>
            <w:vMerge w:val="continue"/>
          </w:tcPr>
          <w:p>
            <w:pPr>
              <w:spacing w:after="0"/>
              <w:rPr>
                <w:sz w:val="24"/>
                <w:szCs w:val="24"/>
                <w:color w:val="auto"/>
              </w:rPr>
            </w:pPr>
          </w:p>
        </w:tc>
        <w:tc>
          <w:tcPr>
            <w:tcW w:w="35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82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00" w:type="dxa"/>
            <w:vAlign w:val="bottom"/>
            <w:gridSpan w:val="4"/>
            <w:shd w:val="clear" w:color="auto" w:fill="CCEEFF"/>
          </w:tcPr>
          <w:p>
            <w:pPr>
              <w:spacing w:after="0"/>
              <w:rPr>
                <w:sz w:val="20"/>
                <w:szCs w:val="20"/>
                <w:color w:val="auto"/>
              </w:rPr>
            </w:pPr>
            <w:r>
              <w:rPr>
                <w:rFonts w:ascii="Arial" w:cs="Arial" w:eastAsia="Arial" w:hAnsi="Arial"/>
                <w:sz w:val="18"/>
                <w:szCs w:val="18"/>
                <w:b w:val="1"/>
                <w:bCs w:val="1"/>
                <w:color w:val="auto"/>
              </w:rPr>
              <w:t>Derivatives designated as hedging instruments under ASC 815-20</w:t>
            </w:r>
          </w:p>
        </w:tc>
        <w:tc>
          <w:tcPr>
            <w:tcW w:w="3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20" w:type="dxa"/>
            <w:vAlign w:val="bottom"/>
          </w:tcPr>
          <w:p>
            <w:pPr>
              <w:spacing w:after="0"/>
              <w:rPr>
                <w:sz w:val="24"/>
                <w:szCs w:val="24"/>
                <w:color w:val="auto"/>
              </w:rPr>
            </w:pPr>
          </w:p>
        </w:tc>
        <w:tc>
          <w:tcPr>
            <w:tcW w:w="4340" w:type="dxa"/>
            <w:vAlign w:val="bottom"/>
            <w:gridSpan w:val="2"/>
          </w:tcPr>
          <w:p>
            <w:pPr>
              <w:ind w:left="200"/>
              <w:spacing w:after="0"/>
              <w:rPr>
                <w:sz w:val="20"/>
                <w:szCs w:val="20"/>
                <w:color w:val="auto"/>
              </w:rPr>
            </w:pPr>
            <w:r>
              <w:rPr>
                <w:rFonts w:ascii="Arial" w:cs="Arial" w:eastAsia="Arial" w:hAnsi="Arial"/>
                <w:sz w:val="18"/>
                <w:szCs w:val="18"/>
                <w:color w:val="auto"/>
              </w:rPr>
              <w:t>Interest rate swap contracts</w:t>
            </w:r>
          </w:p>
        </w:tc>
        <w:tc>
          <w:tcPr>
            <w:tcW w:w="3960" w:type="dxa"/>
            <w:vAlign w:val="bottom"/>
            <w:gridSpan w:val="2"/>
          </w:tcPr>
          <w:p>
            <w:pPr>
              <w:spacing w:after="0"/>
              <w:rPr>
                <w:sz w:val="20"/>
                <w:szCs w:val="20"/>
                <w:color w:val="auto"/>
              </w:rPr>
            </w:pPr>
            <w:r>
              <w:rPr>
                <w:rFonts w:ascii="Arial" w:cs="Arial" w:eastAsia="Arial" w:hAnsi="Arial"/>
                <w:sz w:val="18"/>
                <w:szCs w:val="18"/>
                <w:color w:val="auto"/>
              </w:rPr>
              <w:t>Other current liabilities</w:t>
            </w:r>
          </w:p>
        </w:tc>
        <w:tc>
          <w:tcPr>
            <w:tcW w:w="320" w:type="dxa"/>
            <w:vAlign w:val="bottom"/>
          </w:tcPr>
          <w:p>
            <w:pPr>
              <w:ind w:left="4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(7,775)</w:t>
            </w:r>
          </w:p>
        </w:tc>
        <w:tc>
          <w:tcPr>
            <w:tcW w:w="84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(11,478)</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3820" w:type="dxa"/>
            <w:vAlign w:val="bottom"/>
          </w:tcPr>
          <w:p>
            <w:pPr>
              <w:spacing w:after="0"/>
              <w:rPr>
                <w:sz w:val="9"/>
                <w:szCs w:val="9"/>
                <w:color w:val="auto"/>
              </w:rPr>
            </w:pPr>
          </w:p>
        </w:tc>
        <w:tc>
          <w:tcPr>
            <w:tcW w:w="520" w:type="dxa"/>
            <w:vAlign w:val="bottom"/>
          </w:tcPr>
          <w:p>
            <w:pPr>
              <w:spacing w:after="0"/>
              <w:rPr>
                <w:sz w:val="9"/>
                <w:szCs w:val="9"/>
                <w:color w:val="auto"/>
              </w:rPr>
            </w:pPr>
          </w:p>
        </w:tc>
        <w:tc>
          <w:tcPr>
            <w:tcW w:w="3540" w:type="dxa"/>
            <w:vAlign w:val="bottom"/>
          </w:tcPr>
          <w:p>
            <w:pPr>
              <w:spacing w:after="0"/>
              <w:rPr>
                <w:sz w:val="9"/>
                <w:szCs w:val="9"/>
                <w:color w:val="auto"/>
              </w:rPr>
            </w:pPr>
          </w:p>
        </w:tc>
        <w:tc>
          <w:tcPr>
            <w:tcW w:w="420" w:type="dxa"/>
            <w:vAlign w:val="bottom"/>
          </w:tcPr>
          <w:p>
            <w:pPr>
              <w:spacing w:after="0"/>
              <w:rPr>
                <w:sz w:val="9"/>
                <w:szCs w:val="9"/>
                <w:color w:val="auto"/>
              </w:rPr>
            </w:pPr>
          </w:p>
        </w:tc>
        <w:tc>
          <w:tcPr>
            <w:tcW w:w="320" w:type="dxa"/>
            <w:vAlign w:val="bottom"/>
          </w:tcPr>
          <w:p>
            <w:pPr>
              <w:spacing w:after="0"/>
              <w:rPr>
                <w:sz w:val="9"/>
                <w:szCs w:val="9"/>
                <w:color w:val="auto"/>
              </w:rPr>
            </w:pPr>
          </w:p>
        </w:tc>
        <w:tc>
          <w:tcPr>
            <w:tcW w:w="980" w:type="dxa"/>
            <w:vAlign w:val="bottom"/>
          </w:tcPr>
          <w:p>
            <w:pPr>
              <w:spacing w:after="0"/>
              <w:rPr>
                <w:sz w:val="9"/>
                <w:szCs w:val="9"/>
                <w:color w:val="auto"/>
              </w:rPr>
            </w:pPr>
          </w:p>
        </w:tc>
        <w:tc>
          <w:tcPr>
            <w:tcW w:w="5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Interest rate swap contracts</w:t>
            </w:r>
          </w:p>
        </w:tc>
        <w:tc>
          <w:tcPr>
            <w:tcW w:w="3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noncurrent obligations</w:t>
            </w:r>
          </w:p>
        </w:tc>
        <w:tc>
          <w:tcPr>
            <w:tcW w:w="3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(1,675)</w:t>
            </w:r>
          </w:p>
        </w:tc>
        <w:tc>
          <w:tcPr>
            <w:tcW w:w="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20" w:type="dxa"/>
            <w:vAlign w:val="bottom"/>
          </w:tcPr>
          <w:p>
            <w:pPr>
              <w:spacing w:after="0"/>
              <w:rPr>
                <w:sz w:val="24"/>
                <w:szCs w:val="24"/>
                <w:color w:val="auto"/>
              </w:rPr>
            </w:pPr>
          </w:p>
        </w:tc>
        <w:tc>
          <w:tcPr>
            <w:tcW w:w="4340" w:type="dxa"/>
            <w:vAlign w:val="bottom"/>
            <w:gridSpan w:val="2"/>
          </w:tcPr>
          <w:p>
            <w:pPr>
              <w:ind w:left="200"/>
              <w:spacing w:after="0"/>
              <w:rPr>
                <w:sz w:val="20"/>
                <w:szCs w:val="20"/>
                <w:color w:val="auto"/>
              </w:rPr>
            </w:pPr>
            <w:r>
              <w:rPr>
                <w:rFonts w:ascii="Arial" w:cs="Arial" w:eastAsia="Arial" w:hAnsi="Arial"/>
                <w:sz w:val="18"/>
                <w:szCs w:val="18"/>
                <w:color w:val="auto"/>
              </w:rPr>
              <w:t>Euro denominated term loan *</w:t>
            </w:r>
          </w:p>
        </w:tc>
        <w:tc>
          <w:tcPr>
            <w:tcW w:w="3960" w:type="dxa"/>
            <w:vAlign w:val="bottom"/>
            <w:gridSpan w:val="2"/>
          </w:tcPr>
          <w:p>
            <w:pPr>
              <w:spacing w:after="0"/>
              <w:rPr>
                <w:sz w:val="20"/>
                <w:szCs w:val="20"/>
                <w:color w:val="auto"/>
              </w:rPr>
            </w:pPr>
            <w:r>
              <w:rPr>
                <w:rFonts w:ascii="Arial" w:cs="Arial" w:eastAsia="Arial" w:hAnsi="Arial"/>
                <w:sz w:val="18"/>
                <w:szCs w:val="18"/>
                <w:color w:val="auto"/>
              </w:rPr>
              <w:t>Current portion of long-term debt</w:t>
            </w:r>
          </w:p>
        </w:tc>
        <w:tc>
          <w:tcPr>
            <w:tcW w:w="3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(4,522)</w:t>
            </w: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(4,820)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3820" w:type="dxa"/>
            <w:vAlign w:val="bottom"/>
          </w:tcPr>
          <w:p>
            <w:pPr>
              <w:spacing w:after="0"/>
              <w:rPr>
                <w:sz w:val="9"/>
                <w:szCs w:val="9"/>
                <w:color w:val="auto"/>
              </w:rPr>
            </w:pPr>
          </w:p>
        </w:tc>
        <w:tc>
          <w:tcPr>
            <w:tcW w:w="520" w:type="dxa"/>
            <w:vAlign w:val="bottom"/>
          </w:tcPr>
          <w:p>
            <w:pPr>
              <w:spacing w:after="0"/>
              <w:rPr>
                <w:sz w:val="9"/>
                <w:szCs w:val="9"/>
                <w:color w:val="auto"/>
              </w:rPr>
            </w:pPr>
          </w:p>
        </w:tc>
        <w:tc>
          <w:tcPr>
            <w:tcW w:w="3540" w:type="dxa"/>
            <w:vAlign w:val="bottom"/>
          </w:tcPr>
          <w:p>
            <w:pPr>
              <w:spacing w:after="0"/>
              <w:rPr>
                <w:sz w:val="9"/>
                <w:szCs w:val="9"/>
                <w:color w:val="auto"/>
              </w:rPr>
            </w:pPr>
          </w:p>
        </w:tc>
        <w:tc>
          <w:tcPr>
            <w:tcW w:w="420" w:type="dxa"/>
            <w:vAlign w:val="bottom"/>
          </w:tcPr>
          <w:p>
            <w:pPr>
              <w:spacing w:after="0"/>
              <w:rPr>
                <w:sz w:val="9"/>
                <w:szCs w:val="9"/>
                <w:color w:val="auto"/>
              </w:rPr>
            </w:pPr>
          </w:p>
        </w:tc>
        <w:tc>
          <w:tcPr>
            <w:tcW w:w="320" w:type="dxa"/>
            <w:vAlign w:val="bottom"/>
          </w:tcPr>
          <w:p>
            <w:pPr>
              <w:spacing w:after="0"/>
              <w:rPr>
                <w:sz w:val="9"/>
                <w:szCs w:val="9"/>
                <w:color w:val="auto"/>
              </w:rPr>
            </w:pPr>
          </w:p>
        </w:tc>
        <w:tc>
          <w:tcPr>
            <w:tcW w:w="980" w:type="dxa"/>
            <w:vAlign w:val="bottom"/>
          </w:tcPr>
          <w:p>
            <w:pPr>
              <w:spacing w:after="0"/>
              <w:rPr>
                <w:sz w:val="9"/>
                <w:szCs w:val="9"/>
                <w:color w:val="auto"/>
              </w:rPr>
            </w:pPr>
          </w:p>
        </w:tc>
        <w:tc>
          <w:tcPr>
            <w:tcW w:w="5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Euro denominated term loan *</w:t>
            </w:r>
          </w:p>
        </w:tc>
        <w:tc>
          <w:tcPr>
            <w:tcW w:w="3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debt</w:t>
            </w:r>
          </w:p>
        </w:tc>
        <w:tc>
          <w:tcPr>
            <w:tcW w:w="3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(222,601)</w:t>
            </w:r>
          </w:p>
        </w:tc>
        <w:tc>
          <w:tcPr>
            <w:tcW w:w="5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(284,082)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0"/>
        </w:trPr>
        <w:tc>
          <w:tcPr>
            <w:tcW w:w="20" w:type="dxa"/>
            <w:vAlign w:val="bottom"/>
          </w:tcPr>
          <w:p>
            <w:pPr>
              <w:spacing w:after="0"/>
              <w:rPr>
                <w:sz w:val="24"/>
                <w:szCs w:val="24"/>
                <w:color w:val="auto"/>
              </w:rPr>
            </w:pPr>
          </w:p>
        </w:tc>
        <w:tc>
          <w:tcPr>
            <w:tcW w:w="8300" w:type="dxa"/>
            <w:vAlign w:val="bottom"/>
            <w:gridSpan w:val="4"/>
          </w:tcPr>
          <w:p>
            <w:pPr>
              <w:ind w:left="200"/>
              <w:spacing w:after="0"/>
              <w:rPr>
                <w:sz w:val="20"/>
                <w:szCs w:val="20"/>
                <w:color w:val="auto"/>
              </w:rPr>
            </w:pPr>
            <w:r>
              <w:rPr>
                <w:rFonts w:ascii="Arial" w:cs="Arial" w:eastAsia="Arial" w:hAnsi="Arial"/>
                <w:sz w:val="18"/>
                <w:szCs w:val="18"/>
                <w:b w:val="1"/>
                <w:bCs w:val="1"/>
                <w:color w:val="auto"/>
              </w:rPr>
              <w:t>Total derivatives designated as hedging instruments under ASC 815-20</w:t>
            </w:r>
          </w:p>
        </w:tc>
        <w:tc>
          <w:tcPr>
            <w:tcW w:w="320" w:type="dxa"/>
            <w:vAlign w:val="bottom"/>
          </w:tcPr>
          <w:p>
            <w:pPr>
              <w:ind w:left="8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(236,573)</w:t>
            </w:r>
          </w:p>
        </w:tc>
        <w:tc>
          <w:tcPr>
            <w:tcW w:w="84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(304,056)</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20" w:type="dxa"/>
            <w:vAlign w:val="bottom"/>
            <w:vMerge w:val="restart"/>
          </w:tcPr>
          <w:p>
            <w:pPr>
              <w:spacing w:after="0"/>
              <w:rPr>
                <w:sz w:val="19"/>
                <w:szCs w:val="19"/>
                <w:color w:val="auto"/>
              </w:rPr>
            </w:pPr>
          </w:p>
        </w:tc>
        <w:tc>
          <w:tcPr>
            <w:tcW w:w="38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5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5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00" w:type="dxa"/>
            <w:vAlign w:val="bottom"/>
            <w:gridSpan w:val="4"/>
            <w:shd w:val="clear" w:color="auto" w:fill="CCEEFF"/>
          </w:tcPr>
          <w:p>
            <w:pPr>
              <w:spacing w:after="0"/>
              <w:rPr>
                <w:sz w:val="20"/>
                <w:szCs w:val="20"/>
                <w:color w:val="auto"/>
              </w:rPr>
            </w:pPr>
            <w:r>
              <w:rPr>
                <w:rFonts w:ascii="Arial" w:cs="Arial" w:eastAsia="Arial" w:hAnsi="Arial"/>
                <w:sz w:val="18"/>
                <w:szCs w:val="18"/>
                <w:b w:val="1"/>
                <w:bCs w:val="1"/>
                <w:color w:val="auto"/>
              </w:rPr>
              <w:t>Derivatives not designated as hedging instruments under ASC 815-20</w:t>
            </w:r>
          </w:p>
        </w:tc>
        <w:tc>
          <w:tcPr>
            <w:tcW w:w="3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40" w:type="dxa"/>
            <w:vAlign w:val="bottom"/>
            <w:gridSpan w:val="2"/>
          </w:tcPr>
          <w:p>
            <w:pPr>
              <w:ind w:left="200"/>
              <w:spacing w:after="0"/>
              <w:rPr>
                <w:sz w:val="20"/>
                <w:szCs w:val="20"/>
                <w:color w:val="auto"/>
              </w:rPr>
            </w:pPr>
            <w:r>
              <w:rPr>
                <w:rFonts w:ascii="Arial" w:cs="Arial" w:eastAsia="Arial" w:hAnsi="Arial"/>
                <w:sz w:val="18"/>
                <w:szCs w:val="18"/>
                <w:color w:val="auto"/>
              </w:rPr>
              <w:t>Foreign exchange forward contracts</w:t>
            </w:r>
          </w:p>
        </w:tc>
        <w:tc>
          <w:tcPr>
            <w:tcW w:w="3960" w:type="dxa"/>
            <w:vAlign w:val="bottom"/>
            <w:gridSpan w:val="2"/>
          </w:tcPr>
          <w:p>
            <w:pPr>
              <w:spacing w:after="0"/>
              <w:rPr>
                <w:sz w:val="20"/>
                <w:szCs w:val="20"/>
                <w:color w:val="auto"/>
              </w:rPr>
            </w:pPr>
            <w:r>
              <w:rPr>
                <w:rFonts w:ascii="Arial" w:cs="Arial" w:eastAsia="Arial" w:hAnsi="Arial"/>
                <w:sz w:val="18"/>
                <w:szCs w:val="18"/>
                <w:color w:val="auto"/>
              </w:rPr>
              <w:t>Other current liabilities</w:t>
            </w:r>
          </w:p>
        </w:tc>
        <w:tc>
          <w:tcPr>
            <w:tcW w:w="32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w:t>
            </w:r>
          </w:p>
        </w:tc>
        <w:tc>
          <w:tcPr>
            <w:tcW w:w="500" w:type="dxa"/>
            <w:vAlign w:val="bottom"/>
          </w:tcPr>
          <w:p>
            <w:pPr>
              <w:spacing w:after="0"/>
              <w:rPr>
                <w:sz w:val="19"/>
                <w:szCs w:val="19"/>
                <w:color w:val="auto"/>
              </w:rPr>
            </w:pPr>
          </w:p>
        </w:tc>
        <w:tc>
          <w:tcPr>
            <w:tcW w:w="3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(2,442)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2"/>
            <w:shd w:val="clear" w:color="auto" w:fill="CCEEFF"/>
          </w:tcPr>
          <w:p>
            <w:pPr>
              <w:ind w:left="420"/>
              <w:spacing w:after="0"/>
              <w:rPr>
                <w:sz w:val="20"/>
                <w:szCs w:val="20"/>
                <w:color w:val="auto"/>
              </w:rPr>
            </w:pPr>
            <w:r>
              <w:rPr>
                <w:rFonts w:ascii="Arial" w:cs="Arial" w:eastAsia="Arial" w:hAnsi="Arial"/>
                <w:sz w:val="18"/>
                <w:szCs w:val="18"/>
                <w:b w:val="1"/>
                <w:bCs w:val="1"/>
                <w:color w:val="auto"/>
              </w:rPr>
              <w:t>Total liability derivatives</w:t>
            </w:r>
          </w:p>
        </w:tc>
        <w:tc>
          <w:tcPr>
            <w:tcW w:w="35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2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(236,660)</w:t>
            </w:r>
          </w:p>
        </w:tc>
        <w:tc>
          <w:tcPr>
            <w:tcW w:w="84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(306,498)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8"/>
        <w:spacing w:after="0" w:line="268" w:lineRule="auto"/>
        <w:tabs>
          <w:tab w:leader="none" w:pos="134"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euro denominated term loan is a nonderivative financial instrument designated as a hedge of our net investment in international operations. It is recorded at its carrying value in the Consolidated Balance Sheets and is not recorded at fair value.</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18</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OCI during the reporting period for our derivative and nonderivative instruments designated as hedging instruments (collectively, hedging instruments), net of tax, was as follows:</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92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b w:val="1"/>
                <w:bCs w:val="1"/>
                <w:color w:val="auto"/>
                <w:w w:val="94"/>
              </w:rPr>
              <w:t>2010</w:t>
            </w:r>
          </w:p>
        </w:tc>
        <w:tc>
          <w:tcPr>
            <w:tcW w:w="2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b w:val="1"/>
                <w:bCs w:val="1"/>
                <w:color w:val="auto"/>
                <w:w w:val="89"/>
              </w:rPr>
              <w:t>2009</w:t>
            </w:r>
          </w:p>
        </w:tc>
        <w:tc>
          <w:tcPr>
            <w:tcW w:w="140" w:type="dxa"/>
            <w:vAlign w:val="bottom"/>
          </w:tcPr>
          <w:p>
            <w:pPr>
              <w:spacing w:after="0"/>
              <w:rPr>
                <w:sz w:val="19"/>
                <w:szCs w:val="19"/>
                <w:color w:val="auto"/>
              </w:rPr>
            </w:pPr>
          </w:p>
        </w:tc>
      </w:tr>
      <w:tr>
        <w:trPr>
          <w:trHeight w:val="212"/>
        </w:trPr>
        <w:tc>
          <w:tcPr>
            <w:tcW w:w="20" w:type="dxa"/>
            <w:vAlign w:val="bottom"/>
          </w:tcPr>
          <w:p>
            <w:pPr>
              <w:spacing w:after="0"/>
              <w:rPr>
                <w:sz w:val="18"/>
                <w:szCs w:val="18"/>
                <w:color w:val="auto"/>
              </w:rPr>
            </w:pPr>
          </w:p>
        </w:tc>
        <w:tc>
          <w:tcPr>
            <w:tcW w:w="9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jc w:val="right"/>
              <w:ind w:right="112"/>
              <w:spacing w:after="0"/>
              <w:rPr>
                <w:sz w:val="20"/>
                <w:szCs w:val="20"/>
                <w:color w:val="auto"/>
              </w:rPr>
            </w:pPr>
            <w:r>
              <w:rPr>
                <w:rFonts w:ascii="Arial" w:cs="Arial" w:eastAsia="Arial" w:hAnsi="Arial"/>
                <w:sz w:val="18"/>
                <w:szCs w:val="18"/>
                <w:b w:val="1"/>
                <w:bCs w:val="1"/>
                <w:color w:val="auto"/>
              </w:rPr>
              <w:t>(in</w:t>
            </w:r>
          </w:p>
        </w:tc>
        <w:tc>
          <w:tcPr>
            <w:tcW w:w="1140" w:type="dxa"/>
            <w:vAlign w:val="bottom"/>
            <w:gridSpan w:val="3"/>
          </w:tcPr>
          <w:p>
            <w:pPr>
              <w:jc w:val="right"/>
              <w:ind w:right="392"/>
              <w:spacing w:after="0"/>
              <w:rPr>
                <w:sz w:val="20"/>
                <w:szCs w:val="20"/>
                <w:color w:val="auto"/>
              </w:rPr>
            </w:pPr>
            <w:r>
              <w:rPr>
                <w:rFonts w:ascii="Arial" w:cs="Arial" w:eastAsia="Arial" w:hAnsi="Arial"/>
                <w:sz w:val="16"/>
                <w:szCs w:val="16"/>
                <w:b w:val="1"/>
                <w:bCs w:val="1"/>
                <w:color w:val="auto"/>
                <w:w w:val="74"/>
              </w:rPr>
              <w:t>thousands)</w:t>
            </w:r>
          </w:p>
        </w:tc>
        <w:tc>
          <w:tcPr>
            <w:tcW w:w="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rPr>
              <w:t>Net unrealized loss on hedging instruments at January 1,</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18"/>
              <w:spacing w:after="0"/>
              <w:rPr>
                <w:sz w:val="20"/>
                <w:szCs w:val="20"/>
                <w:color w:val="auto"/>
              </w:rPr>
            </w:pPr>
            <w:r>
              <w:rPr>
                <w:rFonts w:ascii="Arial" w:cs="Arial" w:eastAsia="Arial" w:hAnsi="Arial"/>
                <w:sz w:val="18"/>
                <w:szCs w:val="18"/>
                <w:color w:val="auto"/>
              </w:rPr>
              <w:t>(30,300)</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(29,772)</w:t>
            </w:r>
          </w:p>
        </w:tc>
      </w:tr>
      <w:tr>
        <w:trPr>
          <w:trHeight w:val="216"/>
        </w:trPr>
        <w:tc>
          <w:tcPr>
            <w:tcW w:w="20" w:type="dxa"/>
            <w:vAlign w:val="bottom"/>
          </w:tcPr>
          <w:p>
            <w:pPr>
              <w:spacing w:after="0"/>
              <w:rPr>
                <w:sz w:val="18"/>
                <w:szCs w:val="18"/>
                <w:color w:val="auto"/>
              </w:rPr>
            </w:pPr>
          </w:p>
        </w:tc>
        <w:tc>
          <w:tcPr>
            <w:tcW w:w="9240" w:type="dxa"/>
            <w:vAlign w:val="bottom"/>
          </w:tcPr>
          <w:p>
            <w:pPr>
              <w:ind w:left="200"/>
              <w:spacing w:after="0"/>
              <w:rPr>
                <w:sz w:val="20"/>
                <w:szCs w:val="20"/>
                <w:color w:val="auto"/>
              </w:rPr>
            </w:pPr>
            <w:r>
              <w:rPr>
                <w:rFonts w:ascii="Arial" w:cs="Arial" w:eastAsia="Arial" w:hAnsi="Arial"/>
                <w:sz w:val="18"/>
                <w:szCs w:val="18"/>
                <w:color w:val="auto"/>
              </w:rPr>
              <w:t>Unrealized gain (loss) on derivative instruments</w:t>
            </w:r>
          </w:p>
        </w:tc>
        <w:tc>
          <w:tcPr>
            <w:tcW w:w="220" w:type="dxa"/>
            <w:vAlign w:val="bottom"/>
          </w:tcPr>
          <w:p>
            <w:pPr>
              <w:spacing w:after="0"/>
              <w:rPr>
                <w:sz w:val="18"/>
                <w:szCs w:val="18"/>
                <w:color w:val="auto"/>
              </w:rPr>
            </w:pPr>
          </w:p>
        </w:tc>
        <w:tc>
          <w:tcPr>
            <w:tcW w:w="920" w:type="dxa"/>
            <w:vAlign w:val="bottom"/>
            <w:gridSpan w:val="2"/>
          </w:tcPr>
          <w:p>
            <w:pPr>
              <w:jc w:val="right"/>
              <w:ind w:right="118"/>
              <w:spacing w:after="0"/>
              <w:rPr>
                <w:sz w:val="20"/>
                <w:szCs w:val="20"/>
                <w:color w:val="auto"/>
              </w:rPr>
            </w:pPr>
            <w:r>
              <w:rPr>
                <w:rFonts w:ascii="Arial" w:cs="Arial" w:eastAsia="Arial" w:hAnsi="Arial"/>
                <w:sz w:val="18"/>
                <w:szCs w:val="18"/>
                <w:color w:val="auto"/>
              </w:rPr>
              <w:t>(2,920)</w:t>
            </w:r>
          </w:p>
        </w:tc>
        <w:tc>
          <w:tcPr>
            <w:tcW w:w="22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(5,906)</w:t>
            </w:r>
          </w:p>
        </w:tc>
      </w:tr>
      <w:tr>
        <w:trPr>
          <w:trHeight w:val="216"/>
        </w:trPr>
        <w:tc>
          <w:tcPr>
            <w:tcW w:w="20" w:type="dxa"/>
            <w:vAlign w:val="bottom"/>
          </w:tcPr>
          <w:p>
            <w:pPr>
              <w:spacing w:after="0"/>
              <w:rPr>
                <w:sz w:val="18"/>
                <w:szCs w:val="18"/>
                <w:color w:val="auto"/>
              </w:rPr>
            </w:pPr>
          </w:p>
        </w:tc>
        <w:tc>
          <w:tcPr>
            <w:tcW w:w="9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Unrealized gain (loss) on a nonderivative net investment hedging instrument</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78"/>
              <w:spacing w:after="0"/>
              <w:rPr>
                <w:sz w:val="20"/>
                <w:szCs w:val="20"/>
                <w:color w:val="auto"/>
              </w:rPr>
            </w:pPr>
            <w:r>
              <w:rPr>
                <w:rFonts w:ascii="Arial" w:cs="Arial" w:eastAsia="Arial" w:hAnsi="Arial"/>
                <w:sz w:val="18"/>
                <w:szCs w:val="18"/>
                <w:color w:val="auto"/>
              </w:rPr>
              <w:t>12,203</w:t>
            </w: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(5,676)</w:t>
            </w:r>
          </w:p>
        </w:tc>
      </w:tr>
      <w:tr>
        <w:trPr>
          <w:trHeight w:val="223"/>
        </w:trPr>
        <w:tc>
          <w:tcPr>
            <w:tcW w:w="20" w:type="dxa"/>
            <w:vAlign w:val="bottom"/>
          </w:tcPr>
          <w:p>
            <w:pPr>
              <w:spacing w:after="0"/>
              <w:rPr>
                <w:sz w:val="19"/>
                <w:szCs w:val="19"/>
                <w:color w:val="auto"/>
              </w:rPr>
            </w:pPr>
          </w:p>
        </w:tc>
        <w:tc>
          <w:tcPr>
            <w:tcW w:w="9240" w:type="dxa"/>
            <w:vAlign w:val="bottom"/>
          </w:tcPr>
          <w:p>
            <w:pPr>
              <w:ind w:left="200"/>
              <w:spacing w:after="0"/>
              <w:rPr>
                <w:sz w:val="20"/>
                <w:szCs w:val="20"/>
                <w:color w:val="auto"/>
              </w:rPr>
            </w:pPr>
            <w:r>
              <w:rPr>
                <w:rFonts w:ascii="Arial" w:cs="Arial" w:eastAsia="Arial" w:hAnsi="Arial"/>
                <w:sz w:val="18"/>
                <w:szCs w:val="18"/>
                <w:color w:val="auto"/>
              </w:rPr>
              <w:t>Realized (gains) losses reclassified into net income (loss)</w:t>
            </w:r>
          </w:p>
        </w:tc>
        <w:tc>
          <w:tcPr>
            <w:tcW w:w="2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5,874</w:t>
            </w:r>
          </w:p>
        </w:tc>
        <w:tc>
          <w:tcPr>
            <w:tcW w:w="2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6,025</w:t>
            </w:r>
          </w:p>
        </w:tc>
        <w:tc>
          <w:tcPr>
            <w:tcW w:w="14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rPr>
              <w:t>Net unrealized loss on hedging instruments at September 30,</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18"/>
              <w:spacing w:after="0"/>
              <w:rPr>
                <w:sz w:val="20"/>
                <w:szCs w:val="20"/>
                <w:color w:val="auto"/>
              </w:rPr>
            </w:pPr>
            <w:r>
              <w:rPr>
                <w:rFonts w:ascii="Arial" w:cs="Arial" w:eastAsia="Arial" w:hAnsi="Arial"/>
                <w:sz w:val="18"/>
                <w:szCs w:val="18"/>
                <w:color w:val="auto"/>
              </w:rPr>
              <w:t>(15,143)</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(35,329)</w:t>
            </w:r>
          </w:p>
        </w:tc>
      </w:tr>
      <w:tr>
        <w:trPr>
          <w:trHeight w:val="20"/>
        </w:trPr>
        <w:tc>
          <w:tcPr>
            <w:tcW w:w="20" w:type="dxa"/>
            <w:vAlign w:val="bottom"/>
          </w:tcPr>
          <w:p>
            <w:pPr>
              <w:spacing w:after="0" w:line="20" w:lineRule="exact"/>
              <w:rPr>
                <w:sz w:val="1"/>
                <w:szCs w:val="1"/>
                <w:color w:val="auto"/>
              </w:rPr>
            </w:pPr>
          </w:p>
        </w:tc>
        <w:tc>
          <w:tcPr>
            <w:tcW w:w="9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4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Cash Flow Hedges</w:t>
      </w:r>
    </w:p>
    <w:p>
      <w:pPr>
        <w:spacing w:after="0" w:line="9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exposed to interest rate risk through our credit facility. We enter into swaps to achieve a fixed rate of interest on the hedged portion of debt in order to increase our ability to forecast interest expense. The objective of these swaps is to protect us from increases in the LIBOR base borrowing rates on our floating rate credit facility. The swaps do not protect us from changes to the applicable margin under our credit facility.</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We have entered into one-year pay-fixed receive one-month LIBOR interest rate swaps to convert $200 million of our U.S. dollar term loan from a floating</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LIBOR interest rate to a fixed interest rate. Our outstanding swaps are as follows: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142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w w:val="88"/>
              </w:rPr>
              <w:t>Transaction Date</w:t>
            </w:r>
          </w:p>
        </w:tc>
        <w:tc>
          <w:tcPr>
            <w:tcW w:w="2200" w:type="dxa"/>
            <w:vAlign w:val="bottom"/>
          </w:tcPr>
          <w:p>
            <w:pPr>
              <w:spacing w:after="0"/>
              <w:rPr>
                <w:sz w:val="19"/>
                <w:szCs w:val="19"/>
                <w:color w:val="auto"/>
              </w:rPr>
            </w:pPr>
          </w:p>
        </w:tc>
        <w:tc>
          <w:tcPr>
            <w:tcW w:w="21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Effective Date of Swap</w:t>
            </w:r>
          </w:p>
        </w:tc>
        <w:tc>
          <w:tcPr>
            <w:tcW w:w="1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w w:val="94"/>
              </w:rPr>
              <w:t>Notional amount</w:t>
            </w:r>
          </w:p>
        </w:tc>
        <w:tc>
          <w:tcPr>
            <w:tcW w:w="1200" w:type="dxa"/>
            <w:vAlign w:val="bottom"/>
          </w:tcPr>
          <w:p>
            <w:pPr>
              <w:spacing w:after="0"/>
              <w:rPr>
                <w:sz w:val="19"/>
                <w:szCs w:val="19"/>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Fixed Interest Rate</w:t>
            </w:r>
          </w:p>
        </w:tc>
      </w:tr>
      <w:tr>
        <w:trPr>
          <w:trHeight w:val="211"/>
        </w:trPr>
        <w:tc>
          <w:tcPr>
            <w:tcW w:w="14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00" w:type="dxa"/>
            <w:vAlign w:val="bottom"/>
          </w:tcPr>
          <w:p>
            <w:pPr>
              <w:jc w:val="right"/>
              <w:ind w:right="352"/>
              <w:spacing w:after="0"/>
              <w:rPr>
                <w:sz w:val="20"/>
                <w:szCs w:val="20"/>
                <w:color w:val="auto"/>
              </w:rPr>
            </w:pPr>
            <w:r>
              <w:rPr>
                <w:rFonts w:ascii="Arial" w:cs="Arial" w:eastAsia="Arial" w:hAnsi="Arial"/>
                <w:sz w:val="18"/>
                <w:szCs w:val="18"/>
                <w:b w:val="1"/>
                <w:bCs w:val="1"/>
                <w:color w:val="auto"/>
                <w:w w:val="99"/>
              </w:rPr>
              <w:t>(in thousands)</w:t>
            </w:r>
          </w:p>
        </w:tc>
        <w:tc>
          <w:tcPr>
            <w:tcW w:w="120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16"/>
        </w:trPr>
        <w:tc>
          <w:tcPr>
            <w:tcW w:w="1420" w:type="dxa"/>
            <w:vAlign w:val="bottom"/>
            <w:shd w:val="clear" w:color="auto" w:fill="CCEEFF"/>
          </w:tcPr>
          <w:p>
            <w:pPr>
              <w:spacing w:after="0"/>
              <w:rPr>
                <w:sz w:val="20"/>
                <w:szCs w:val="20"/>
                <w:color w:val="auto"/>
              </w:rPr>
            </w:pPr>
            <w:r>
              <w:rPr>
                <w:rFonts w:ascii="Arial" w:cs="Arial" w:eastAsia="Arial" w:hAnsi="Arial"/>
                <w:sz w:val="18"/>
                <w:szCs w:val="18"/>
                <w:color w:val="auto"/>
              </w:rPr>
              <w:t>July 1, 2009</w:t>
            </w:r>
          </w:p>
        </w:tc>
        <w:tc>
          <w:tcPr>
            <w:tcW w:w="2200" w:type="dxa"/>
            <w:vAlign w:val="bottom"/>
            <w:shd w:val="clear" w:color="auto" w:fill="CCEEFF"/>
          </w:tcPr>
          <w:p>
            <w:pPr>
              <w:spacing w:after="0"/>
              <w:rPr>
                <w:sz w:val="18"/>
                <w:szCs w:val="18"/>
                <w:color w:val="auto"/>
              </w:rPr>
            </w:pPr>
          </w:p>
        </w:tc>
        <w:tc>
          <w:tcPr>
            <w:tcW w:w="2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June 30, 2010 - June 30, 2011</w:t>
            </w:r>
          </w:p>
        </w:tc>
        <w:tc>
          <w:tcPr>
            <w:tcW w:w="1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2640" w:type="dxa"/>
            <w:vAlign w:val="bottom"/>
            <w:gridSpan w:val="2"/>
            <w:shd w:val="clear" w:color="auto" w:fill="CCEEFF"/>
          </w:tcPr>
          <w:p>
            <w:pPr>
              <w:jc w:val="center"/>
              <w:ind w:left="1112"/>
              <w:spacing w:after="0"/>
              <w:rPr>
                <w:sz w:val="20"/>
                <w:szCs w:val="20"/>
                <w:color w:val="auto"/>
              </w:rPr>
            </w:pPr>
            <w:r>
              <w:rPr>
                <w:rFonts w:ascii="Arial" w:cs="Arial" w:eastAsia="Arial" w:hAnsi="Arial"/>
                <w:sz w:val="18"/>
                <w:szCs w:val="18"/>
                <w:color w:val="auto"/>
                <w:w w:val="86"/>
              </w:rPr>
              <w:t>2.15%</w:t>
            </w:r>
          </w:p>
        </w:tc>
      </w:tr>
      <w:tr>
        <w:trPr>
          <w:trHeight w:val="282"/>
        </w:trPr>
        <w:tc>
          <w:tcPr>
            <w:tcW w:w="1420" w:type="dxa"/>
            <w:vAlign w:val="bottom"/>
          </w:tcPr>
          <w:p>
            <w:pPr>
              <w:spacing w:after="0"/>
              <w:rPr>
                <w:sz w:val="20"/>
                <w:szCs w:val="20"/>
                <w:color w:val="auto"/>
              </w:rPr>
            </w:pPr>
            <w:r>
              <w:rPr>
                <w:rFonts w:ascii="Arial" w:cs="Arial" w:eastAsia="Arial" w:hAnsi="Arial"/>
                <w:sz w:val="18"/>
                <w:szCs w:val="18"/>
                <w:color w:val="auto"/>
              </w:rPr>
              <w:t>July 1, 2009</w:t>
            </w:r>
          </w:p>
        </w:tc>
        <w:tc>
          <w:tcPr>
            <w:tcW w:w="2200" w:type="dxa"/>
            <w:vAlign w:val="bottom"/>
          </w:tcPr>
          <w:p>
            <w:pPr>
              <w:spacing w:after="0"/>
              <w:rPr>
                <w:sz w:val="24"/>
                <w:szCs w:val="24"/>
                <w:color w:val="auto"/>
              </w:rPr>
            </w:pPr>
          </w:p>
        </w:tc>
        <w:tc>
          <w:tcPr>
            <w:tcW w:w="2100" w:type="dxa"/>
            <w:vAlign w:val="bottom"/>
          </w:tcPr>
          <w:p>
            <w:pPr>
              <w:jc w:val="center"/>
              <w:spacing w:after="0"/>
              <w:rPr>
                <w:sz w:val="20"/>
                <w:szCs w:val="20"/>
                <w:color w:val="auto"/>
              </w:rPr>
            </w:pPr>
            <w:r>
              <w:rPr>
                <w:rFonts w:ascii="Arial" w:cs="Arial" w:eastAsia="Arial" w:hAnsi="Arial"/>
                <w:sz w:val="18"/>
                <w:szCs w:val="18"/>
                <w:color w:val="auto"/>
                <w:w w:val="85"/>
              </w:rPr>
              <w:t>June 30, 2010 - June 30, 2011</w:t>
            </w:r>
          </w:p>
        </w:tc>
        <w:tc>
          <w:tcPr>
            <w:tcW w:w="13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700" w:type="dxa"/>
            <w:vAlign w:val="bottom"/>
          </w:tcPr>
          <w:p>
            <w:pPr>
              <w:jc w:val="right"/>
              <w:spacing w:after="0"/>
              <w:rPr>
                <w:sz w:val="20"/>
                <w:szCs w:val="20"/>
                <w:color w:val="auto"/>
              </w:rPr>
            </w:pPr>
            <w:r>
              <w:rPr>
                <w:rFonts w:ascii="Arial" w:cs="Arial" w:eastAsia="Arial" w:hAnsi="Arial"/>
                <w:sz w:val="18"/>
                <w:szCs w:val="18"/>
                <w:color w:val="auto"/>
              </w:rPr>
              <w:t>100,000</w:t>
            </w:r>
          </w:p>
        </w:tc>
        <w:tc>
          <w:tcPr>
            <w:tcW w:w="2640" w:type="dxa"/>
            <w:vAlign w:val="bottom"/>
            <w:gridSpan w:val="2"/>
          </w:tcPr>
          <w:p>
            <w:pPr>
              <w:jc w:val="center"/>
              <w:ind w:left="1112"/>
              <w:spacing w:after="0"/>
              <w:rPr>
                <w:sz w:val="20"/>
                <w:szCs w:val="20"/>
                <w:color w:val="auto"/>
              </w:rPr>
            </w:pPr>
            <w:r>
              <w:rPr>
                <w:rFonts w:ascii="Arial" w:cs="Arial" w:eastAsia="Arial" w:hAnsi="Arial"/>
                <w:sz w:val="18"/>
                <w:szCs w:val="18"/>
                <w:color w:val="auto"/>
                <w:w w:val="86"/>
              </w:rPr>
              <w:t>2.11%</w:t>
            </w:r>
          </w:p>
        </w:tc>
      </w:tr>
    </w:tbl>
    <w:p>
      <w:pPr>
        <w:spacing w:after="0" w:line="156"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At September 30, 2010 and December 31, 2009, our U.S. dollar term loan had a balance of $220.2 million and $284.7 million, respectively. The cash flow hedges have been and are expected to be highly effective in achieving offsetting cash flows attributable to the hedged risk through the term of the hedge. Consequently, effective changes in the fair value of the interest rate swap are recorded as a component of OCI and are recognized in earnings when the hedged item affects earnings. The amounts paid or received on the hedge are recognized as adjustments to interest expense. The amount of net losses expected to be reclassified into earnings in the next 12 months is approximately $2.7 million, which was based on the Bloomberg U.S. dollar swap yield curve as of September 30, 2010.</w:t>
      </w:r>
    </w:p>
    <w:p>
      <w:pPr>
        <w:spacing w:after="0" w:line="116"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In 2007, we entered into a pay fixed 6.59% receive three-month Euro Interbank Offered Rate (EURIBOR), plus 2%, amortizing interest rate swap to convert a significant portion of our euro denominated variable-rate term loan to fixed-rate debt, plus or minus the variance in the applicable margin from 2%, through December 31, 2012. The cash flow hedge is currently, and is expected to be, highly effective in achieving offsetting cash flows attributable to the hedged risk through the term of the hedge. Consequently, effective changes in the fair value of the interest rate swap are recorded as a component of OCI and are recognized in earnings when the hedged item affects earnings. The amounts paid or received on the hedge are recognized as adjustments to interest expense. The notional amount of the swap is reduced each quarter and was $173.1 million (€128.3 million) and $252.9 million (€175.8 million) as of September 30, 2010 and December 31, 2009, respectively. The amount of net losses expected to be reclassified into earnings in the next 12 months is approximately $4.9 million (€3.6 million), which was based on the Bloomberg euro swap yield curve as of September 30, 2010.</w:t>
      </w:r>
    </w:p>
    <w:p>
      <w:pPr>
        <w:spacing w:after="0" w:line="11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will continue to monitor and assess our interest rate risk and may institute additional interest rate swaps or other derivative instruments to manage such risk in the future.</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19</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before tax effect of our cash flow derivative instruments on the Consolidated Balance Sheets and the Consolidated Statements of Operations for the three months and nine months ended September 30 are as follows:</w:t>
      </w:r>
    </w:p>
    <w:p>
      <w:pPr>
        <w:sectPr>
          <w:pgSz w:w="11900" w:h="16838" w:orient="portrait"/>
          <w:cols w:equalWidth="0" w:num="1">
            <w:col w:w="11420"/>
          </w:cols>
          <w:pgMar w:left="240" w:top="459" w:right="239" w:bottom="1440" w:gutter="0" w:footer="0" w:header="0"/>
        </w:sectPr>
      </w:pPr>
    </w:p>
    <w:p>
      <w:pPr>
        <w:spacing w:after="0" w:line="200" w:lineRule="exact"/>
        <w:rPr>
          <w:sz w:val="20"/>
          <w:szCs w:val="20"/>
          <w:color w:val="auto"/>
        </w:rPr>
      </w:pPr>
    </w:p>
    <w:p>
      <w:pPr>
        <w:spacing w:after="0" w:line="279" w:lineRule="exact"/>
        <w:rPr>
          <w:sz w:val="20"/>
          <w:szCs w:val="20"/>
          <w:color w:val="auto"/>
        </w:rPr>
      </w:pPr>
    </w:p>
    <w:p>
      <w:pPr>
        <w:jc w:val="right"/>
        <w:ind w:left="840" w:right="280"/>
        <w:spacing w:after="0" w:line="321" w:lineRule="auto"/>
        <w:rPr>
          <w:sz w:val="20"/>
          <w:szCs w:val="20"/>
          <w:color w:val="auto"/>
        </w:rPr>
      </w:pPr>
      <w:r>
        <w:rPr>
          <w:rFonts w:ascii="Arial" w:cs="Arial" w:eastAsia="Arial" w:hAnsi="Arial"/>
          <w:sz w:val="12"/>
          <w:szCs w:val="12"/>
          <w:b w:val="1"/>
          <w:bCs w:val="1"/>
          <w:color w:val="auto"/>
        </w:rPr>
        <w:t>Derivatives in ASC 815-20 Cash Flow Hedging Relationships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222123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221230" cy="8890"/>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Three months ended September 30,</w:t>
      </w:r>
    </w:p>
    <w:p>
      <w:pPr>
        <w:spacing w:after="0" w:line="98" w:lineRule="exact"/>
        <w:rPr>
          <w:sz w:val="20"/>
          <w:szCs w:val="20"/>
          <w:color w:val="auto"/>
        </w:rPr>
      </w:pPr>
    </w:p>
    <w:p>
      <w:pPr>
        <w:ind w:left="440"/>
        <w:spacing w:after="0"/>
        <w:rPr>
          <w:sz w:val="20"/>
          <w:szCs w:val="20"/>
          <w:color w:val="auto"/>
        </w:rPr>
      </w:pPr>
      <w:r>
        <w:rPr>
          <w:rFonts w:ascii="Arial" w:cs="Arial" w:eastAsia="Arial" w:hAnsi="Arial"/>
          <w:sz w:val="14"/>
          <w:szCs w:val="14"/>
          <w:color w:val="auto"/>
        </w:rPr>
        <w:t>Interest rate swap contracts</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Nine months ended September 30,</w:t>
      </w:r>
    </w:p>
    <w:p>
      <w:pPr>
        <w:spacing w:after="0" w:line="98" w:lineRule="exact"/>
        <w:rPr>
          <w:sz w:val="20"/>
          <w:szCs w:val="20"/>
          <w:color w:val="auto"/>
        </w:rPr>
      </w:pPr>
    </w:p>
    <w:p>
      <w:pPr>
        <w:ind w:left="440"/>
        <w:spacing w:after="0"/>
        <w:rPr>
          <w:sz w:val="20"/>
          <w:szCs w:val="20"/>
          <w:color w:val="auto"/>
        </w:rPr>
      </w:pPr>
      <w:r>
        <w:rPr>
          <w:rFonts w:ascii="Arial" w:cs="Arial" w:eastAsia="Arial" w:hAnsi="Arial"/>
          <w:sz w:val="14"/>
          <w:szCs w:val="14"/>
          <w:color w:val="auto"/>
        </w:rPr>
        <w:t>Interest rate swap contracts</w:t>
      </w:r>
    </w:p>
    <w:p>
      <w:pPr>
        <w:spacing w:after="0" w:line="20" w:lineRule="exact"/>
        <w:rPr>
          <w:sz w:val="20"/>
          <w:szCs w:val="20"/>
          <w:color w:val="auto"/>
        </w:rPr>
      </w:pPr>
      <w:r>
        <w:rPr>
          <w:sz w:val="20"/>
          <w:szCs w:val="20"/>
          <w:color w:val="auto"/>
        </w:rPr>
        <w:br w:type="column"/>
      </w:r>
    </w:p>
    <w:p>
      <w:pPr>
        <w:spacing w:after="0" w:line="13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70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88"/>
              </w:rPr>
              <w:t>Amount of Gain (Loss)</w:t>
            </w:r>
          </w:p>
        </w:tc>
        <w:tc>
          <w:tcPr>
            <w:tcW w:w="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49"/>
        </w:trPr>
        <w:tc>
          <w:tcPr>
            <w:tcW w:w="1700" w:type="dxa"/>
            <w:vAlign w:val="bottom"/>
            <w:gridSpan w:val="5"/>
          </w:tcPr>
          <w:p>
            <w:pPr>
              <w:jc w:val="center"/>
              <w:ind w:right="240"/>
              <w:spacing w:after="0" w:line="149" w:lineRule="exact"/>
              <w:rPr>
                <w:sz w:val="20"/>
                <w:szCs w:val="20"/>
                <w:color w:val="auto"/>
              </w:rPr>
            </w:pPr>
            <w:r>
              <w:rPr>
                <w:rFonts w:ascii="Arial" w:cs="Arial" w:eastAsia="Arial" w:hAnsi="Arial"/>
                <w:sz w:val="14"/>
                <w:szCs w:val="14"/>
                <w:b w:val="1"/>
                <w:bCs w:val="1"/>
                <w:color w:val="auto"/>
                <w:w w:val="87"/>
              </w:rPr>
              <w:t>Recognized in OCI on</w:t>
            </w:r>
          </w:p>
        </w:tc>
        <w:tc>
          <w:tcPr>
            <w:tcW w:w="2720" w:type="dxa"/>
            <w:vAlign w:val="bottom"/>
            <w:gridSpan w:val="6"/>
          </w:tcPr>
          <w:p>
            <w:pPr>
              <w:jc w:val="center"/>
              <w:spacing w:after="0" w:line="149" w:lineRule="exact"/>
              <w:rPr>
                <w:sz w:val="20"/>
                <w:szCs w:val="20"/>
                <w:color w:val="auto"/>
              </w:rPr>
            </w:pPr>
            <w:r>
              <w:rPr>
                <w:rFonts w:ascii="Arial" w:cs="Arial" w:eastAsia="Arial" w:hAnsi="Arial"/>
                <w:sz w:val="14"/>
                <w:szCs w:val="14"/>
                <w:b w:val="1"/>
                <w:bCs w:val="1"/>
                <w:color w:val="auto"/>
                <w:w w:val="85"/>
              </w:rPr>
              <w:t>Gain (Loss) Reclassified from Accumulated</w:t>
            </w:r>
          </w:p>
        </w:tc>
        <w:tc>
          <w:tcPr>
            <w:tcW w:w="240" w:type="dxa"/>
            <w:vAlign w:val="bottom"/>
          </w:tcPr>
          <w:p>
            <w:pPr>
              <w:spacing w:after="0"/>
              <w:rPr>
                <w:sz w:val="12"/>
                <w:szCs w:val="12"/>
                <w:color w:val="auto"/>
              </w:rPr>
            </w:pPr>
          </w:p>
        </w:tc>
        <w:tc>
          <w:tcPr>
            <w:tcW w:w="3020" w:type="dxa"/>
            <w:vAlign w:val="bottom"/>
            <w:gridSpan w:val="8"/>
          </w:tcPr>
          <w:p>
            <w:pPr>
              <w:jc w:val="right"/>
              <w:ind w:right="52"/>
              <w:spacing w:after="0" w:line="149" w:lineRule="exact"/>
              <w:rPr>
                <w:sz w:val="20"/>
                <w:szCs w:val="20"/>
                <w:color w:val="auto"/>
              </w:rPr>
            </w:pPr>
            <w:r>
              <w:rPr>
                <w:rFonts w:ascii="Arial" w:cs="Arial" w:eastAsia="Arial" w:hAnsi="Arial"/>
                <w:sz w:val="14"/>
                <w:szCs w:val="14"/>
                <w:b w:val="1"/>
                <w:bCs w:val="1"/>
                <w:color w:val="auto"/>
                <w:w w:val="89"/>
              </w:rPr>
              <w:t>Gain (Loss) Recognized in Income on Derivative</w:t>
            </w:r>
          </w:p>
        </w:tc>
      </w:tr>
      <w:tr>
        <w:trPr>
          <w:trHeight w:val="161"/>
        </w:trPr>
        <w:tc>
          <w:tcPr>
            <w:tcW w:w="140" w:type="dxa"/>
            <w:vAlign w:val="bottom"/>
          </w:tcPr>
          <w:p>
            <w:pPr>
              <w:spacing w:after="0"/>
              <w:rPr>
                <w:sz w:val="14"/>
                <w:szCs w:val="14"/>
                <w:color w:val="auto"/>
              </w:rPr>
            </w:pPr>
          </w:p>
        </w:tc>
        <w:tc>
          <w:tcPr>
            <w:tcW w:w="1560" w:type="dxa"/>
            <w:vAlign w:val="bottom"/>
            <w:gridSpan w:val="4"/>
          </w:tcPr>
          <w:p>
            <w:pPr>
              <w:jc w:val="center"/>
              <w:ind w:right="380"/>
              <w:spacing w:after="0"/>
              <w:rPr>
                <w:sz w:val="20"/>
                <w:szCs w:val="20"/>
                <w:color w:val="auto"/>
              </w:rPr>
            </w:pPr>
            <w:r>
              <w:rPr>
                <w:rFonts w:ascii="Arial" w:cs="Arial" w:eastAsia="Arial" w:hAnsi="Arial"/>
                <w:sz w:val="14"/>
                <w:szCs w:val="14"/>
                <w:b w:val="1"/>
                <w:bCs w:val="1"/>
                <w:color w:val="auto"/>
                <w:w w:val="88"/>
              </w:rPr>
              <w:t>Derivative (Effective</w:t>
            </w:r>
          </w:p>
        </w:tc>
        <w:tc>
          <w:tcPr>
            <w:tcW w:w="272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89"/>
              </w:rPr>
              <w:t>OCI into Income (Effective Portion)</w:t>
            </w:r>
          </w:p>
        </w:tc>
        <w:tc>
          <w:tcPr>
            <w:tcW w:w="240" w:type="dxa"/>
            <w:vAlign w:val="bottom"/>
          </w:tcPr>
          <w:p>
            <w:pPr>
              <w:spacing w:after="0"/>
              <w:rPr>
                <w:sz w:val="14"/>
                <w:szCs w:val="14"/>
                <w:color w:val="auto"/>
              </w:rPr>
            </w:pPr>
          </w:p>
        </w:tc>
        <w:tc>
          <w:tcPr>
            <w:tcW w:w="2500" w:type="dxa"/>
            <w:vAlign w:val="bottom"/>
            <w:tcBorders>
              <w:bottom w:val="single" w:sz="8" w:color="auto"/>
            </w:tcBorders>
            <w:gridSpan w:val="7"/>
          </w:tcPr>
          <w:p>
            <w:pPr>
              <w:jc w:val="right"/>
              <w:ind w:right="420"/>
              <w:spacing w:after="0"/>
              <w:rPr>
                <w:sz w:val="20"/>
                <w:szCs w:val="20"/>
                <w:color w:val="auto"/>
              </w:rPr>
            </w:pPr>
            <w:r>
              <w:rPr>
                <w:rFonts w:ascii="Arial" w:cs="Arial" w:eastAsia="Arial" w:hAnsi="Arial"/>
                <w:sz w:val="14"/>
                <w:szCs w:val="14"/>
                <w:b w:val="1"/>
                <w:bCs w:val="1"/>
                <w:color w:val="auto"/>
              </w:rPr>
              <w:t>(Ineffective Portion)</w:t>
            </w:r>
          </w:p>
        </w:tc>
        <w:tc>
          <w:tcPr>
            <w:tcW w:w="520" w:type="dxa"/>
            <w:vAlign w:val="bottom"/>
            <w:tcBorders>
              <w:bottom w:val="single" w:sz="8" w:color="auto"/>
            </w:tcBorders>
          </w:tcPr>
          <w:p>
            <w:pPr>
              <w:spacing w:after="0"/>
              <w:rPr>
                <w:sz w:val="14"/>
                <w:szCs w:val="14"/>
                <w:color w:val="auto"/>
              </w:rPr>
            </w:pPr>
          </w:p>
        </w:tc>
      </w:tr>
      <w:tr>
        <w:trPr>
          <w:trHeight w:val="156"/>
        </w:trPr>
        <w:tc>
          <w:tcPr>
            <w:tcW w:w="140" w:type="dxa"/>
            <w:vAlign w:val="bottom"/>
          </w:tcPr>
          <w:p>
            <w:pPr>
              <w:spacing w:after="0"/>
              <w:rPr>
                <w:sz w:val="13"/>
                <w:szCs w:val="13"/>
                <w:color w:val="auto"/>
              </w:rPr>
            </w:pPr>
          </w:p>
        </w:tc>
        <w:tc>
          <w:tcPr>
            <w:tcW w:w="1560" w:type="dxa"/>
            <w:vAlign w:val="bottom"/>
            <w:gridSpan w:val="4"/>
          </w:tcPr>
          <w:p>
            <w:pPr>
              <w:jc w:val="center"/>
              <w:ind w:right="360"/>
              <w:spacing w:after="0" w:line="155" w:lineRule="exact"/>
              <w:rPr>
                <w:sz w:val="20"/>
                <w:szCs w:val="20"/>
                <w:color w:val="auto"/>
              </w:rPr>
            </w:pPr>
            <w:r>
              <w:rPr>
                <w:rFonts w:ascii="Arial" w:cs="Arial" w:eastAsia="Arial" w:hAnsi="Arial"/>
                <w:sz w:val="14"/>
                <w:szCs w:val="14"/>
                <w:b w:val="1"/>
                <w:bCs w:val="1"/>
                <w:color w:val="auto"/>
                <w:w w:val="89"/>
              </w:rPr>
              <w:t>Portion)</w:t>
            </w:r>
          </w:p>
        </w:tc>
        <w:tc>
          <w:tcPr>
            <w:tcW w:w="940" w:type="dxa"/>
            <w:vAlign w:val="bottom"/>
          </w:tcPr>
          <w:p>
            <w:pPr>
              <w:ind w:left="220"/>
              <w:spacing w:after="0" w:line="155" w:lineRule="exact"/>
              <w:rPr>
                <w:sz w:val="20"/>
                <w:szCs w:val="20"/>
                <w:color w:val="auto"/>
              </w:rPr>
            </w:pPr>
            <w:r>
              <w:rPr>
                <w:rFonts w:ascii="Arial" w:cs="Arial" w:eastAsia="Arial" w:hAnsi="Arial"/>
                <w:sz w:val="14"/>
                <w:szCs w:val="14"/>
                <w:b w:val="1"/>
                <w:bCs w:val="1"/>
                <w:color w:val="auto"/>
              </w:rPr>
              <w:t>Location</w:t>
            </w:r>
          </w:p>
        </w:tc>
        <w:tc>
          <w:tcPr>
            <w:tcW w:w="260" w:type="dxa"/>
            <w:vAlign w:val="bottom"/>
          </w:tcPr>
          <w:p>
            <w:pPr>
              <w:spacing w:after="0"/>
              <w:rPr>
                <w:sz w:val="13"/>
                <w:szCs w:val="13"/>
                <w:color w:val="auto"/>
              </w:rPr>
            </w:pPr>
          </w:p>
        </w:tc>
        <w:tc>
          <w:tcPr>
            <w:tcW w:w="1020" w:type="dxa"/>
            <w:vAlign w:val="bottom"/>
            <w:gridSpan w:val="3"/>
          </w:tcPr>
          <w:p>
            <w:pPr>
              <w:jc w:val="right"/>
              <w:ind w:right="20"/>
              <w:spacing w:after="0" w:line="155" w:lineRule="exact"/>
              <w:rPr>
                <w:sz w:val="20"/>
                <w:szCs w:val="20"/>
                <w:color w:val="auto"/>
              </w:rPr>
            </w:pPr>
            <w:r>
              <w:rPr>
                <w:rFonts w:ascii="Arial" w:cs="Arial" w:eastAsia="Arial" w:hAnsi="Arial"/>
                <w:sz w:val="14"/>
                <w:szCs w:val="14"/>
                <w:b w:val="1"/>
                <w:bCs w:val="1"/>
                <w:color w:val="auto"/>
              </w:rPr>
              <w:t>Amount</w:t>
            </w:r>
          </w:p>
        </w:tc>
        <w:tc>
          <w:tcPr>
            <w:tcW w:w="5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0" w:type="dxa"/>
            <w:vAlign w:val="bottom"/>
          </w:tcPr>
          <w:p>
            <w:pPr>
              <w:ind w:left="340"/>
              <w:spacing w:after="0" w:line="155" w:lineRule="exact"/>
              <w:rPr>
                <w:sz w:val="20"/>
                <w:szCs w:val="20"/>
                <w:color w:val="auto"/>
              </w:rPr>
            </w:pPr>
            <w:r>
              <w:rPr>
                <w:rFonts w:ascii="Arial" w:cs="Arial" w:eastAsia="Arial" w:hAnsi="Arial"/>
                <w:sz w:val="14"/>
                <w:szCs w:val="14"/>
                <w:b w:val="1"/>
                <w:bCs w:val="1"/>
                <w:color w:val="auto"/>
              </w:rPr>
              <w:t>Location</w:t>
            </w: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20" w:type="dxa"/>
            <w:vAlign w:val="bottom"/>
            <w:gridSpan w:val="3"/>
          </w:tcPr>
          <w:p>
            <w:pPr>
              <w:jc w:val="right"/>
              <w:ind w:right="20"/>
              <w:spacing w:after="0" w:line="155" w:lineRule="exact"/>
              <w:rPr>
                <w:sz w:val="20"/>
                <w:szCs w:val="20"/>
                <w:color w:val="auto"/>
              </w:rPr>
            </w:pPr>
            <w:r>
              <w:rPr>
                <w:rFonts w:ascii="Arial" w:cs="Arial" w:eastAsia="Arial" w:hAnsi="Arial"/>
                <w:sz w:val="14"/>
                <w:szCs w:val="14"/>
                <w:b w:val="1"/>
                <w:bCs w:val="1"/>
                <w:color w:val="auto"/>
                <w:w w:val="90"/>
              </w:rPr>
              <w:t>Amount</w:t>
            </w:r>
          </w:p>
        </w:tc>
        <w:tc>
          <w:tcPr>
            <w:tcW w:w="520" w:type="dxa"/>
            <w:vAlign w:val="bottom"/>
          </w:tcPr>
          <w:p>
            <w:pPr>
              <w:spacing w:after="0"/>
              <w:rPr>
                <w:sz w:val="13"/>
                <w:szCs w:val="13"/>
                <w:color w:val="auto"/>
              </w:rPr>
            </w:pPr>
          </w:p>
        </w:tc>
      </w:tr>
      <w:tr>
        <w:trPr>
          <w:trHeight w:val="142"/>
        </w:trPr>
        <w:tc>
          <w:tcPr>
            <w:tcW w:w="14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w w:val="89"/>
              </w:rPr>
              <w:t>2010</w:t>
            </w:r>
          </w:p>
        </w:tc>
        <w:tc>
          <w:tcPr>
            <w:tcW w:w="260" w:type="dxa"/>
            <w:vAlign w:val="bottom"/>
            <w:tcBorders>
              <w:top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2009</w:t>
            </w:r>
          </w:p>
        </w:tc>
        <w:tc>
          <w:tcPr>
            <w:tcW w:w="240" w:type="dxa"/>
            <w:vAlign w:val="bottom"/>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2010</w:t>
            </w:r>
          </w:p>
        </w:tc>
        <w:tc>
          <w:tcPr>
            <w:tcW w:w="24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ind w:left="40"/>
              <w:spacing w:after="0" w:line="142" w:lineRule="exact"/>
              <w:rPr>
                <w:sz w:val="20"/>
                <w:szCs w:val="20"/>
                <w:color w:val="auto"/>
              </w:rPr>
            </w:pPr>
            <w:r>
              <w:rPr>
                <w:rFonts w:ascii="Arial" w:cs="Arial" w:eastAsia="Arial" w:hAnsi="Arial"/>
                <w:sz w:val="14"/>
                <w:szCs w:val="14"/>
                <w:b w:val="1"/>
                <w:bCs w:val="1"/>
                <w:color w:val="auto"/>
              </w:rPr>
              <w:t>2009</w:t>
            </w:r>
          </w:p>
        </w:tc>
        <w:tc>
          <w:tcPr>
            <w:tcW w:w="240" w:type="dxa"/>
            <w:vAlign w:val="bottom"/>
          </w:tcPr>
          <w:p>
            <w:pPr>
              <w:spacing w:after="0"/>
              <w:rPr>
                <w:sz w:val="12"/>
                <w:szCs w:val="12"/>
                <w:color w:val="auto"/>
              </w:rPr>
            </w:pPr>
          </w:p>
        </w:tc>
        <w:tc>
          <w:tcPr>
            <w:tcW w:w="120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jc w:val="right"/>
              <w:ind w:right="12"/>
              <w:spacing w:after="0" w:line="142" w:lineRule="exact"/>
              <w:rPr>
                <w:sz w:val="20"/>
                <w:szCs w:val="20"/>
                <w:color w:val="auto"/>
              </w:rPr>
            </w:pPr>
            <w:r>
              <w:rPr>
                <w:rFonts w:ascii="Arial" w:cs="Arial" w:eastAsia="Arial" w:hAnsi="Arial"/>
                <w:sz w:val="14"/>
                <w:szCs w:val="14"/>
                <w:b w:val="1"/>
                <w:bCs w:val="1"/>
                <w:color w:val="auto"/>
                <w:w w:val="83"/>
              </w:rPr>
              <w:t>2010</w:t>
            </w:r>
          </w:p>
        </w:tc>
        <w:tc>
          <w:tcPr>
            <w:tcW w:w="60" w:type="dxa"/>
            <w:vAlign w:val="bottom"/>
            <w:tcBorders>
              <w:top w:val="single" w:sz="8" w:color="auto"/>
              <w:bottom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152"/>
              <w:spacing w:after="0" w:line="142" w:lineRule="exact"/>
              <w:rPr>
                <w:sz w:val="20"/>
                <w:szCs w:val="20"/>
                <w:color w:val="auto"/>
              </w:rPr>
            </w:pPr>
            <w:r>
              <w:rPr>
                <w:rFonts w:ascii="Arial" w:cs="Arial" w:eastAsia="Arial" w:hAnsi="Arial"/>
                <w:sz w:val="14"/>
                <w:szCs w:val="14"/>
                <w:b w:val="1"/>
                <w:bCs w:val="1"/>
                <w:color w:val="auto"/>
                <w:w w:val="89"/>
              </w:rPr>
              <w:t>2009</w:t>
            </w:r>
          </w:p>
        </w:tc>
      </w:tr>
      <w:tr>
        <w:trPr>
          <w:trHeight w:val="168"/>
        </w:trPr>
        <w:tc>
          <w:tcPr>
            <w:tcW w:w="140" w:type="dxa"/>
            <w:vAlign w:val="bottom"/>
          </w:tcPr>
          <w:p>
            <w:pPr>
              <w:spacing w:after="0"/>
              <w:rPr>
                <w:sz w:val="14"/>
                <w:szCs w:val="14"/>
                <w:color w:val="auto"/>
              </w:rPr>
            </w:pPr>
          </w:p>
        </w:tc>
        <w:tc>
          <w:tcPr>
            <w:tcW w:w="460" w:type="dxa"/>
            <w:vAlign w:val="bottom"/>
          </w:tcPr>
          <w:p>
            <w:pPr>
              <w:jc w:val="right"/>
              <w:ind w:right="52"/>
              <w:spacing w:after="0"/>
              <w:rPr>
                <w:sz w:val="20"/>
                <w:szCs w:val="20"/>
                <w:color w:val="auto"/>
              </w:rPr>
            </w:pPr>
            <w:r>
              <w:rPr>
                <w:rFonts w:ascii="Arial" w:cs="Arial" w:eastAsia="Arial" w:hAnsi="Arial"/>
                <w:sz w:val="14"/>
                <w:szCs w:val="14"/>
                <w:b w:val="1"/>
                <w:bCs w:val="1"/>
                <w:color w:val="auto"/>
              </w:rPr>
              <w:t>(in</w:t>
            </w:r>
          </w:p>
        </w:tc>
        <w:tc>
          <w:tcPr>
            <w:tcW w:w="860" w:type="dxa"/>
            <w:vAlign w:val="bottom"/>
            <w:gridSpan w:val="2"/>
          </w:tcPr>
          <w:p>
            <w:pPr>
              <w:spacing w:after="0"/>
              <w:rPr>
                <w:sz w:val="20"/>
                <w:szCs w:val="20"/>
                <w:color w:val="auto"/>
              </w:rPr>
            </w:pPr>
            <w:r>
              <w:rPr>
                <w:rFonts w:ascii="Arial" w:cs="Arial" w:eastAsia="Arial" w:hAnsi="Arial"/>
                <w:sz w:val="14"/>
                <w:szCs w:val="14"/>
                <w:b w:val="1"/>
                <w:bCs w:val="1"/>
                <w:color w:val="auto"/>
              </w:rPr>
              <w:t>thousands)</w:t>
            </w:r>
          </w:p>
        </w:tc>
        <w:tc>
          <w:tcPr>
            <w:tcW w:w="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20" w:type="dxa"/>
            <w:vAlign w:val="bottom"/>
            <w:gridSpan w:val="4"/>
          </w:tcPr>
          <w:p>
            <w:pPr>
              <w:ind w:left="340"/>
              <w:spacing w:after="0"/>
              <w:rPr>
                <w:sz w:val="20"/>
                <w:szCs w:val="20"/>
                <w:color w:val="auto"/>
              </w:rPr>
            </w:pPr>
            <w:r>
              <w:rPr>
                <w:rFonts w:ascii="Arial" w:cs="Arial" w:eastAsia="Arial" w:hAnsi="Arial"/>
                <w:sz w:val="14"/>
                <w:szCs w:val="14"/>
                <w:b w:val="1"/>
                <w:bCs w:val="1"/>
                <w:color w:val="auto"/>
              </w:rPr>
              <w:t>(in thousands)</w:t>
            </w:r>
          </w:p>
        </w:tc>
        <w:tc>
          <w:tcPr>
            <w:tcW w:w="2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gridSpan w:val="5"/>
          </w:tcPr>
          <w:p>
            <w:pPr>
              <w:jc w:val="right"/>
              <w:ind w:right="292"/>
              <w:spacing w:after="0"/>
              <w:rPr>
                <w:sz w:val="20"/>
                <w:szCs w:val="20"/>
                <w:color w:val="auto"/>
              </w:rPr>
            </w:pPr>
            <w:r>
              <w:rPr>
                <w:rFonts w:ascii="Arial" w:cs="Arial" w:eastAsia="Arial" w:hAnsi="Arial"/>
                <w:sz w:val="14"/>
                <w:szCs w:val="14"/>
                <w:b w:val="1"/>
                <w:bCs w:val="1"/>
                <w:color w:val="auto"/>
              </w:rPr>
              <w:t>(in thousands)</w:t>
            </w:r>
          </w:p>
        </w:tc>
      </w:tr>
      <w:tr>
        <w:trPr>
          <w:trHeight w:val="392"/>
        </w:trPr>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460" w:type="dxa"/>
            <w:vAlign w:val="bottom"/>
          </w:tcPr>
          <w:p>
            <w:pPr>
              <w:jc w:val="right"/>
              <w:spacing w:after="0"/>
              <w:rPr>
                <w:sz w:val="20"/>
                <w:szCs w:val="20"/>
                <w:color w:val="auto"/>
              </w:rPr>
            </w:pPr>
            <w:r>
              <w:rPr>
                <w:rFonts w:ascii="Arial" w:cs="Arial" w:eastAsia="Arial" w:hAnsi="Arial"/>
                <w:sz w:val="14"/>
                <w:szCs w:val="14"/>
                <w:color w:val="auto"/>
              </w:rPr>
              <w:t>(603)</w:t>
            </w:r>
          </w:p>
        </w:tc>
        <w:tc>
          <w:tcPr>
            <w:tcW w:w="860" w:type="dxa"/>
            <w:vAlign w:val="bottom"/>
            <w:gridSpan w:val="2"/>
          </w:tcPr>
          <w:p>
            <w:pPr>
              <w:jc w:val="center"/>
              <w:ind w:left="192"/>
              <w:spacing w:after="0"/>
              <w:rPr>
                <w:sz w:val="20"/>
                <w:szCs w:val="20"/>
                <w:color w:val="auto"/>
              </w:rPr>
            </w:pPr>
            <w:r>
              <w:rPr>
                <w:rFonts w:ascii="Arial" w:cs="Arial" w:eastAsia="Arial" w:hAnsi="Arial"/>
                <w:sz w:val="14"/>
                <w:szCs w:val="14"/>
                <w:color w:val="auto"/>
                <w:w w:val="91"/>
              </w:rPr>
              <w:t>$(3,588)</w:t>
            </w:r>
          </w:p>
        </w:tc>
        <w:tc>
          <w:tcPr>
            <w:tcW w:w="240" w:type="dxa"/>
            <w:vAlign w:val="bottom"/>
          </w:tcPr>
          <w:p>
            <w:pPr>
              <w:spacing w:after="0"/>
              <w:rPr>
                <w:sz w:val="24"/>
                <w:szCs w:val="24"/>
                <w:color w:val="auto"/>
              </w:rPr>
            </w:pPr>
          </w:p>
        </w:tc>
        <w:tc>
          <w:tcPr>
            <w:tcW w:w="940" w:type="dxa"/>
            <w:vAlign w:val="bottom"/>
          </w:tcPr>
          <w:p>
            <w:pPr>
              <w:ind w:left="60"/>
              <w:spacing w:after="0"/>
              <w:rPr>
                <w:sz w:val="20"/>
                <w:szCs w:val="20"/>
                <w:color w:val="auto"/>
              </w:rPr>
            </w:pPr>
            <w:r>
              <w:rPr>
                <w:rFonts w:ascii="Arial" w:cs="Arial" w:eastAsia="Arial" w:hAnsi="Arial"/>
                <w:sz w:val="14"/>
                <w:szCs w:val="14"/>
                <w:color w:val="auto"/>
                <w:w w:val="83"/>
              </w:rPr>
              <w:t>Interest expense</w:t>
            </w:r>
          </w:p>
        </w:tc>
        <w:tc>
          <w:tcPr>
            <w:tcW w:w="880" w:type="dxa"/>
            <w:vAlign w:val="bottom"/>
            <w:gridSpan w:val="2"/>
          </w:tcPr>
          <w:p>
            <w:pPr>
              <w:jc w:val="center"/>
              <w:ind w:left="172"/>
              <w:spacing w:after="0"/>
              <w:rPr>
                <w:sz w:val="20"/>
                <w:szCs w:val="20"/>
                <w:color w:val="auto"/>
              </w:rPr>
            </w:pPr>
            <w:r>
              <w:rPr>
                <w:rFonts w:ascii="Arial" w:cs="Arial" w:eastAsia="Arial" w:hAnsi="Arial"/>
                <w:sz w:val="14"/>
                <w:szCs w:val="14"/>
                <w:color w:val="auto"/>
                <w:w w:val="85"/>
              </w:rPr>
              <w:t>$ (2,715)</w:t>
            </w:r>
          </w:p>
        </w:tc>
        <w:tc>
          <w:tcPr>
            <w:tcW w:w="40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500" w:type="dxa"/>
            <w:vAlign w:val="bottom"/>
          </w:tcPr>
          <w:p>
            <w:pPr>
              <w:ind w:left="40"/>
              <w:spacing w:after="0"/>
              <w:rPr>
                <w:sz w:val="20"/>
                <w:szCs w:val="20"/>
                <w:color w:val="auto"/>
              </w:rPr>
            </w:pPr>
            <w:r>
              <w:rPr>
                <w:rFonts w:ascii="Arial" w:cs="Arial" w:eastAsia="Arial" w:hAnsi="Arial"/>
                <w:sz w:val="14"/>
                <w:szCs w:val="14"/>
                <w:color w:val="auto"/>
                <w:w w:val="99"/>
              </w:rPr>
              <w:t>(3,808)</w:t>
            </w:r>
          </w:p>
        </w:tc>
        <w:tc>
          <w:tcPr>
            <w:tcW w:w="240" w:type="dxa"/>
            <w:vAlign w:val="bottom"/>
          </w:tcPr>
          <w:p>
            <w:pPr>
              <w:spacing w:after="0"/>
              <w:rPr>
                <w:sz w:val="24"/>
                <w:szCs w:val="24"/>
                <w:color w:val="auto"/>
              </w:rPr>
            </w:pPr>
          </w:p>
        </w:tc>
        <w:tc>
          <w:tcPr>
            <w:tcW w:w="1200" w:type="dxa"/>
            <w:vAlign w:val="bottom"/>
          </w:tcPr>
          <w:p>
            <w:pPr>
              <w:ind w:left="180"/>
              <w:spacing w:after="0"/>
              <w:rPr>
                <w:sz w:val="20"/>
                <w:szCs w:val="20"/>
                <w:color w:val="auto"/>
              </w:rPr>
            </w:pPr>
            <w:r>
              <w:rPr>
                <w:rFonts w:ascii="Arial" w:cs="Arial" w:eastAsia="Arial" w:hAnsi="Arial"/>
                <w:sz w:val="14"/>
                <w:szCs w:val="14"/>
                <w:color w:val="auto"/>
                <w:w w:val="96"/>
              </w:rPr>
              <w:t>Interest expense</w:t>
            </w:r>
          </w:p>
        </w:tc>
        <w:tc>
          <w:tcPr>
            <w:tcW w:w="4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360" w:type="dxa"/>
            <w:vAlign w:val="bottom"/>
          </w:tcPr>
          <w:p>
            <w:pPr>
              <w:jc w:val="right"/>
              <w:spacing w:after="0"/>
              <w:rPr>
                <w:sz w:val="20"/>
                <w:szCs w:val="20"/>
                <w:color w:val="auto"/>
              </w:rPr>
            </w:pPr>
            <w:r>
              <w:rPr>
                <w:rFonts w:ascii="Arial" w:cs="Arial" w:eastAsia="Arial" w:hAnsi="Arial"/>
                <w:sz w:val="14"/>
                <w:szCs w:val="14"/>
                <w:color w:val="auto"/>
              </w:rPr>
              <w:t>(11)</w:t>
            </w:r>
          </w:p>
        </w:tc>
        <w:tc>
          <w:tcPr>
            <w:tcW w:w="520" w:type="dxa"/>
            <w:vAlign w:val="bottom"/>
            <w:gridSpan w:val="3"/>
          </w:tcPr>
          <w:p>
            <w:pPr>
              <w:jc w:val="right"/>
              <w:ind w:right="60"/>
              <w:spacing w:after="0"/>
              <w:rPr>
                <w:sz w:val="20"/>
                <w:szCs w:val="20"/>
                <w:color w:val="auto"/>
              </w:rPr>
            </w:pPr>
            <w:r>
              <w:rPr>
                <w:rFonts w:ascii="Arial" w:cs="Arial" w:eastAsia="Arial" w:hAnsi="Arial"/>
                <w:sz w:val="14"/>
                <w:szCs w:val="14"/>
                <w:color w:val="auto"/>
              </w:rPr>
              <w:t>$</w:t>
            </w:r>
          </w:p>
        </w:tc>
        <w:tc>
          <w:tcPr>
            <w:tcW w:w="520" w:type="dxa"/>
            <w:vAlign w:val="bottom"/>
          </w:tcPr>
          <w:p>
            <w:pPr>
              <w:jc w:val="right"/>
              <w:ind w:right="12"/>
              <w:spacing w:after="0"/>
              <w:rPr>
                <w:sz w:val="20"/>
                <w:szCs w:val="20"/>
                <w:color w:val="auto"/>
              </w:rPr>
            </w:pPr>
            <w:r>
              <w:rPr>
                <w:rFonts w:ascii="Arial" w:cs="Arial" w:eastAsia="Arial" w:hAnsi="Arial"/>
                <w:sz w:val="14"/>
                <w:szCs w:val="14"/>
                <w:color w:val="auto"/>
              </w:rPr>
              <w:t>(88)</w:t>
            </w:r>
          </w:p>
        </w:tc>
      </w:tr>
      <w:tr>
        <w:trPr>
          <w:trHeight w:val="513"/>
        </w:trPr>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460" w:type="dxa"/>
            <w:vAlign w:val="bottom"/>
          </w:tcPr>
          <w:p>
            <w:pPr>
              <w:jc w:val="right"/>
              <w:spacing w:after="0"/>
              <w:rPr>
                <w:sz w:val="20"/>
                <w:szCs w:val="20"/>
                <w:color w:val="auto"/>
              </w:rPr>
            </w:pPr>
            <w:r>
              <w:rPr>
                <w:rFonts w:ascii="Arial" w:cs="Arial" w:eastAsia="Arial" w:hAnsi="Arial"/>
                <w:sz w:val="14"/>
                <w:szCs w:val="14"/>
                <w:color w:val="auto"/>
                <w:w w:val="85"/>
              </w:rPr>
              <w:t>(4,725)</w:t>
            </w:r>
          </w:p>
        </w:tc>
        <w:tc>
          <w:tcPr>
            <w:tcW w:w="860" w:type="dxa"/>
            <w:vAlign w:val="bottom"/>
            <w:gridSpan w:val="2"/>
          </w:tcPr>
          <w:p>
            <w:pPr>
              <w:jc w:val="center"/>
              <w:ind w:left="192"/>
              <w:spacing w:after="0"/>
              <w:rPr>
                <w:sz w:val="20"/>
                <w:szCs w:val="20"/>
                <w:color w:val="auto"/>
              </w:rPr>
            </w:pPr>
            <w:r>
              <w:rPr>
                <w:rFonts w:ascii="Arial" w:cs="Arial" w:eastAsia="Arial" w:hAnsi="Arial"/>
                <w:sz w:val="14"/>
                <w:szCs w:val="14"/>
                <w:color w:val="auto"/>
                <w:w w:val="91"/>
              </w:rPr>
              <w:t>$(9,753)</w:t>
            </w:r>
          </w:p>
        </w:tc>
        <w:tc>
          <w:tcPr>
            <w:tcW w:w="240" w:type="dxa"/>
            <w:vAlign w:val="bottom"/>
          </w:tcPr>
          <w:p>
            <w:pPr>
              <w:spacing w:after="0"/>
              <w:rPr>
                <w:sz w:val="24"/>
                <w:szCs w:val="24"/>
                <w:color w:val="auto"/>
              </w:rPr>
            </w:pPr>
          </w:p>
        </w:tc>
        <w:tc>
          <w:tcPr>
            <w:tcW w:w="940" w:type="dxa"/>
            <w:vAlign w:val="bottom"/>
          </w:tcPr>
          <w:p>
            <w:pPr>
              <w:ind w:left="60"/>
              <w:spacing w:after="0"/>
              <w:rPr>
                <w:sz w:val="20"/>
                <w:szCs w:val="20"/>
                <w:color w:val="auto"/>
              </w:rPr>
            </w:pPr>
            <w:r>
              <w:rPr>
                <w:rFonts w:ascii="Arial" w:cs="Arial" w:eastAsia="Arial" w:hAnsi="Arial"/>
                <w:sz w:val="14"/>
                <w:szCs w:val="14"/>
                <w:color w:val="auto"/>
                <w:w w:val="83"/>
              </w:rPr>
              <w:t>Interest expense</w:t>
            </w:r>
          </w:p>
        </w:tc>
        <w:tc>
          <w:tcPr>
            <w:tcW w:w="880" w:type="dxa"/>
            <w:vAlign w:val="bottom"/>
            <w:gridSpan w:val="2"/>
          </w:tcPr>
          <w:p>
            <w:pPr>
              <w:jc w:val="center"/>
              <w:ind w:left="172"/>
              <w:spacing w:after="0"/>
              <w:rPr>
                <w:sz w:val="20"/>
                <w:szCs w:val="20"/>
                <w:color w:val="auto"/>
              </w:rPr>
            </w:pPr>
            <w:r>
              <w:rPr>
                <w:rFonts w:ascii="Arial" w:cs="Arial" w:eastAsia="Arial" w:hAnsi="Arial"/>
                <w:sz w:val="14"/>
                <w:szCs w:val="14"/>
                <w:color w:val="auto"/>
                <w:w w:val="85"/>
              </w:rPr>
              <w:t>$ (9,525)</w:t>
            </w:r>
          </w:p>
        </w:tc>
        <w:tc>
          <w:tcPr>
            <w:tcW w:w="40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500" w:type="dxa"/>
            <w:vAlign w:val="bottom"/>
          </w:tcPr>
          <w:p>
            <w:pPr>
              <w:ind w:left="40"/>
              <w:spacing w:after="0"/>
              <w:rPr>
                <w:sz w:val="20"/>
                <w:szCs w:val="20"/>
                <w:color w:val="auto"/>
              </w:rPr>
            </w:pPr>
            <w:r>
              <w:rPr>
                <w:rFonts w:ascii="Arial" w:cs="Arial" w:eastAsia="Arial" w:hAnsi="Arial"/>
                <w:sz w:val="14"/>
                <w:szCs w:val="14"/>
                <w:color w:val="auto"/>
                <w:w w:val="99"/>
              </w:rPr>
              <w:t>(9,970)</w:t>
            </w:r>
          </w:p>
        </w:tc>
        <w:tc>
          <w:tcPr>
            <w:tcW w:w="240" w:type="dxa"/>
            <w:vAlign w:val="bottom"/>
          </w:tcPr>
          <w:p>
            <w:pPr>
              <w:spacing w:after="0"/>
              <w:rPr>
                <w:sz w:val="24"/>
                <w:szCs w:val="24"/>
                <w:color w:val="auto"/>
              </w:rPr>
            </w:pPr>
          </w:p>
        </w:tc>
        <w:tc>
          <w:tcPr>
            <w:tcW w:w="1200" w:type="dxa"/>
            <w:vAlign w:val="bottom"/>
          </w:tcPr>
          <w:p>
            <w:pPr>
              <w:ind w:left="180"/>
              <w:spacing w:after="0"/>
              <w:rPr>
                <w:sz w:val="20"/>
                <w:szCs w:val="20"/>
                <w:color w:val="auto"/>
              </w:rPr>
            </w:pPr>
            <w:r>
              <w:rPr>
                <w:rFonts w:ascii="Arial" w:cs="Arial" w:eastAsia="Arial" w:hAnsi="Arial"/>
                <w:sz w:val="14"/>
                <w:szCs w:val="14"/>
                <w:color w:val="auto"/>
                <w:w w:val="96"/>
              </w:rPr>
              <w:t>Interest expense</w:t>
            </w:r>
          </w:p>
        </w:tc>
        <w:tc>
          <w:tcPr>
            <w:tcW w:w="4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360" w:type="dxa"/>
            <w:vAlign w:val="bottom"/>
          </w:tcPr>
          <w:p>
            <w:pPr>
              <w:jc w:val="right"/>
              <w:spacing w:after="0"/>
              <w:rPr>
                <w:sz w:val="20"/>
                <w:szCs w:val="20"/>
                <w:color w:val="auto"/>
              </w:rPr>
            </w:pPr>
            <w:r>
              <w:rPr>
                <w:rFonts w:ascii="Arial" w:cs="Arial" w:eastAsia="Arial" w:hAnsi="Arial"/>
                <w:sz w:val="14"/>
                <w:szCs w:val="14"/>
                <w:color w:val="auto"/>
              </w:rPr>
              <w:t>(85)</w:t>
            </w:r>
          </w:p>
        </w:tc>
        <w:tc>
          <w:tcPr>
            <w:tcW w:w="520" w:type="dxa"/>
            <w:vAlign w:val="bottom"/>
            <w:gridSpan w:val="3"/>
          </w:tcPr>
          <w:p>
            <w:pPr>
              <w:jc w:val="right"/>
              <w:ind w:right="60"/>
              <w:spacing w:after="0"/>
              <w:rPr>
                <w:sz w:val="20"/>
                <w:szCs w:val="20"/>
                <w:color w:val="auto"/>
              </w:rPr>
            </w:pPr>
            <w:r>
              <w:rPr>
                <w:rFonts w:ascii="Arial" w:cs="Arial" w:eastAsia="Arial" w:hAnsi="Arial"/>
                <w:sz w:val="14"/>
                <w:szCs w:val="14"/>
                <w:color w:val="auto"/>
              </w:rPr>
              <w:t>$</w:t>
            </w:r>
          </w:p>
        </w:tc>
        <w:tc>
          <w:tcPr>
            <w:tcW w:w="520" w:type="dxa"/>
            <w:vAlign w:val="bottom"/>
          </w:tcPr>
          <w:p>
            <w:pPr>
              <w:jc w:val="right"/>
              <w:ind w:right="12"/>
              <w:spacing w:after="0"/>
              <w:rPr>
                <w:sz w:val="20"/>
                <w:szCs w:val="20"/>
                <w:color w:val="auto"/>
              </w:rPr>
            </w:pPr>
            <w:r>
              <w:rPr>
                <w:rFonts w:ascii="Arial" w:cs="Arial" w:eastAsia="Arial" w:hAnsi="Arial"/>
                <w:sz w:val="14"/>
                <w:szCs w:val="14"/>
                <w:color w:val="auto"/>
              </w:rPr>
              <w:t>(272)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-2331085</wp:posOffset>
            </wp:positionH>
            <wp:positionV relativeFrom="paragraph">
              <wp:posOffset>-590550</wp:posOffset>
            </wp:positionV>
            <wp:extent cx="7246620" cy="946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-2331085</wp:posOffset>
            </wp:positionH>
            <wp:positionV relativeFrom="paragraph">
              <wp:posOffset>-264795</wp:posOffset>
            </wp:positionV>
            <wp:extent cx="7246620" cy="946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9461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960" w:space="720"/>
            <w:col w:w="7740"/>
          </w:cols>
          <w:pgMar w:left="240" w:top="459" w:right="239" w:bottom="1440" w:gutter="0" w:footer="0" w:header="0"/>
          <w:type w:val="continuous"/>
        </w:sectPr>
      </w:pPr>
    </w:p>
    <w:p>
      <w:pPr>
        <w:spacing w:after="0" w:line="2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Net Investment Hedge</w:t>
      </w:r>
    </w:p>
    <w:p>
      <w:pPr>
        <w:spacing w:after="0" w:line="90"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are exposed to foreign exchange risk through our international subsidiaries. As a result of our acquisition of an international company in 2007, we entered into a euro denominated term loan, which exposes us to fluctuations in the euro foreign exchange rate. Therefore, we have designated this foreign currency denominated term loan as a hedge of our net investment in international operations. The non-functional currency term loan is revalued into U.S. dollars at each balance sheet date, and the changes in value associated with currency fluctuations are recorded as adjustments to long-term debt with offsetting gains and losses recorded in OCI. The notional amount of the term loan declines each quarter due to repayments and was $227.1 million (€168.3 million) and $288.9 million (€200.8 million) as of September 30, 2010 and December 31, 2009, respectively. We had no hedge ineffectiveness.</w:t>
      </w:r>
    </w:p>
    <w:p>
      <w:pPr>
        <w:spacing w:after="0" w:line="12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before tax and net of tax effect of our net investment hedge nonderivative financial instrument on OCI for the three and nine months ended September 30 are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60" w:type="dxa"/>
            <w:vAlign w:val="bottom"/>
          </w:tcPr>
          <w:p>
            <w:pPr>
              <w:jc w:val="center"/>
              <w:spacing w:after="0"/>
              <w:rPr>
                <w:sz w:val="20"/>
                <w:szCs w:val="20"/>
                <w:color w:val="auto"/>
              </w:rPr>
            </w:pPr>
            <w:r>
              <w:rPr>
                <w:rFonts w:ascii="Arial" w:cs="Arial" w:eastAsia="Arial" w:hAnsi="Arial"/>
                <w:sz w:val="18"/>
                <w:szCs w:val="18"/>
                <w:b w:val="1"/>
                <w:bCs w:val="1"/>
                <w:color w:val="auto"/>
                <w:w w:val="89"/>
              </w:rPr>
              <w:t>Nonderivative Financial Instruments in ASC 815-20 Net</w:t>
            </w: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380" w:type="dxa"/>
            <w:vAlign w:val="bottom"/>
            <w:gridSpan w:val="9"/>
          </w:tcPr>
          <w:p>
            <w:pPr>
              <w:ind w:left="360"/>
              <w:spacing w:after="0"/>
              <w:rPr>
                <w:sz w:val="20"/>
                <w:szCs w:val="20"/>
                <w:color w:val="auto"/>
              </w:rPr>
            </w:pPr>
            <w:r>
              <w:rPr>
                <w:rFonts w:ascii="Arial" w:cs="Arial" w:eastAsia="Arial" w:hAnsi="Arial"/>
                <w:sz w:val="18"/>
                <w:szCs w:val="18"/>
                <w:b w:val="1"/>
                <w:bCs w:val="1"/>
                <w:color w:val="auto"/>
                <w:w w:val="87"/>
              </w:rPr>
              <w:t>Euro Denominated Term Loan Designated as a Hedge</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2"/>
        </w:trPr>
        <w:tc>
          <w:tcPr>
            <w:tcW w:w="56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Investment Hedging Relationships</w:t>
            </w:r>
          </w:p>
        </w:tc>
        <w:tc>
          <w:tcPr>
            <w:tcW w:w="36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4380" w:type="dxa"/>
            <w:vAlign w:val="bottom"/>
            <w:tcBorders>
              <w:bottom w:val="single" w:sz="8" w:color="auto"/>
            </w:tcBorders>
            <w:gridSpan w:val="9"/>
          </w:tcPr>
          <w:p>
            <w:pPr>
              <w:ind w:left="500"/>
              <w:spacing w:after="0"/>
              <w:rPr>
                <w:sz w:val="20"/>
                <w:szCs w:val="20"/>
                <w:color w:val="auto"/>
              </w:rPr>
            </w:pPr>
            <w:r>
              <w:rPr>
                <w:rFonts w:ascii="Arial" w:cs="Arial" w:eastAsia="Arial" w:hAnsi="Arial"/>
                <w:sz w:val="18"/>
                <w:szCs w:val="18"/>
                <w:b w:val="1"/>
                <w:bCs w:val="1"/>
                <w:color w:val="auto"/>
                <w:w w:val="91"/>
              </w:rPr>
              <w:t>of Our Net Investment in International Operations</w:t>
            </w:r>
          </w:p>
        </w:tc>
        <w:tc>
          <w:tcPr>
            <w:tcW w:w="6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197"/>
        </w:trPr>
        <w:tc>
          <w:tcPr>
            <w:tcW w:w="56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60" w:type="dxa"/>
            <w:vAlign w:val="bottom"/>
            <w:gridSpan w:val="4"/>
          </w:tcPr>
          <w:p>
            <w:pPr>
              <w:jc w:val="center"/>
              <w:ind w:right="172"/>
              <w:spacing w:after="0" w:line="197" w:lineRule="exact"/>
              <w:rPr>
                <w:sz w:val="20"/>
                <w:szCs w:val="20"/>
                <w:color w:val="auto"/>
              </w:rPr>
            </w:pPr>
            <w:r>
              <w:rPr>
                <w:rFonts w:ascii="Arial" w:cs="Arial" w:eastAsia="Arial" w:hAnsi="Arial"/>
                <w:sz w:val="18"/>
                <w:szCs w:val="18"/>
                <w:b w:val="1"/>
                <w:bCs w:val="1"/>
                <w:color w:val="auto"/>
                <w:w w:val="89"/>
              </w:rPr>
              <w:t>Three Months Ended</w:t>
            </w: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60" w:type="dxa"/>
            <w:vAlign w:val="bottom"/>
            <w:gridSpan w:val="4"/>
          </w:tcPr>
          <w:p>
            <w:pPr>
              <w:jc w:val="center"/>
              <w:ind w:right="192"/>
              <w:spacing w:after="0" w:line="197" w:lineRule="exact"/>
              <w:rPr>
                <w:sz w:val="20"/>
                <w:szCs w:val="20"/>
                <w:color w:val="auto"/>
              </w:rPr>
            </w:pPr>
            <w:r>
              <w:rPr>
                <w:rFonts w:ascii="Arial" w:cs="Arial" w:eastAsia="Arial" w:hAnsi="Arial"/>
                <w:sz w:val="18"/>
                <w:szCs w:val="18"/>
                <w:b w:val="1"/>
                <w:bCs w:val="1"/>
                <w:color w:val="auto"/>
                <w:w w:val="89"/>
              </w:rPr>
              <w:t>Nine Months Ended</w:t>
            </w:r>
          </w:p>
        </w:tc>
        <w:tc>
          <w:tcPr>
            <w:tcW w:w="100" w:type="dxa"/>
            <w:vAlign w:val="bottom"/>
          </w:tcPr>
          <w:p>
            <w:pPr>
              <w:spacing w:after="0"/>
              <w:rPr>
                <w:sz w:val="17"/>
                <w:szCs w:val="17"/>
                <w:color w:val="auto"/>
              </w:rPr>
            </w:pPr>
          </w:p>
        </w:tc>
      </w:tr>
      <w:tr>
        <w:trPr>
          <w:trHeight w:val="229"/>
        </w:trPr>
        <w:tc>
          <w:tcPr>
            <w:tcW w:w="56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60" w:type="dxa"/>
            <w:vAlign w:val="bottom"/>
            <w:gridSpan w:val="3"/>
          </w:tcPr>
          <w:p>
            <w:pPr>
              <w:jc w:val="center"/>
              <w:ind w:left="352"/>
              <w:spacing w:after="0"/>
              <w:rPr>
                <w:sz w:val="20"/>
                <w:szCs w:val="20"/>
                <w:color w:val="auto"/>
              </w:rPr>
            </w:pPr>
            <w:r>
              <w:rPr>
                <w:rFonts w:ascii="Arial" w:cs="Arial" w:eastAsia="Arial" w:hAnsi="Arial"/>
                <w:sz w:val="18"/>
                <w:szCs w:val="18"/>
                <w:b w:val="1"/>
                <w:bCs w:val="1"/>
                <w:color w:val="auto"/>
                <w:w w:val="87"/>
              </w:rPr>
              <w:t>September 30,</w:t>
            </w:r>
          </w:p>
        </w:tc>
        <w:tc>
          <w:tcPr>
            <w:tcW w:w="7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160" w:type="dxa"/>
            <w:vAlign w:val="bottom"/>
            <w:gridSpan w:val="5"/>
          </w:tcPr>
          <w:p>
            <w:pPr>
              <w:jc w:val="center"/>
              <w:ind w:right="360"/>
              <w:spacing w:after="0"/>
              <w:rPr>
                <w:sz w:val="20"/>
                <w:szCs w:val="20"/>
                <w:color w:val="auto"/>
              </w:rPr>
            </w:pPr>
            <w:r>
              <w:rPr>
                <w:rFonts w:ascii="Arial" w:cs="Arial" w:eastAsia="Arial" w:hAnsi="Arial"/>
                <w:sz w:val="18"/>
                <w:szCs w:val="18"/>
                <w:b w:val="1"/>
                <w:bCs w:val="1"/>
                <w:color w:val="auto"/>
                <w:w w:val="87"/>
              </w:rPr>
              <w:t>September 30,</w:t>
            </w:r>
          </w:p>
        </w:tc>
      </w:tr>
      <w:tr>
        <w:trPr>
          <w:trHeight w:val="211"/>
        </w:trPr>
        <w:tc>
          <w:tcPr>
            <w:tcW w:w="5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8"/>
                <w:szCs w:val="18"/>
                <w:b w:val="1"/>
                <w:bCs w:val="1"/>
                <w:color w:val="auto"/>
              </w:rPr>
              <w:t>2010</w:t>
            </w:r>
          </w:p>
        </w:tc>
        <w:tc>
          <w:tcPr>
            <w:tcW w:w="440" w:type="dxa"/>
            <w:vAlign w:val="bottom"/>
            <w:tcBorders>
              <w:top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w w:val="84"/>
              </w:rPr>
              <w:t>2009</w:t>
            </w:r>
          </w:p>
        </w:tc>
        <w:tc>
          <w:tcPr>
            <w:tcW w:w="440" w:type="dxa"/>
            <w:vAlign w:val="bottom"/>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ind w:right="192"/>
              <w:spacing w:after="0"/>
              <w:rPr>
                <w:sz w:val="20"/>
                <w:szCs w:val="20"/>
                <w:color w:val="auto"/>
              </w:rPr>
            </w:pPr>
            <w:r>
              <w:rPr>
                <w:rFonts w:ascii="Arial" w:cs="Arial" w:eastAsia="Arial" w:hAnsi="Arial"/>
                <w:sz w:val="18"/>
                <w:szCs w:val="18"/>
                <w:b w:val="1"/>
                <w:bCs w:val="1"/>
                <w:color w:val="auto"/>
                <w:w w:val="89"/>
              </w:rPr>
              <w:t>2010</w:t>
            </w:r>
          </w:p>
        </w:tc>
        <w:tc>
          <w:tcPr>
            <w:tcW w:w="440" w:type="dxa"/>
            <w:vAlign w:val="bottom"/>
            <w:tcBorders>
              <w:top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ind w:right="212"/>
              <w:spacing w:after="0"/>
              <w:rPr>
                <w:sz w:val="20"/>
                <w:szCs w:val="20"/>
                <w:color w:val="auto"/>
              </w:rPr>
            </w:pPr>
            <w:r>
              <w:rPr>
                <w:rFonts w:ascii="Arial" w:cs="Arial" w:eastAsia="Arial" w:hAnsi="Arial"/>
                <w:sz w:val="18"/>
                <w:szCs w:val="18"/>
                <w:b w:val="1"/>
                <w:bCs w:val="1"/>
                <w:color w:val="auto"/>
                <w:w w:val="84"/>
              </w:rPr>
              <w:t>2009</w:t>
            </w:r>
          </w:p>
        </w:tc>
        <w:tc>
          <w:tcPr>
            <w:tcW w:w="100" w:type="dxa"/>
            <w:vAlign w:val="bottom"/>
          </w:tcPr>
          <w:p>
            <w:pPr>
              <w:spacing w:after="0"/>
              <w:rPr>
                <w:sz w:val="18"/>
                <w:szCs w:val="18"/>
                <w:color w:val="auto"/>
              </w:rPr>
            </w:pPr>
          </w:p>
        </w:tc>
      </w:tr>
      <w:tr>
        <w:trPr>
          <w:trHeight w:val="210"/>
        </w:trPr>
        <w:tc>
          <w:tcPr>
            <w:tcW w:w="5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jc w:val="right"/>
              <w:ind w:right="72"/>
              <w:spacing w:after="0"/>
              <w:rPr>
                <w:sz w:val="20"/>
                <w:szCs w:val="20"/>
                <w:color w:val="auto"/>
              </w:rPr>
            </w:pPr>
            <w:r>
              <w:rPr>
                <w:rFonts w:ascii="Arial" w:cs="Arial" w:eastAsia="Arial" w:hAnsi="Arial"/>
                <w:sz w:val="18"/>
                <w:szCs w:val="18"/>
                <w:b w:val="1"/>
                <w:bCs w:val="1"/>
                <w:color w:val="auto"/>
              </w:rPr>
              <w:t>(in</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w w:val="70"/>
              </w:rPr>
              <w:t>thousands)</w:t>
            </w:r>
          </w:p>
        </w:tc>
        <w:tc>
          <w:tcPr>
            <w:tcW w:w="6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Gain (loss) recognized in OCI on derivative (Effective Portion)</w:t>
            </w: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660" w:type="dxa"/>
            <w:vAlign w:val="bottom"/>
          </w:tcPr>
          <w:p>
            <w:pPr>
              <w:ind w:left="220"/>
              <w:spacing w:after="0"/>
              <w:rPr>
                <w:sz w:val="20"/>
                <w:szCs w:val="20"/>
                <w:color w:val="auto"/>
              </w:rPr>
            </w:pPr>
            <w:r>
              <w:rPr>
                <w:rFonts w:ascii="Arial" w:cs="Arial" w:eastAsia="Arial" w:hAnsi="Arial"/>
                <w:sz w:val="18"/>
                <w:szCs w:val="18"/>
                <w:color w:val="auto"/>
              </w:rPr>
              <w:t>Before tax</w:t>
            </w: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80" w:type="dxa"/>
            <w:vAlign w:val="bottom"/>
          </w:tcPr>
          <w:p>
            <w:pPr>
              <w:ind w:left="100"/>
              <w:spacing w:after="0"/>
              <w:rPr>
                <w:sz w:val="20"/>
                <w:szCs w:val="20"/>
                <w:color w:val="auto"/>
              </w:rPr>
            </w:pPr>
            <w:r>
              <w:rPr>
                <w:rFonts w:ascii="Arial" w:cs="Arial" w:eastAsia="Arial" w:hAnsi="Arial"/>
                <w:sz w:val="18"/>
                <w:szCs w:val="18"/>
                <w:color w:val="auto"/>
                <w:w w:val="98"/>
              </w:rPr>
              <w:t>(19,703)</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9"/>
              </w:rPr>
              <w:t>(13,770)</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19,795</w:t>
            </w: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(9,157)</w:t>
            </w:r>
          </w:p>
        </w:tc>
        <w:tc>
          <w:tcPr>
            <w:tcW w:w="100" w:type="dxa"/>
            <w:vAlign w:val="bottom"/>
          </w:tcPr>
          <w:p>
            <w:pPr>
              <w:spacing w:after="0"/>
              <w:rPr>
                <w:sz w:val="18"/>
                <w:szCs w:val="18"/>
                <w:color w:val="auto"/>
              </w:rPr>
            </w:pPr>
          </w:p>
        </w:tc>
      </w:tr>
      <w:tr>
        <w:trPr>
          <w:trHeight w:val="216"/>
        </w:trPr>
        <w:tc>
          <w:tcPr>
            <w:tcW w:w="56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of tax</w:t>
            </w: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ind w:left="100"/>
              <w:spacing w:after="0"/>
              <w:rPr>
                <w:sz w:val="20"/>
                <w:szCs w:val="20"/>
                <w:color w:val="auto"/>
              </w:rPr>
            </w:pPr>
            <w:r>
              <w:rPr>
                <w:rFonts w:ascii="Arial" w:cs="Arial" w:eastAsia="Arial" w:hAnsi="Arial"/>
                <w:sz w:val="18"/>
                <w:szCs w:val="18"/>
                <w:color w:val="auto"/>
                <w:w w:val="98"/>
              </w:rPr>
              <w:t>(12,149)</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(8,524)</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12,203</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(5,676)</w:t>
            </w:r>
          </w:p>
        </w:tc>
        <w:tc>
          <w:tcPr>
            <w:tcW w:w="100" w:type="dxa"/>
            <w:vAlign w:val="bottom"/>
            <w:shd w:val="clear" w:color="auto" w:fill="CCEEFF"/>
          </w:tcPr>
          <w:p>
            <w:pPr>
              <w:spacing w:after="0"/>
              <w:rPr>
                <w:sz w:val="18"/>
                <w:szCs w:val="18"/>
                <w:color w:val="auto"/>
              </w:rPr>
            </w:pPr>
          </w:p>
        </w:tc>
      </w:tr>
    </w:tbl>
    <w:p>
      <w:pPr>
        <w:spacing w:after="0" w:line="23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Derivatives Not Designated as Hedging Relationships</w:t>
      </w:r>
    </w:p>
    <w:p>
      <w:pPr>
        <w:spacing w:after="0" w:line="90"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We are also exposed to foreign exchange risk when we enter into non-functional currency transactions, both intercompany and third-party. At each period-end, foreign currency monetary assets and liabilities are revalued with the change recorded to other income and expense. We enter into monthly foreign exchange forward contracts (170 during the nine months ended September 30, 2010), not designated for hedge accounting, with the intent to reduce earnings volatility associated with certain of these balances. The notional amounts of the contracts ranged from less than $1 million to $50 million, offsetting our exposures from the euro, British pound, Canadian dollar, Czech koruna, Hungarian forint, and various other currencies.</w:t>
      </w:r>
    </w:p>
    <w:p>
      <w:pPr>
        <w:spacing w:after="0" w:line="116" w:lineRule="exact"/>
        <w:rPr>
          <w:sz w:val="20"/>
          <w:szCs w:val="20"/>
          <w:color w:val="auto"/>
        </w:rPr>
      </w:pPr>
    </w:p>
    <w:p>
      <w:pPr>
        <w:spacing w:after="0"/>
        <w:rPr>
          <w:sz w:val="20"/>
          <w:szCs w:val="20"/>
          <w:color w:val="auto"/>
        </w:rPr>
      </w:pPr>
      <w:r>
        <w:rPr>
          <w:rFonts w:ascii="Arial" w:cs="Arial" w:eastAsia="Arial" w:hAnsi="Arial"/>
          <w:sz w:val="16"/>
          <w:szCs w:val="16"/>
          <w:color w:val="auto"/>
        </w:rPr>
        <w:t>The effect of our foreign exchange option and forward derivative instruments on the Consolidated Statements of Operations for the three and nine months ended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September 30 are as follows: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60" w:type="dxa"/>
            <w:vAlign w:val="bottom"/>
          </w:tcPr>
          <w:p>
            <w:pPr>
              <w:jc w:val="center"/>
              <w:spacing w:after="0"/>
              <w:rPr>
                <w:sz w:val="20"/>
                <w:szCs w:val="20"/>
                <w:color w:val="auto"/>
              </w:rPr>
            </w:pPr>
            <w:r>
              <w:rPr>
                <w:rFonts w:ascii="Arial" w:cs="Arial" w:eastAsia="Arial" w:hAnsi="Arial"/>
                <w:sz w:val="18"/>
                <w:szCs w:val="18"/>
                <w:b w:val="1"/>
                <w:bCs w:val="1"/>
                <w:color w:val="auto"/>
                <w:w w:val="87"/>
              </w:rPr>
              <w:t>Derivatives Not Designated as Hedging</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640" w:type="dxa"/>
            <w:vAlign w:val="bottom"/>
            <w:gridSpan w:val="7"/>
          </w:tcPr>
          <w:p>
            <w:pPr>
              <w:jc w:val="center"/>
              <w:ind w:left="32"/>
              <w:spacing w:after="0"/>
              <w:rPr>
                <w:sz w:val="20"/>
                <w:szCs w:val="20"/>
                <w:color w:val="auto"/>
              </w:rPr>
            </w:pPr>
            <w:r>
              <w:rPr>
                <w:rFonts w:ascii="Arial" w:cs="Arial" w:eastAsia="Arial" w:hAnsi="Arial"/>
                <w:sz w:val="18"/>
                <w:szCs w:val="18"/>
                <w:b w:val="1"/>
                <w:bCs w:val="1"/>
                <w:color w:val="auto"/>
                <w:w w:val="86"/>
              </w:rPr>
              <w:t>Gain (Loss) Recognized on Derivatives in</w:t>
            </w:r>
          </w:p>
        </w:tc>
        <w:tc>
          <w:tcPr>
            <w:tcW w:w="3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2"/>
        </w:trPr>
        <w:tc>
          <w:tcPr>
            <w:tcW w:w="49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Instrument under ASC 815-20</w:t>
            </w:r>
          </w:p>
        </w:tc>
        <w:tc>
          <w:tcPr>
            <w:tcW w:w="28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2900" w:type="dxa"/>
            <w:vAlign w:val="bottom"/>
            <w:tcBorders>
              <w:bottom w:val="single" w:sz="8" w:color="auto"/>
            </w:tcBorders>
            <w:gridSpan w:val="5"/>
          </w:tcPr>
          <w:p>
            <w:pPr>
              <w:jc w:val="center"/>
              <w:ind w:right="580"/>
              <w:spacing w:after="0"/>
              <w:rPr>
                <w:sz w:val="20"/>
                <w:szCs w:val="20"/>
                <w:color w:val="auto"/>
              </w:rPr>
            </w:pPr>
            <w:r>
              <w:rPr>
                <w:rFonts w:ascii="Arial" w:cs="Arial" w:eastAsia="Arial" w:hAnsi="Arial"/>
                <w:sz w:val="18"/>
                <w:szCs w:val="18"/>
                <w:b w:val="1"/>
                <w:bCs w:val="1"/>
                <w:color w:val="auto"/>
                <w:w w:val="88"/>
              </w:rPr>
              <w:t>Other Income (Expense)</w:t>
            </w:r>
          </w:p>
        </w:tc>
        <w:tc>
          <w:tcPr>
            <w:tcW w:w="3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12"/>
        </w:trPr>
        <w:tc>
          <w:tcPr>
            <w:tcW w:w="4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900" w:type="dxa"/>
            <w:vAlign w:val="bottom"/>
            <w:tcBorders>
              <w:bottom w:val="single" w:sz="8" w:color="auto"/>
            </w:tcBorders>
            <w:gridSpan w:val="5"/>
          </w:tcPr>
          <w:p>
            <w:pPr>
              <w:ind w:left="100"/>
              <w:spacing w:after="0"/>
              <w:rPr>
                <w:sz w:val="20"/>
                <w:szCs w:val="20"/>
                <w:color w:val="auto"/>
              </w:rPr>
            </w:pPr>
            <w:r>
              <w:rPr>
                <w:rFonts w:ascii="Arial" w:cs="Arial" w:eastAsia="Arial" w:hAnsi="Arial"/>
                <w:sz w:val="18"/>
                <w:szCs w:val="18"/>
                <w:b w:val="1"/>
                <w:bCs w:val="1"/>
                <w:color w:val="auto"/>
                <w:w w:val="90"/>
              </w:rPr>
              <w:t>Three Months Ended September 30,</w:t>
            </w:r>
          </w:p>
        </w:tc>
        <w:tc>
          <w:tcPr>
            <w:tcW w:w="360" w:type="dxa"/>
            <w:vAlign w:val="bottom"/>
          </w:tcPr>
          <w:p>
            <w:pPr>
              <w:spacing w:after="0"/>
              <w:rPr>
                <w:sz w:val="18"/>
                <w:szCs w:val="18"/>
                <w:color w:val="auto"/>
              </w:rPr>
            </w:pPr>
          </w:p>
        </w:tc>
        <w:tc>
          <w:tcPr>
            <w:tcW w:w="2820" w:type="dxa"/>
            <w:vAlign w:val="bottom"/>
            <w:tcBorders>
              <w:bottom w:val="single" w:sz="8" w:color="auto"/>
            </w:tcBorders>
            <w:gridSpan w:val="5"/>
          </w:tcPr>
          <w:p>
            <w:pPr>
              <w:ind w:left="100"/>
              <w:spacing w:after="0"/>
              <w:rPr>
                <w:sz w:val="20"/>
                <w:szCs w:val="20"/>
                <w:color w:val="auto"/>
              </w:rPr>
            </w:pPr>
            <w:r>
              <w:rPr>
                <w:rFonts w:ascii="Arial" w:cs="Arial" w:eastAsia="Arial" w:hAnsi="Arial"/>
                <w:sz w:val="18"/>
                <w:szCs w:val="18"/>
                <w:b w:val="1"/>
                <w:bCs w:val="1"/>
                <w:color w:val="auto"/>
                <w:w w:val="91"/>
              </w:rPr>
              <w:t>Nine Months Ended September 30,</w:t>
            </w:r>
          </w:p>
        </w:tc>
        <w:tc>
          <w:tcPr>
            <w:tcW w:w="100" w:type="dxa"/>
            <w:vAlign w:val="bottom"/>
          </w:tcPr>
          <w:p>
            <w:pPr>
              <w:spacing w:after="0"/>
              <w:rPr>
                <w:sz w:val="18"/>
                <w:szCs w:val="18"/>
                <w:color w:val="auto"/>
              </w:rPr>
            </w:pPr>
          </w:p>
        </w:tc>
      </w:tr>
      <w:tr>
        <w:trPr>
          <w:trHeight w:val="210"/>
        </w:trPr>
        <w:tc>
          <w:tcPr>
            <w:tcW w:w="4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b w:val="1"/>
                <w:bCs w:val="1"/>
                <w:color w:val="auto"/>
              </w:rPr>
              <w:t>2010</w:t>
            </w:r>
          </w:p>
        </w:tc>
        <w:tc>
          <w:tcPr>
            <w:tcW w:w="4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2"/>
              <w:spacing w:after="0"/>
              <w:rPr>
                <w:sz w:val="20"/>
                <w:szCs w:val="20"/>
                <w:color w:val="auto"/>
              </w:rPr>
            </w:pPr>
            <w:r>
              <w:rPr>
                <w:rFonts w:ascii="Arial" w:cs="Arial" w:eastAsia="Arial" w:hAnsi="Arial"/>
                <w:sz w:val="18"/>
                <w:szCs w:val="18"/>
                <w:b w:val="1"/>
                <w:bCs w:val="1"/>
                <w:color w:val="auto"/>
              </w:rPr>
              <w:t>2009</w:t>
            </w:r>
          </w:p>
        </w:tc>
        <w:tc>
          <w:tcPr>
            <w:tcW w:w="3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rPr>
              <w:t>2010</w:t>
            </w:r>
          </w:p>
        </w:tc>
        <w:tc>
          <w:tcPr>
            <w:tcW w:w="4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92"/>
              <w:spacing w:after="0"/>
              <w:rPr>
                <w:sz w:val="20"/>
                <w:szCs w:val="20"/>
                <w:color w:val="auto"/>
              </w:rPr>
            </w:pPr>
            <w:r>
              <w:rPr>
                <w:rFonts w:ascii="Arial" w:cs="Arial" w:eastAsia="Arial" w:hAnsi="Arial"/>
                <w:sz w:val="18"/>
                <w:szCs w:val="18"/>
                <w:b w:val="1"/>
                <w:bCs w:val="1"/>
                <w:color w:val="auto"/>
              </w:rPr>
              <w:t>2009</w:t>
            </w:r>
          </w:p>
        </w:tc>
        <w:tc>
          <w:tcPr>
            <w:tcW w:w="100" w:type="dxa"/>
            <w:vAlign w:val="bottom"/>
          </w:tcPr>
          <w:p>
            <w:pPr>
              <w:spacing w:after="0"/>
              <w:rPr>
                <w:sz w:val="18"/>
                <w:szCs w:val="18"/>
                <w:color w:val="auto"/>
              </w:rPr>
            </w:pPr>
          </w:p>
        </w:tc>
      </w:tr>
      <w:tr>
        <w:trPr>
          <w:trHeight w:val="210"/>
        </w:trPr>
        <w:tc>
          <w:tcPr>
            <w:tcW w:w="4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80" w:type="dxa"/>
            <w:vAlign w:val="bottom"/>
            <w:gridSpan w:val="3"/>
          </w:tcPr>
          <w:p>
            <w:pPr>
              <w:ind w:left="540"/>
              <w:spacing w:after="0"/>
              <w:rPr>
                <w:sz w:val="20"/>
                <w:szCs w:val="20"/>
                <w:color w:val="auto"/>
              </w:rPr>
            </w:pPr>
            <w:r>
              <w:rPr>
                <w:rFonts w:ascii="Arial" w:cs="Arial" w:eastAsia="Arial" w:hAnsi="Arial"/>
                <w:sz w:val="18"/>
                <w:szCs w:val="18"/>
                <w:b w:val="1"/>
                <w:bCs w:val="1"/>
                <w:color w:val="auto"/>
                <w:w w:val="90"/>
              </w:rPr>
              <w:t>(in thousands)</w:t>
            </w:r>
          </w:p>
        </w:tc>
        <w:tc>
          <w:tcPr>
            <w:tcW w:w="8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Foreign exchange option and forward contracts</w:t>
            </w:r>
          </w:p>
        </w:tc>
        <w:tc>
          <w:tcPr>
            <w:tcW w:w="5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(803)</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(1,976)</w:t>
            </w:r>
          </w:p>
        </w:tc>
        <w:tc>
          <w:tcPr>
            <w:tcW w:w="6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2,244</w:t>
            </w:r>
          </w:p>
        </w:tc>
        <w:tc>
          <w:tcPr>
            <w:tcW w:w="4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(2,503)</w:t>
            </w:r>
          </w:p>
        </w:tc>
        <w:tc>
          <w:tcPr>
            <w:tcW w:w="100" w:type="dxa"/>
            <w:vAlign w:val="bottom"/>
            <w:shd w:val="clear" w:color="auto" w:fill="CCEEFF"/>
          </w:tcPr>
          <w:p>
            <w:pPr>
              <w:spacing w:after="0"/>
              <w:rPr>
                <w:sz w:val="18"/>
                <w:szCs w:val="18"/>
                <w:color w:val="auto"/>
              </w:rPr>
            </w:pPr>
          </w:p>
        </w:tc>
      </w:tr>
    </w:tbl>
    <w:p>
      <w:pPr>
        <w:spacing w:after="0" w:line="12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20</w:t>
      </w:r>
    </w:p>
    <w:p>
      <w:pPr>
        <w:sectPr>
          <w:pgSz w:w="11900" w:h="16838" w:orient="portrait"/>
          <w:cols w:equalWidth="0" w:num="1">
            <w:col w:w="11420"/>
          </w:cols>
          <w:pgMar w:left="240" w:top="459" w:right="239" w:bottom="1440" w:gutter="0" w:footer="0" w:header="0"/>
          <w:type w:val="continuous"/>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Note 8:</w:t>
      </w:r>
      <w:r>
        <w:rPr>
          <w:sz w:val="20"/>
          <w:szCs w:val="20"/>
          <w:color w:val="auto"/>
        </w:rPr>
        <w:tab/>
      </w:r>
      <w:r>
        <w:rPr>
          <w:rFonts w:ascii="Arial" w:cs="Arial" w:eastAsia="Arial" w:hAnsi="Arial"/>
          <w:sz w:val="15"/>
          <w:szCs w:val="15"/>
          <w:b w:val="1"/>
          <w:bCs w:val="1"/>
          <w:color w:val="auto"/>
        </w:rPr>
        <w:t>Defined Benefit Pension Plans</w:t>
      </w:r>
    </w:p>
    <w:p>
      <w:pPr>
        <w:spacing w:after="0" w:line="9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sponsor both funded and unfunded defined benefit pension plans for our employees in Germany, France, Spain, Italy, Belgium, Chile, Portugal, Hungary, and Indonesia offering death and disability, retirement, and special termination benefits. The defined benefit obligation is calculated annually by using the projected unit credit method. The measurement date for the pension plans was December 31, 2009.</w:t>
      </w:r>
    </w:p>
    <w:p>
      <w:pPr>
        <w:spacing w:after="0" w:line="14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defined benefit pension plans are denominated in the functional currencies of the respective countries in which the plans are sponsored; therefore, the balances increase or decrease, with a corresponding change in OCI, due to changes in foreign currency exchange rates. Amounts recognized on the Consolidated Balance Sheets consist of:</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080" w:type="dxa"/>
            <w:vAlign w:val="bottom"/>
          </w:tcPr>
          <w:p>
            <w:pPr>
              <w:spacing w:after="0"/>
              <w:rPr>
                <w:sz w:val="18"/>
                <w:szCs w:val="18"/>
                <w:color w:val="auto"/>
              </w:rPr>
            </w:pPr>
          </w:p>
        </w:tc>
        <w:tc>
          <w:tcPr>
            <w:tcW w:w="1580" w:type="dxa"/>
            <w:vAlign w:val="bottom"/>
            <w:gridSpan w:val="2"/>
          </w:tcPr>
          <w:p>
            <w:pPr>
              <w:jc w:val="right"/>
              <w:ind w:right="12"/>
              <w:spacing w:after="0"/>
              <w:rPr>
                <w:sz w:val="20"/>
                <w:szCs w:val="20"/>
                <w:color w:val="auto"/>
              </w:rPr>
            </w:pPr>
            <w:r>
              <w:rPr>
                <w:rFonts w:ascii="Arial" w:cs="Arial" w:eastAsia="Arial" w:hAnsi="Arial"/>
                <w:sz w:val="18"/>
                <w:szCs w:val="18"/>
                <w:b w:val="1"/>
                <w:bCs w:val="1"/>
                <w:color w:val="auto"/>
                <w:w w:val="99"/>
              </w:rPr>
              <w:t>At September 30,</w:t>
            </w: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80" w:type="dxa"/>
            <w:vAlign w:val="bottom"/>
            <w:gridSpan w:val="3"/>
          </w:tcPr>
          <w:p>
            <w:pPr>
              <w:ind w:left="160"/>
              <w:spacing w:after="0"/>
              <w:rPr>
                <w:sz w:val="20"/>
                <w:szCs w:val="20"/>
                <w:color w:val="auto"/>
              </w:rPr>
            </w:pPr>
            <w:r>
              <w:rPr>
                <w:rFonts w:ascii="Arial" w:cs="Arial" w:eastAsia="Arial" w:hAnsi="Arial"/>
                <w:sz w:val="18"/>
                <w:szCs w:val="18"/>
                <w:b w:val="1"/>
                <w:bCs w:val="1"/>
                <w:color w:val="auto"/>
              </w:rPr>
              <w:t>At December 31,</w:t>
            </w:r>
          </w:p>
        </w:tc>
      </w:tr>
      <w:tr>
        <w:trPr>
          <w:trHeight w:val="229"/>
        </w:trPr>
        <w:tc>
          <w:tcPr>
            <w:tcW w:w="708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92"/>
              <w:spacing w:after="0"/>
              <w:rPr>
                <w:sz w:val="20"/>
                <w:szCs w:val="20"/>
                <w:color w:val="auto"/>
              </w:rPr>
            </w:pPr>
            <w:r>
              <w:rPr>
                <w:rFonts w:ascii="Arial" w:cs="Arial" w:eastAsia="Arial" w:hAnsi="Arial"/>
                <w:sz w:val="18"/>
                <w:szCs w:val="18"/>
                <w:b w:val="1"/>
                <w:bCs w:val="1"/>
                <w:color w:val="auto"/>
              </w:rPr>
              <w:t>2010</w:t>
            </w:r>
          </w:p>
        </w:tc>
        <w:tc>
          <w:tcPr>
            <w:tcW w:w="80" w:type="dxa"/>
            <w:vAlign w:val="bottom"/>
            <w:tcBorders>
              <w:bottom w:val="single" w:sz="8" w:color="auto"/>
            </w:tcBorders>
          </w:tcPr>
          <w:p>
            <w:pPr>
              <w:spacing w:after="0"/>
              <w:rPr>
                <w:sz w:val="19"/>
                <w:szCs w:val="19"/>
                <w:color w:val="auto"/>
              </w:rPr>
            </w:pPr>
          </w:p>
        </w:tc>
        <w:tc>
          <w:tcPr>
            <w:tcW w:w="10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32"/>
              <w:spacing w:after="0"/>
              <w:rPr>
                <w:sz w:val="20"/>
                <w:szCs w:val="20"/>
                <w:color w:val="auto"/>
              </w:rPr>
            </w:pPr>
            <w:r>
              <w:rPr>
                <w:rFonts w:ascii="Arial" w:cs="Arial" w:eastAsia="Arial" w:hAnsi="Arial"/>
                <w:sz w:val="18"/>
                <w:szCs w:val="18"/>
                <w:b w:val="1"/>
                <w:bCs w:val="1"/>
                <w:color w:val="auto"/>
              </w:rPr>
              <w:t>2009</w:t>
            </w:r>
          </w:p>
        </w:tc>
        <w:tc>
          <w:tcPr>
            <w:tcW w:w="100" w:type="dxa"/>
            <w:vAlign w:val="bottom"/>
          </w:tcPr>
          <w:p>
            <w:pPr>
              <w:spacing w:after="0"/>
              <w:rPr>
                <w:sz w:val="19"/>
                <w:szCs w:val="19"/>
                <w:color w:val="auto"/>
              </w:rPr>
            </w:pPr>
          </w:p>
        </w:tc>
      </w:tr>
      <w:tr>
        <w:trPr>
          <w:trHeight w:val="211"/>
        </w:trPr>
        <w:tc>
          <w:tcPr>
            <w:tcW w:w="70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80" w:type="dxa"/>
            <w:vAlign w:val="bottom"/>
            <w:gridSpan w:val="3"/>
          </w:tcPr>
          <w:p>
            <w:pPr>
              <w:jc w:val="right"/>
              <w:ind w:right="312"/>
              <w:spacing w:after="0"/>
              <w:rPr>
                <w:sz w:val="20"/>
                <w:szCs w:val="20"/>
                <w:color w:val="auto"/>
              </w:rPr>
            </w:pPr>
            <w:r>
              <w:rPr>
                <w:rFonts w:ascii="Arial" w:cs="Arial" w:eastAsia="Arial" w:hAnsi="Arial"/>
                <w:sz w:val="18"/>
                <w:szCs w:val="18"/>
                <w:b w:val="1"/>
                <w:bCs w:val="1"/>
                <w:color w:val="auto"/>
                <w:w w:val="85"/>
              </w:rPr>
              <w:t>(in thousands)</w:t>
            </w: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Plan assets in other noncurrent assets</w:t>
            </w:r>
          </w:p>
        </w:tc>
        <w:tc>
          <w:tcPr>
            <w:tcW w:w="42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(577)</w:t>
            </w:r>
          </w:p>
        </w:tc>
        <w:tc>
          <w:tcPr>
            <w:tcW w:w="1480" w:type="dxa"/>
            <w:vAlign w:val="bottom"/>
            <w:gridSpan w:val="3"/>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(613)</w:t>
            </w:r>
          </w:p>
        </w:tc>
        <w:tc>
          <w:tcPr>
            <w:tcW w:w="100" w:type="dxa"/>
            <w:vAlign w:val="bottom"/>
            <w:shd w:val="clear" w:color="auto" w:fill="CCEEFF"/>
          </w:tcPr>
          <w:p>
            <w:pPr>
              <w:spacing w:after="0"/>
              <w:rPr>
                <w:sz w:val="18"/>
                <w:szCs w:val="18"/>
                <w:color w:val="auto"/>
              </w:rPr>
            </w:pPr>
          </w:p>
        </w:tc>
      </w:tr>
      <w:tr>
        <w:trPr>
          <w:trHeight w:val="216"/>
        </w:trPr>
        <w:tc>
          <w:tcPr>
            <w:tcW w:w="7080" w:type="dxa"/>
            <w:vAlign w:val="bottom"/>
          </w:tcPr>
          <w:p>
            <w:pPr>
              <w:spacing w:after="0"/>
              <w:rPr>
                <w:sz w:val="20"/>
                <w:szCs w:val="20"/>
                <w:color w:val="auto"/>
              </w:rPr>
            </w:pPr>
            <w:r>
              <w:rPr>
                <w:rFonts w:ascii="Arial" w:cs="Arial" w:eastAsia="Arial" w:hAnsi="Arial"/>
                <w:sz w:val="18"/>
                <w:szCs w:val="18"/>
                <w:color w:val="auto"/>
              </w:rPr>
              <w:t>Current portion of pension plan liability in wages and benefits payable</w:t>
            </w:r>
          </w:p>
        </w:tc>
        <w:tc>
          <w:tcPr>
            <w:tcW w:w="4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3,390</w:t>
            </w: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2,975</w:t>
            </w:r>
          </w:p>
        </w:tc>
        <w:tc>
          <w:tcPr>
            <w:tcW w:w="100" w:type="dxa"/>
            <w:vAlign w:val="bottom"/>
          </w:tcPr>
          <w:p>
            <w:pPr>
              <w:spacing w:after="0"/>
              <w:rPr>
                <w:sz w:val="18"/>
                <w:szCs w:val="18"/>
                <w:color w:val="auto"/>
              </w:rPr>
            </w:pPr>
          </w:p>
        </w:tc>
      </w:tr>
      <w:tr>
        <w:trPr>
          <w:trHeight w:val="216"/>
        </w:trPr>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Long-term portion of pension plan liability</w:t>
            </w:r>
          </w:p>
        </w:tc>
        <w:tc>
          <w:tcPr>
            <w:tcW w:w="4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60,013</w:t>
            </w:r>
          </w:p>
        </w:tc>
        <w:tc>
          <w:tcPr>
            <w:tcW w:w="80" w:type="dxa"/>
            <w:vAlign w:val="bottom"/>
            <w:tcBorders>
              <w:bottom w:val="single" w:sz="8" w:color="auto"/>
            </w:tcBorders>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63,040</w:t>
            </w:r>
          </w:p>
        </w:tc>
        <w:tc>
          <w:tcPr>
            <w:tcW w:w="100" w:type="dxa"/>
            <w:vAlign w:val="bottom"/>
            <w:shd w:val="clear" w:color="auto" w:fill="CCEEFF"/>
          </w:tcPr>
          <w:p>
            <w:pPr>
              <w:spacing w:after="0"/>
              <w:rPr>
                <w:sz w:val="18"/>
                <w:szCs w:val="18"/>
                <w:color w:val="auto"/>
              </w:rPr>
            </w:pPr>
          </w:p>
        </w:tc>
      </w:tr>
      <w:tr>
        <w:trPr>
          <w:trHeight w:val="222"/>
        </w:trPr>
        <w:tc>
          <w:tcPr>
            <w:tcW w:w="7080" w:type="dxa"/>
            <w:vAlign w:val="bottom"/>
          </w:tcPr>
          <w:p>
            <w:pPr>
              <w:ind w:left="440"/>
              <w:spacing w:after="0"/>
              <w:rPr>
                <w:sz w:val="20"/>
                <w:szCs w:val="20"/>
                <w:color w:val="auto"/>
              </w:rPr>
            </w:pPr>
            <w:r>
              <w:rPr>
                <w:rFonts w:ascii="Arial" w:cs="Arial" w:eastAsia="Arial" w:hAnsi="Arial"/>
                <w:sz w:val="18"/>
                <w:szCs w:val="18"/>
                <w:color w:val="auto"/>
              </w:rPr>
              <w:t>Net pension plan benefit liability</w:t>
            </w:r>
          </w:p>
        </w:tc>
        <w:tc>
          <w:tcPr>
            <w:tcW w:w="42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62,826</w:t>
            </w:r>
          </w:p>
        </w:tc>
        <w:tc>
          <w:tcPr>
            <w:tcW w:w="1480" w:type="dxa"/>
            <w:vAlign w:val="bottom"/>
            <w:gridSpan w:val="3"/>
          </w:tcPr>
          <w:p>
            <w:pPr>
              <w:jc w:val="right"/>
              <w:ind w:right="152"/>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65,402</w:t>
            </w:r>
          </w:p>
        </w:tc>
        <w:tc>
          <w:tcPr>
            <w:tcW w:w="100" w:type="dxa"/>
            <w:vAlign w:val="bottom"/>
          </w:tcPr>
          <w:p>
            <w:pPr>
              <w:spacing w:after="0"/>
              <w:rPr>
                <w:sz w:val="19"/>
                <w:szCs w:val="19"/>
                <w:color w:val="auto"/>
              </w:rPr>
            </w:pPr>
          </w:p>
        </w:tc>
      </w:tr>
      <w:tr>
        <w:trPr>
          <w:trHeight w:val="20"/>
        </w:trPr>
        <w:tc>
          <w:tcPr>
            <w:tcW w:w="70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Our asset investment strategy focuses on maintaining a portfolio using primarily insurance funds, which are accounted for as investments and measured at fair value, in order to achieve our long-term investment objectives on a risk adjusted basis. Our general funding policy for these qualified pension plans is to contribute amounts sufficient to satisfy regulatory funding standards of the respective countries for each plan. We contributed $37,000 and $375,000 to the defined benefit pension plans for the three and nine months ended September 30, 2010, and $49,000 and $101,000 for the three and nine months ended September 30, 2009, respectively. The timing of when contributions are made can vary by plan from year to year. For 2010, assuming that actual plan asset returns are consistent with our expected rate of return, and that interest rates remain constant, we expect to contribute approximately $500,000 in 2010 to our defined benefit pension plans. We contributed $397,000 to the defined benefit pension plans for the year ended December 31, 2009.</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Net periodic pension benefit costs for our plans include the following components: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960" w:type="dxa"/>
            <w:vAlign w:val="bottom"/>
          </w:tcPr>
          <w:p>
            <w:pPr>
              <w:spacing w:after="0"/>
              <w:rPr>
                <w:sz w:val="19"/>
                <w:szCs w:val="19"/>
                <w:color w:val="auto"/>
              </w:rPr>
            </w:pPr>
          </w:p>
        </w:tc>
        <w:tc>
          <w:tcPr>
            <w:tcW w:w="3440" w:type="dxa"/>
            <w:vAlign w:val="bottom"/>
            <w:gridSpan w:val="5"/>
          </w:tcPr>
          <w:p>
            <w:pPr>
              <w:jc w:val="right"/>
              <w:ind w:right="292"/>
              <w:spacing w:after="0"/>
              <w:rPr>
                <w:sz w:val="20"/>
                <w:szCs w:val="20"/>
                <w:color w:val="auto"/>
              </w:rPr>
            </w:pPr>
            <w:r>
              <w:rPr>
                <w:rFonts w:ascii="Arial" w:cs="Arial" w:eastAsia="Arial" w:hAnsi="Arial"/>
                <w:sz w:val="18"/>
                <w:szCs w:val="18"/>
                <w:b w:val="1"/>
                <w:bCs w:val="1"/>
                <w:color w:val="auto"/>
                <w:w w:val="99"/>
              </w:rPr>
              <w:t>Three Months Ended September 30,</w:t>
            </w: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160" w:type="dxa"/>
            <w:vAlign w:val="bottom"/>
            <w:gridSpan w:val="5"/>
          </w:tcPr>
          <w:p>
            <w:pPr>
              <w:ind w:left="80"/>
              <w:spacing w:after="0"/>
              <w:rPr>
                <w:sz w:val="20"/>
                <w:szCs w:val="20"/>
                <w:color w:val="auto"/>
              </w:rPr>
            </w:pPr>
            <w:r>
              <w:rPr>
                <w:rFonts w:ascii="Arial" w:cs="Arial" w:eastAsia="Arial" w:hAnsi="Arial"/>
                <w:sz w:val="18"/>
                <w:szCs w:val="18"/>
                <w:b w:val="1"/>
                <w:bCs w:val="1"/>
                <w:color w:val="auto"/>
              </w:rPr>
              <w:t>Nine Months Ended September 30,</w:t>
            </w:r>
          </w:p>
        </w:tc>
      </w:tr>
      <w:tr>
        <w:trPr>
          <w:trHeight w:val="212"/>
        </w:trPr>
        <w:tc>
          <w:tcPr>
            <w:tcW w:w="3960" w:type="dxa"/>
            <w:vAlign w:val="bottom"/>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2010</w:t>
            </w:r>
          </w:p>
        </w:tc>
        <w:tc>
          <w:tcPr>
            <w:tcW w:w="48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432"/>
              <w:spacing w:after="0"/>
              <w:rPr>
                <w:sz w:val="20"/>
                <w:szCs w:val="20"/>
                <w:color w:val="auto"/>
              </w:rPr>
            </w:pPr>
            <w:r>
              <w:rPr>
                <w:rFonts w:ascii="Arial" w:cs="Arial" w:eastAsia="Arial" w:hAnsi="Arial"/>
                <w:sz w:val="18"/>
                <w:szCs w:val="18"/>
                <w:b w:val="1"/>
                <w:bCs w:val="1"/>
                <w:color w:val="auto"/>
              </w:rPr>
              <w:t>2009</w:t>
            </w:r>
          </w:p>
        </w:tc>
        <w:tc>
          <w:tcPr>
            <w:tcW w:w="580" w:type="dxa"/>
            <w:vAlign w:val="bottom"/>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392"/>
              <w:spacing w:after="0"/>
              <w:rPr>
                <w:sz w:val="20"/>
                <w:szCs w:val="20"/>
                <w:color w:val="auto"/>
              </w:rPr>
            </w:pPr>
            <w:r>
              <w:rPr>
                <w:rFonts w:ascii="Arial" w:cs="Arial" w:eastAsia="Arial" w:hAnsi="Arial"/>
                <w:sz w:val="18"/>
                <w:szCs w:val="18"/>
                <w:b w:val="1"/>
                <w:bCs w:val="1"/>
                <w:color w:val="auto"/>
              </w:rPr>
              <w:t>2010</w:t>
            </w:r>
          </w:p>
        </w:tc>
        <w:tc>
          <w:tcPr>
            <w:tcW w:w="700" w:type="dxa"/>
            <w:vAlign w:val="bottom"/>
            <w:tcBorders>
              <w:top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392"/>
              <w:spacing w:after="0"/>
              <w:rPr>
                <w:sz w:val="20"/>
                <w:szCs w:val="20"/>
                <w:color w:val="auto"/>
              </w:rPr>
            </w:pPr>
            <w:r>
              <w:rPr>
                <w:rFonts w:ascii="Arial" w:cs="Arial" w:eastAsia="Arial" w:hAnsi="Arial"/>
                <w:sz w:val="18"/>
                <w:szCs w:val="18"/>
                <w:b w:val="1"/>
                <w:bCs w:val="1"/>
                <w:color w:val="auto"/>
              </w:rPr>
              <w:t>2009</w:t>
            </w:r>
          </w:p>
        </w:tc>
        <w:tc>
          <w:tcPr>
            <w:tcW w:w="100" w:type="dxa"/>
            <w:vAlign w:val="bottom"/>
          </w:tcPr>
          <w:p>
            <w:pPr>
              <w:spacing w:after="0"/>
              <w:rPr>
                <w:sz w:val="18"/>
                <w:szCs w:val="18"/>
                <w:color w:val="auto"/>
              </w:rPr>
            </w:pPr>
          </w:p>
        </w:tc>
      </w:tr>
      <w:tr>
        <w:trPr>
          <w:trHeight w:val="210"/>
        </w:trPr>
        <w:tc>
          <w:tcPr>
            <w:tcW w:w="39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(in</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w w:val="78"/>
              </w:rPr>
              <w:t>thousands)</w:t>
            </w:r>
          </w:p>
        </w:tc>
        <w:tc>
          <w:tcPr>
            <w:tcW w:w="10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Service cost</w:t>
            </w:r>
          </w:p>
        </w:tc>
        <w:tc>
          <w:tcPr>
            <w:tcW w:w="860" w:type="dxa"/>
            <w:vAlign w:val="bottom"/>
            <w:shd w:val="clear" w:color="auto" w:fill="CCEEFF"/>
          </w:tcPr>
          <w:p>
            <w:pPr>
              <w:jc w:val="right"/>
              <w:ind w:right="612"/>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457</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center"/>
              <w:ind w:left="392"/>
              <w:spacing w:after="0"/>
              <w:rPr>
                <w:sz w:val="20"/>
                <w:szCs w:val="20"/>
                <w:color w:val="auto"/>
              </w:rPr>
            </w:pPr>
            <w:r>
              <w:rPr>
                <w:rFonts w:ascii="Arial" w:cs="Arial" w:eastAsia="Arial" w:hAnsi="Arial"/>
                <w:sz w:val="18"/>
                <w:szCs w:val="18"/>
                <w:color w:val="auto"/>
                <w:w w:val="88"/>
              </w:rPr>
              <w:t>1,493</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1,325</w:t>
            </w:r>
          </w:p>
        </w:tc>
        <w:tc>
          <w:tcPr>
            <w:tcW w:w="100" w:type="dxa"/>
            <w:vAlign w:val="bottom"/>
            <w:shd w:val="clear" w:color="auto" w:fill="CCEEFF"/>
          </w:tcPr>
          <w:p>
            <w:pPr>
              <w:spacing w:after="0"/>
              <w:rPr>
                <w:sz w:val="18"/>
                <w:szCs w:val="18"/>
                <w:color w:val="auto"/>
              </w:rPr>
            </w:pP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Interest cost</w:t>
            </w:r>
          </w:p>
        </w:tc>
        <w:tc>
          <w:tcPr>
            <w:tcW w:w="8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858</w:t>
            </w:r>
          </w:p>
        </w:tc>
        <w:tc>
          <w:tcPr>
            <w:tcW w:w="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933</w:t>
            </w: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center"/>
              <w:ind w:left="392"/>
              <w:spacing w:after="0"/>
              <w:rPr>
                <w:sz w:val="20"/>
                <w:szCs w:val="20"/>
                <w:color w:val="auto"/>
              </w:rPr>
            </w:pPr>
            <w:r>
              <w:rPr>
                <w:rFonts w:ascii="Arial" w:cs="Arial" w:eastAsia="Arial" w:hAnsi="Arial"/>
                <w:sz w:val="18"/>
                <w:szCs w:val="18"/>
                <w:color w:val="auto"/>
                <w:w w:val="88"/>
              </w:rPr>
              <w:t>2,608</w:t>
            </w: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2,673</w:t>
            </w:r>
          </w:p>
        </w:tc>
        <w:tc>
          <w:tcPr>
            <w:tcW w:w="100" w:type="dxa"/>
            <w:vAlign w:val="bottom"/>
          </w:tcPr>
          <w:p>
            <w:pPr>
              <w:spacing w:after="0"/>
              <w:rPr>
                <w:sz w:val="18"/>
                <w:szCs w:val="18"/>
                <w:color w:val="auto"/>
              </w:rPr>
            </w:pPr>
          </w:p>
        </w:tc>
      </w:tr>
      <w:tr>
        <w:trPr>
          <w:trHeight w:val="216"/>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Expected return on plan assets</w:t>
            </w:r>
          </w:p>
        </w:tc>
        <w:tc>
          <w:tcPr>
            <w:tcW w:w="8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7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w:t>
            </w:r>
          </w:p>
        </w:tc>
        <w:tc>
          <w:tcPr>
            <w:tcW w:w="7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80" w:type="dxa"/>
            <w:vAlign w:val="bottom"/>
            <w:shd w:val="clear" w:color="auto" w:fill="CCEEFF"/>
          </w:tcPr>
          <w:p>
            <w:pPr>
              <w:jc w:val="center"/>
              <w:ind w:left="432"/>
              <w:spacing w:after="0"/>
              <w:rPr>
                <w:sz w:val="20"/>
                <w:szCs w:val="20"/>
                <w:color w:val="auto"/>
              </w:rPr>
            </w:pPr>
            <w:r>
              <w:rPr>
                <w:rFonts w:ascii="Arial" w:cs="Arial" w:eastAsia="Arial" w:hAnsi="Arial"/>
                <w:sz w:val="18"/>
                <w:szCs w:val="18"/>
                <w:color w:val="auto"/>
                <w:w w:val="90"/>
              </w:rPr>
              <w:t>(215)</w:t>
            </w:r>
          </w:p>
        </w:tc>
        <w:tc>
          <w:tcPr>
            <w:tcW w:w="100" w:type="dxa"/>
            <w:vAlign w:val="bottom"/>
            <w:shd w:val="clear" w:color="auto" w:fill="CCEEFF"/>
          </w:tcPr>
          <w:p>
            <w:pPr>
              <w:spacing w:after="0"/>
              <w:rPr>
                <w:sz w:val="18"/>
                <w:szCs w:val="18"/>
                <w:color w:val="auto"/>
              </w:rPr>
            </w:pP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Amortization of actuarial net gain</w:t>
            </w:r>
          </w:p>
        </w:tc>
        <w:tc>
          <w:tcPr>
            <w:tcW w:w="8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w:t>
            </w:r>
          </w:p>
        </w:tc>
        <w:tc>
          <w:tcPr>
            <w:tcW w:w="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(106)</w:t>
            </w: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w:t>
            </w: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jc w:val="center"/>
              <w:ind w:left="432"/>
              <w:spacing w:after="0"/>
              <w:rPr>
                <w:sz w:val="20"/>
                <w:szCs w:val="20"/>
                <w:color w:val="auto"/>
              </w:rPr>
            </w:pPr>
            <w:r>
              <w:rPr>
                <w:rFonts w:ascii="Arial" w:cs="Arial" w:eastAsia="Arial" w:hAnsi="Arial"/>
                <w:sz w:val="18"/>
                <w:szCs w:val="18"/>
                <w:color w:val="auto"/>
                <w:w w:val="90"/>
              </w:rPr>
              <w:t>(288)</w:t>
            </w:r>
          </w:p>
        </w:tc>
        <w:tc>
          <w:tcPr>
            <w:tcW w:w="100" w:type="dxa"/>
            <w:vAlign w:val="bottom"/>
          </w:tcPr>
          <w:p>
            <w:pPr>
              <w:spacing w:after="0"/>
              <w:rPr>
                <w:sz w:val="18"/>
                <w:szCs w:val="18"/>
                <w:color w:val="auto"/>
              </w:rPr>
            </w:pPr>
          </w:p>
        </w:tc>
      </w:tr>
      <w:tr>
        <w:trPr>
          <w:trHeight w:val="216"/>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unrecognized prior service costs</w:t>
            </w:r>
          </w:p>
        </w:tc>
        <w:tc>
          <w:tcPr>
            <w:tcW w:w="86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7</w:t>
            </w:r>
          </w:p>
        </w:tc>
        <w:tc>
          <w:tcPr>
            <w:tcW w:w="5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center"/>
              <w:ind w:left="372"/>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center"/>
              <w:ind w:left="472"/>
              <w:spacing w:after="0"/>
              <w:rPr>
                <w:sz w:val="20"/>
                <w:szCs w:val="20"/>
                <w:color w:val="auto"/>
              </w:rPr>
            </w:pPr>
            <w:r>
              <w:rPr>
                <w:rFonts w:ascii="Arial" w:cs="Arial" w:eastAsia="Arial" w:hAnsi="Arial"/>
                <w:sz w:val="18"/>
                <w:szCs w:val="18"/>
                <w:color w:val="auto"/>
                <w:w w:val="89"/>
              </w:rPr>
              <w:t>20</w:t>
            </w:r>
          </w:p>
        </w:tc>
        <w:tc>
          <w:tcPr>
            <w:tcW w:w="100" w:type="dxa"/>
            <w:vAlign w:val="bottom"/>
            <w:shd w:val="clear" w:color="auto" w:fill="CCEEFF"/>
          </w:tcPr>
          <w:p>
            <w:pPr>
              <w:spacing w:after="0"/>
              <w:rPr>
                <w:sz w:val="18"/>
                <w:szCs w:val="18"/>
                <w:color w:val="auto"/>
              </w:rPr>
            </w:pPr>
          </w:p>
        </w:tc>
      </w:tr>
      <w:tr>
        <w:trPr>
          <w:trHeight w:val="222"/>
        </w:trPr>
        <w:tc>
          <w:tcPr>
            <w:tcW w:w="3960" w:type="dxa"/>
            <w:vAlign w:val="bottom"/>
          </w:tcPr>
          <w:p>
            <w:pPr>
              <w:spacing w:after="0"/>
              <w:rPr>
                <w:sz w:val="20"/>
                <w:szCs w:val="20"/>
                <w:color w:val="auto"/>
              </w:rPr>
            </w:pPr>
            <w:r>
              <w:rPr>
                <w:rFonts w:ascii="Arial" w:cs="Arial" w:eastAsia="Arial" w:hAnsi="Arial"/>
                <w:sz w:val="18"/>
                <w:szCs w:val="18"/>
                <w:color w:val="auto"/>
              </w:rPr>
              <w:t>Net periodic benefit cost</w:t>
            </w:r>
          </w:p>
        </w:tc>
        <w:tc>
          <w:tcPr>
            <w:tcW w:w="860" w:type="dxa"/>
            <w:vAlign w:val="bottom"/>
          </w:tcPr>
          <w:p>
            <w:pPr>
              <w:jc w:val="right"/>
              <w:ind w:right="612"/>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4"/>
              </w:rPr>
              <w:t>1,272</w:t>
            </w: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1,217</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tcPr>
          <w:p>
            <w:pPr>
              <w:jc w:val="center"/>
              <w:ind w:left="392"/>
              <w:spacing w:after="0"/>
              <w:rPr>
                <w:sz w:val="20"/>
                <w:szCs w:val="20"/>
                <w:color w:val="auto"/>
              </w:rPr>
            </w:pPr>
            <w:r>
              <w:rPr>
                <w:rFonts w:ascii="Arial" w:cs="Arial" w:eastAsia="Arial" w:hAnsi="Arial"/>
                <w:sz w:val="18"/>
                <w:szCs w:val="18"/>
                <w:color w:val="auto"/>
                <w:w w:val="88"/>
              </w:rPr>
              <w:t>3,861</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3,515</w:t>
            </w:r>
          </w:p>
        </w:tc>
        <w:tc>
          <w:tcPr>
            <w:tcW w:w="100" w:type="dxa"/>
            <w:vAlign w:val="bottom"/>
          </w:tcPr>
          <w:p>
            <w:pPr>
              <w:spacing w:after="0"/>
              <w:rPr>
                <w:sz w:val="19"/>
                <w:szCs w:val="19"/>
                <w:color w:val="auto"/>
              </w:rPr>
            </w:pPr>
          </w:p>
        </w:tc>
      </w:tr>
      <w:tr>
        <w:trPr>
          <w:trHeight w:val="20"/>
        </w:trPr>
        <w:tc>
          <w:tcPr>
            <w:tcW w:w="39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4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21</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Note 9:</w:t>
      </w:r>
      <w:r>
        <w:rPr>
          <w:sz w:val="20"/>
          <w:szCs w:val="20"/>
          <w:color w:val="auto"/>
        </w:rPr>
        <w:tab/>
      </w:r>
      <w:r>
        <w:rPr>
          <w:rFonts w:ascii="Arial" w:cs="Arial" w:eastAsia="Arial" w:hAnsi="Arial"/>
          <w:sz w:val="15"/>
          <w:szCs w:val="15"/>
          <w:b w:val="1"/>
          <w:bCs w:val="1"/>
          <w:color w:val="auto"/>
        </w:rPr>
        <w:t>Stock-Based Compensation</w:t>
      </w:r>
    </w:p>
    <w:p>
      <w:pPr>
        <w:spacing w:after="0" w:line="17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record stock-based compensation expense for awards of stock options, stock sold pursuant to our ESPP, and the issuance of restricted and unrestricted stock awards and units. We expense stock-based compensation using the straight-line method over the vesting requirement period. For the three and nine months ended September 30, stock-based compensation expense and the related tax benefit were as follows: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260" w:type="dxa"/>
            <w:vAlign w:val="bottom"/>
            <w:gridSpan w:val="4"/>
          </w:tcPr>
          <w:p>
            <w:pPr>
              <w:jc w:val="right"/>
              <w:ind w:right="352"/>
              <w:spacing w:after="0"/>
              <w:rPr>
                <w:sz w:val="20"/>
                <w:szCs w:val="20"/>
                <w:color w:val="auto"/>
              </w:rPr>
            </w:pPr>
            <w:r>
              <w:rPr>
                <w:rFonts w:ascii="Arial" w:cs="Arial" w:eastAsia="Arial" w:hAnsi="Arial"/>
                <w:sz w:val="18"/>
                <w:szCs w:val="18"/>
                <w:b w:val="1"/>
                <w:bCs w:val="1"/>
                <w:color w:val="auto"/>
                <w:w w:val="91"/>
              </w:rPr>
              <w:t>Three Months Ended September 30,</w:t>
            </w: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40" w:type="dxa"/>
            <w:vAlign w:val="bottom"/>
            <w:gridSpan w:val="5"/>
          </w:tcPr>
          <w:p>
            <w:pPr>
              <w:ind w:left="80"/>
              <w:spacing w:after="0"/>
              <w:rPr>
                <w:sz w:val="20"/>
                <w:szCs w:val="20"/>
                <w:color w:val="auto"/>
              </w:rPr>
            </w:pPr>
            <w:r>
              <w:rPr>
                <w:rFonts w:ascii="Arial" w:cs="Arial" w:eastAsia="Arial" w:hAnsi="Arial"/>
                <w:sz w:val="18"/>
                <w:szCs w:val="18"/>
                <w:b w:val="1"/>
                <w:bCs w:val="1"/>
                <w:color w:val="auto"/>
              </w:rPr>
              <w:t>Nine Months Ended September 30,</w:t>
            </w:r>
          </w:p>
        </w:tc>
      </w:tr>
      <w:tr>
        <w:trPr>
          <w:trHeight w:val="212"/>
        </w:trPr>
        <w:tc>
          <w:tcPr>
            <w:tcW w:w="3540" w:type="dxa"/>
            <w:vAlign w:val="bottom"/>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392"/>
              <w:spacing w:after="0"/>
              <w:rPr>
                <w:sz w:val="20"/>
                <w:szCs w:val="20"/>
                <w:color w:val="auto"/>
              </w:rPr>
            </w:pPr>
            <w:r>
              <w:rPr>
                <w:rFonts w:ascii="Arial" w:cs="Arial" w:eastAsia="Arial" w:hAnsi="Arial"/>
                <w:sz w:val="18"/>
                <w:szCs w:val="18"/>
                <w:b w:val="1"/>
                <w:bCs w:val="1"/>
                <w:color w:val="auto"/>
              </w:rPr>
              <w:t>2010</w:t>
            </w:r>
          </w:p>
        </w:tc>
        <w:tc>
          <w:tcPr>
            <w:tcW w:w="800" w:type="dxa"/>
            <w:vAlign w:val="bottom"/>
            <w:tcBorders>
              <w:top w:val="single" w:sz="8" w:color="auto"/>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452"/>
              <w:spacing w:after="0"/>
              <w:rPr>
                <w:sz w:val="20"/>
                <w:szCs w:val="20"/>
                <w:color w:val="auto"/>
              </w:rPr>
            </w:pPr>
            <w:r>
              <w:rPr>
                <w:rFonts w:ascii="Arial" w:cs="Arial" w:eastAsia="Arial" w:hAnsi="Arial"/>
                <w:sz w:val="18"/>
                <w:szCs w:val="18"/>
                <w:b w:val="1"/>
                <w:bCs w:val="1"/>
                <w:color w:val="auto"/>
              </w:rPr>
              <w:t>2009</w:t>
            </w:r>
          </w:p>
        </w:tc>
        <w:tc>
          <w:tcPr>
            <w:tcW w:w="70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432"/>
              <w:spacing w:after="0"/>
              <w:rPr>
                <w:sz w:val="20"/>
                <w:szCs w:val="20"/>
                <w:color w:val="auto"/>
              </w:rPr>
            </w:pPr>
            <w:r>
              <w:rPr>
                <w:rFonts w:ascii="Arial" w:cs="Arial" w:eastAsia="Arial" w:hAnsi="Arial"/>
                <w:sz w:val="18"/>
                <w:szCs w:val="18"/>
                <w:b w:val="1"/>
                <w:bCs w:val="1"/>
                <w:color w:val="auto"/>
              </w:rPr>
              <w:t>2010</w:t>
            </w:r>
          </w:p>
        </w:tc>
        <w:tc>
          <w:tcPr>
            <w:tcW w:w="780" w:type="dxa"/>
            <w:vAlign w:val="bottom"/>
            <w:tcBorders>
              <w:top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72"/>
              <w:spacing w:after="0"/>
              <w:rPr>
                <w:sz w:val="20"/>
                <w:szCs w:val="20"/>
                <w:color w:val="auto"/>
              </w:rPr>
            </w:pPr>
            <w:r>
              <w:rPr>
                <w:rFonts w:ascii="Arial" w:cs="Arial" w:eastAsia="Arial" w:hAnsi="Arial"/>
                <w:sz w:val="18"/>
                <w:szCs w:val="18"/>
                <w:b w:val="1"/>
                <w:bCs w:val="1"/>
                <w:color w:val="auto"/>
              </w:rPr>
              <w:t>2009</w:t>
            </w:r>
          </w:p>
        </w:tc>
        <w:tc>
          <w:tcPr>
            <w:tcW w:w="100" w:type="dxa"/>
            <w:vAlign w:val="bottom"/>
          </w:tcPr>
          <w:p>
            <w:pPr>
              <w:spacing w:after="0"/>
              <w:rPr>
                <w:sz w:val="18"/>
                <w:szCs w:val="18"/>
                <w:color w:val="auto"/>
              </w:rPr>
            </w:pPr>
          </w:p>
        </w:tc>
      </w:tr>
      <w:tr>
        <w:trPr>
          <w:trHeight w:val="210"/>
        </w:trPr>
        <w:tc>
          <w:tcPr>
            <w:tcW w:w="3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(in</w:t>
            </w:r>
          </w:p>
        </w:tc>
        <w:tc>
          <w:tcPr>
            <w:tcW w:w="700" w:type="dxa"/>
            <w:vAlign w:val="bottom"/>
          </w:tcPr>
          <w:p>
            <w:pPr>
              <w:ind w:left="60"/>
              <w:spacing w:after="0"/>
              <w:rPr>
                <w:sz w:val="20"/>
                <w:szCs w:val="20"/>
                <w:color w:val="auto"/>
              </w:rPr>
            </w:pPr>
            <w:r>
              <w:rPr>
                <w:rFonts w:ascii="Arial" w:cs="Arial" w:eastAsia="Arial" w:hAnsi="Arial"/>
                <w:sz w:val="16"/>
                <w:szCs w:val="16"/>
                <w:b w:val="1"/>
                <w:bCs w:val="1"/>
                <w:color w:val="auto"/>
                <w:w w:val="71"/>
              </w:rPr>
              <w:t>thousands)</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Stock options</w:t>
            </w:r>
          </w:p>
        </w:tc>
        <w:tc>
          <w:tcPr>
            <w:tcW w:w="3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843</w:t>
            </w:r>
          </w:p>
        </w:tc>
        <w:tc>
          <w:tcPr>
            <w:tcW w:w="122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1,600</w:t>
            </w: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3,138</w:t>
            </w:r>
          </w:p>
        </w:tc>
        <w:tc>
          <w:tcPr>
            <w:tcW w:w="112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6,172</w:t>
            </w:r>
          </w:p>
        </w:tc>
        <w:tc>
          <w:tcPr>
            <w:tcW w:w="100" w:type="dxa"/>
            <w:vAlign w:val="bottom"/>
            <w:shd w:val="clear" w:color="auto" w:fill="CCEEFF"/>
          </w:tcPr>
          <w:p>
            <w:pPr>
              <w:spacing w:after="0"/>
              <w:rPr>
                <w:sz w:val="18"/>
                <w:szCs w:val="18"/>
                <w:color w:val="auto"/>
              </w:rPr>
            </w:pPr>
          </w:p>
        </w:tc>
      </w:tr>
      <w:tr>
        <w:trPr>
          <w:trHeight w:val="216"/>
        </w:trPr>
        <w:tc>
          <w:tcPr>
            <w:tcW w:w="3540" w:type="dxa"/>
            <w:vAlign w:val="bottom"/>
          </w:tcPr>
          <w:p>
            <w:pPr>
              <w:spacing w:after="0"/>
              <w:rPr>
                <w:sz w:val="20"/>
                <w:szCs w:val="20"/>
                <w:color w:val="auto"/>
              </w:rPr>
            </w:pPr>
            <w:r>
              <w:rPr>
                <w:rFonts w:ascii="Arial" w:cs="Arial" w:eastAsia="Arial" w:hAnsi="Arial"/>
                <w:sz w:val="18"/>
                <w:szCs w:val="18"/>
                <w:color w:val="auto"/>
              </w:rPr>
              <w:t>Restricted stock awards and units</w:t>
            </w:r>
          </w:p>
        </w:tc>
        <w:tc>
          <w:tcPr>
            <w:tcW w:w="320" w:type="dxa"/>
            <w:vAlign w:val="bottom"/>
          </w:tcPr>
          <w:p>
            <w:pPr>
              <w:spacing w:after="0"/>
              <w:rPr>
                <w:sz w:val="18"/>
                <w:szCs w:val="18"/>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3,962</w:t>
            </w:r>
          </w:p>
        </w:tc>
        <w:tc>
          <w:tcPr>
            <w:tcW w:w="8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2,336</w:t>
            </w: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10,344</w:t>
            </w:r>
          </w:p>
        </w:tc>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6,629</w:t>
            </w:r>
          </w:p>
        </w:tc>
        <w:tc>
          <w:tcPr>
            <w:tcW w:w="100" w:type="dxa"/>
            <w:vAlign w:val="bottom"/>
          </w:tcPr>
          <w:p>
            <w:pPr>
              <w:spacing w:after="0"/>
              <w:rPr>
                <w:sz w:val="18"/>
                <w:szCs w:val="18"/>
                <w:color w:val="auto"/>
              </w:rPr>
            </w:pPr>
          </w:p>
        </w:tc>
      </w:tr>
      <w:tr>
        <w:trPr>
          <w:trHeight w:val="216"/>
        </w:trPr>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Unrestricted stock awards</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175</w:t>
            </w:r>
          </w:p>
        </w:tc>
        <w:tc>
          <w:tcPr>
            <w:tcW w:w="8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w:t>
            </w:r>
          </w:p>
        </w:tc>
        <w:tc>
          <w:tcPr>
            <w:tcW w:w="7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w:t>
            </w:r>
          </w:p>
        </w:tc>
        <w:tc>
          <w:tcPr>
            <w:tcW w:w="100" w:type="dxa"/>
            <w:vAlign w:val="bottom"/>
            <w:shd w:val="clear" w:color="auto" w:fill="CCEEFF"/>
          </w:tcPr>
          <w:p>
            <w:pPr>
              <w:spacing w:after="0"/>
              <w:rPr>
                <w:sz w:val="18"/>
                <w:szCs w:val="18"/>
                <w:color w:val="auto"/>
              </w:rPr>
            </w:pPr>
          </w:p>
        </w:tc>
      </w:tr>
      <w:tr>
        <w:trPr>
          <w:trHeight w:val="223"/>
        </w:trPr>
        <w:tc>
          <w:tcPr>
            <w:tcW w:w="3540" w:type="dxa"/>
            <w:vAlign w:val="bottom"/>
          </w:tcPr>
          <w:p>
            <w:pPr>
              <w:spacing w:after="0"/>
              <w:rPr>
                <w:sz w:val="20"/>
                <w:szCs w:val="20"/>
                <w:color w:val="auto"/>
              </w:rPr>
            </w:pPr>
            <w:r>
              <w:rPr>
                <w:rFonts w:ascii="Arial" w:cs="Arial" w:eastAsia="Arial" w:hAnsi="Arial"/>
                <w:sz w:val="18"/>
                <w:szCs w:val="18"/>
                <w:color w:val="auto"/>
              </w:rPr>
              <w:t>ESPP</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121</w:t>
            </w:r>
          </w:p>
        </w:tc>
        <w:tc>
          <w:tcPr>
            <w:tcW w:w="80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w:t>
            </w:r>
          </w:p>
        </w:tc>
        <w:tc>
          <w:tcPr>
            <w:tcW w:w="7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376</w:t>
            </w:r>
          </w:p>
        </w:tc>
        <w:tc>
          <w:tcPr>
            <w:tcW w:w="7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394</w:t>
            </w:r>
          </w:p>
        </w:tc>
        <w:tc>
          <w:tcPr>
            <w:tcW w:w="100" w:type="dxa"/>
            <w:vAlign w:val="bottom"/>
          </w:tcPr>
          <w:p>
            <w:pPr>
              <w:spacing w:after="0"/>
              <w:rPr>
                <w:sz w:val="19"/>
                <w:szCs w:val="19"/>
                <w:color w:val="auto"/>
              </w:rPr>
            </w:pPr>
          </w:p>
        </w:tc>
      </w:tr>
      <w:tr>
        <w:trPr>
          <w:trHeight w:val="216"/>
        </w:trPr>
        <w:tc>
          <w:tcPr>
            <w:tcW w:w="35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stock-based compensation</w:t>
            </w:r>
          </w:p>
        </w:tc>
        <w:tc>
          <w:tcPr>
            <w:tcW w:w="32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5,101</w:t>
            </w:r>
          </w:p>
        </w:tc>
        <w:tc>
          <w:tcPr>
            <w:tcW w:w="8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4,170</w:t>
            </w:r>
          </w:p>
        </w:tc>
        <w:tc>
          <w:tcPr>
            <w:tcW w:w="7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14,222</w:t>
            </w:r>
          </w:p>
        </w:tc>
        <w:tc>
          <w:tcPr>
            <w:tcW w:w="78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13,449</w:t>
            </w:r>
          </w:p>
        </w:tc>
        <w:tc>
          <w:tcPr>
            <w:tcW w:w="100" w:type="dxa"/>
            <w:vAlign w:val="bottom"/>
            <w:shd w:val="clear" w:color="auto" w:fill="CCEEFF"/>
          </w:tcPr>
          <w:p>
            <w:pPr>
              <w:spacing w:after="0"/>
              <w:rPr>
                <w:sz w:val="18"/>
                <w:szCs w:val="18"/>
                <w:color w:val="auto"/>
              </w:rPr>
            </w:pPr>
          </w:p>
        </w:tc>
      </w:tr>
      <w:tr>
        <w:trPr>
          <w:trHeight w:val="20"/>
        </w:trPr>
        <w:tc>
          <w:tcPr>
            <w:tcW w:w="35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17"/>
        </w:trPr>
        <w:tc>
          <w:tcPr>
            <w:tcW w:w="3540" w:type="dxa"/>
            <w:vAlign w:val="bottom"/>
          </w:tcPr>
          <w:p>
            <w:pPr>
              <w:spacing w:after="0"/>
              <w:rPr>
                <w:sz w:val="20"/>
                <w:szCs w:val="20"/>
                <w:color w:val="auto"/>
              </w:rPr>
            </w:pPr>
            <w:r>
              <w:rPr>
                <w:rFonts w:ascii="Arial" w:cs="Arial" w:eastAsia="Arial" w:hAnsi="Arial"/>
                <w:sz w:val="18"/>
                <w:szCs w:val="18"/>
                <w:color w:val="auto"/>
              </w:rPr>
              <w:t>Related tax benefit</w:t>
            </w:r>
          </w:p>
        </w:tc>
        <w:tc>
          <w:tcPr>
            <w:tcW w:w="32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1,421</w:t>
            </w:r>
          </w:p>
        </w:tc>
        <w:tc>
          <w:tcPr>
            <w:tcW w:w="1220" w:type="dxa"/>
            <w:vAlign w:val="bottom"/>
            <w:gridSpan w:val="2"/>
          </w:tcPr>
          <w:p>
            <w:pPr>
              <w:jc w:val="right"/>
              <w:ind w:right="152"/>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1,031</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4,153</w:t>
            </w:r>
          </w:p>
        </w:tc>
        <w:tc>
          <w:tcPr>
            <w:tcW w:w="1120" w:type="dxa"/>
            <w:vAlign w:val="bottom"/>
            <w:gridSpan w:val="2"/>
          </w:tcPr>
          <w:p>
            <w:pPr>
              <w:jc w:val="right"/>
              <w:ind w:right="72"/>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3,487</w:t>
            </w:r>
          </w:p>
        </w:tc>
        <w:tc>
          <w:tcPr>
            <w:tcW w:w="100" w:type="dxa"/>
            <w:vAlign w:val="bottom"/>
          </w:tcPr>
          <w:p>
            <w:pPr>
              <w:spacing w:after="0"/>
              <w:rPr>
                <w:sz w:val="24"/>
                <w:szCs w:val="24"/>
                <w:color w:val="auto"/>
              </w:rPr>
            </w:pPr>
          </w:p>
        </w:tc>
      </w:tr>
      <w:tr>
        <w:trPr>
          <w:trHeight w:val="20"/>
        </w:trPr>
        <w:tc>
          <w:tcPr>
            <w:tcW w:w="35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We issue new shares of common stock upon the exercise of stock options or when vesting conditions on restricted awards are fully satisfied.</w:t>
      </w:r>
    </w:p>
    <w:p>
      <w:pPr>
        <w:spacing w:after="0" w:line="17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fair value of stock options and ESPP awards issued were estimated at the date of grant using the Black-Scholes option-pricing model with the following weighted average assumptions: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000" w:type="dxa"/>
            <w:vAlign w:val="bottom"/>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3160" w:type="dxa"/>
            <w:vAlign w:val="bottom"/>
            <w:tcBorders>
              <w:bottom w:val="single" w:sz="8" w:color="auto"/>
            </w:tcBorders>
            <w:gridSpan w:val="3"/>
          </w:tcPr>
          <w:p>
            <w:pPr>
              <w:jc w:val="right"/>
              <w:ind w:right="592"/>
              <w:spacing w:after="0"/>
              <w:rPr>
                <w:sz w:val="20"/>
                <w:szCs w:val="20"/>
                <w:color w:val="auto"/>
              </w:rPr>
            </w:pPr>
            <w:r>
              <w:rPr>
                <w:rFonts w:ascii="Arial" w:cs="Arial" w:eastAsia="Arial" w:hAnsi="Arial"/>
                <w:sz w:val="18"/>
                <w:szCs w:val="18"/>
                <w:b w:val="1"/>
                <w:bCs w:val="1"/>
                <w:color w:val="auto"/>
              </w:rPr>
              <w:t>Employee Stock Options</w:t>
            </w:r>
          </w:p>
        </w:tc>
        <w:tc>
          <w:tcPr>
            <w:tcW w:w="8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r>
      <w:tr>
        <w:trPr>
          <w:trHeight w:val="212"/>
        </w:trPr>
        <w:tc>
          <w:tcPr>
            <w:tcW w:w="4000" w:type="dxa"/>
            <w:vAlign w:val="bottom"/>
          </w:tcPr>
          <w:p>
            <w:pPr>
              <w:spacing w:after="0"/>
              <w:rPr>
                <w:sz w:val="18"/>
                <w:szCs w:val="18"/>
                <w:color w:val="auto"/>
              </w:rPr>
            </w:pPr>
          </w:p>
        </w:tc>
        <w:tc>
          <w:tcPr>
            <w:tcW w:w="3280" w:type="dxa"/>
            <w:vAlign w:val="bottom"/>
            <w:tcBorders>
              <w:bottom w:val="single" w:sz="8" w:color="auto"/>
            </w:tcBorders>
            <w:gridSpan w:val="3"/>
          </w:tcPr>
          <w:p>
            <w:pPr>
              <w:ind w:left="300"/>
              <w:spacing w:after="0"/>
              <w:rPr>
                <w:sz w:val="20"/>
                <w:szCs w:val="20"/>
                <w:color w:val="auto"/>
              </w:rPr>
            </w:pPr>
            <w:r>
              <w:rPr>
                <w:rFonts w:ascii="Arial" w:cs="Arial" w:eastAsia="Arial" w:hAnsi="Arial"/>
                <w:sz w:val="18"/>
                <w:szCs w:val="18"/>
                <w:b w:val="1"/>
                <w:bCs w:val="1"/>
                <w:color w:val="auto"/>
                <w:w w:val="96"/>
              </w:rPr>
              <w:t>Three Months Ended September 30,</w:t>
            </w:r>
          </w:p>
        </w:tc>
        <w:tc>
          <w:tcPr>
            <w:tcW w:w="760" w:type="dxa"/>
            <w:vAlign w:val="bottom"/>
          </w:tcPr>
          <w:p>
            <w:pPr>
              <w:spacing w:after="0"/>
              <w:rPr>
                <w:sz w:val="18"/>
                <w:szCs w:val="18"/>
                <w:color w:val="auto"/>
              </w:rPr>
            </w:pPr>
          </w:p>
        </w:tc>
        <w:tc>
          <w:tcPr>
            <w:tcW w:w="3160" w:type="dxa"/>
            <w:vAlign w:val="bottom"/>
            <w:tcBorders>
              <w:bottom w:val="single" w:sz="8" w:color="auto"/>
            </w:tcBorders>
            <w:gridSpan w:val="3"/>
          </w:tcPr>
          <w:p>
            <w:pPr>
              <w:jc w:val="right"/>
              <w:ind w:right="192"/>
              <w:spacing w:after="0"/>
              <w:rPr>
                <w:sz w:val="20"/>
                <w:szCs w:val="20"/>
                <w:color w:val="auto"/>
              </w:rPr>
            </w:pPr>
            <w:r>
              <w:rPr>
                <w:rFonts w:ascii="Arial" w:cs="Arial" w:eastAsia="Arial" w:hAnsi="Arial"/>
                <w:sz w:val="18"/>
                <w:szCs w:val="18"/>
                <w:b w:val="1"/>
                <w:bCs w:val="1"/>
                <w:color w:val="auto"/>
                <w:w w:val="96"/>
              </w:rPr>
              <w:t>Nine Months Ended September 30,</w:t>
            </w:r>
          </w:p>
        </w:tc>
        <w:tc>
          <w:tcPr>
            <w:tcW w:w="220" w:type="dxa"/>
            <w:vAlign w:val="bottom"/>
          </w:tcPr>
          <w:p>
            <w:pPr>
              <w:spacing w:after="0"/>
              <w:rPr>
                <w:sz w:val="18"/>
                <w:szCs w:val="18"/>
                <w:color w:val="auto"/>
              </w:rPr>
            </w:pPr>
          </w:p>
        </w:tc>
      </w:tr>
      <w:tr>
        <w:trPr>
          <w:trHeight w:val="210"/>
        </w:trPr>
        <w:tc>
          <w:tcPr>
            <w:tcW w:w="4000" w:type="dxa"/>
            <w:vAlign w:val="bottom"/>
          </w:tcPr>
          <w:p>
            <w:pPr>
              <w:spacing w:after="0"/>
              <w:rPr>
                <w:sz w:val="18"/>
                <w:szCs w:val="18"/>
                <w:color w:val="auto"/>
              </w:rPr>
            </w:pPr>
          </w:p>
        </w:tc>
        <w:tc>
          <w:tcPr>
            <w:tcW w:w="124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rPr>
              <w:t xml:space="preserve">2010 </w:t>
            </w:r>
            <w:r>
              <w:rPr>
                <w:rFonts w:ascii="Arial" w:cs="Arial" w:eastAsia="Arial" w:hAnsi="Arial"/>
                <w:sz w:val="11"/>
                <w:szCs w:val="11"/>
                <w:b w:val="1"/>
                <w:bCs w:val="1"/>
                <w:color w:val="auto"/>
              </w:rPr>
              <w:t>(1)</w:t>
            </w:r>
          </w:p>
        </w:tc>
        <w:tc>
          <w:tcPr>
            <w:tcW w:w="800" w:type="dxa"/>
            <w:vAlign w:val="bottom"/>
          </w:tcPr>
          <w:p>
            <w:pPr>
              <w:spacing w:after="0"/>
              <w:rPr>
                <w:sz w:val="18"/>
                <w:szCs w:val="18"/>
                <w:color w:val="auto"/>
              </w:rPr>
            </w:pPr>
          </w:p>
        </w:tc>
        <w:tc>
          <w:tcPr>
            <w:tcW w:w="1240" w:type="dxa"/>
            <w:vAlign w:val="bottom"/>
            <w:tcBorders>
              <w:bottom w:val="single" w:sz="8" w:color="auto"/>
            </w:tcBorders>
          </w:tcPr>
          <w:p>
            <w:pPr>
              <w:jc w:val="center"/>
              <w:ind w:right="252"/>
              <w:spacing w:after="0"/>
              <w:rPr>
                <w:sz w:val="20"/>
                <w:szCs w:val="20"/>
                <w:color w:val="auto"/>
              </w:rPr>
            </w:pPr>
            <w:r>
              <w:rPr>
                <w:rFonts w:ascii="Arial" w:cs="Arial" w:eastAsia="Arial" w:hAnsi="Arial"/>
                <w:sz w:val="18"/>
                <w:szCs w:val="18"/>
                <w:b w:val="1"/>
                <w:bCs w:val="1"/>
                <w:color w:val="auto"/>
              </w:rPr>
              <w:t xml:space="preserve">2009 </w:t>
            </w:r>
            <w:r>
              <w:rPr>
                <w:rFonts w:ascii="Arial" w:cs="Arial" w:eastAsia="Arial" w:hAnsi="Arial"/>
                <w:sz w:val="11"/>
                <w:szCs w:val="11"/>
                <w:b w:val="1"/>
                <w:bCs w:val="1"/>
                <w:color w:val="auto"/>
              </w:rPr>
              <w:t>(1)</w:t>
            </w:r>
          </w:p>
        </w:tc>
        <w:tc>
          <w:tcPr>
            <w:tcW w:w="760" w:type="dxa"/>
            <w:vAlign w:val="bottom"/>
          </w:tcPr>
          <w:p>
            <w:pPr>
              <w:spacing w:after="0"/>
              <w:rPr>
                <w:sz w:val="18"/>
                <w:szCs w:val="18"/>
                <w:color w:val="auto"/>
              </w:rPr>
            </w:pPr>
          </w:p>
        </w:tc>
        <w:tc>
          <w:tcPr>
            <w:tcW w:w="116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b w:val="1"/>
                <w:bCs w:val="1"/>
                <w:color w:val="auto"/>
              </w:rPr>
              <w:t>2010</w:t>
            </w:r>
          </w:p>
        </w:tc>
        <w:tc>
          <w:tcPr>
            <w:tcW w:w="800" w:type="dxa"/>
            <w:vAlign w:val="bottom"/>
          </w:tcPr>
          <w:p>
            <w:pPr>
              <w:spacing w:after="0"/>
              <w:rPr>
                <w:sz w:val="18"/>
                <w:szCs w:val="18"/>
                <w:color w:val="auto"/>
              </w:rPr>
            </w:pPr>
          </w:p>
        </w:tc>
        <w:tc>
          <w:tcPr>
            <w:tcW w:w="120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b w:val="1"/>
                <w:bCs w:val="1"/>
                <w:color w:val="auto"/>
              </w:rPr>
              <w:t>2009</w:t>
            </w:r>
          </w:p>
        </w:tc>
        <w:tc>
          <w:tcPr>
            <w:tcW w:w="220" w:type="dxa"/>
            <w:vAlign w:val="bottom"/>
          </w:tcPr>
          <w:p>
            <w:pPr>
              <w:spacing w:after="0"/>
              <w:rPr>
                <w:sz w:val="18"/>
                <w:szCs w:val="18"/>
                <w:color w:val="auto"/>
              </w:rPr>
            </w:pPr>
          </w:p>
        </w:tc>
      </w:tr>
      <w:tr>
        <w:trPr>
          <w:trHeight w:val="210"/>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124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rPr>
              <w:t>-</w:t>
            </w:r>
          </w:p>
        </w:tc>
        <w:tc>
          <w:tcPr>
            <w:tcW w:w="2040" w:type="dxa"/>
            <w:vAlign w:val="bottom"/>
            <w:gridSpan w:val="2"/>
            <w:shd w:val="clear" w:color="auto" w:fill="CCEEFF"/>
          </w:tcPr>
          <w:p>
            <w:pPr>
              <w:ind w:left="1640"/>
              <w:spacing w:after="0"/>
              <w:rPr>
                <w:sz w:val="20"/>
                <w:szCs w:val="20"/>
                <w:color w:val="auto"/>
              </w:rPr>
            </w:pPr>
            <w:r>
              <w:rPr>
                <w:rFonts w:ascii="Arial" w:cs="Arial" w:eastAsia="Arial" w:hAnsi="Arial"/>
                <w:sz w:val="18"/>
                <w:szCs w:val="18"/>
                <w:color w:val="auto"/>
              </w:rPr>
              <w:t>-</w:t>
            </w:r>
          </w:p>
        </w:tc>
        <w:tc>
          <w:tcPr>
            <w:tcW w:w="1920" w:type="dxa"/>
            <w:vAlign w:val="bottom"/>
            <w:gridSpan w:val="2"/>
            <w:shd w:val="clear" w:color="auto" w:fill="CCEEFF"/>
          </w:tcPr>
          <w:p>
            <w:pPr>
              <w:jc w:val="right"/>
              <w:ind w:right="232"/>
              <w:spacing w:after="0"/>
              <w:rPr>
                <w:sz w:val="20"/>
                <w:szCs w:val="20"/>
                <w:color w:val="auto"/>
              </w:rPr>
            </w:pPr>
            <w:r>
              <w:rPr>
                <w:rFonts w:ascii="Arial" w:cs="Arial" w:eastAsia="Arial" w:hAnsi="Arial"/>
                <w:sz w:val="18"/>
                <w:szCs w:val="18"/>
                <w:color w:val="auto"/>
              </w:rPr>
              <w:t>-</w:t>
            </w:r>
          </w:p>
        </w:tc>
        <w:tc>
          <w:tcPr>
            <w:tcW w:w="2000" w:type="dxa"/>
            <w:vAlign w:val="bottom"/>
            <w:gridSpan w:val="2"/>
            <w:shd w:val="clear" w:color="auto" w:fill="CCEEFF"/>
          </w:tcPr>
          <w:p>
            <w:pPr>
              <w:jc w:val="right"/>
              <w:ind w:right="212"/>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Expected volatility</w:t>
            </w:r>
          </w:p>
        </w:tc>
        <w:tc>
          <w:tcPr>
            <w:tcW w:w="1240" w:type="dxa"/>
            <w:vAlign w:val="bottom"/>
          </w:tcPr>
          <w:p>
            <w:pPr>
              <w:jc w:val="right"/>
              <w:ind w:right="272"/>
              <w:spacing w:after="0"/>
              <w:rPr>
                <w:sz w:val="20"/>
                <w:szCs w:val="20"/>
                <w:color w:val="auto"/>
              </w:rPr>
            </w:pPr>
            <w:r>
              <w:rPr>
                <w:rFonts w:ascii="Arial" w:cs="Arial" w:eastAsia="Arial" w:hAnsi="Arial"/>
                <w:sz w:val="18"/>
                <w:szCs w:val="18"/>
                <w:color w:val="auto"/>
              </w:rPr>
              <w:t>-</w:t>
            </w:r>
          </w:p>
        </w:tc>
        <w:tc>
          <w:tcPr>
            <w:tcW w:w="2040" w:type="dxa"/>
            <w:vAlign w:val="bottom"/>
            <w:gridSpan w:val="2"/>
          </w:tcPr>
          <w:p>
            <w:pPr>
              <w:ind w:left="1640"/>
              <w:spacing w:after="0"/>
              <w:rPr>
                <w:sz w:val="20"/>
                <w:szCs w:val="20"/>
                <w:color w:val="auto"/>
              </w:rPr>
            </w:pPr>
            <w:r>
              <w:rPr>
                <w:rFonts w:ascii="Arial" w:cs="Arial" w:eastAsia="Arial" w:hAnsi="Arial"/>
                <w:sz w:val="18"/>
                <w:szCs w:val="18"/>
                <w:color w:val="auto"/>
              </w:rPr>
              <w:t>-</w:t>
            </w:r>
          </w:p>
        </w:tc>
        <w:tc>
          <w:tcPr>
            <w:tcW w:w="1920" w:type="dxa"/>
            <w:vAlign w:val="bottom"/>
            <w:gridSpan w:val="2"/>
          </w:tcPr>
          <w:p>
            <w:pPr>
              <w:jc w:val="right"/>
              <w:spacing w:after="0"/>
              <w:rPr>
                <w:sz w:val="20"/>
                <w:szCs w:val="20"/>
                <w:color w:val="auto"/>
              </w:rPr>
            </w:pPr>
            <w:r>
              <w:rPr>
                <w:rFonts w:ascii="Arial" w:cs="Arial" w:eastAsia="Arial" w:hAnsi="Arial"/>
                <w:sz w:val="18"/>
                <w:szCs w:val="18"/>
                <w:color w:val="auto"/>
              </w:rPr>
              <w:t>48.7%</w:t>
            </w:r>
          </w:p>
        </w:tc>
        <w:tc>
          <w:tcPr>
            <w:tcW w:w="2000" w:type="dxa"/>
            <w:vAlign w:val="bottom"/>
            <w:gridSpan w:val="2"/>
          </w:tcPr>
          <w:p>
            <w:pPr>
              <w:jc w:val="right"/>
              <w:spacing w:after="0"/>
              <w:rPr>
                <w:sz w:val="20"/>
                <w:szCs w:val="20"/>
                <w:color w:val="auto"/>
              </w:rPr>
            </w:pPr>
            <w:r>
              <w:rPr>
                <w:rFonts w:ascii="Arial" w:cs="Arial" w:eastAsia="Arial" w:hAnsi="Arial"/>
                <w:sz w:val="18"/>
                <w:szCs w:val="18"/>
                <w:color w:val="auto"/>
              </w:rPr>
              <w:t>50.2%</w:t>
            </w:r>
          </w:p>
        </w:tc>
        <w:tc>
          <w:tcPr>
            <w:tcW w:w="220" w:type="dxa"/>
            <w:vAlign w:val="bottom"/>
          </w:tcPr>
          <w:p>
            <w:pPr>
              <w:spacing w:after="0"/>
              <w:rPr>
                <w:sz w:val="18"/>
                <w:szCs w:val="18"/>
                <w:color w:val="auto"/>
              </w:rPr>
            </w:pPr>
          </w:p>
        </w:tc>
      </w:tr>
      <w:tr>
        <w:trPr>
          <w:trHeight w:val="216"/>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24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rPr>
              <w:t>-</w:t>
            </w:r>
          </w:p>
        </w:tc>
        <w:tc>
          <w:tcPr>
            <w:tcW w:w="2040" w:type="dxa"/>
            <w:vAlign w:val="bottom"/>
            <w:gridSpan w:val="2"/>
            <w:shd w:val="clear" w:color="auto" w:fill="CCEEFF"/>
          </w:tcPr>
          <w:p>
            <w:pPr>
              <w:ind w:left="1640"/>
              <w:spacing w:after="0"/>
              <w:rPr>
                <w:sz w:val="20"/>
                <w:szCs w:val="20"/>
                <w:color w:val="auto"/>
              </w:rPr>
            </w:pPr>
            <w:r>
              <w:rPr>
                <w:rFonts w:ascii="Arial" w:cs="Arial" w:eastAsia="Arial" w:hAnsi="Arial"/>
                <w:sz w:val="18"/>
                <w:szCs w:val="18"/>
                <w:color w:val="auto"/>
              </w:rPr>
              <w:t>-</w:t>
            </w:r>
          </w:p>
        </w:tc>
        <w:tc>
          <w:tcPr>
            <w:tcW w:w="1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20" w:type="dxa"/>
            <w:vAlign w:val="bottom"/>
            <w:shd w:val="clear" w:color="auto" w:fill="CCEEFF"/>
          </w:tcPr>
          <w:p>
            <w:pPr>
              <w:spacing w:after="0"/>
              <w:rPr>
                <w:sz w:val="18"/>
                <w:szCs w:val="18"/>
                <w:color w:val="auto"/>
              </w:rPr>
            </w:pPr>
          </w:p>
        </w:tc>
      </w:tr>
      <w:tr>
        <w:trPr>
          <w:trHeight w:val="222"/>
        </w:trPr>
        <w:tc>
          <w:tcPr>
            <w:tcW w:w="4000" w:type="dxa"/>
            <w:vAlign w:val="bottom"/>
          </w:tcPr>
          <w:p>
            <w:pPr>
              <w:spacing w:after="0"/>
              <w:rPr>
                <w:sz w:val="20"/>
                <w:szCs w:val="20"/>
                <w:color w:val="auto"/>
              </w:rPr>
            </w:pPr>
            <w:r>
              <w:rPr>
                <w:rFonts w:ascii="Arial" w:cs="Arial" w:eastAsia="Arial" w:hAnsi="Arial"/>
                <w:sz w:val="18"/>
                <w:szCs w:val="18"/>
                <w:color w:val="auto"/>
              </w:rPr>
              <w:t>Expected life (years)</w:t>
            </w:r>
          </w:p>
        </w:tc>
        <w:tc>
          <w:tcPr>
            <w:tcW w:w="1240" w:type="dxa"/>
            <w:vAlign w:val="bottom"/>
          </w:tcPr>
          <w:p>
            <w:pPr>
              <w:jc w:val="right"/>
              <w:ind w:right="272"/>
              <w:spacing w:after="0"/>
              <w:rPr>
                <w:sz w:val="20"/>
                <w:szCs w:val="20"/>
                <w:color w:val="auto"/>
              </w:rPr>
            </w:pPr>
            <w:r>
              <w:rPr>
                <w:rFonts w:ascii="Arial" w:cs="Arial" w:eastAsia="Arial" w:hAnsi="Arial"/>
                <w:sz w:val="18"/>
                <w:szCs w:val="18"/>
                <w:color w:val="auto"/>
              </w:rPr>
              <w:t>-</w:t>
            </w:r>
          </w:p>
        </w:tc>
        <w:tc>
          <w:tcPr>
            <w:tcW w:w="2040" w:type="dxa"/>
            <w:vAlign w:val="bottom"/>
            <w:gridSpan w:val="2"/>
          </w:tcPr>
          <w:p>
            <w:pPr>
              <w:ind w:left="1640"/>
              <w:spacing w:after="0"/>
              <w:rPr>
                <w:sz w:val="20"/>
                <w:szCs w:val="20"/>
                <w:color w:val="auto"/>
              </w:rPr>
            </w:pPr>
            <w:r>
              <w:rPr>
                <w:rFonts w:ascii="Arial" w:cs="Arial" w:eastAsia="Arial" w:hAnsi="Arial"/>
                <w:sz w:val="18"/>
                <w:szCs w:val="18"/>
                <w:color w:val="auto"/>
              </w:rPr>
              <w:t>-</w:t>
            </w:r>
          </w:p>
        </w:tc>
        <w:tc>
          <w:tcPr>
            <w:tcW w:w="1920" w:type="dxa"/>
            <w:vAlign w:val="bottom"/>
            <w:gridSpan w:val="2"/>
          </w:tcPr>
          <w:p>
            <w:pPr>
              <w:jc w:val="right"/>
              <w:spacing w:after="0"/>
              <w:rPr>
                <w:sz w:val="20"/>
                <w:szCs w:val="20"/>
                <w:color w:val="auto"/>
              </w:rPr>
            </w:pPr>
            <w:r>
              <w:rPr>
                <w:rFonts w:ascii="Arial" w:cs="Arial" w:eastAsia="Arial" w:hAnsi="Arial"/>
                <w:sz w:val="18"/>
                <w:szCs w:val="18"/>
                <w:color w:val="auto"/>
              </w:rPr>
              <w:t>4.60</w:t>
            </w:r>
          </w:p>
        </w:tc>
        <w:tc>
          <w:tcPr>
            <w:tcW w:w="2000" w:type="dxa"/>
            <w:vAlign w:val="bottom"/>
            <w:gridSpan w:val="2"/>
          </w:tcPr>
          <w:p>
            <w:pPr>
              <w:jc w:val="right"/>
              <w:spacing w:after="0"/>
              <w:rPr>
                <w:sz w:val="20"/>
                <w:szCs w:val="20"/>
                <w:color w:val="auto"/>
              </w:rPr>
            </w:pPr>
            <w:r>
              <w:rPr>
                <w:rFonts w:ascii="Arial" w:cs="Arial" w:eastAsia="Arial" w:hAnsi="Arial"/>
                <w:sz w:val="18"/>
                <w:szCs w:val="18"/>
                <w:color w:val="auto"/>
              </w:rPr>
              <w:t>4.91</w:t>
            </w:r>
          </w:p>
        </w:tc>
        <w:tc>
          <w:tcPr>
            <w:tcW w:w="220" w:type="dxa"/>
            <w:vAlign w:val="bottom"/>
          </w:tcPr>
          <w:p>
            <w:pPr>
              <w:spacing w:after="0"/>
              <w:rPr>
                <w:sz w:val="19"/>
                <w:szCs w:val="19"/>
                <w:color w:val="auto"/>
              </w:rPr>
            </w:pPr>
          </w:p>
        </w:tc>
      </w:tr>
      <w:tr>
        <w:trPr>
          <w:trHeight w:val="424"/>
        </w:trPr>
        <w:tc>
          <w:tcPr>
            <w:tcW w:w="4000" w:type="dxa"/>
            <w:vAlign w:val="bottom"/>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gridSpan w:val="2"/>
          </w:tcPr>
          <w:p>
            <w:pPr>
              <w:jc w:val="right"/>
              <w:ind w:right="1292"/>
              <w:spacing w:after="0"/>
              <w:rPr>
                <w:sz w:val="20"/>
                <w:szCs w:val="20"/>
                <w:color w:val="auto"/>
              </w:rPr>
            </w:pPr>
            <w:r>
              <w:rPr>
                <w:rFonts w:ascii="Arial" w:cs="Arial" w:eastAsia="Arial" w:hAnsi="Arial"/>
                <w:sz w:val="18"/>
                <w:szCs w:val="18"/>
                <w:b w:val="1"/>
                <w:bCs w:val="1"/>
                <w:color w:val="auto"/>
              </w:rPr>
              <w:t>ESPP</w:t>
            </w:r>
          </w:p>
        </w:tc>
        <w:tc>
          <w:tcPr>
            <w:tcW w:w="8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r>
      <w:tr>
        <w:trPr>
          <w:trHeight w:val="212"/>
        </w:trPr>
        <w:tc>
          <w:tcPr>
            <w:tcW w:w="4000" w:type="dxa"/>
            <w:vAlign w:val="bottom"/>
          </w:tcPr>
          <w:p>
            <w:pPr>
              <w:spacing w:after="0"/>
              <w:rPr>
                <w:sz w:val="18"/>
                <w:szCs w:val="18"/>
                <w:color w:val="auto"/>
              </w:rPr>
            </w:pPr>
          </w:p>
        </w:tc>
        <w:tc>
          <w:tcPr>
            <w:tcW w:w="3280" w:type="dxa"/>
            <w:vAlign w:val="bottom"/>
            <w:tcBorders>
              <w:bottom w:val="single" w:sz="8" w:color="auto"/>
            </w:tcBorders>
            <w:gridSpan w:val="3"/>
          </w:tcPr>
          <w:p>
            <w:pPr>
              <w:ind w:left="300"/>
              <w:spacing w:after="0"/>
              <w:rPr>
                <w:sz w:val="20"/>
                <w:szCs w:val="20"/>
                <w:color w:val="auto"/>
              </w:rPr>
            </w:pPr>
            <w:r>
              <w:rPr>
                <w:rFonts w:ascii="Arial" w:cs="Arial" w:eastAsia="Arial" w:hAnsi="Arial"/>
                <w:sz w:val="18"/>
                <w:szCs w:val="18"/>
                <w:b w:val="1"/>
                <w:bCs w:val="1"/>
                <w:color w:val="auto"/>
                <w:w w:val="96"/>
              </w:rPr>
              <w:t>Three Months Ended September 30,</w:t>
            </w:r>
          </w:p>
        </w:tc>
        <w:tc>
          <w:tcPr>
            <w:tcW w:w="760" w:type="dxa"/>
            <w:vAlign w:val="bottom"/>
          </w:tcPr>
          <w:p>
            <w:pPr>
              <w:spacing w:after="0"/>
              <w:rPr>
                <w:sz w:val="18"/>
                <w:szCs w:val="18"/>
                <w:color w:val="auto"/>
              </w:rPr>
            </w:pPr>
          </w:p>
        </w:tc>
        <w:tc>
          <w:tcPr>
            <w:tcW w:w="3160" w:type="dxa"/>
            <w:vAlign w:val="bottom"/>
            <w:tcBorders>
              <w:bottom w:val="single" w:sz="8" w:color="auto"/>
            </w:tcBorders>
            <w:gridSpan w:val="3"/>
          </w:tcPr>
          <w:p>
            <w:pPr>
              <w:jc w:val="right"/>
              <w:ind w:right="192"/>
              <w:spacing w:after="0"/>
              <w:rPr>
                <w:sz w:val="20"/>
                <w:szCs w:val="20"/>
                <w:color w:val="auto"/>
              </w:rPr>
            </w:pPr>
            <w:r>
              <w:rPr>
                <w:rFonts w:ascii="Arial" w:cs="Arial" w:eastAsia="Arial" w:hAnsi="Arial"/>
                <w:sz w:val="18"/>
                <w:szCs w:val="18"/>
                <w:b w:val="1"/>
                <w:bCs w:val="1"/>
                <w:color w:val="auto"/>
                <w:w w:val="96"/>
              </w:rPr>
              <w:t>Nine Months Ended September 30,</w:t>
            </w:r>
          </w:p>
        </w:tc>
        <w:tc>
          <w:tcPr>
            <w:tcW w:w="220" w:type="dxa"/>
            <w:vAlign w:val="bottom"/>
          </w:tcPr>
          <w:p>
            <w:pPr>
              <w:spacing w:after="0"/>
              <w:rPr>
                <w:sz w:val="18"/>
                <w:szCs w:val="18"/>
                <w:color w:val="auto"/>
              </w:rPr>
            </w:pPr>
          </w:p>
        </w:tc>
      </w:tr>
      <w:tr>
        <w:trPr>
          <w:trHeight w:val="210"/>
        </w:trPr>
        <w:tc>
          <w:tcPr>
            <w:tcW w:w="4000" w:type="dxa"/>
            <w:vAlign w:val="bottom"/>
          </w:tcPr>
          <w:p>
            <w:pPr>
              <w:spacing w:after="0"/>
              <w:rPr>
                <w:sz w:val="18"/>
                <w:szCs w:val="18"/>
                <w:color w:val="auto"/>
              </w:rPr>
            </w:pPr>
          </w:p>
        </w:tc>
        <w:tc>
          <w:tcPr>
            <w:tcW w:w="1240" w:type="dxa"/>
            <w:vAlign w:val="bottom"/>
            <w:tcBorders>
              <w:bottom w:val="single" w:sz="8" w:color="auto"/>
            </w:tcBorders>
          </w:tcPr>
          <w:p>
            <w:pPr>
              <w:jc w:val="right"/>
              <w:ind w:right="352"/>
              <w:spacing w:after="0"/>
              <w:rPr>
                <w:sz w:val="20"/>
                <w:szCs w:val="20"/>
                <w:color w:val="auto"/>
              </w:rPr>
            </w:pPr>
            <w:r>
              <w:rPr>
                <w:rFonts w:ascii="Arial" w:cs="Arial" w:eastAsia="Arial" w:hAnsi="Arial"/>
                <w:sz w:val="18"/>
                <w:szCs w:val="18"/>
                <w:b w:val="1"/>
                <w:bCs w:val="1"/>
                <w:color w:val="auto"/>
              </w:rPr>
              <w:t>2010</w:t>
            </w:r>
          </w:p>
        </w:tc>
        <w:tc>
          <w:tcPr>
            <w:tcW w:w="800" w:type="dxa"/>
            <w:vAlign w:val="bottom"/>
          </w:tcPr>
          <w:p>
            <w:pPr>
              <w:spacing w:after="0"/>
              <w:rPr>
                <w:sz w:val="18"/>
                <w:szCs w:val="18"/>
                <w:color w:val="auto"/>
              </w:rPr>
            </w:pPr>
          </w:p>
        </w:tc>
        <w:tc>
          <w:tcPr>
            <w:tcW w:w="1240" w:type="dxa"/>
            <w:vAlign w:val="bottom"/>
            <w:tcBorders>
              <w:bottom w:val="single" w:sz="8" w:color="auto"/>
            </w:tcBorders>
          </w:tcPr>
          <w:p>
            <w:pPr>
              <w:jc w:val="right"/>
              <w:ind w:right="352"/>
              <w:spacing w:after="0"/>
              <w:rPr>
                <w:sz w:val="20"/>
                <w:szCs w:val="20"/>
                <w:color w:val="auto"/>
              </w:rPr>
            </w:pPr>
            <w:r>
              <w:rPr>
                <w:rFonts w:ascii="Arial" w:cs="Arial" w:eastAsia="Arial" w:hAnsi="Arial"/>
                <w:sz w:val="18"/>
                <w:szCs w:val="18"/>
                <w:b w:val="1"/>
                <w:bCs w:val="1"/>
                <w:color w:val="auto"/>
              </w:rPr>
              <w:t>2009</w:t>
            </w:r>
          </w:p>
        </w:tc>
        <w:tc>
          <w:tcPr>
            <w:tcW w:w="760" w:type="dxa"/>
            <w:vAlign w:val="bottom"/>
          </w:tcPr>
          <w:p>
            <w:pPr>
              <w:spacing w:after="0"/>
              <w:rPr>
                <w:sz w:val="18"/>
                <w:szCs w:val="18"/>
                <w:color w:val="auto"/>
              </w:rPr>
            </w:pPr>
          </w:p>
        </w:tc>
        <w:tc>
          <w:tcPr>
            <w:tcW w:w="116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b w:val="1"/>
                <w:bCs w:val="1"/>
                <w:color w:val="auto"/>
              </w:rPr>
              <w:t>2010</w:t>
            </w:r>
          </w:p>
        </w:tc>
        <w:tc>
          <w:tcPr>
            <w:tcW w:w="800" w:type="dxa"/>
            <w:vAlign w:val="bottom"/>
          </w:tcPr>
          <w:p>
            <w:pPr>
              <w:spacing w:after="0"/>
              <w:rPr>
                <w:sz w:val="18"/>
                <w:szCs w:val="18"/>
                <w:color w:val="auto"/>
              </w:rPr>
            </w:pPr>
          </w:p>
        </w:tc>
        <w:tc>
          <w:tcPr>
            <w:tcW w:w="120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b w:val="1"/>
                <w:bCs w:val="1"/>
                <w:color w:val="auto"/>
              </w:rPr>
              <w:t>2009</w:t>
            </w:r>
          </w:p>
        </w:tc>
        <w:tc>
          <w:tcPr>
            <w:tcW w:w="220" w:type="dxa"/>
            <w:vAlign w:val="bottom"/>
          </w:tcPr>
          <w:p>
            <w:pPr>
              <w:spacing w:after="0"/>
              <w:rPr>
                <w:sz w:val="18"/>
                <w:szCs w:val="18"/>
                <w:color w:val="auto"/>
              </w:rPr>
            </w:pPr>
          </w:p>
        </w:tc>
      </w:tr>
      <w:tr>
        <w:trPr>
          <w:trHeight w:val="210"/>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124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rPr>
              <w:t>-</w:t>
            </w:r>
          </w:p>
        </w:tc>
        <w:tc>
          <w:tcPr>
            <w:tcW w:w="2040" w:type="dxa"/>
            <w:vAlign w:val="bottom"/>
            <w:gridSpan w:val="2"/>
            <w:shd w:val="clear" w:color="auto" w:fill="CCEEFF"/>
          </w:tcPr>
          <w:p>
            <w:pPr>
              <w:ind w:left="1640"/>
              <w:spacing w:after="0"/>
              <w:rPr>
                <w:sz w:val="20"/>
                <w:szCs w:val="20"/>
                <w:color w:val="auto"/>
              </w:rPr>
            </w:pPr>
            <w:r>
              <w:rPr>
                <w:rFonts w:ascii="Arial" w:cs="Arial" w:eastAsia="Arial" w:hAnsi="Arial"/>
                <w:sz w:val="18"/>
                <w:szCs w:val="18"/>
                <w:color w:val="auto"/>
              </w:rPr>
              <w:t>-</w:t>
            </w:r>
          </w:p>
        </w:tc>
        <w:tc>
          <w:tcPr>
            <w:tcW w:w="1920" w:type="dxa"/>
            <w:vAlign w:val="bottom"/>
            <w:gridSpan w:val="2"/>
            <w:shd w:val="clear" w:color="auto" w:fill="CCEEFF"/>
          </w:tcPr>
          <w:p>
            <w:pPr>
              <w:jc w:val="right"/>
              <w:ind w:right="272"/>
              <w:spacing w:after="0"/>
              <w:rPr>
                <w:sz w:val="20"/>
                <w:szCs w:val="20"/>
                <w:color w:val="auto"/>
              </w:rPr>
            </w:pPr>
            <w:r>
              <w:rPr>
                <w:rFonts w:ascii="Arial" w:cs="Arial" w:eastAsia="Arial" w:hAnsi="Arial"/>
                <w:sz w:val="18"/>
                <w:szCs w:val="18"/>
                <w:color w:val="auto"/>
              </w:rPr>
              <w:t>-</w:t>
            </w:r>
          </w:p>
        </w:tc>
        <w:tc>
          <w:tcPr>
            <w:tcW w:w="2000" w:type="dxa"/>
            <w:vAlign w:val="bottom"/>
            <w:gridSpan w:val="2"/>
            <w:shd w:val="clear" w:color="auto" w:fill="CCEEFF"/>
          </w:tcPr>
          <w:p>
            <w:pPr>
              <w:jc w:val="right"/>
              <w:ind w:right="252"/>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Expected volatility</w:t>
            </w:r>
          </w:p>
        </w:tc>
        <w:tc>
          <w:tcPr>
            <w:tcW w:w="1240" w:type="dxa"/>
            <w:vAlign w:val="bottom"/>
          </w:tcPr>
          <w:p>
            <w:pPr>
              <w:jc w:val="right"/>
              <w:spacing w:after="0"/>
              <w:rPr>
                <w:sz w:val="20"/>
                <w:szCs w:val="20"/>
                <w:color w:val="auto"/>
              </w:rPr>
            </w:pPr>
            <w:r>
              <w:rPr>
                <w:rFonts w:ascii="Arial" w:cs="Arial" w:eastAsia="Arial" w:hAnsi="Arial"/>
                <w:sz w:val="18"/>
                <w:szCs w:val="18"/>
                <w:color w:val="auto"/>
              </w:rPr>
              <w:t>42.6%</w:t>
            </w:r>
          </w:p>
        </w:tc>
        <w:tc>
          <w:tcPr>
            <w:tcW w:w="2040" w:type="dxa"/>
            <w:vAlign w:val="bottom"/>
            <w:gridSpan w:val="2"/>
          </w:tcPr>
          <w:p>
            <w:pPr>
              <w:jc w:val="right"/>
              <w:spacing w:after="0"/>
              <w:rPr>
                <w:sz w:val="20"/>
                <w:szCs w:val="20"/>
                <w:color w:val="auto"/>
              </w:rPr>
            </w:pPr>
            <w:r>
              <w:rPr>
                <w:rFonts w:ascii="Arial" w:cs="Arial" w:eastAsia="Arial" w:hAnsi="Arial"/>
                <w:sz w:val="18"/>
                <w:szCs w:val="18"/>
                <w:color w:val="auto"/>
              </w:rPr>
              <w:t>51.9%</w:t>
            </w:r>
          </w:p>
        </w:tc>
        <w:tc>
          <w:tcPr>
            <w:tcW w:w="1920" w:type="dxa"/>
            <w:vAlign w:val="bottom"/>
            <w:gridSpan w:val="2"/>
          </w:tcPr>
          <w:p>
            <w:pPr>
              <w:jc w:val="right"/>
              <w:spacing w:after="0"/>
              <w:rPr>
                <w:sz w:val="20"/>
                <w:szCs w:val="20"/>
                <w:color w:val="auto"/>
              </w:rPr>
            </w:pPr>
            <w:r>
              <w:rPr>
                <w:rFonts w:ascii="Arial" w:cs="Arial" w:eastAsia="Arial" w:hAnsi="Arial"/>
                <w:sz w:val="18"/>
                <w:szCs w:val="18"/>
                <w:color w:val="auto"/>
              </w:rPr>
              <w:t>36.0%</w:t>
            </w:r>
          </w:p>
        </w:tc>
        <w:tc>
          <w:tcPr>
            <w:tcW w:w="2000" w:type="dxa"/>
            <w:vAlign w:val="bottom"/>
            <w:gridSpan w:val="2"/>
          </w:tcPr>
          <w:p>
            <w:pPr>
              <w:jc w:val="right"/>
              <w:spacing w:after="0"/>
              <w:rPr>
                <w:sz w:val="20"/>
                <w:szCs w:val="20"/>
                <w:color w:val="auto"/>
              </w:rPr>
            </w:pPr>
            <w:r>
              <w:rPr>
                <w:rFonts w:ascii="Arial" w:cs="Arial" w:eastAsia="Arial" w:hAnsi="Arial"/>
                <w:sz w:val="18"/>
                <w:szCs w:val="18"/>
                <w:color w:val="auto"/>
              </w:rPr>
              <w:t>75.8%</w:t>
            </w:r>
          </w:p>
        </w:tc>
        <w:tc>
          <w:tcPr>
            <w:tcW w:w="220" w:type="dxa"/>
            <w:vAlign w:val="bottom"/>
          </w:tcPr>
          <w:p>
            <w:pPr>
              <w:spacing w:after="0"/>
              <w:rPr>
                <w:sz w:val="18"/>
                <w:szCs w:val="18"/>
                <w:color w:val="auto"/>
              </w:rPr>
            </w:pPr>
          </w:p>
        </w:tc>
      </w:tr>
      <w:tr>
        <w:trPr>
          <w:trHeight w:val="216"/>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2040" w:type="dxa"/>
            <w:vAlign w:val="bottom"/>
            <w:gridSpan w:val="2"/>
            <w:shd w:val="clear" w:color="auto" w:fill="CCEEFF"/>
          </w:tcPr>
          <w:p>
            <w:pPr>
              <w:ind w:left="1640"/>
              <w:spacing w:after="0"/>
              <w:rPr>
                <w:sz w:val="20"/>
                <w:szCs w:val="20"/>
                <w:color w:val="auto"/>
              </w:rPr>
            </w:pPr>
            <w:r>
              <w:rPr>
                <w:rFonts w:ascii="Arial" w:cs="Arial" w:eastAsia="Arial" w:hAnsi="Arial"/>
                <w:sz w:val="18"/>
                <w:szCs w:val="18"/>
                <w:color w:val="auto"/>
                <w:w w:val="92"/>
              </w:rPr>
              <w:t>0.2%</w:t>
            </w:r>
          </w:p>
        </w:tc>
        <w:tc>
          <w:tcPr>
            <w:tcW w:w="1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220" w:type="dxa"/>
            <w:vAlign w:val="bottom"/>
            <w:shd w:val="clear" w:color="auto" w:fill="CCEEFF"/>
          </w:tcPr>
          <w:p>
            <w:pPr>
              <w:spacing w:after="0"/>
              <w:rPr>
                <w:sz w:val="18"/>
                <w:szCs w:val="18"/>
                <w:color w:val="auto"/>
              </w:rPr>
            </w:pPr>
          </w:p>
        </w:tc>
      </w:tr>
      <w:tr>
        <w:trPr>
          <w:trHeight w:val="222"/>
        </w:trPr>
        <w:tc>
          <w:tcPr>
            <w:tcW w:w="4000" w:type="dxa"/>
            <w:vAlign w:val="bottom"/>
          </w:tcPr>
          <w:p>
            <w:pPr>
              <w:spacing w:after="0"/>
              <w:rPr>
                <w:sz w:val="20"/>
                <w:szCs w:val="20"/>
                <w:color w:val="auto"/>
              </w:rPr>
            </w:pPr>
            <w:r>
              <w:rPr>
                <w:rFonts w:ascii="Arial" w:cs="Arial" w:eastAsia="Arial" w:hAnsi="Arial"/>
                <w:sz w:val="18"/>
                <w:szCs w:val="18"/>
                <w:color w:val="auto"/>
              </w:rPr>
              <w:t>Expected life (years)</w:t>
            </w:r>
          </w:p>
        </w:tc>
        <w:tc>
          <w:tcPr>
            <w:tcW w:w="1240" w:type="dxa"/>
            <w:vAlign w:val="bottom"/>
          </w:tcPr>
          <w:p>
            <w:pPr>
              <w:jc w:val="right"/>
              <w:ind w:right="52"/>
              <w:spacing w:after="0"/>
              <w:rPr>
                <w:sz w:val="20"/>
                <w:szCs w:val="20"/>
                <w:color w:val="auto"/>
              </w:rPr>
            </w:pPr>
            <w:r>
              <w:rPr>
                <w:rFonts w:ascii="Arial" w:cs="Arial" w:eastAsia="Arial" w:hAnsi="Arial"/>
                <w:sz w:val="18"/>
                <w:szCs w:val="18"/>
                <w:color w:val="auto"/>
              </w:rPr>
              <w:t>0.25</w:t>
            </w:r>
          </w:p>
        </w:tc>
        <w:tc>
          <w:tcPr>
            <w:tcW w:w="2040" w:type="dxa"/>
            <w:vAlign w:val="bottom"/>
            <w:gridSpan w:val="2"/>
          </w:tcPr>
          <w:p>
            <w:pPr>
              <w:jc w:val="right"/>
              <w:ind w:right="32"/>
              <w:spacing w:after="0"/>
              <w:rPr>
                <w:sz w:val="20"/>
                <w:szCs w:val="20"/>
                <w:color w:val="auto"/>
              </w:rPr>
            </w:pPr>
            <w:r>
              <w:rPr>
                <w:rFonts w:ascii="Arial" w:cs="Arial" w:eastAsia="Arial" w:hAnsi="Arial"/>
                <w:sz w:val="18"/>
                <w:szCs w:val="18"/>
                <w:color w:val="auto"/>
              </w:rPr>
              <w:t>0.25</w:t>
            </w:r>
          </w:p>
        </w:tc>
        <w:tc>
          <w:tcPr>
            <w:tcW w:w="1920" w:type="dxa"/>
            <w:vAlign w:val="bottom"/>
            <w:gridSpan w:val="2"/>
          </w:tcPr>
          <w:p>
            <w:pPr>
              <w:jc w:val="right"/>
              <w:ind w:right="52"/>
              <w:spacing w:after="0"/>
              <w:rPr>
                <w:sz w:val="20"/>
                <w:szCs w:val="20"/>
                <w:color w:val="auto"/>
              </w:rPr>
            </w:pPr>
            <w:r>
              <w:rPr>
                <w:rFonts w:ascii="Arial" w:cs="Arial" w:eastAsia="Arial" w:hAnsi="Arial"/>
                <w:sz w:val="18"/>
                <w:szCs w:val="18"/>
                <w:color w:val="auto"/>
              </w:rPr>
              <w:t>0.25</w:t>
            </w:r>
          </w:p>
        </w:tc>
        <w:tc>
          <w:tcPr>
            <w:tcW w:w="2000" w:type="dxa"/>
            <w:vAlign w:val="bottom"/>
            <w:gridSpan w:val="2"/>
          </w:tcPr>
          <w:p>
            <w:pPr>
              <w:jc w:val="right"/>
              <w:ind w:right="32"/>
              <w:spacing w:after="0"/>
              <w:rPr>
                <w:sz w:val="20"/>
                <w:szCs w:val="20"/>
                <w:color w:val="auto"/>
              </w:rPr>
            </w:pPr>
            <w:r>
              <w:rPr>
                <w:rFonts w:ascii="Arial" w:cs="Arial" w:eastAsia="Arial" w:hAnsi="Arial"/>
                <w:sz w:val="18"/>
                <w:szCs w:val="18"/>
                <w:color w:val="auto"/>
              </w:rPr>
              <w:t>0.25</w:t>
            </w:r>
          </w:p>
        </w:tc>
        <w:tc>
          <w:tcPr>
            <w:tcW w:w="220" w:type="dxa"/>
            <w:vAlign w:val="bottom"/>
          </w:tcPr>
          <w:p>
            <w:pPr>
              <w:spacing w:after="0"/>
              <w:rPr>
                <w:sz w:val="19"/>
                <w:szCs w:val="19"/>
                <w:color w:val="auto"/>
              </w:rPr>
            </w:pPr>
          </w:p>
        </w:tc>
      </w:tr>
    </w:tbl>
    <w:p>
      <w:pPr>
        <w:spacing w:after="0" w:line="174" w:lineRule="exact"/>
        <w:rPr>
          <w:sz w:val="20"/>
          <w:szCs w:val="20"/>
          <w:color w:val="auto"/>
        </w:rPr>
      </w:pPr>
    </w:p>
    <w:p>
      <w:pPr>
        <w:spacing w:after="0"/>
        <w:rPr>
          <w:sz w:val="20"/>
          <w:szCs w:val="20"/>
          <w:color w:val="auto"/>
        </w:rPr>
      </w:pPr>
      <w:r>
        <w:rPr>
          <w:rFonts w:ascii="Arial" w:cs="Arial" w:eastAsia="Arial" w:hAnsi="Arial"/>
          <w:sz w:val="11"/>
          <w:szCs w:val="11"/>
          <w:color w:val="auto"/>
        </w:rPr>
        <w:t>(1)</w:t>
      </w:r>
      <w:r>
        <w:rPr>
          <w:rFonts w:ascii="Arial" w:cs="Arial" w:eastAsia="Arial" w:hAnsi="Arial"/>
          <w:sz w:val="17"/>
          <w:szCs w:val="17"/>
          <w:color w:val="auto"/>
        </w:rPr>
        <w:t>There were no employee stock options issued for the three months ended September 30, 2010 and 2009.</w:t>
      </w:r>
    </w:p>
    <w:p>
      <w:pPr>
        <w:spacing w:after="0" w:line="19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Expected volatility is based on a combination of historical volatility of our common stock and the implied volatility of our traded options for the related expected life period. We believe this combined approach is reflective of current and historical market conditions and an appropriate indicator of expected volatility. The risk-free interest rate is the rate available as of the award date on zero-coupon U.S. government issues with a term equal to the expected life of the award. The expected life is the weighted average expected life of an award based on the period of time between the date the award is granted and the date an estimate of the award is fully exercised. Factors considered in estimating the expected life include historical experience of similar awards, contractual terms, vesting schedules, and expectations of future employee behavior. We have not paid dividends in the past and do not plan to pay dividends in the foreseeable future.</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22</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Subject to stock splits, dividends, and other similar events, 3,500,000 shares of common stock are reserved and authorized for issuance under our 2010 Stock Incentive Plan (Stock Incentive Plan). Awards consist of stock options, restricted stock units, restricted stock awards, and unrestricted stock awards. At September 30, 2010, shares available for issuance under the Stock Incentive Plan were 2,946,065.</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Stock Options</w:t>
      </w:r>
    </w:p>
    <w:p>
      <w:pPr>
        <w:spacing w:after="0" w:line="9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Options to purchase our common stock are granted to employees and the Board of Directors with an exercise price equal to the market close price of the stock on the date the Board of Directors approves the grant. Options generally become exercisable in three equal annual installments beginning one year from the date of grant and generally expire 10 years from the date of grant. Compensation expense is recognized only for those options expected to vest, with forfeitures estimated based on our historical experience and future expectations.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A summary of our stock option activity for the nine months ended September 30 is as follows: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jc w:val="center"/>
              <w:ind w:right="132"/>
              <w:spacing w:after="0"/>
              <w:rPr>
                <w:sz w:val="20"/>
                <w:szCs w:val="20"/>
                <w:color w:val="auto"/>
              </w:rPr>
            </w:pPr>
            <w:r>
              <w:rPr>
                <w:rFonts w:ascii="Arial" w:cs="Arial" w:eastAsia="Arial" w:hAnsi="Arial"/>
                <w:sz w:val="18"/>
                <w:szCs w:val="18"/>
                <w:b w:val="1"/>
                <w:bCs w:val="1"/>
                <w:color w:val="auto"/>
                <w:w w:val="88"/>
              </w:rPr>
              <w:t>Weighted</w:t>
            </w:r>
          </w:p>
        </w:tc>
        <w:tc>
          <w:tcPr>
            <w:tcW w:w="60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86"/>
              </w:rPr>
              <w:t>Weighted Average</w:t>
            </w: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center"/>
              <w:ind w:right="92"/>
              <w:spacing w:after="0"/>
              <w:rPr>
                <w:sz w:val="20"/>
                <w:szCs w:val="20"/>
                <w:color w:val="auto"/>
              </w:rPr>
            </w:pPr>
            <w:r>
              <w:rPr>
                <w:rFonts w:ascii="Arial" w:cs="Arial" w:eastAsia="Arial" w:hAnsi="Arial"/>
                <w:sz w:val="18"/>
                <w:szCs w:val="18"/>
                <w:b w:val="1"/>
                <w:bCs w:val="1"/>
                <w:color w:val="auto"/>
                <w:w w:val="85"/>
              </w:rPr>
              <w:t>Aggregate</w:t>
            </w: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6"/>
              </w:rPr>
              <w:t>Weighted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80" w:type="dxa"/>
            <w:vAlign w:val="bottom"/>
            <w:gridSpan w:val="2"/>
          </w:tcPr>
          <w:p>
            <w:pPr>
              <w:jc w:val="center"/>
              <w:spacing w:after="0"/>
              <w:rPr>
                <w:sz w:val="20"/>
                <w:szCs w:val="20"/>
                <w:color w:val="auto"/>
              </w:rPr>
            </w:pPr>
            <w:r>
              <w:rPr>
                <w:rFonts w:ascii="Arial" w:cs="Arial" w:eastAsia="Arial" w:hAnsi="Arial"/>
                <w:sz w:val="18"/>
                <w:szCs w:val="18"/>
                <w:b w:val="1"/>
                <w:bCs w:val="1"/>
                <w:color w:val="auto"/>
                <w:w w:val="85"/>
              </w:rPr>
              <w:t>Average Exercise</w:t>
            </w:r>
          </w:p>
        </w:tc>
        <w:tc>
          <w:tcPr>
            <w:tcW w:w="60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89"/>
              </w:rPr>
              <w:t>Remaining</w:t>
            </w: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center"/>
              <w:ind w:right="92"/>
              <w:spacing w:after="0"/>
              <w:rPr>
                <w:sz w:val="20"/>
                <w:szCs w:val="20"/>
                <w:color w:val="auto"/>
              </w:rPr>
            </w:pPr>
            <w:r>
              <w:rPr>
                <w:rFonts w:ascii="Arial" w:cs="Arial" w:eastAsia="Arial" w:hAnsi="Arial"/>
                <w:sz w:val="18"/>
                <w:szCs w:val="18"/>
                <w:b w:val="1"/>
                <w:bCs w:val="1"/>
                <w:color w:val="auto"/>
                <w:w w:val="91"/>
              </w:rPr>
              <w:t>Intrinsic</w:t>
            </w:r>
          </w:p>
        </w:tc>
        <w:tc>
          <w:tcPr>
            <w:tcW w:w="580" w:type="dxa"/>
            <w:vAlign w:val="bottom"/>
          </w:tcPr>
          <w:p>
            <w:pPr>
              <w:spacing w:after="0"/>
              <w:rPr>
                <w:sz w:val="18"/>
                <w:szCs w:val="18"/>
                <w:color w:val="auto"/>
              </w:rPr>
            </w:pPr>
          </w:p>
        </w:tc>
        <w:tc>
          <w:tcPr>
            <w:tcW w:w="128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8"/>
              </w:rPr>
              <w:t>Average Grant</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1160" w:type="dxa"/>
            <w:vAlign w:val="bottom"/>
          </w:tcPr>
          <w:p>
            <w:pPr>
              <w:jc w:val="right"/>
              <w:ind w:right="252"/>
              <w:spacing w:after="0"/>
              <w:rPr>
                <w:sz w:val="20"/>
                <w:szCs w:val="20"/>
                <w:color w:val="auto"/>
              </w:rPr>
            </w:pPr>
            <w:r>
              <w:rPr>
                <w:rFonts w:ascii="Arial" w:cs="Arial" w:eastAsia="Arial" w:hAnsi="Arial"/>
                <w:sz w:val="18"/>
                <w:szCs w:val="18"/>
                <w:b w:val="1"/>
                <w:bCs w:val="1"/>
                <w:color w:val="auto"/>
              </w:rPr>
              <w:t>Shares</w:t>
            </w:r>
          </w:p>
        </w:tc>
        <w:tc>
          <w:tcPr>
            <w:tcW w:w="580" w:type="dxa"/>
            <w:vAlign w:val="bottom"/>
          </w:tcPr>
          <w:p>
            <w:pPr>
              <w:spacing w:after="0"/>
              <w:rPr>
                <w:sz w:val="19"/>
                <w:szCs w:val="19"/>
                <w:color w:val="auto"/>
              </w:rPr>
            </w:pPr>
          </w:p>
        </w:tc>
        <w:tc>
          <w:tcPr>
            <w:tcW w:w="1280" w:type="dxa"/>
            <w:vAlign w:val="bottom"/>
            <w:gridSpan w:val="2"/>
          </w:tcPr>
          <w:p>
            <w:pPr>
              <w:jc w:val="center"/>
              <w:spacing w:after="0"/>
              <w:rPr>
                <w:sz w:val="20"/>
                <w:szCs w:val="20"/>
                <w:color w:val="auto"/>
              </w:rPr>
            </w:pPr>
            <w:r>
              <w:rPr>
                <w:rFonts w:ascii="Arial" w:cs="Arial" w:eastAsia="Arial" w:hAnsi="Arial"/>
                <w:sz w:val="18"/>
                <w:szCs w:val="18"/>
                <w:b w:val="1"/>
                <w:bCs w:val="1"/>
                <w:color w:val="auto"/>
                <w:w w:val="87"/>
              </w:rPr>
              <w:t>Price per Share</w:t>
            </w:r>
          </w:p>
        </w:tc>
        <w:tc>
          <w:tcPr>
            <w:tcW w:w="600" w:type="dxa"/>
            <w:vAlign w:val="bottom"/>
          </w:tcPr>
          <w:p>
            <w:pPr>
              <w:spacing w:after="0"/>
              <w:rPr>
                <w:sz w:val="19"/>
                <w:szCs w:val="19"/>
                <w:color w:val="auto"/>
              </w:rPr>
            </w:pP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91"/>
              </w:rPr>
              <w:t>Contractual Life</w:t>
            </w: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center"/>
              <w:ind w:right="92"/>
              <w:spacing w:after="0"/>
              <w:rPr>
                <w:sz w:val="20"/>
                <w:szCs w:val="20"/>
                <w:color w:val="auto"/>
              </w:rPr>
            </w:pPr>
            <w:r>
              <w:rPr>
                <w:rFonts w:ascii="Arial" w:cs="Arial" w:eastAsia="Arial" w:hAnsi="Arial"/>
                <w:sz w:val="18"/>
                <w:szCs w:val="18"/>
                <w:b w:val="1"/>
                <w:bCs w:val="1"/>
                <w:color w:val="auto"/>
                <w:w w:val="90"/>
              </w:rPr>
              <w:t xml:space="preserve">Value </w:t>
            </w:r>
            <w:r>
              <w:rPr>
                <w:rFonts w:ascii="Arial" w:cs="Arial" w:eastAsia="Arial" w:hAnsi="Arial"/>
                <w:sz w:val="11"/>
                <w:szCs w:val="11"/>
                <w:b w:val="1"/>
                <w:bCs w:val="1"/>
                <w:color w:val="auto"/>
                <w:w w:val="90"/>
              </w:rPr>
              <w:t>(1)</w:t>
            </w:r>
          </w:p>
        </w:tc>
        <w:tc>
          <w:tcPr>
            <w:tcW w:w="580" w:type="dxa"/>
            <w:vAlign w:val="bottom"/>
          </w:tcPr>
          <w:p>
            <w:pPr>
              <w:spacing w:after="0"/>
              <w:rPr>
                <w:sz w:val="19"/>
                <w:szCs w:val="19"/>
                <w:color w:val="auto"/>
              </w:rPr>
            </w:pPr>
          </w:p>
        </w:tc>
        <w:tc>
          <w:tcPr>
            <w:tcW w:w="128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w w:val="89"/>
              </w:rPr>
              <w:t>Date Fair Value</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0"/>
              </w:rPr>
              <w:t>(in thousands)</w:t>
            </w:r>
          </w:p>
        </w:tc>
        <w:tc>
          <w:tcPr>
            <w:tcW w:w="5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600" w:type="dxa"/>
            <w:vAlign w:val="bottom"/>
          </w:tcPr>
          <w:p>
            <w:pPr>
              <w:spacing w:after="0"/>
              <w:rPr>
                <w:sz w:val="18"/>
                <w:szCs w:val="18"/>
                <w:color w:val="auto"/>
              </w:rPr>
            </w:pPr>
          </w:p>
        </w:tc>
        <w:tc>
          <w:tcPr>
            <w:tcW w:w="136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(years)</w:t>
            </w:r>
          </w:p>
        </w:tc>
        <w:tc>
          <w:tcPr>
            <w:tcW w:w="580" w:type="dxa"/>
            <w:vAlign w:val="bottom"/>
          </w:tcPr>
          <w:p>
            <w:pPr>
              <w:spacing w:after="0"/>
              <w:rPr>
                <w:sz w:val="18"/>
                <w:szCs w:val="18"/>
                <w:color w:val="auto"/>
              </w:rPr>
            </w:pPr>
          </w:p>
        </w:tc>
        <w:tc>
          <w:tcPr>
            <w:tcW w:w="1160" w:type="dxa"/>
            <w:vAlign w:val="bottom"/>
            <w:tcBorders>
              <w:top w:val="single" w:sz="8" w:color="auto"/>
            </w:tcBorders>
            <w:gridSpan w:val="2"/>
          </w:tcPr>
          <w:p>
            <w:pPr>
              <w:ind w:left="80"/>
              <w:spacing w:after="0"/>
              <w:rPr>
                <w:sz w:val="20"/>
                <w:szCs w:val="20"/>
                <w:color w:val="auto"/>
              </w:rPr>
            </w:pPr>
            <w:r>
              <w:rPr>
                <w:rFonts w:ascii="Arial" w:cs="Arial" w:eastAsia="Arial" w:hAnsi="Arial"/>
                <w:sz w:val="18"/>
                <w:szCs w:val="18"/>
                <w:b w:val="1"/>
                <w:bCs w:val="1"/>
                <w:color w:val="auto"/>
                <w:w w:val="85"/>
              </w:rPr>
              <w:t>(in thousands)</w:t>
            </w:r>
          </w:p>
        </w:tc>
        <w:tc>
          <w:tcPr>
            <w:tcW w:w="5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Outstanding, January 1, 2009</w:t>
            </w:r>
          </w:p>
        </w:tc>
        <w:tc>
          <w:tcPr>
            <w:tcW w:w="11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1,374</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51.53</w:t>
            </w:r>
          </w:p>
        </w:tc>
        <w:tc>
          <w:tcPr>
            <w:tcW w:w="196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6.99</w:t>
            </w:r>
          </w:p>
        </w:tc>
        <w:tc>
          <w:tcPr>
            <w:tcW w:w="76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25,809</w:t>
            </w: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tcPr>
          <w:p>
            <w:pPr>
              <w:ind w:left="420"/>
              <w:spacing w:after="0"/>
              <w:rPr>
                <w:sz w:val="20"/>
                <w:szCs w:val="20"/>
                <w:color w:val="auto"/>
              </w:rPr>
            </w:pPr>
            <w:r>
              <w:rPr>
                <w:rFonts w:ascii="Arial" w:cs="Arial" w:eastAsia="Arial" w:hAnsi="Arial"/>
                <w:sz w:val="18"/>
                <w:szCs w:val="18"/>
                <w:color w:val="auto"/>
              </w:rPr>
              <w:t>Granted</w:t>
            </w:r>
          </w:p>
        </w:tc>
        <w:tc>
          <w:tcPr>
            <w:tcW w:w="1160" w:type="dxa"/>
            <w:vAlign w:val="bottom"/>
          </w:tcPr>
          <w:p>
            <w:pPr>
              <w:jc w:val="right"/>
              <w:ind w:right="52"/>
              <w:spacing w:after="0"/>
              <w:rPr>
                <w:sz w:val="20"/>
                <w:szCs w:val="20"/>
                <w:color w:val="auto"/>
              </w:rPr>
            </w:pPr>
            <w:r>
              <w:rPr>
                <w:rFonts w:ascii="Arial" w:cs="Arial" w:eastAsia="Arial" w:hAnsi="Arial"/>
                <w:sz w:val="18"/>
                <w:szCs w:val="18"/>
                <w:color w:val="auto"/>
              </w:rPr>
              <w:t>50</w:t>
            </w: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57.96</w:t>
            </w:r>
          </w:p>
        </w:tc>
        <w:tc>
          <w:tcPr>
            <w:tcW w:w="6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25.94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Exercised</w:t>
            </w:r>
          </w:p>
        </w:tc>
        <w:tc>
          <w:tcPr>
            <w:tcW w:w="11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(134)</w:t>
            </w: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20.20</w:t>
            </w:r>
          </w:p>
        </w:tc>
        <w:tc>
          <w:tcPr>
            <w:tcW w:w="6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4,565</w:t>
            </w: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tcPr>
          <w:p>
            <w:pPr>
              <w:ind w:left="420"/>
              <w:spacing w:after="0"/>
              <w:rPr>
                <w:sz w:val="20"/>
                <w:szCs w:val="20"/>
                <w:color w:val="auto"/>
              </w:rPr>
            </w:pPr>
            <w:r>
              <w:rPr>
                <w:rFonts w:ascii="Arial" w:cs="Arial" w:eastAsia="Arial" w:hAnsi="Arial"/>
                <w:sz w:val="18"/>
                <w:szCs w:val="18"/>
                <w:color w:val="auto"/>
              </w:rPr>
              <w:t>Forfeited</w:t>
            </w: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(18)</w:t>
            </w: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58.98</w:t>
            </w:r>
          </w:p>
        </w:tc>
        <w:tc>
          <w:tcPr>
            <w:tcW w:w="6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Expired</w:t>
            </w:r>
          </w:p>
        </w:tc>
        <w:tc>
          <w:tcPr>
            <w:tcW w:w="11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(7)</w:t>
            </w: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57.23</w:t>
            </w:r>
          </w:p>
        </w:tc>
        <w:tc>
          <w:tcPr>
            <w:tcW w:w="6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840" w:type="dxa"/>
            <w:vAlign w:val="bottom"/>
            <w:gridSpan w:val="2"/>
          </w:tcPr>
          <w:p>
            <w:pPr>
              <w:spacing w:after="0"/>
              <w:rPr>
                <w:sz w:val="20"/>
                <w:szCs w:val="20"/>
                <w:color w:val="auto"/>
              </w:rPr>
            </w:pPr>
            <w:r>
              <w:rPr>
                <w:rFonts w:ascii="Arial" w:cs="Arial" w:eastAsia="Arial" w:hAnsi="Arial"/>
                <w:sz w:val="18"/>
                <w:szCs w:val="18"/>
                <w:color w:val="auto"/>
              </w:rPr>
              <w:t>Outstanding, September 30,</w:t>
            </w:r>
          </w:p>
        </w:tc>
        <w:tc>
          <w:tcPr>
            <w:tcW w:w="1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840" w:type="dxa"/>
            <w:vAlign w:val="bottom"/>
            <w:gridSpan w:val="2"/>
          </w:tcPr>
          <w:p>
            <w:pPr>
              <w:ind w:left="220"/>
              <w:spacing w:after="0"/>
              <w:rPr>
                <w:sz w:val="20"/>
                <w:szCs w:val="20"/>
                <w:color w:val="auto"/>
              </w:rPr>
            </w:pPr>
            <w:r>
              <w:rPr>
                <w:rFonts w:ascii="Arial" w:cs="Arial" w:eastAsia="Arial" w:hAnsi="Arial"/>
                <w:sz w:val="18"/>
                <w:szCs w:val="18"/>
                <w:color w:val="auto"/>
              </w:rPr>
              <w:t>2009</w:t>
            </w:r>
          </w:p>
        </w:tc>
        <w:tc>
          <w:tcPr>
            <w:tcW w:w="1160" w:type="dxa"/>
            <w:vAlign w:val="bottom"/>
          </w:tcPr>
          <w:p>
            <w:pPr>
              <w:jc w:val="right"/>
              <w:ind w:right="52"/>
              <w:spacing w:after="0"/>
              <w:rPr>
                <w:sz w:val="20"/>
                <w:szCs w:val="20"/>
                <w:color w:val="auto"/>
              </w:rPr>
            </w:pPr>
            <w:r>
              <w:rPr>
                <w:rFonts w:ascii="Arial" w:cs="Arial" w:eastAsia="Arial" w:hAnsi="Arial"/>
                <w:sz w:val="18"/>
                <w:szCs w:val="18"/>
                <w:color w:val="auto"/>
              </w:rPr>
              <w:t>1,265</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54.96</w:t>
            </w:r>
          </w:p>
        </w:tc>
        <w:tc>
          <w:tcPr>
            <w:tcW w:w="1960" w:type="dxa"/>
            <w:vAlign w:val="bottom"/>
            <w:gridSpan w:val="2"/>
          </w:tcPr>
          <w:p>
            <w:pPr>
              <w:jc w:val="right"/>
              <w:ind w:right="12"/>
              <w:spacing w:after="0"/>
              <w:rPr>
                <w:sz w:val="20"/>
                <w:szCs w:val="20"/>
                <w:color w:val="auto"/>
              </w:rPr>
            </w:pPr>
            <w:r>
              <w:rPr>
                <w:rFonts w:ascii="Arial" w:cs="Arial" w:eastAsia="Arial" w:hAnsi="Arial"/>
                <w:sz w:val="18"/>
                <w:szCs w:val="18"/>
                <w:color w:val="auto"/>
              </w:rPr>
              <w:t>6.66</w:t>
            </w:r>
          </w:p>
        </w:tc>
        <w:tc>
          <w:tcPr>
            <w:tcW w:w="760" w:type="dxa"/>
            <w:vAlign w:val="bottom"/>
            <w:gridSpan w:val="2"/>
          </w:tcPr>
          <w:p>
            <w:pPr>
              <w:ind w:left="66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20,408</w:t>
            </w: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28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3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9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9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Exercisable and expected to vest,</w:t>
            </w:r>
          </w:p>
        </w:tc>
        <w:tc>
          <w:tcPr>
            <w:tcW w:w="1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8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September 30, 2009</w:t>
            </w:r>
          </w:p>
        </w:tc>
        <w:tc>
          <w:tcPr>
            <w:tcW w:w="116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1,203</w:t>
            </w:r>
          </w:p>
        </w:tc>
        <w:tc>
          <w:tcPr>
            <w:tcW w:w="5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53.22</w:t>
            </w:r>
          </w:p>
        </w:tc>
        <w:tc>
          <w:tcPr>
            <w:tcW w:w="600" w:type="dxa"/>
            <w:vAlign w:val="bottom"/>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6.56</w:t>
            </w:r>
          </w:p>
        </w:tc>
        <w:tc>
          <w:tcPr>
            <w:tcW w:w="5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20,373</w:t>
            </w:r>
          </w:p>
        </w:tc>
        <w:tc>
          <w:tcPr>
            <w:tcW w:w="5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840" w:type="dxa"/>
            <w:vAlign w:val="bottom"/>
            <w:gridSpan w:val="2"/>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2840" w:type="dxa"/>
            <w:vAlign w:val="bottom"/>
            <w:gridSpan w:val="2"/>
          </w:tcPr>
          <w:p>
            <w:pPr>
              <w:spacing w:after="0"/>
              <w:rPr>
                <w:sz w:val="20"/>
                <w:szCs w:val="20"/>
                <w:color w:val="auto"/>
              </w:rPr>
            </w:pPr>
            <w:r>
              <w:rPr>
                <w:rFonts w:ascii="Arial" w:cs="Arial" w:eastAsia="Arial" w:hAnsi="Arial"/>
                <w:sz w:val="18"/>
                <w:szCs w:val="18"/>
                <w:color w:val="auto"/>
              </w:rPr>
              <w:t>Exercisable, September 30, 2009</w:t>
            </w:r>
          </w:p>
        </w:tc>
        <w:tc>
          <w:tcPr>
            <w:tcW w:w="1160" w:type="dxa"/>
            <w:vAlign w:val="bottom"/>
          </w:tcPr>
          <w:p>
            <w:pPr>
              <w:jc w:val="right"/>
              <w:ind w:right="52"/>
              <w:spacing w:after="0"/>
              <w:rPr>
                <w:sz w:val="20"/>
                <w:szCs w:val="20"/>
                <w:color w:val="auto"/>
              </w:rPr>
            </w:pPr>
            <w:r>
              <w:rPr>
                <w:rFonts w:ascii="Arial" w:cs="Arial" w:eastAsia="Arial" w:hAnsi="Arial"/>
                <w:sz w:val="18"/>
                <w:szCs w:val="18"/>
                <w:color w:val="auto"/>
              </w:rPr>
              <w:t>971</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46.91</w:t>
            </w:r>
          </w:p>
        </w:tc>
        <w:tc>
          <w:tcPr>
            <w:tcW w:w="1960" w:type="dxa"/>
            <w:vAlign w:val="bottom"/>
            <w:gridSpan w:val="2"/>
          </w:tcPr>
          <w:p>
            <w:pPr>
              <w:jc w:val="right"/>
              <w:ind w:right="12"/>
              <w:spacing w:after="0"/>
              <w:rPr>
                <w:sz w:val="20"/>
                <w:szCs w:val="20"/>
                <w:color w:val="auto"/>
              </w:rPr>
            </w:pPr>
            <w:r>
              <w:rPr>
                <w:rFonts w:ascii="Arial" w:cs="Arial" w:eastAsia="Arial" w:hAnsi="Arial"/>
                <w:sz w:val="18"/>
                <w:szCs w:val="18"/>
                <w:color w:val="auto"/>
              </w:rPr>
              <w:t>6.11</w:t>
            </w:r>
          </w:p>
        </w:tc>
        <w:tc>
          <w:tcPr>
            <w:tcW w:w="760" w:type="dxa"/>
            <w:vAlign w:val="bottom"/>
            <w:gridSpan w:val="2"/>
          </w:tcPr>
          <w:p>
            <w:pPr>
              <w:ind w:left="66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20,052</w:t>
            </w: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28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3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9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9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Outstanding, January 1, 2010</w:t>
            </w:r>
          </w:p>
        </w:tc>
        <w:tc>
          <w:tcPr>
            <w:tcW w:w="11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1,179</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52.93</w:t>
            </w:r>
          </w:p>
        </w:tc>
        <w:tc>
          <w:tcPr>
            <w:tcW w:w="196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5.90</w:t>
            </w:r>
          </w:p>
        </w:tc>
        <w:tc>
          <w:tcPr>
            <w:tcW w:w="76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22,863</w:t>
            </w: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tcPr>
          <w:p>
            <w:pPr>
              <w:ind w:left="420"/>
              <w:spacing w:after="0"/>
              <w:rPr>
                <w:sz w:val="20"/>
                <w:szCs w:val="20"/>
                <w:color w:val="auto"/>
              </w:rPr>
            </w:pPr>
            <w:r>
              <w:rPr>
                <w:rFonts w:ascii="Arial" w:cs="Arial" w:eastAsia="Arial" w:hAnsi="Arial"/>
                <w:sz w:val="18"/>
                <w:szCs w:val="18"/>
                <w:color w:val="auto"/>
              </w:rPr>
              <w:t>Granted</w:t>
            </w:r>
          </w:p>
        </w:tc>
        <w:tc>
          <w:tcPr>
            <w:tcW w:w="1160" w:type="dxa"/>
            <w:vAlign w:val="bottom"/>
          </w:tcPr>
          <w:p>
            <w:pPr>
              <w:jc w:val="right"/>
              <w:ind w:right="52"/>
              <w:spacing w:after="0"/>
              <w:rPr>
                <w:sz w:val="20"/>
                <w:szCs w:val="20"/>
                <w:color w:val="auto"/>
              </w:rPr>
            </w:pPr>
            <w:r>
              <w:rPr>
                <w:rFonts w:ascii="Arial" w:cs="Arial" w:eastAsia="Arial" w:hAnsi="Arial"/>
                <w:sz w:val="18"/>
                <w:szCs w:val="18"/>
                <w:color w:val="auto"/>
              </w:rPr>
              <w:t>71</w:t>
            </w: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61.97</w:t>
            </w:r>
          </w:p>
        </w:tc>
        <w:tc>
          <w:tcPr>
            <w:tcW w:w="6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27.18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Exercised</w:t>
            </w:r>
          </w:p>
        </w:tc>
        <w:tc>
          <w:tcPr>
            <w:tcW w:w="11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(144)</w:t>
            </w: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40.82</w:t>
            </w:r>
          </w:p>
        </w:tc>
        <w:tc>
          <w:tcPr>
            <w:tcW w:w="6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4,413</w:t>
            </w: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840" w:type="dxa"/>
            <w:vAlign w:val="bottom"/>
            <w:gridSpan w:val="2"/>
          </w:tcPr>
          <w:p>
            <w:pPr>
              <w:spacing w:after="0"/>
              <w:rPr>
                <w:sz w:val="20"/>
                <w:szCs w:val="20"/>
                <w:color w:val="auto"/>
              </w:rPr>
            </w:pPr>
            <w:r>
              <w:rPr>
                <w:rFonts w:ascii="Arial" w:cs="Arial" w:eastAsia="Arial" w:hAnsi="Arial"/>
                <w:sz w:val="18"/>
                <w:szCs w:val="18"/>
                <w:color w:val="auto"/>
              </w:rPr>
              <w:t>Outstanding, September 30,</w:t>
            </w:r>
          </w:p>
        </w:tc>
        <w:tc>
          <w:tcPr>
            <w:tcW w:w="1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840" w:type="dxa"/>
            <w:vAlign w:val="bottom"/>
            <w:gridSpan w:val="2"/>
          </w:tcPr>
          <w:p>
            <w:pPr>
              <w:ind w:left="220"/>
              <w:spacing w:after="0"/>
              <w:rPr>
                <w:sz w:val="20"/>
                <w:szCs w:val="20"/>
                <w:color w:val="auto"/>
              </w:rPr>
            </w:pPr>
            <w:r>
              <w:rPr>
                <w:rFonts w:ascii="Arial" w:cs="Arial" w:eastAsia="Arial" w:hAnsi="Arial"/>
                <w:sz w:val="18"/>
                <w:szCs w:val="18"/>
                <w:color w:val="auto"/>
              </w:rPr>
              <w:t>2010</w:t>
            </w:r>
          </w:p>
        </w:tc>
        <w:tc>
          <w:tcPr>
            <w:tcW w:w="1160" w:type="dxa"/>
            <w:vAlign w:val="bottom"/>
          </w:tcPr>
          <w:p>
            <w:pPr>
              <w:jc w:val="right"/>
              <w:ind w:right="52"/>
              <w:spacing w:after="0"/>
              <w:rPr>
                <w:sz w:val="20"/>
                <w:szCs w:val="20"/>
                <w:color w:val="auto"/>
              </w:rPr>
            </w:pPr>
            <w:r>
              <w:rPr>
                <w:rFonts w:ascii="Arial" w:cs="Arial" w:eastAsia="Arial" w:hAnsi="Arial"/>
                <w:sz w:val="18"/>
                <w:szCs w:val="18"/>
                <w:color w:val="auto"/>
              </w:rPr>
              <w:t>1,106</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55.11</w:t>
            </w:r>
          </w:p>
        </w:tc>
        <w:tc>
          <w:tcPr>
            <w:tcW w:w="1960" w:type="dxa"/>
            <w:vAlign w:val="bottom"/>
            <w:gridSpan w:val="2"/>
          </w:tcPr>
          <w:p>
            <w:pPr>
              <w:jc w:val="right"/>
              <w:ind w:right="12"/>
              <w:spacing w:after="0"/>
              <w:rPr>
                <w:sz w:val="20"/>
                <w:szCs w:val="20"/>
                <w:color w:val="auto"/>
              </w:rPr>
            </w:pPr>
            <w:r>
              <w:rPr>
                <w:rFonts w:ascii="Arial" w:cs="Arial" w:eastAsia="Arial" w:hAnsi="Arial"/>
                <w:sz w:val="18"/>
                <w:szCs w:val="18"/>
                <w:color w:val="auto"/>
              </w:rPr>
              <w:t>5.83</w:t>
            </w:r>
          </w:p>
        </w:tc>
        <w:tc>
          <w:tcPr>
            <w:tcW w:w="760" w:type="dxa"/>
            <w:vAlign w:val="bottom"/>
            <w:gridSpan w:val="2"/>
          </w:tcPr>
          <w:p>
            <w:pPr>
              <w:ind w:left="66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14,660</w:t>
            </w: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28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3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9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9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Exercisable and expected to vest,</w:t>
            </w:r>
          </w:p>
        </w:tc>
        <w:tc>
          <w:tcPr>
            <w:tcW w:w="1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8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September 30, 2010</w:t>
            </w:r>
          </w:p>
        </w:tc>
        <w:tc>
          <w:tcPr>
            <w:tcW w:w="116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1,096</w:t>
            </w:r>
          </w:p>
        </w:tc>
        <w:tc>
          <w:tcPr>
            <w:tcW w:w="5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54.99</w:t>
            </w:r>
          </w:p>
        </w:tc>
        <w:tc>
          <w:tcPr>
            <w:tcW w:w="600" w:type="dxa"/>
            <w:vAlign w:val="bottom"/>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5.80</w:t>
            </w:r>
          </w:p>
        </w:tc>
        <w:tc>
          <w:tcPr>
            <w:tcW w:w="5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14,449</w:t>
            </w:r>
          </w:p>
        </w:tc>
        <w:tc>
          <w:tcPr>
            <w:tcW w:w="5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840" w:type="dxa"/>
            <w:vAlign w:val="bottom"/>
            <w:gridSpan w:val="2"/>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2840" w:type="dxa"/>
            <w:vAlign w:val="bottom"/>
            <w:gridSpan w:val="2"/>
          </w:tcPr>
          <w:p>
            <w:pPr>
              <w:spacing w:after="0"/>
              <w:rPr>
                <w:sz w:val="20"/>
                <w:szCs w:val="20"/>
                <w:color w:val="auto"/>
              </w:rPr>
            </w:pPr>
            <w:r>
              <w:rPr>
                <w:rFonts w:ascii="Arial" w:cs="Arial" w:eastAsia="Arial" w:hAnsi="Arial"/>
                <w:sz w:val="18"/>
                <w:szCs w:val="18"/>
                <w:color w:val="auto"/>
              </w:rPr>
              <w:t>Exercisable, September 30, 2010</w:t>
            </w:r>
          </w:p>
        </w:tc>
        <w:tc>
          <w:tcPr>
            <w:tcW w:w="1160" w:type="dxa"/>
            <w:vAlign w:val="bottom"/>
          </w:tcPr>
          <w:p>
            <w:pPr>
              <w:jc w:val="right"/>
              <w:ind w:right="52"/>
              <w:spacing w:after="0"/>
              <w:rPr>
                <w:sz w:val="20"/>
                <w:szCs w:val="20"/>
                <w:color w:val="auto"/>
              </w:rPr>
            </w:pPr>
            <w:r>
              <w:rPr>
                <w:rFonts w:ascii="Arial" w:cs="Arial" w:eastAsia="Arial" w:hAnsi="Arial"/>
                <w:sz w:val="18"/>
                <w:szCs w:val="18"/>
                <w:color w:val="auto"/>
              </w:rPr>
              <w:t>952</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52.25</w:t>
            </w:r>
          </w:p>
        </w:tc>
        <w:tc>
          <w:tcPr>
            <w:tcW w:w="1960" w:type="dxa"/>
            <w:vAlign w:val="bottom"/>
            <w:gridSpan w:val="2"/>
          </w:tcPr>
          <w:p>
            <w:pPr>
              <w:jc w:val="right"/>
              <w:ind w:right="12"/>
              <w:spacing w:after="0"/>
              <w:rPr>
                <w:sz w:val="20"/>
                <w:szCs w:val="20"/>
                <w:color w:val="auto"/>
              </w:rPr>
            </w:pPr>
            <w:r>
              <w:rPr>
                <w:rFonts w:ascii="Arial" w:cs="Arial" w:eastAsia="Arial" w:hAnsi="Arial"/>
                <w:sz w:val="18"/>
                <w:szCs w:val="18"/>
                <w:color w:val="auto"/>
              </w:rPr>
              <w:t>5.40</w:t>
            </w:r>
          </w:p>
        </w:tc>
        <w:tc>
          <w:tcPr>
            <w:tcW w:w="760" w:type="dxa"/>
            <w:vAlign w:val="bottom"/>
            <w:gridSpan w:val="2"/>
          </w:tcPr>
          <w:p>
            <w:pPr>
              <w:ind w:left="66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14,551</w:t>
            </w: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jc w:val="both"/>
        <w:ind w:left="220" w:hanging="212"/>
        <w:spacing w:after="0" w:line="235" w:lineRule="auto"/>
        <w:tabs>
          <w:tab w:leader="none" w:pos="220" w:val="left"/>
        </w:tabs>
        <w:numPr>
          <w:ilvl w:val="0"/>
          <w:numId w:val="7"/>
        </w:numPr>
        <w:rPr>
          <w:rFonts w:ascii="Arial" w:cs="Arial" w:eastAsia="Arial" w:hAnsi="Arial"/>
          <w:sz w:val="22"/>
          <w:szCs w:val="22"/>
          <w:color w:val="auto"/>
          <w:vertAlign w:val="superscript"/>
        </w:rPr>
      </w:pPr>
      <w:r>
        <w:rPr>
          <w:rFonts w:ascii="Arial" w:cs="Arial" w:eastAsia="Arial" w:hAnsi="Arial"/>
          <w:sz w:val="18"/>
          <w:szCs w:val="18"/>
          <w:color w:val="auto"/>
        </w:rPr>
        <w:t>The aggregate intrinsic value is the amount by which the market value of the underlying stock exceeded the exercise price of the outstanding options before applicable income taxes, based on the closing stock price on the last business day of the period, which represents amounts that would have been received by the optionees had all options been exercised on that date.</w:t>
      </w:r>
    </w:p>
    <w:p>
      <w:pPr>
        <w:spacing w:after="0" w:line="157"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As of September 30, 2010, total unrecognized stock-based compensation expense related to nonvested stock options was approximately $2.5 million, which is expected to be recognized over a weighted average period of approximately 17 months.</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Restricted Stock Awards</w:t>
      </w:r>
    </w:p>
    <w:p>
      <w:pPr>
        <w:spacing w:after="0" w:line="9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Certain employees and senior management receive restricted stock units or restricted stock awards (collectively, restricted awards) as a component of their total compensation. The fair value of a restricted award is the market close price of our common stock on the date of grant. Restricted awards generally vest over a three year period. Compensation expense, net of forfeitures, is recognized over the vesting period.</w:t>
      </w:r>
    </w:p>
    <w:p>
      <w:pPr>
        <w:spacing w:after="0" w:line="140"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Subsequent to vesting, the restricted awards are converted into shares of our common stock on a one-for-one basis and issued to employees. We are entitled to an income tax deduction in an amount equal to the taxable income reported by the employees upon vesting of the restricted awards.</w:t>
      </w:r>
    </w:p>
    <w:p>
      <w:pPr>
        <w:spacing w:after="0" w:line="5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23</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 restricted awards issued under the Long Term Performance Restricted Stock Unit Award Agreement (Performance Award Agreement) are determined based on the attainment of annual performance goals after the end of the calendar year performance period. During the year, if management determines that it is probable that the targets will be achieved, compensation expense, net of forfeitures, is recognized on a straight-line basis over the annual performance and subsequent vesting period. Performance Awards typically vest and are released in three equal installments at the beginning of each year following attainment of the performance goals. For U.S. participants who retire during the performance period, a pro-rated number of restricted awards (based on the number of days of employment during the performance period) immediately vest based on the attainment of the performance goals as assessed after the end of the performance period. During the vesting period, unvested restricted awards immediately vest at the date of retirement for U.S. participants who retire during that period. For U.S. participants who are or will become retirement eligible during either the annual performance or vesting period, compensation expense is accelerated and recognized over the greater of the performance period (one year) or the participant’s retirement eligible date. For the 2010 Performance Awards, the maximum restricted awards that may become eligible for vesting is 133,000 with a grant date fair value of $61.49.</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restricted award activity for the nine months ended September 30:</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0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ind w:right="232"/>
              <w:spacing w:after="0"/>
              <w:rPr>
                <w:sz w:val="20"/>
                <w:szCs w:val="20"/>
                <w:color w:val="auto"/>
              </w:rPr>
            </w:pPr>
            <w:r>
              <w:rPr>
                <w:rFonts w:ascii="Arial" w:cs="Arial" w:eastAsia="Arial" w:hAnsi="Arial"/>
                <w:sz w:val="18"/>
                <w:szCs w:val="18"/>
                <w:b w:val="1"/>
                <w:bCs w:val="1"/>
                <w:color w:val="auto"/>
                <w:w w:val="96"/>
              </w:rPr>
              <w:t>Weighted</w:t>
            </w: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spacing w:after="0"/>
              <w:rPr>
                <w:sz w:val="18"/>
                <w:szCs w:val="18"/>
                <w:color w:val="auto"/>
              </w:rPr>
            </w:pPr>
          </w:p>
        </w:tc>
        <w:tc>
          <w:tcPr>
            <w:tcW w:w="1560" w:type="dxa"/>
            <w:vAlign w:val="bottom"/>
          </w:tcPr>
          <w:p>
            <w:pPr>
              <w:jc w:val="center"/>
              <w:spacing w:after="0"/>
              <w:rPr>
                <w:sz w:val="20"/>
                <w:szCs w:val="20"/>
                <w:color w:val="auto"/>
              </w:rPr>
            </w:pPr>
            <w:r>
              <w:rPr>
                <w:rFonts w:ascii="Arial" w:cs="Arial" w:eastAsia="Arial" w:hAnsi="Arial"/>
                <w:sz w:val="18"/>
                <w:szCs w:val="18"/>
                <w:b w:val="1"/>
                <w:bCs w:val="1"/>
                <w:color w:val="auto"/>
                <w:w w:val="91"/>
              </w:rPr>
              <w:t>Number of</w:t>
            </w:r>
          </w:p>
        </w:tc>
        <w:tc>
          <w:tcPr>
            <w:tcW w:w="980" w:type="dxa"/>
            <w:vAlign w:val="bottom"/>
          </w:tcPr>
          <w:p>
            <w:pPr>
              <w:spacing w:after="0"/>
              <w:rPr>
                <w:sz w:val="18"/>
                <w:szCs w:val="18"/>
                <w:color w:val="auto"/>
              </w:rPr>
            </w:pPr>
          </w:p>
        </w:tc>
        <w:tc>
          <w:tcPr>
            <w:tcW w:w="1360" w:type="dxa"/>
            <w:vAlign w:val="bottom"/>
            <w:gridSpan w:val="2"/>
          </w:tcPr>
          <w:p>
            <w:pPr>
              <w:jc w:val="right"/>
              <w:ind w:right="32"/>
              <w:spacing w:after="0"/>
              <w:rPr>
                <w:sz w:val="20"/>
                <w:szCs w:val="20"/>
                <w:color w:val="auto"/>
              </w:rPr>
            </w:pPr>
            <w:r>
              <w:rPr>
                <w:rFonts w:ascii="Arial" w:cs="Arial" w:eastAsia="Arial" w:hAnsi="Arial"/>
                <w:sz w:val="18"/>
                <w:szCs w:val="18"/>
                <w:b w:val="1"/>
                <w:bCs w:val="1"/>
                <w:color w:val="auto"/>
                <w:w w:val="98"/>
              </w:rPr>
              <w:t>Average Grant</w:t>
            </w: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gridSpan w:val="2"/>
          </w:tcPr>
          <w:p>
            <w:pPr>
              <w:ind w:left="160"/>
              <w:spacing w:after="0"/>
              <w:rPr>
                <w:sz w:val="20"/>
                <w:szCs w:val="20"/>
                <w:color w:val="auto"/>
              </w:rPr>
            </w:pPr>
            <w:r>
              <w:rPr>
                <w:rFonts w:ascii="Arial" w:cs="Arial" w:eastAsia="Arial" w:hAnsi="Arial"/>
                <w:sz w:val="18"/>
                <w:szCs w:val="18"/>
                <w:b w:val="1"/>
                <w:bCs w:val="1"/>
                <w:color w:val="auto"/>
              </w:rPr>
              <w:t>Aggregate</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000" w:type="dxa"/>
            <w:vAlign w:val="bottom"/>
          </w:tcPr>
          <w:p>
            <w:pPr>
              <w:spacing w:after="0"/>
              <w:rPr>
                <w:sz w:val="19"/>
                <w:szCs w:val="19"/>
                <w:color w:val="auto"/>
              </w:rPr>
            </w:pPr>
          </w:p>
        </w:tc>
        <w:tc>
          <w:tcPr>
            <w:tcW w:w="1560" w:type="dxa"/>
            <w:vAlign w:val="bottom"/>
          </w:tcPr>
          <w:p>
            <w:pPr>
              <w:jc w:val="center"/>
              <w:spacing w:after="0"/>
              <w:rPr>
                <w:sz w:val="20"/>
                <w:szCs w:val="20"/>
                <w:color w:val="auto"/>
              </w:rPr>
            </w:pPr>
            <w:r>
              <w:rPr>
                <w:rFonts w:ascii="Arial" w:cs="Arial" w:eastAsia="Arial" w:hAnsi="Arial"/>
                <w:sz w:val="18"/>
                <w:szCs w:val="18"/>
                <w:b w:val="1"/>
                <w:bCs w:val="1"/>
                <w:color w:val="auto"/>
                <w:w w:val="87"/>
              </w:rPr>
              <w:t>Restricted Awards</w:t>
            </w:r>
          </w:p>
        </w:tc>
        <w:tc>
          <w:tcPr>
            <w:tcW w:w="980" w:type="dxa"/>
            <w:vAlign w:val="bottom"/>
          </w:tcPr>
          <w:p>
            <w:pPr>
              <w:spacing w:after="0"/>
              <w:rPr>
                <w:sz w:val="19"/>
                <w:szCs w:val="19"/>
                <w:color w:val="auto"/>
              </w:rPr>
            </w:pPr>
          </w:p>
        </w:tc>
        <w:tc>
          <w:tcPr>
            <w:tcW w:w="1360" w:type="dxa"/>
            <w:vAlign w:val="bottom"/>
            <w:gridSpan w:val="2"/>
          </w:tcPr>
          <w:p>
            <w:pPr>
              <w:ind w:left="100"/>
              <w:spacing w:after="0"/>
              <w:rPr>
                <w:sz w:val="20"/>
                <w:szCs w:val="20"/>
                <w:color w:val="auto"/>
              </w:rPr>
            </w:pPr>
            <w:r>
              <w:rPr>
                <w:rFonts w:ascii="Arial" w:cs="Arial" w:eastAsia="Arial" w:hAnsi="Arial"/>
                <w:sz w:val="18"/>
                <w:szCs w:val="18"/>
                <w:b w:val="1"/>
                <w:bCs w:val="1"/>
                <w:color w:val="auto"/>
                <w:w w:val="95"/>
              </w:rPr>
              <w:t>Date Fair Value</w:t>
            </w:r>
          </w:p>
        </w:tc>
        <w:tc>
          <w:tcPr>
            <w:tcW w:w="980" w:type="dxa"/>
            <w:vAlign w:val="bottom"/>
          </w:tcPr>
          <w:p>
            <w:pPr>
              <w:spacing w:after="0"/>
              <w:rPr>
                <w:sz w:val="19"/>
                <w:szCs w:val="19"/>
                <w:color w:val="auto"/>
              </w:rPr>
            </w:pPr>
          </w:p>
        </w:tc>
        <w:tc>
          <w:tcPr>
            <w:tcW w:w="1520" w:type="dxa"/>
            <w:vAlign w:val="bottom"/>
            <w:gridSpan w:val="3"/>
          </w:tcPr>
          <w:p>
            <w:pPr>
              <w:ind w:left="100"/>
              <w:spacing w:after="0"/>
              <w:rPr>
                <w:sz w:val="20"/>
                <w:szCs w:val="20"/>
                <w:color w:val="auto"/>
              </w:rPr>
            </w:pPr>
            <w:r>
              <w:rPr>
                <w:rFonts w:ascii="Arial" w:cs="Arial" w:eastAsia="Arial" w:hAnsi="Arial"/>
                <w:sz w:val="18"/>
                <w:szCs w:val="18"/>
                <w:b w:val="1"/>
                <w:bCs w:val="1"/>
                <w:color w:val="auto"/>
              </w:rPr>
              <w:t>Intrinsic Value</w:t>
            </w:r>
            <w:r>
              <w:rPr>
                <w:rFonts w:ascii="Arial" w:cs="Arial" w:eastAsia="Arial" w:hAnsi="Arial"/>
                <w:sz w:val="11"/>
                <w:szCs w:val="11"/>
                <w:b w:val="1"/>
                <w:bCs w:val="1"/>
                <w:color w:val="auto"/>
              </w:rPr>
              <w:t>(1)</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000" w:type="dxa"/>
            <w:vAlign w:val="bottom"/>
          </w:tcPr>
          <w:p>
            <w:pPr>
              <w:spacing w:after="0"/>
              <w:rPr>
                <w:sz w:val="18"/>
                <w:szCs w:val="18"/>
                <w:color w:val="auto"/>
              </w:rPr>
            </w:pPr>
          </w:p>
        </w:tc>
        <w:tc>
          <w:tcPr>
            <w:tcW w:w="156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5"/>
              </w:rPr>
              <w:t>(in thousands)</w:t>
            </w:r>
          </w:p>
        </w:tc>
        <w:tc>
          <w:tcPr>
            <w:tcW w:w="9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b w:val="1"/>
                <w:bCs w:val="1"/>
                <w:color w:val="auto"/>
                <w:w w:val="85"/>
              </w:rPr>
              <w:t>(in thousands)</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Outstanding, January 1, 2009</w:t>
            </w:r>
          </w:p>
        </w:tc>
        <w:tc>
          <w:tcPr>
            <w:tcW w:w="15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313</w:t>
            </w: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ind w:left="420"/>
              <w:spacing w:after="0"/>
              <w:rPr>
                <w:sz w:val="20"/>
                <w:szCs w:val="20"/>
                <w:color w:val="auto"/>
              </w:rPr>
            </w:pPr>
            <w:r>
              <w:rPr>
                <w:rFonts w:ascii="Arial" w:cs="Arial" w:eastAsia="Arial" w:hAnsi="Arial"/>
                <w:sz w:val="18"/>
                <w:szCs w:val="18"/>
                <w:color w:val="auto"/>
              </w:rPr>
              <w:t>Granted</w:t>
            </w:r>
          </w:p>
        </w:tc>
        <w:tc>
          <w:tcPr>
            <w:tcW w:w="1560" w:type="dxa"/>
            <w:vAlign w:val="bottom"/>
          </w:tcPr>
          <w:p>
            <w:pPr>
              <w:jc w:val="right"/>
              <w:ind w:right="52"/>
              <w:spacing w:after="0"/>
              <w:rPr>
                <w:sz w:val="20"/>
                <w:szCs w:val="20"/>
                <w:color w:val="auto"/>
              </w:rPr>
            </w:pPr>
            <w:r>
              <w:rPr>
                <w:rFonts w:ascii="Arial" w:cs="Arial" w:eastAsia="Arial" w:hAnsi="Arial"/>
                <w:sz w:val="18"/>
                <w:szCs w:val="18"/>
                <w:color w:val="auto"/>
              </w:rPr>
              <w:t>59</w:t>
            </w:r>
          </w:p>
        </w:tc>
        <w:tc>
          <w:tcPr>
            <w:tcW w:w="1220" w:type="dxa"/>
            <w:vAlign w:val="bottom"/>
            <w:gridSpan w:val="2"/>
          </w:tcPr>
          <w:p>
            <w:pPr>
              <w:ind w:left="106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69.44</w:t>
            </w: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Released</w:t>
            </w:r>
          </w:p>
        </w:tc>
        <w:tc>
          <w:tcPr>
            <w:tcW w:w="15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(23)</w:t>
            </w: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1080"/>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00" w:type="dxa"/>
            <w:vAlign w:val="bottom"/>
          </w:tcPr>
          <w:p>
            <w:pPr>
              <w:ind w:left="420"/>
              <w:spacing w:after="0"/>
              <w:rPr>
                <w:sz w:val="20"/>
                <w:szCs w:val="20"/>
                <w:color w:val="auto"/>
              </w:rPr>
            </w:pPr>
            <w:r>
              <w:rPr>
                <w:rFonts w:ascii="Arial" w:cs="Arial" w:eastAsia="Arial" w:hAnsi="Arial"/>
                <w:sz w:val="18"/>
                <w:szCs w:val="18"/>
                <w:color w:val="auto"/>
              </w:rPr>
              <w:t>Forfeited</w:t>
            </w:r>
          </w:p>
        </w:tc>
        <w:tc>
          <w:tcPr>
            <w:tcW w:w="15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(6)</w:t>
            </w: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Outstanding, September 30, 2009</w:t>
            </w:r>
          </w:p>
        </w:tc>
        <w:tc>
          <w:tcPr>
            <w:tcW w:w="156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343</w:t>
            </w: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20" w:type="dxa"/>
            <w:vAlign w:val="bottom"/>
            <w:gridSpan w:val="2"/>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5020" w:type="dxa"/>
            <w:vAlign w:val="bottom"/>
            <w:gridSpan w:val="2"/>
          </w:tcPr>
          <w:p>
            <w:pPr>
              <w:spacing w:after="0"/>
              <w:rPr>
                <w:sz w:val="20"/>
                <w:szCs w:val="20"/>
                <w:color w:val="auto"/>
              </w:rPr>
            </w:pPr>
            <w:r>
              <w:rPr>
                <w:rFonts w:ascii="Arial" w:cs="Arial" w:eastAsia="Arial" w:hAnsi="Arial"/>
                <w:sz w:val="18"/>
                <w:szCs w:val="18"/>
                <w:color w:val="auto"/>
              </w:rPr>
              <w:t>Outstanding, January 1, 2010</w:t>
            </w:r>
          </w:p>
        </w:tc>
        <w:tc>
          <w:tcPr>
            <w:tcW w:w="1560" w:type="dxa"/>
            <w:vAlign w:val="bottom"/>
          </w:tcPr>
          <w:p>
            <w:pPr>
              <w:jc w:val="right"/>
              <w:ind w:right="52"/>
              <w:spacing w:after="0"/>
              <w:rPr>
                <w:sz w:val="20"/>
                <w:szCs w:val="20"/>
                <w:color w:val="auto"/>
              </w:rPr>
            </w:pPr>
            <w:r>
              <w:rPr>
                <w:rFonts w:ascii="Arial" w:cs="Arial" w:eastAsia="Arial" w:hAnsi="Arial"/>
                <w:sz w:val="18"/>
                <w:szCs w:val="18"/>
                <w:color w:val="auto"/>
              </w:rPr>
              <w:t>326</w:t>
            </w: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Granted</w:t>
            </w:r>
            <w:r>
              <w:rPr>
                <w:rFonts w:ascii="Arial" w:cs="Arial" w:eastAsia="Arial" w:hAnsi="Arial"/>
                <w:sz w:val="11"/>
                <w:szCs w:val="11"/>
                <w:color w:val="auto"/>
              </w:rPr>
              <w:t>(2)</w:t>
            </w:r>
          </w:p>
        </w:tc>
        <w:tc>
          <w:tcPr>
            <w:tcW w:w="15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215</w:t>
            </w:r>
          </w:p>
        </w:tc>
        <w:tc>
          <w:tcPr>
            <w:tcW w:w="1220" w:type="dxa"/>
            <w:vAlign w:val="bottom"/>
            <w:gridSpan w:val="2"/>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63.42</w:t>
            </w: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ind w:left="420"/>
              <w:spacing w:after="0"/>
              <w:rPr>
                <w:sz w:val="20"/>
                <w:szCs w:val="20"/>
                <w:color w:val="auto"/>
              </w:rPr>
            </w:pPr>
            <w:r>
              <w:rPr>
                <w:rFonts w:ascii="Arial" w:cs="Arial" w:eastAsia="Arial" w:hAnsi="Arial"/>
                <w:sz w:val="18"/>
                <w:szCs w:val="18"/>
                <w:color w:val="auto"/>
              </w:rPr>
              <w:t>Released</w:t>
            </w:r>
          </w:p>
        </w:tc>
        <w:tc>
          <w:tcPr>
            <w:tcW w:w="1560" w:type="dxa"/>
            <w:vAlign w:val="bottom"/>
          </w:tcPr>
          <w:p>
            <w:pPr>
              <w:jc w:val="right"/>
              <w:ind w:right="12"/>
              <w:spacing w:after="0"/>
              <w:rPr>
                <w:sz w:val="20"/>
                <w:szCs w:val="20"/>
                <w:color w:val="auto"/>
              </w:rPr>
            </w:pPr>
            <w:r>
              <w:rPr>
                <w:rFonts w:ascii="Arial" w:cs="Arial" w:eastAsia="Arial" w:hAnsi="Arial"/>
                <w:sz w:val="18"/>
                <w:szCs w:val="18"/>
                <w:color w:val="auto"/>
              </w:rPr>
              <w:t>(78)</w:t>
            </w: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60" w:type="dxa"/>
            <w:vAlign w:val="bottom"/>
            <w:gridSpan w:val="2"/>
          </w:tcPr>
          <w:p>
            <w:pPr>
              <w:ind w:left="1080"/>
              <w:spacing w:after="0"/>
              <w:rPr>
                <w:sz w:val="20"/>
                <w:szCs w:val="20"/>
                <w:color w:val="auto"/>
              </w:rPr>
            </w:pPr>
            <w:r>
              <w:rPr>
                <w:rFonts w:ascii="Arial" w:cs="Arial" w:eastAsia="Arial" w:hAnsi="Arial"/>
                <w:sz w:val="15"/>
                <w:szCs w:val="15"/>
                <w:color w:val="auto"/>
                <w:w w:val="71"/>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5,216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Forfeited</w:t>
            </w:r>
          </w:p>
        </w:tc>
        <w:tc>
          <w:tcPr>
            <w:tcW w:w="15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(14)</w:t>
            </w: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020" w:type="dxa"/>
            <w:vAlign w:val="bottom"/>
            <w:gridSpan w:val="2"/>
          </w:tcPr>
          <w:p>
            <w:pPr>
              <w:spacing w:after="0"/>
              <w:rPr>
                <w:sz w:val="20"/>
                <w:szCs w:val="20"/>
                <w:color w:val="auto"/>
              </w:rPr>
            </w:pPr>
            <w:r>
              <w:rPr>
                <w:rFonts w:ascii="Arial" w:cs="Arial" w:eastAsia="Arial" w:hAnsi="Arial"/>
                <w:sz w:val="18"/>
                <w:szCs w:val="18"/>
                <w:color w:val="auto"/>
              </w:rPr>
              <w:t>Outstanding, September 30, 2010</w:t>
            </w:r>
          </w:p>
        </w:tc>
        <w:tc>
          <w:tcPr>
            <w:tcW w:w="156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449</w:t>
            </w: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5000" w:type="dxa"/>
            <w:vAlign w:val="bottom"/>
          </w:tcPr>
          <w:p>
            <w:pPr>
              <w:spacing w:after="0"/>
              <w:rPr>
                <w:sz w:val="8"/>
                <w:szCs w:val="8"/>
                <w:color w:val="auto"/>
              </w:rPr>
            </w:pPr>
          </w:p>
        </w:tc>
        <w:tc>
          <w:tcPr>
            <w:tcW w:w="1560" w:type="dxa"/>
            <w:vAlign w:val="bottom"/>
          </w:tcPr>
          <w:p>
            <w:pPr>
              <w:spacing w:after="0"/>
              <w:rPr>
                <w:sz w:val="8"/>
                <w:szCs w:val="8"/>
                <w:color w:val="auto"/>
              </w:rPr>
            </w:pPr>
          </w:p>
        </w:tc>
        <w:tc>
          <w:tcPr>
            <w:tcW w:w="9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9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Vested, September 30, 2010</w:t>
            </w:r>
          </w:p>
        </w:tc>
        <w:tc>
          <w:tcPr>
            <w:tcW w:w="156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2</w:t>
            </w: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20" w:type="dxa"/>
            <w:vAlign w:val="bottom"/>
            <w:gridSpan w:val="2"/>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5020" w:type="dxa"/>
            <w:vAlign w:val="bottom"/>
            <w:gridSpan w:val="2"/>
          </w:tcPr>
          <w:p>
            <w:pPr>
              <w:spacing w:after="0"/>
              <w:rPr>
                <w:sz w:val="20"/>
                <w:szCs w:val="20"/>
                <w:color w:val="auto"/>
              </w:rPr>
            </w:pPr>
            <w:r>
              <w:rPr>
                <w:rFonts w:ascii="Arial" w:cs="Arial" w:eastAsia="Arial" w:hAnsi="Arial"/>
                <w:sz w:val="18"/>
                <w:szCs w:val="18"/>
                <w:color w:val="auto"/>
              </w:rPr>
              <w:t>Expected to vest, September 30, 2010</w:t>
            </w:r>
          </w:p>
        </w:tc>
        <w:tc>
          <w:tcPr>
            <w:tcW w:w="1560" w:type="dxa"/>
            <w:vAlign w:val="bottom"/>
          </w:tcPr>
          <w:p>
            <w:pPr>
              <w:jc w:val="right"/>
              <w:ind w:right="52"/>
              <w:spacing w:after="0"/>
              <w:rPr>
                <w:sz w:val="20"/>
                <w:szCs w:val="20"/>
                <w:color w:val="auto"/>
              </w:rPr>
            </w:pPr>
            <w:r>
              <w:rPr>
                <w:rFonts w:ascii="Arial" w:cs="Arial" w:eastAsia="Arial" w:hAnsi="Arial"/>
                <w:sz w:val="18"/>
                <w:szCs w:val="18"/>
                <w:color w:val="auto"/>
              </w:rPr>
              <w:t>372</w:t>
            </w: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60" w:type="dxa"/>
            <w:vAlign w:val="bottom"/>
            <w:gridSpan w:val="2"/>
          </w:tcPr>
          <w:p>
            <w:pPr>
              <w:ind w:left="1080"/>
              <w:spacing w:after="0"/>
              <w:rPr>
                <w:sz w:val="20"/>
                <w:szCs w:val="20"/>
                <w:color w:val="auto"/>
              </w:rPr>
            </w:pPr>
            <w:r>
              <w:rPr>
                <w:rFonts w:ascii="Arial" w:cs="Arial" w:eastAsia="Arial" w:hAnsi="Arial"/>
                <w:sz w:val="15"/>
                <w:szCs w:val="15"/>
                <w:color w:val="auto"/>
                <w:w w:val="71"/>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22,788</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left="220" w:right="20" w:hanging="212"/>
        <w:spacing w:after="0" w:line="228" w:lineRule="auto"/>
        <w:tabs>
          <w:tab w:leader="none" w:pos="220" w:val="left"/>
        </w:tabs>
        <w:numPr>
          <w:ilvl w:val="0"/>
          <w:numId w:val="8"/>
        </w:numPr>
        <w:rPr>
          <w:rFonts w:ascii="Arial" w:cs="Arial" w:eastAsia="Arial" w:hAnsi="Arial"/>
          <w:sz w:val="22"/>
          <w:szCs w:val="22"/>
          <w:color w:val="auto"/>
          <w:vertAlign w:val="superscript"/>
        </w:rPr>
      </w:pPr>
      <w:r>
        <w:rPr>
          <w:rFonts w:ascii="Arial" w:cs="Arial" w:eastAsia="Arial" w:hAnsi="Arial"/>
          <w:sz w:val="18"/>
          <w:szCs w:val="18"/>
          <w:color w:val="auto"/>
        </w:rPr>
        <w:t>The aggregate intrinsic value is the market value of the stock released, vested, or expected to vest, before applicable income taxes, based on the closing price on the stock release dates or at the end of the period for stock vested but not released.</w:t>
      </w:r>
    </w:p>
    <w:p>
      <w:pPr>
        <w:spacing w:after="0" w:line="1" w:lineRule="exact"/>
        <w:rPr>
          <w:rFonts w:ascii="Arial" w:cs="Arial" w:eastAsia="Arial" w:hAnsi="Arial"/>
          <w:sz w:val="22"/>
          <w:szCs w:val="22"/>
          <w:color w:val="auto"/>
          <w:vertAlign w:val="superscript"/>
        </w:rPr>
      </w:pPr>
    </w:p>
    <w:p>
      <w:pPr>
        <w:ind w:left="220" w:hanging="212"/>
        <w:spacing w:after="0" w:line="237" w:lineRule="auto"/>
        <w:tabs>
          <w:tab w:leader="none" w:pos="220" w:val="left"/>
        </w:tabs>
        <w:numPr>
          <w:ilvl w:val="0"/>
          <w:numId w:val="8"/>
        </w:numPr>
        <w:rPr>
          <w:rFonts w:ascii="Arial" w:cs="Arial" w:eastAsia="Arial" w:hAnsi="Arial"/>
          <w:sz w:val="19"/>
          <w:szCs w:val="19"/>
          <w:color w:val="auto"/>
          <w:vertAlign w:val="superscript"/>
        </w:rPr>
      </w:pPr>
      <w:r>
        <w:rPr>
          <w:rFonts w:ascii="Arial" w:cs="Arial" w:eastAsia="Arial" w:hAnsi="Arial"/>
          <w:sz w:val="15"/>
          <w:szCs w:val="15"/>
          <w:color w:val="auto"/>
        </w:rPr>
        <w:t>These restricted awards do not include the 2010 awards under the Performance Awards Agreement, which are not eligible for vesting until December 31, 2010.</w:t>
      </w:r>
    </w:p>
    <w:p>
      <w:pPr>
        <w:spacing w:after="0" w:line="15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At September 30, 2010, unrecognized compensation expense was $19.0 million, which is expected to be recognized over a weighted average period of approximately 24 months.</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Unrestricted Stock Awards</w:t>
      </w:r>
    </w:p>
    <w:p>
      <w:pPr>
        <w:spacing w:after="0" w:line="90"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We issue unrestricted stock awards to our Board of Directors as part of their compensation. Awards are fully vested and expensed when issued. The fair value of unrestricted stock awards is the market close price of our common stock on the date of grant.</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24</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8280" w:type="dxa"/>
            <w:vAlign w:val="bottom"/>
            <w:gridSpan w:val="8"/>
          </w:tcPr>
          <w:p>
            <w:pPr>
              <w:spacing w:after="0"/>
              <w:rPr>
                <w:sz w:val="20"/>
                <w:szCs w:val="20"/>
                <w:color w:val="auto"/>
              </w:rPr>
            </w:pPr>
            <w:r>
              <w:rPr>
                <w:rFonts w:ascii="Arial" w:cs="Arial" w:eastAsia="Arial" w:hAnsi="Arial"/>
                <w:sz w:val="18"/>
                <w:szCs w:val="18"/>
                <w:color w:val="auto"/>
                <w:w w:val="88"/>
              </w:rPr>
              <w:t>The following table summarizes unrestricted stock award activity for the three and nine months ended September 30:</w:t>
            </w:r>
          </w:p>
        </w:tc>
        <w:tc>
          <w:tcPr>
            <w:tcW w:w="10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419"/>
        </w:trPr>
        <w:tc>
          <w:tcPr>
            <w:tcW w:w="4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20" w:type="dxa"/>
            <w:vAlign w:val="bottom"/>
            <w:gridSpan w:val="4"/>
          </w:tcPr>
          <w:p>
            <w:pPr>
              <w:jc w:val="right"/>
              <w:ind w:right="132"/>
              <w:spacing w:after="0"/>
              <w:rPr>
                <w:sz w:val="20"/>
                <w:szCs w:val="20"/>
                <w:color w:val="auto"/>
              </w:rPr>
            </w:pPr>
            <w:r>
              <w:rPr>
                <w:rFonts w:ascii="Arial" w:cs="Arial" w:eastAsia="Arial" w:hAnsi="Arial"/>
                <w:sz w:val="18"/>
                <w:szCs w:val="18"/>
                <w:b w:val="1"/>
                <w:bCs w:val="1"/>
                <w:color w:val="auto"/>
                <w:w w:val="90"/>
              </w:rPr>
              <w:t>Three Months Ended September 30,</w:t>
            </w: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140" w:type="dxa"/>
            <w:vAlign w:val="bottom"/>
            <w:gridSpan w:val="5"/>
          </w:tcPr>
          <w:p>
            <w:pPr>
              <w:ind w:left="40"/>
              <w:spacing w:after="0"/>
              <w:rPr>
                <w:sz w:val="20"/>
                <w:szCs w:val="20"/>
                <w:color w:val="auto"/>
              </w:rPr>
            </w:pPr>
            <w:r>
              <w:rPr>
                <w:rFonts w:ascii="Arial" w:cs="Arial" w:eastAsia="Arial" w:hAnsi="Arial"/>
                <w:sz w:val="18"/>
                <w:szCs w:val="18"/>
                <w:b w:val="1"/>
                <w:bCs w:val="1"/>
                <w:color w:val="auto"/>
              </w:rPr>
              <w:t>Nine Months Ended September 30,</w:t>
            </w:r>
          </w:p>
        </w:tc>
      </w:tr>
      <w:tr>
        <w:trPr>
          <w:trHeight w:val="212"/>
        </w:trPr>
        <w:tc>
          <w:tcPr>
            <w:tcW w:w="4060" w:type="dxa"/>
            <w:vAlign w:val="bottom"/>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372"/>
              <w:spacing w:after="0"/>
              <w:rPr>
                <w:sz w:val="20"/>
                <w:szCs w:val="20"/>
                <w:color w:val="auto"/>
              </w:rPr>
            </w:pPr>
            <w:r>
              <w:rPr>
                <w:rFonts w:ascii="Arial" w:cs="Arial" w:eastAsia="Arial" w:hAnsi="Arial"/>
                <w:sz w:val="18"/>
                <w:szCs w:val="18"/>
                <w:b w:val="1"/>
                <w:bCs w:val="1"/>
                <w:color w:val="auto"/>
              </w:rPr>
              <w:t>2010</w:t>
            </w:r>
          </w:p>
        </w:tc>
        <w:tc>
          <w:tcPr>
            <w:tcW w:w="700" w:type="dxa"/>
            <w:vAlign w:val="bottom"/>
            <w:tcBorders>
              <w:top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392"/>
              <w:spacing w:after="0"/>
              <w:rPr>
                <w:sz w:val="20"/>
                <w:szCs w:val="20"/>
                <w:color w:val="auto"/>
              </w:rPr>
            </w:pPr>
            <w:r>
              <w:rPr>
                <w:rFonts w:ascii="Arial" w:cs="Arial" w:eastAsia="Arial" w:hAnsi="Arial"/>
                <w:sz w:val="18"/>
                <w:szCs w:val="18"/>
                <w:b w:val="1"/>
                <w:bCs w:val="1"/>
                <w:color w:val="auto"/>
              </w:rPr>
              <w:t>2009</w:t>
            </w:r>
          </w:p>
        </w:tc>
        <w:tc>
          <w:tcPr>
            <w:tcW w:w="580" w:type="dxa"/>
            <w:vAlign w:val="bottom"/>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412"/>
              <w:spacing w:after="0"/>
              <w:rPr>
                <w:sz w:val="20"/>
                <w:szCs w:val="20"/>
                <w:color w:val="auto"/>
              </w:rPr>
            </w:pPr>
            <w:r>
              <w:rPr>
                <w:rFonts w:ascii="Arial" w:cs="Arial" w:eastAsia="Arial" w:hAnsi="Arial"/>
                <w:sz w:val="18"/>
                <w:szCs w:val="18"/>
                <w:b w:val="1"/>
                <w:bCs w:val="1"/>
                <w:color w:val="auto"/>
              </w:rPr>
              <w:t>2010</w:t>
            </w:r>
          </w:p>
        </w:tc>
        <w:tc>
          <w:tcPr>
            <w:tcW w:w="720" w:type="dxa"/>
            <w:vAlign w:val="bottom"/>
            <w:tcBorders>
              <w:top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392"/>
              <w:spacing w:after="0"/>
              <w:rPr>
                <w:sz w:val="20"/>
                <w:szCs w:val="20"/>
                <w:color w:val="auto"/>
              </w:rPr>
            </w:pPr>
            <w:r>
              <w:rPr>
                <w:rFonts w:ascii="Arial" w:cs="Arial" w:eastAsia="Arial" w:hAnsi="Arial"/>
                <w:sz w:val="18"/>
                <w:szCs w:val="18"/>
                <w:b w:val="1"/>
                <w:bCs w:val="1"/>
                <w:color w:val="auto"/>
              </w:rPr>
              <w:t>2009</w:t>
            </w:r>
          </w:p>
        </w:tc>
        <w:tc>
          <w:tcPr>
            <w:tcW w:w="100" w:type="dxa"/>
            <w:vAlign w:val="bottom"/>
          </w:tcPr>
          <w:p>
            <w:pPr>
              <w:spacing w:after="0"/>
              <w:rPr>
                <w:sz w:val="18"/>
                <w:szCs w:val="18"/>
                <w:color w:val="auto"/>
              </w:rPr>
            </w:pPr>
          </w:p>
        </w:tc>
      </w:tr>
      <w:tr>
        <w:trPr>
          <w:trHeight w:val="210"/>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Shares of unrestricted stock issued</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2,896</w:t>
            </w:r>
          </w:p>
        </w:tc>
        <w:tc>
          <w:tcPr>
            <w:tcW w:w="7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2,168</w:t>
            </w: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5,662</w:t>
            </w:r>
          </w:p>
        </w:tc>
        <w:tc>
          <w:tcPr>
            <w:tcW w:w="7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4,284</w:t>
            </w:r>
          </w:p>
        </w:tc>
        <w:tc>
          <w:tcPr>
            <w:tcW w:w="100" w:type="dxa"/>
            <w:vAlign w:val="bottom"/>
            <w:shd w:val="clear" w:color="auto" w:fill="CCEEFF"/>
          </w:tcPr>
          <w:p>
            <w:pPr>
              <w:spacing w:after="0"/>
              <w:rPr>
                <w:sz w:val="18"/>
                <w:szCs w:val="18"/>
                <w:color w:val="auto"/>
              </w:rPr>
            </w:pPr>
          </w:p>
        </w:tc>
      </w:tr>
      <w:tr>
        <w:trPr>
          <w:trHeight w:val="322"/>
        </w:trPr>
        <w:tc>
          <w:tcPr>
            <w:tcW w:w="4060" w:type="dxa"/>
            <w:vAlign w:val="bottom"/>
          </w:tcPr>
          <w:p>
            <w:pPr>
              <w:spacing w:after="0"/>
              <w:rPr>
                <w:sz w:val="20"/>
                <w:szCs w:val="20"/>
                <w:color w:val="auto"/>
              </w:rPr>
            </w:pPr>
            <w:r>
              <w:rPr>
                <w:rFonts w:ascii="Arial" w:cs="Arial" w:eastAsia="Arial" w:hAnsi="Arial"/>
                <w:sz w:val="18"/>
                <w:szCs w:val="18"/>
                <w:color w:val="auto"/>
              </w:rPr>
              <w:t>Weighted average grant date fair value</w:t>
            </w:r>
          </w:p>
        </w:tc>
        <w:tc>
          <w:tcPr>
            <w:tcW w:w="2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60.39</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55.27</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64.35</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59.40</w:t>
            </w:r>
          </w:p>
        </w:tc>
        <w:tc>
          <w:tcPr>
            <w:tcW w:w="100" w:type="dxa"/>
            <w:vAlign w:val="bottom"/>
          </w:tcPr>
          <w:p>
            <w:pPr>
              <w:spacing w:after="0"/>
              <w:rPr>
                <w:sz w:val="24"/>
                <w:szCs w:val="24"/>
                <w:color w:val="auto"/>
              </w:rPr>
            </w:pPr>
          </w:p>
        </w:tc>
      </w:tr>
    </w:tbl>
    <w:p>
      <w:pPr>
        <w:spacing w:after="0" w:line="23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Employee Stock Purchase Plan</w:t>
      </w:r>
    </w:p>
    <w:p>
      <w:pPr>
        <w:spacing w:after="0" w:line="9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Under the terms of the ESPP, eligible employees can elect to deduct up to 10% of their regular cash compensation to purchase our common stock at a discounted price. The purchase price of the common stock is 85% of the fair market value of the stock at the end of each fiscal quarter. The sale of the stock occurs at the beginning of the subsequent quarter.</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ESPP activity for the three and nine months ended September 30:</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20" w:type="dxa"/>
            <w:vAlign w:val="bottom"/>
            <w:gridSpan w:val="4"/>
          </w:tcPr>
          <w:p>
            <w:pPr>
              <w:jc w:val="right"/>
              <w:ind w:right="112"/>
              <w:spacing w:after="0"/>
              <w:rPr>
                <w:sz w:val="20"/>
                <w:szCs w:val="20"/>
                <w:color w:val="auto"/>
              </w:rPr>
            </w:pPr>
            <w:r>
              <w:rPr>
                <w:rFonts w:ascii="Arial" w:cs="Arial" w:eastAsia="Arial" w:hAnsi="Arial"/>
                <w:sz w:val="18"/>
                <w:szCs w:val="18"/>
                <w:b w:val="1"/>
                <w:bCs w:val="1"/>
                <w:color w:val="auto"/>
                <w:w w:val="91"/>
              </w:rPr>
              <w:t>Three Months Ended September 30,</w:t>
            </w:r>
          </w:p>
        </w:tc>
        <w:tc>
          <w:tcPr>
            <w:tcW w:w="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180" w:type="dxa"/>
            <w:vAlign w:val="bottom"/>
            <w:gridSpan w:val="5"/>
          </w:tcPr>
          <w:p>
            <w:pPr>
              <w:ind w:left="100"/>
              <w:spacing w:after="0"/>
              <w:rPr>
                <w:sz w:val="20"/>
                <w:szCs w:val="20"/>
                <w:color w:val="auto"/>
              </w:rPr>
            </w:pPr>
            <w:r>
              <w:rPr>
                <w:rFonts w:ascii="Arial" w:cs="Arial" w:eastAsia="Arial" w:hAnsi="Arial"/>
                <w:sz w:val="18"/>
                <w:szCs w:val="18"/>
                <w:b w:val="1"/>
                <w:bCs w:val="1"/>
                <w:color w:val="auto"/>
              </w:rPr>
              <w:t>Nine Months Ended September 30,</w:t>
            </w:r>
          </w:p>
        </w:tc>
      </w:tr>
      <w:tr>
        <w:trPr>
          <w:trHeight w:val="212"/>
        </w:trPr>
        <w:tc>
          <w:tcPr>
            <w:tcW w:w="412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392"/>
              <w:spacing w:after="0"/>
              <w:rPr>
                <w:sz w:val="20"/>
                <w:szCs w:val="20"/>
                <w:color w:val="auto"/>
              </w:rPr>
            </w:pPr>
            <w:r>
              <w:rPr>
                <w:rFonts w:ascii="Arial" w:cs="Arial" w:eastAsia="Arial" w:hAnsi="Arial"/>
                <w:sz w:val="18"/>
                <w:szCs w:val="18"/>
                <w:b w:val="1"/>
                <w:bCs w:val="1"/>
                <w:color w:val="auto"/>
              </w:rPr>
              <w:t>2010</w:t>
            </w:r>
          </w:p>
        </w:tc>
        <w:tc>
          <w:tcPr>
            <w:tcW w:w="66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412"/>
              <w:spacing w:after="0"/>
              <w:rPr>
                <w:sz w:val="20"/>
                <w:szCs w:val="20"/>
                <w:color w:val="auto"/>
              </w:rPr>
            </w:pPr>
            <w:r>
              <w:rPr>
                <w:rFonts w:ascii="Arial" w:cs="Arial" w:eastAsia="Arial" w:hAnsi="Arial"/>
                <w:sz w:val="18"/>
                <w:szCs w:val="18"/>
                <w:b w:val="1"/>
                <w:bCs w:val="1"/>
                <w:color w:val="auto"/>
              </w:rPr>
              <w:t>2009</w:t>
            </w:r>
          </w:p>
        </w:tc>
        <w:tc>
          <w:tcPr>
            <w:tcW w:w="560" w:type="dxa"/>
            <w:vAlign w:val="bottom"/>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412"/>
              <w:spacing w:after="0"/>
              <w:rPr>
                <w:sz w:val="20"/>
                <w:szCs w:val="20"/>
                <w:color w:val="auto"/>
              </w:rPr>
            </w:pPr>
            <w:r>
              <w:rPr>
                <w:rFonts w:ascii="Arial" w:cs="Arial" w:eastAsia="Arial" w:hAnsi="Arial"/>
                <w:sz w:val="18"/>
                <w:szCs w:val="18"/>
                <w:b w:val="1"/>
                <w:bCs w:val="1"/>
                <w:color w:val="auto"/>
              </w:rPr>
              <w:t>2010</w:t>
            </w:r>
          </w:p>
        </w:tc>
        <w:tc>
          <w:tcPr>
            <w:tcW w:w="660" w:type="dxa"/>
            <w:vAlign w:val="bottom"/>
            <w:tcBorders>
              <w:top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412"/>
              <w:spacing w:after="0"/>
              <w:rPr>
                <w:sz w:val="20"/>
                <w:szCs w:val="20"/>
                <w:color w:val="auto"/>
              </w:rPr>
            </w:pPr>
            <w:r>
              <w:rPr>
                <w:rFonts w:ascii="Arial" w:cs="Arial" w:eastAsia="Arial" w:hAnsi="Arial"/>
                <w:sz w:val="18"/>
                <w:szCs w:val="18"/>
                <w:b w:val="1"/>
                <w:bCs w:val="1"/>
                <w:color w:val="auto"/>
              </w:rPr>
              <w:t>2009</w:t>
            </w:r>
          </w:p>
        </w:tc>
        <w:tc>
          <w:tcPr>
            <w:tcW w:w="100" w:type="dxa"/>
            <w:vAlign w:val="bottom"/>
          </w:tcPr>
          <w:p>
            <w:pPr>
              <w:spacing w:after="0"/>
              <w:rPr>
                <w:sz w:val="18"/>
                <w:szCs w:val="18"/>
                <w:color w:val="auto"/>
              </w:rPr>
            </w:pPr>
          </w:p>
        </w:tc>
      </w:tr>
      <w:tr>
        <w:trPr>
          <w:trHeight w:val="210"/>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Shares of stock sold to employees</w:t>
            </w:r>
            <w:r>
              <w:rPr>
                <w:rFonts w:ascii="Arial" w:cs="Arial" w:eastAsia="Arial" w:hAnsi="Arial"/>
                <w:sz w:val="11"/>
                <w:szCs w:val="11"/>
                <w:color w:val="auto"/>
              </w:rPr>
              <w:t>(1)</w:t>
            </w: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14,819</w:t>
            </w: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16,663</w:t>
            </w: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37,905</w:t>
            </w:r>
          </w:p>
        </w:tc>
        <w:tc>
          <w:tcPr>
            <w:tcW w:w="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49,413</w:t>
            </w:r>
          </w:p>
        </w:tc>
        <w:tc>
          <w:tcPr>
            <w:tcW w:w="100" w:type="dxa"/>
            <w:vAlign w:val="bottom"/>
            <w:shd w:val="clear" w:color="auto" w:fill="CCEEFF"/>
          </w:tcPr>
          <w:p>
            <w:pPr>
              <w:spacing w:after="0"/>
              <w:rPr>
                <w:sz w:val="18"/>
                <w:szCs w:val="18"/>
                <w:color w:val="auto"/>
              </w:rPr>
            </w:pPr>
          </w:p>
        </w:tc>
      </w:tr>
      <w:tr>
        <w:trPr>
          <w:trHeight w:val="322"/>
        </w:trPr>
        <w:tc>
          <w:tcPr>
            <w:tcW w:w="4120" w:type="dxa"/>
            <w:vAlign w:val="bottom"/>
          </w:tcPr>
          <w:p>
            <w:pPr>
              <w:spacing w:after="0"/>
              <w:rPr>
                <w:sz w:val="20"/>
                <w:szCs w:val="20"/>
                <w:color w:val="auto"/>
              </w:rPr>
            </w:pPr>
            <w:r>
              <w:rPr>
                <w:rFonts w:ascii="Arial" w:cs="Arial" w:eastAsia="Arial" w:hAnsi="Arial"/>
                <w:sz w:val="18"/>
                <w:szCs w:val="18"/>
                <w:color w:val="auto"/>
              </w:rPr>
              <w:t>Weighted average fair value per ESPP award</w:t>
            </w:r>
            <w:r>
              <w:rPr>
                <w:rFonts w:ascii="Arial" w:cs="Arial" w:eastAsia="Arial" w:hAnsi="Arial"/>
                <w:sz w:val="11"/>
                <w:szCs w:val="11"/>
                <w:color w:val="auto"/>
              </w:rPr>
              <w:t>(2)</w:t>
            </w:r>
          </w:p>
        </w:tc>
        <w:tc>
          <w:tcPr>
            <w:tcW w:w="2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9.16</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9.62</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9.69</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8.13</w:t>
            </w:r>
          </w:p>
        </w:tc>
        <w:tc>
          <w:tcPr>
            <w:tcW w:w="100" w:type="dxa"/>
            <w:vAlign w:val="bottom"/>
          </w:tcPr>
          <w:p>
            <w:pPr>
              <w:spacing w:after="0"/>
              <w:rPr>
                <w:sz w:val="24"/>
                <w:szCs w:val="24"/>
                <w:color w:val="auto"/>
              </w:rPr>
            </w:pPr>
          </w:p>
        </w:tc>
      </w:tr>
    </w:tbl>
    <w:p>
      <w:pPr>
        <w:spacing w:after="0" w:line="67" w:lineRule="exact"/>
        <w:rPr>
          <w:sz w:val="20"/>
          <w:szCs w:val="20"/>
          <w:color w:val="auto"/>
        </w:rPr>
      </w:pPr>
    </w:p>
    <w:p>
      <w:pPr>
        <w:ind w:left="220" w:hanging="212"/>
        <w:spacing w:after="0"/>
        <w:tabs>
          <w:tab w:leader="none" w:pos="220" w:val="left"/>
        </w:tabs>
        <w:numPr>
          <w:ilvl w:val="0"/>
          <w:numId w:val="9"/>
        </w:numPr>
        <w:rPr>
          <w:rFonts w:ascii="Arial" w:cs="Arial" w:eastAsia="Arial" w:hAnsi="Arial"/>
          <w:sz w:val="20"/>
          <w:szCs w:val="20"/>
          <w:color w:val="auto"/>
          <w:vertAlign w:val="superscript"/>
        </w:rPr>
      </w:pPr>
      <w:r>
        <w:rPr>
          <w:rFonts w:ascii="Arial" w:cs="Arial" w:eastAsia="Arial" w:hAnsi="Arial"/>
          <w:sz w:val="16"/>
          <w:szCs w:val="16"/>
          <w:color w:val="auto"/>
        </w:rPr>
        <w:t>Stock sold to employees during each fiscal quarter under the ESPP is associated with the offering period ending on the last day of the previous fiscal quarter.</w:t>
      </w:r>
    </w:p>
    <w:p>
      <w:pPr>
        <w:spacing w:after="0" w:line="7" w:lineRule="exact"/>
        <w:rPr>
          <w:rFonts w:ascii="Arial" w:cs="Arial" w:eastAsia="Arial" w:hAnsi="Arial"/>
          <w:sz w:val="20"/>
          <w:szCs w:val="20"/>
          <w:color w:val="auto"/>
          <w:vertAlign w:val="superscript"/>
        </w:rPr>
      </w:pPr>
    </w:p>
    <w:p>
      <w:pPr>
        <w:ind w:left="220" w:hanging="212"/>
        <w:spacing w:after="0" w:line="197" w:lineRule="auto"/>
        <w:tabs>
          <w:tab w:leader="none" w:pos="220" w:val="left"/>
        </w:tabs>
        <w:numPr>
          <w:ilvl w:val="0"/>
          <w:numId w:val="9"/>
        </w:numPr>
        <w:rPr>
          <w:rFonts w:ascii="Arial" w:cs="Arial" w:eastAsia="Arial" w:hAnsi="Arial"/>
          <w:sz w:val="22"/>
          <w:szCs w:val="22"/>
          <w:color w:val="auto"/>
          <w:vertAlign w:val="superscript"/>
        </w:rPr>
      </w:pPr>
      <w:r>
        <w:rPr>
          <w:rFonts w:ascii="Arial" w:cs="Arial" w:eastAsia="Arial" w:hAnsi="Arial"/>
          <w:sz w:val="18"/>
          <w:szCs w:val="18"/>
          <w:color w:val="auto"/>
        </w:rPr>
        <w:t>Relating to awards associated with the offering period(s) during the three and nine months ended September 30.</w:t>
      </w:r>
    </w:p>
    <w:p>
      <w:pPr>
        <w:spacing w:after="0" w:line="157"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The fair value of ESPP awards is estimated using the Black-Scholes option-pricing model. At September 30, 2010, all compensation cost associated with the ESPP had been recognized. There were approximately 210,000 shares of common stock available for future issuance under the ESPP at September 30, 2010.</w:t>
      </w:r>
    </w:p>
    <w:p>
      <w:pPr>
        <w:spacing w:after="0" w:line="160"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Note 10:</w:t>
      </w:r>
      <w:r>
        <w:rPr>
          <w:sz w:val="20"/>
          <w:szCs w:val="20"/>
          <w:color w:val="auto"/>
        </w:rPr>
        <w:tab/>
      </w:r>
      <w:r>
        <w:rPr>
          <w:rFonts w:ascii="Arial" w:cs="Arial" w:eastAsia="Arial" w:hAnsi="Arial"/>
          <w:sz w:val="15"/>
          <w:szCs w:val="15"/>
          <w:b w:val="1"/>
          <w:bCs w:val="1"/>
          <w:color w:val="auto"/>
        </w:rPr>
        <w:t>Income Taxes</w:t>
      </w:r>
    </w:p>
    <w:p>
      <w:pPr>
        <w:spacing w:after="0" w:line="9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Our tax provisions (benefits) as a percentage of income (loss) before tax typically differs from the federal statutory rate of 35%, and may vary from period to period, due to fluctuations in the forecasted mix of earnings in domestic and international jurisdictions, new or revised tax legislation and accounting pronouncements, tax credits, state income taxes, adjustments to valuation allowances, and interest expense and penalties related to uncertain tax positions, among other items.</w:t>
      </w:r>
    </w:p>
    <w:p>
      <w:pPr>
        <w:spacing w:after="0" w:line="143"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For the three and nine months ended September 30, 2010, we had tax provisions of 34% and 17%, based on a percentage of income before tax, as compared with tax benefits of 84% for the same periods in 2009.</w:t>
      </w:r>
    </w:p>
    <w:p>
      <w:pPr>
        <w:spacing w:after="0" w:line="13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Our tax provisions in 2010 reflect higher projected pretax earnings in high tax jurisdictions, the benefit of certain interest expense deductions, and an election under U.S. Internal Revenue Code Section 338 with respect to a foreign acquisition in 2007. The 2010 tax provisions also include a benefit for the receipt of a clean energy manufacturing tax credit awarded as part of the American Recovery and Reinvestment Act and a benefit related to the reduction of tax reserves for certain foreign subsidiaries.</w:t>
      </w:r>
    </w:p>
    <w:p>
      <w:pPr>
        <w:spacing w:after="0" w:line="143"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Our tax benefits in 2009 are the result of certain interest expense deductions and an election under U.S. Internal Revenue Code Section 338 with respect to a foreign acquisition in 2007, as well as the forecasted mix of earnings in different tax jurisdictions, which included lower income in higher tax jurisdictions.</w:t>
      </w:r>
    </w:p>
    <w:p>
      <w:pPr>
        <w:spacing w:after="0" w:line="5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25</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spacing w:after="0"/>
        <w:rPr>
          <w:sz w:val="20"/>
          <w:szCs w:val="20"/>
          <w:color w:val="auto"/>
        </w:rPr>
      </w:pPr>
      <w:r>
        <w:rPr>
          <w:rFonts w:ascii="Arial" w:cs="Arial" w:eastAsia="Arial" w:hAnsi="Arial"/>
          <w:sz w:val="15"/>
          <w:szCs w:val="15"/>
          <w:color w:val="auto"/>
        </w:rPr>
        <w:t>We classify interest expense and penalties related to unrecognized tax liabilities and interest income on tax overpayments as components of income tax expense.</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Interest and penalties recognized, and accrued interest and penalties recorded, are as follows: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020" w:type="dxa"/>
            <w:vAlign w:val="bottom"/>
          </w:tcPr>
          <w:p>
            <w:pPr>
              <w:spacing w:after="0"/>
              <w:rPr>
                <w:sz w:val="19"/>
                <w:szCs w:val="19"/>
                <w:color w:val="auto"/>
              </w:rPr>
            </w:pPr>
          </w:p>
        </w:tc>
        <w:tc>
          <w:tcPr>
            <w:tcW w:w="3420" w:type="dxa"/>
            <w:vAlign w:val="bottom"/>
            <w:gridSpan w:val="5"/>
          </w:tcPr>
          <w:p>
            <w:pPr>
              <w:jc w:val="right"/>
              <w:ind w:right="272"/>
              <w:spacing w:after="0"/>
              <w:rPr>
                <w:sz w:val="20"/>
                <w:szCs w:val="20"/>
                <w:color w:val="auto"/>
              </w:rPr>
            </w:pPr>
            <w:r>
              <w:rPr>
                <w:rFonts w:ascii="Arial" w:cs="Arial" w:eastAsia="Arial" w:hAnsi="Arial"/>
                <w:sz w:val="18"/>
                <w:szCs w:val="18"/>
                <w:b w:val="1"/>
                <w:bCs w:val="1"/>
                <w:color w:val="auto"/>
                <w:w w:val="99"/>
              </w:rPr>
              <w:t>Three Months Ended September 30,</w:t>
            </w:r>
          </w:p>
        </w:tc>
        <w:tc>
          <w:tcPr>
            <w:tcW w:w="5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100" w:type="dxa"/>
            <w:vAlign w:val="bottom"/>
            <w:gridSpan w:val="5"/>
          </w:tcPr>
          <w:p>
            <w:pPr>
              <w:ind w:left="20"/>
              <w:spacing w:after="0"/>
              <w:rPr>
                <w:sz w:val="20"/>
                <w:szCs w:val="20"/>
                <w:color w:val="auto"/>
              </w:rPr>
            </w:pPr>
            <w:r>
              <w:rPr>
                <w:rFonts w:ascii="Arial" w:cs="Arial" w:eastAsia="Arial" w:hAnsi="Arial"/>
                <w:sz w:val="18"/>
                <w:szCs w:val="18"/>
                <w:b w:val="1"/>
                <w:bCs w:val="1"/>
                <w:color w:val="auto"/>
              </w:rPr>
              <w:t>Nine Months Ended September 30,</w:t>
            </w:r>
          </w:p>
        </w:tc>
      </w:tr>
      <w:tr>
        <w:trPr>
          <w:trHeight w:val="212"/>
        </w:trPr>
        <w:tc>
          <w:tcPr>
            <w:tcW w:w="4020" w:type="dxa"/>
            <w:vAlign w:val="bottom"/>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2010</w:t>
            </w:r>
          </w:p>
        </w:tc>
        <w:tc>
          <w:tcPr>
            <w:tcW w:w="50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392"/>
              <w:spacing w:after="0"/>
              <w:rPr>
                <w:sz w:val="20"/>
                <w:szCs w:val="20"/>
                <w:color w:val="auto"/>
              </w:rPr>
            </w:pPr>
            <w:r>
              <w:rPr>
                <w:rFonts w:ascii="Arial" w:cs="Arial" w:eastAsia="Arial" w:hAnsi="Arial"/>
                <w:sz w:val="18"/>
                <w:szCs w:val="18"/>
                <w:b w:val="1"/>
                <w:bCs w:val="1"/>
                <w:color w:val="auto"/>
              </w:rPr>
              <w:t>2009</w:t>
            </w:r>
          </w:p>
        </w:tc>
        <w:tc>
          <w:tcPr>
            <w:tcW w:w="540" w:type="dxa"/>
            <w:vAlign w:val="bottom"/>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452"/>
              <w:spacing w:after="0"/>
              <w:rPr>
                <w:sz w:val="20"/>
                <w:szCs w:val="20"/>
                <w:color w:val="auto"/>
              </w:rPr>
            </w:pPr>
            <w:r>
              <w:rPr>
                <w:rFonts w:ascii="Arial" w:cs="Arial" w:eastAsia="Arial" w:hAnsi="Arial"/>
                <w:sz w:val="18"/>
                <w:szCs w:val="18"/>
                <w:b w:val="1"/>
                <w:bCs w:val="1"/>
                <w:color w:val="auto"/>
              </w:rPr>
              <w:t>2010</w:t>
            </w:r>
          </w:p>
        </w:tc>
        <w:tc>
          <w:tcPr>
            <w:tcW w:w="64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72"/>
              <w:spacing w:after="0"/>
              <w:rPr>
                <w:sz w:val="20"/>
                <w:szCs w:val="20"/>
                <w:color w:val="auto"/>
              </w:rPr>
            </w:pPr>
            <w:r>
              <w:rPr>
                <w:rFonts w:ascii="Arial" w:cs="Arial" w:eastAsia="Arial" w:hAnsi="Arial"/>
                <w:sz w:val="18"/>
                <w:szCs w:val="18"/>
                <w:b w:val="1"/>
                <w:bCs w:val="1"/>
                <w:color w:val="auto"/>
              </w:rPr>
              <w:t>2009</w:t>
            </w:r>
          </w:p>
        </w:tc>
        <w:tc>
          <w:tcPr>
            <w:tcW w:w="100" w:type="dxa"/>
            <w:vAlign w:val="bottom"/>
          </w:tcPr>
          <w:p>
            <w:pPr>
              <w:spacing w:after="0"/>
              <w:rPr>
                <w:sz w:val="18"/>
                <w:szCs w:val="18"/>
                <w:color w:val="auto"/>
              </w:rPr>
            </w:pPr>
          </w:p>
        </w:tc>
      </w:tr>
      <w:tr>
        <w:trPr>
          <w:trHeight w:val="210"/>
        </w:trPr>
        <w:tc>
          <w:tcPr>
            <w:tcW w:w="40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ind w:left="780"/>
              <w:spacing w:after="0"/>
              <w:rPr>
                <w:sz w:val="20"/>
                <w:szCs w:val="20"/>
                <w:color w:val="auto"/>
              </w:rPr>
            </w:pPr>
            <w:r>
              <w:rPr>
                <w:rFonts w:ascii="Arial" w:cs="Arial" w:eastAsia="Arial" w:hAnsi="Arial"/>
                <w:sz w:val="18"/>
                <w:szCs w:val="18"/>
                <w:b w:val="1"/>
                <w:bCs w:val="1"/>
                <w:color w:val="auto"/>
                <w:w w:val="81"/>
              </w:rPr>
              <w:t>(in</w:t>
            </w:r>
          </w:p>
        </w:tc>
        <w:tc>
          <w:tcPr>
            <w:tcW w:w="8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w w:val="86"/>
              </w:rPr>
              <w:t>thousands)</w:t>
            </w:r>
          </w:p>
        </w:tc>
        <w:tc>
          <w:tcPr>
            <w:tcW w:w="10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Interest and penalties expense</w:t>
            </w:r>
          </w:p>
        </w:tc>
        <w:tc>
          <w:tcPr>
            <w:tcW w:w="920" w:type="dxa"/>
            <w:vAlign w:val="bottom"/>
            <w:shd w:val="clear" w:color="auto" w:fill="CCEEFF"/>
          </w:tcPr>
          <w:p>
            <w:pPr>
              <w:jc w:val="right"/>
              <w:ind w:right="652"/>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277</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ind w:left="580"/>
              <w:spacing w:after="0"/>
              <w:rPr>
                <w:sz w:val="20"/>
                <w:szCs w:val="20"/>
                <w:color w:val="auto"/>
              </w:rPr>
            </w:pPr>
            <w:r>
              <w:rPr>
                <w:rFonts w:ascii="Arial" w:cs="Arial" w:eastAsia="Arial" w:hAnsi="Arial"/>
                <w:sz w:val="18"/>
                <w:szCs w:val="18"/>
                <w:color w:val="auto"/>
              </w:rPr>
              <w:t>656</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1,463</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1,988</w:t>
            </w:r>
          </w:p>
        </w:tc>
        <w:tc>
          <w:tcPr>
            <w:tcW w:w="100" w:type="dxa"/>
            <w:vAlign w:val="bottom"/>
            <w:shd w:val="clear" w:color="auto" w:fill="CCEEFF"/>
          </w:tcPr>
          <w:p>
            <w:pPr>
              <w:spacing w:after="0"/>
              <w:rPr>
                <w:sz w:val="18"/>
                <w:szCs w:val="18"/>
                <w:color w:val="auto"/>
              </w:rPr>
            </w:pPr>
          </w:p>
        </w:tc>
      </w:tr>
      <w:tr>
        <w:trPr>
          <w:trHeight w:val="223"/>
        </w:trPr>
        <w:tc>
          <w:tcPr>
            <w:tcW w:w="4020" w:type="dxa"/>
            <w:vAlign w:val="bottom"/>
          </w:tcPr>
          <w:p>
            <w:pPr>
              <w:spacing w:after="0"/>
              <w:rPr>
                <w:sz w:val="20"/>
                <w:szCs w:val="20"/>
                <w:color w:val="auto"/>
              </w:rPr>
            </w:pPr>
            <w:r>
              <w:rPr>
                <w:rFonts w:ascii="Arial" w:cs="Arial" w:eastAsia="Arial" w:hAnsi="Arial"/>
                <w:sz w:val="18"/>
                <w:szCs w:val="18"/>
                <w:color w:val="auto"/>
              </w:rPr>
              <w:t>Interest and penalties benefit</w:t>
            </w:r>
          </w:p>
        </w:tc>
        <w:tc>
          <w:tcPr>
            <w:tcW w:w="9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(449)</w:t>
            </w:r>
          </w:p>
        </w:tc>
        <w:tc>
          <w:tcPr>
            <w:tcW w:w="7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ind w:left="600"/>
              <w:spacing w:after="0"/>
              <w:rPr>
                <w:sz w:val="20"/>
                <w:szCs w:val="20"/>
                <w:color w:val="auto"/>
              </w:rPr>
            </w:pPr>
            <w:r>
              <w:rPr>
                <w:rFonts w:ascii="Arial" w:cs="Arial" w:eastAsia="Arial" w:hAnsi="Arial"/>
                <w:sz w:val="18"/>
                <w:szCs w:val="18"/>
                <w:color w:val="auto"/>
              </w:rPr>
              <w:t>(98)</w:t>
            </w:r>
          </w:p>
        </w:tc>
        <w:tc>
          <w:tcPr>
            <w:tcW w:w="54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(1,339)</w:t>
            </w:r>
          </w:p>
        </w:tc>
        <w:tc>
          <w:tcPr>
            <w:tcW w:w="64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w:t>
            </w:r>
          </w:p>
        </w:tc>
        <w:tc>
          <w:tcPr>
            <w:tcW w:w="100" w:type="dxa"/>
            <w:vAlign w:val="bottom"/>
          </w:tcPr>
          <w:p>
            <w:pPr>
              <w:spacing w:after="0"/>
              <w:rPr>
                <w:sz w:val="19"/>
                <w:szCs w:val="19"/>
                <w:color w:val="auto"/>
              </w:rPr>
            </w:pPr>
          </w:p>
        </w:tc>
      </w:tr>
      <w:tr>
        <w:trPr>
          <w:trHeight w:val="216"/>
        </w:trPr>
        <w:tc>
          <w:tcPr>
            <w:tcW w:w="40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interest and penalties recognized</w:t>
            </w:r>
          </w:p>
        </w:tc>
        <w:tc>
          <w:tcPr>
            <w:tcW w:w="920" w:type="dxa"/>
            <w:vAlign w:val="bottom"/>
            <w:shd w:val="clear" w:color="auto" w:fill="CCEEFF"/>
          </w:tcPr>
          <w:p>
            <w:pPr>
              <w:jc w:val="right"/>
              <w:ind w:right="652"/>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(172)</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ind w:left="580"/>
              <w:spacing w:after="0"/>
              <w:rPr>
                <w:sz w:val="20"/>
                <w:szCs w:val="20"/>
                <w:color w:val="auto"/>
              </w:rPr>
            </w:pPr>
            <w:r>
              <w:rPr>
                <w:rFonts w:ascii="Arial" w:cs="Arial" w:eastAsia="Arial" w:hAnsi="Arial"/>
                <w:sz w:val="18"/>
                <w:szCs w:val="18"/>
                <w:color w:val="auto"/>
              </w:rPr>
              <w:t>558</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124</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1,851</w:t>
            </w:r>
          </w:p>
        </w:tc>
        <w:tc>
          <w:tcPr>
            <w:tcW w:w="100" w:type="dxa"/>
            <w:vAlign w:val="bottom"/>
            <w:shd w:val="clear" w:color="auto" w:fill="CCEEFF"/>
          </w:tcPr>
          <w:p>
            <w:pPr>
              <w:spacing w:after="0"/>
              <w:rPr>
                <w:sz w:val="18"/>
                <w:szCs w:val="18"/>
                <w:color w:val="auto"/>
              </w:rPr>
            </w:pPr>
          </w:p>
        </w:tc>
      </w:tr>
      <w:tr>
        <w:trPr>
          <w:trHeight w:val="20"/>
        </w:trPr>
        <w:tc>
          <w:tcPr>
            <w:tcW w:w="40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20" w:type="dxa"/>
            <w:vAlign w:val="bottom"/>
            <w:gridSpan w:val="2"/>
          </w:tcPr>
          <w:p>
            <w:pPr>
              <w:ind w:left="140"/>
              <w:spacing w:after="0"/>
              <w:rPr>
                <w:sz w:val="20"/>
                <w:szCs w:val="20"/>
                <w:color w:val="auto"/>
              </w:rPr>
            </w:pPr>
            <w:r>
              <w:rPr>
                <w:rFonts w:ascii="Arial" w:cs="Arial" w:eastAsia="Arial" w:hAnsi="Arial"/>
                <w:sz w:val="18"/>
                <w:szCs w:val="18"/>
                <w:b w:val="1"/>
                <w:bCs w:val="1"/>
                <w:color w:val="auto"/>
                <w:w w:val="99"/>
              </w:rPr>
              <w:t>At September 30,</w:t>
            </w:r>
          </w:p>
        </w:tc>
        <w:tc>
          <w:tcPr>
            <w:tcW w:w="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8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7"/>
              </w:rPr>
              <w:t>At December 31,</w:t>
            </w:r>
          </w:p>
        </w:tc>
      </w:tr>
      <w:tr>
        <w:trPr>
          <w:trHeight w:val="228"/>
        </w:trPr>
        <w:tc>
          <w:tcPr>
            <w:tcW w:w="67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center"/>
              <w:ind w:right="332"/>
              <w:spacing w:after="0"/>
              <w:rPr>
                <w:sz w:val="20"/>
                <w:szCs w:val="20"/>
                <w:color w:val="auto"/>
              </w:rPr>
            </w:pPr>
            <w:r>
              <w:rPr>
                <w:rFonts w:ascii="Arial" w:cs="Arial" w:eastAsia="Arial" w:hAnsi="Arial"/>
                <w:sz w:val="18"/>
                <w:szCs w:val="18"/>
                <w:b w:val="1"/>
                <w:bCs w:val="1"/>
                <w:color w:val="auto"/>
                <w:w w:val="89"/>
              </w:rPr>
              <w:t>2010</w:t>
            </w:r>
          </w:p>
        </w:tc>
        <w:tc>
          <w:tcPr>
            <w:tcW w:w="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center"/>
              <w:ind w:right="312"/>
              <w:spacing w:after="0"/>
              <w:rPr>
                <w:sz w:val="20"/>
                <w:szCs w:val="20"/>
                <w:color w:val="auto"/>
              </w:rPr>
            </w:pPr>
            <w:r>
              <w:rPr>
                <w:rFonts w:ascii="Arial" w:cs="Arial" w:eastAsia="Arial" w:hAnsi="Arial"/>
                <w:sz w:val="18"/>
                <w:szCs w:val="18"/>
                <w:b w:val="1"/>
                <w:bCs w:val="1"/>
                <w:color w:val="auto"/>
                <w:w w:val="84"/>
              </w:rPr>
              <w:t>2009</w:t>
            </w:r>
          </w:p>
        </w:tc>
        <w:tc>
          <w:tcPr>
            <w:tcW w:w="100" w:type="dxa"/>
            <w:vAlign w:val="bottom"/>
          </w:tcPr>
          <w:p>
            <w:pPr>
              <w:spacing w:after="0"/>
              <w:rPr>
                <w:sz w:val="19"/>
                <w:szCs w:val="19"/>
                <w:color w:val="auto"/>
              </w:rPr>
            </w:pPr>
          </w:p>
        </w:tc>
      </w:tr>
      <w:tr>
        <w:trPr>
          <w:trHeight w:val="210"/>
        </w:trPr>
        <w:tc>
          <w:tcPr>
            <w:tcW w:w="6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40" w:type="dxa"/>
            <w:vAlign w:val="bottom"/>
          </w:tcPr>
          <w:p>
            <w:pPr>
              <w:ind w:left="180"/>
              <w:spacing w:after="0"/>
              <w:rPr>
                <w:sz w:val="20"/>
                <w:szCs w:val="20"/>
                <w:color w:val="auto"/>
              </w:rPr>
            </w:pPr>
            <w:r>
              <w:rPr>
                <w:rFonts w:ascii="Arial" w:cs="Arial" w:eastAsia="Arial" w:hAnsi="Arial"/>
                <w:sz w:val="18"/>
                <w:szCs w:val="18"/>
                <w:b w:val="1"/>
                <w:bCs w:val="1"/>
                <w:color w:val="auto"/>
              </w:rPr>
              <w:t>(in millions)</w:t>
            </w:r>
          </w:p>
        </w:tc>
        <w:tc>
          <w:tcPr>
            <w:tcW w:w="4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8"/>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Accrued interest</w:t>
            </w:r>
          </w:p>
        </w:tc>
        <w:tc>
          <w:tcPr>
            <w:tcW w:w="420" w:type="dxa"/>
            <w:vAlign w:val="bottom"/>
            <w:gridSpan w:val="2"/>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center"/>
              <w:ind w:left="652"/>
              <w:spacing w:after="0"/>
              <w:rPr>
                <w:sz w:val="20"/>
                <w:szCs w:val="20"/>
                <w:color w:val="auto"/>
              </w:rPr>
            </w:pPr>
            <w:r>
              <w:rPr>
                <w:rFonts w:ascii="Arial" w:cs="Arial" w:eastAsia="Arial" w:hAnsi="Arial"/>
                <w:sz w:val="18"/>
                <w:szCs w:val="18"/>
                <w:color w:val="auto"/>
                <w:w w:val="79"/>
              </w:rPr>
              <w:t>4.7</w:t>
            </w:r>
          </w:p>
        </w:tc>
        <w:tc>
          <w:tcPr>
            <w:tcW w:w="1760" w:type="dxa"/>
            <w:vAlign w:val="bottom"/>
            <w:gridSpan w:val="3"/>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4.1</w:t>
            </w:r>
          </w:p>
        </w:tc>
        <w:tc>
          <w:tcPr>
            <w:tcW w:w="100" w:type="dxa"/>
            <w:vAlign w:val="bottom"/>
            <w:shd w:val="clear" w:color="auto" w:fill="CCEEFF"/>
          </w:tcPr>
          <w:p>
            <w:pPr>
              <w:spacing w:after="0"/>
              <w:rPr>
                <w:sz w:val="18"/>
                <w:szCs w:val="18"/>
                <w:color w:val="auto"/>
              </w:rPr>
            </w:pPr>
          </w:p>
        </w:tc>
      </w:tr>
      <w:tr>
        <w:trPr>
          <w:trHeight w:val="222"/>
        </w:trPr>
        <w:tc>
          <w:tcPr>
            <w:tcW w:w="6740" w:type="dxa"/>
            <w:vAlign w:val="bottom"/>
          </w:tcPr>
          <w:p>
            <w:pPr>
              <w:spacing w:after="0"/>
              <w:rPr>
                <w:sz w:val="20"/>
                <w:szCs w:val="20"/>
                <w:color w:val="auto"/>
              </w:rPr>
            </w:pPr>
            <w:r>
              <w:rPr>
                <w:rFonts w:ascii="Arial" w:cs="Arial" w:eastAsia="Arial" w:hAnsi="Arial"/>
                <w:sz w:val="18"/>
                <w:szCs w:val="18"/>
                <w:color w:val="auto"/>
              </w:rPr>
              <w:t>Accrued penalties</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20" w:type="dxa"/>
            <w:vAlign w:val="bottom"/>
          </w:tcPr>
          <w:p>
            <w:pPr>
              <w:jc w:val="center"/>
              <w:ind w:left="652"/>
              <w:spacing w:after="0"/>
              <w:rPr>
                <w:sz w:val="20"/>
                <w:szCs w:val="20"/>
                <w:color w:val="auto"/>
              </w:rPr>
            </w:pPr>
            <w:r>
              <w:rPr>
                <w:rFonts w:ascii="Arial" w:cs="Arial" w:eastAsia="Arial" w:hAnsi="Arial"/>
                <w:sz w:val="18"/>
                <w:szCs w:val="18"/>
                <w:color w:val="auto"/>
                <w:w w:val="79"/>
              </w:rPr>
              <w:t>2.9</w:t>
            </w:r>
          </w:p>
        </w:tc>
        <w:tc>
          <w:tcPr>
            <w:tcW w:w="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19"/>
                <w:szCs w:val="19"/>
                <w:color w:val="auto"/>
              </w:rPr>
            </w:pPr>
          </w:p>
        </w:tc>
      </w:tr>
      <w:tr>
        <w:trPr>
          <w:trHeight w:val="398"/>
        </w:trPr>
        <w:tc>
          <w:tcPr>
            <w:tcW w:w="6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20" w:type="dxa"/>
            <w:vAlign w:val="bottom"/>
            <w:gridSpan w:val="2"/>
          </w:tcPr>
          <w:p>
            <w:pPr>
              <w:jc w:val="center"/>
              <w:spacing w:after="0"/>
              <w:rPr>
                <w:sz w:val="20"/>
                <w:szCs w:val="20"/>
                <w:color w:val="auto"/>
              </w:rPr>
            </w:pPr>
            <w:r>
              <w:rPr>
                <w:rFonts w:ascii="Arial" w:cs="Arial" w:eastAsia="Arial" w:hAnsi="Arial"/>
                <w:sz w:val="18"/>
                <w:szCs w:val="18"/>
                <w:b w:val="1"/>
                <w:bCs w:val="1"/>
                <w:color w:val="auto"/>
                <w:w w:val="87"/>
              </w:rPr>
              <w:t>At September 30,</w:t>
            </w:r>
          </w:p>
        </w:tc>
        <w:tc>
          <w:tcPr>
            <w:tcW w:w="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68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7"/>
              </w:rPr>
              <w:t>At December 31,</w:t>
            </w:r>
          </w:p>
        </w:tc>
      </w:tr>
      <w:tr>
        <w:trPr>
          <w:trHeight w:val="228"/>
        </w:trPr>
        <w:tc>
          <w:tcPr>
            <w:tcW w:w="6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center"/>
              <w:ind w:right="292"/>
              <w:spacing w:after="0"/>
              <w:rPr>
                <w:sz w:val="20"/>
                <w:szCs w:val="20"/>
                <w:color w:val="auto"/>
              </w:rPr>
            </w:pPr>
            <w:r>
              <w:rPr>
                <w:rFonts w:ascii="Arial" w:cs="Arial" w:eastAsia="Arial" w:hAnsi="Arial"/>
                <w:sz w:val="18"/>
                <w:szCs w:val="18"/>
                <w:b w:val="1"/>
                <w:bCs w:val="1"/>
                <w:color w:val="auto"/>
                <w:w w:val="89"/>
              </w:rPr>
              <w:t>2010</w:t>
            </w:r>
          </w:p>
        </w:tc>
        <w:tc>
          <w:tcPr>
            <w:tcW w:w="20" w:type="dxa"/>
            <w:vAlign w:val="bottom"/>
            <w:tcBorders>
              <w:bottom w:val="single" w:sz="8" w:color="auto"/>
            </w:tcBorders>
          </w:tcPr>
          <w:p>
            <w:pPr>
              <w:spacing w:after="0"/>
              <w:rPr>
                <w:sz w:val="19"/>
                <w:szCs w:val="19"/>
                <w:color w:val="auto"/>
              </w:rPr>
            </w:pPr>
          </w:p>
        </w:tc>
        <w:tc>
          <w:tcPr>
            <w:tcW w:w="134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center"/>
              <w:ind w:right="312"/>
              <w:spacing w:after="0"/>
              <w:rPr>
                <w:sz w:val="20"/>
                <w:szCs w:val="20"/>
                <w:color w:val="auto"/>
              </w:rPr>
            </w:pPr>
            <w:r>
              <w:rPr>
                <w:rFonts w:ascii="Arial" w:cs="Arial" w:eastAsia="Arial" w:hAnsi="Arial"/>
                <w:sz w:val="18"/>
                <w:szCs w:val="18"/>
                <w:b w:val="1"/>
                <w:bCs w:val="1"/>
                <w:color w:val="auto"/>
                <w:w w:val="84"/>
              </w:rPr>
              <w:t>2009</w:t>
            </w:r>
          </w:p>
        </w:tc>
        <w:tc>
          <w:tcPr>
            <w:tcW w:w="100" w:type="dxa"/>
            <w:vAlign w:val="bottom"/>
          </w:tcPr>
          <w:p>
            <w:pPr>
              <w:spacing w:after="0"/>
              <w:rPr>
                <w:sz w:val="19"/>
                <w:szCs w:val="19"/>
                <w:color w:val="auto"/>
              </w:rPr>
            </w:pPr>
          </w:p>
        </w:tc>
      </w:tr>
      <w:tr>
        <w:trPr>
          <w:trHeight w:val="210"/>
        </w:trPr>
        <w:tc>
          <w:tcPr>
            <w:tcW w:w="6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40" w:type="dxa"/>
            <w:vAlign w:val="bottom"/>
          </w:tcPr>
          <w:p>
            <w:pPr>
              <w:ind w:left="200"/>
              <w:spacing w:after="0"/>
              <w:rPr>
                <w:sz w:val="20"/>
                <w:szCs w:val="20"/>
                <w:color w:val="auto"/>
              </w:rPr>
            </w:pPr>
            <w:r>
              <w:rPr>
                <w:rFonts w:ascii="Arial" w:cs="Arial" w:eastAsia="Arial" w:hAnsi="Arial"/>
                <w:sz w:val="18"/>
                <w:szCs w:val="18"/>
                <w:b w:val="1"/>
                <w:bCs w:val="1"/>
                <w:color w:val="auto"/>
              </w:rPr>
              <w:t>(in millions)</w:t>
            </w:r>
          </w:p>
        </w:tc>
        <w:tc>
          <w:tcPr>
            <w:tcW w:w="4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8"/>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Unrecognized tax benefits related to uncertain tax positions</w:t>
            </w:r>
          </w:p>
        </w:tc>
        <w:tc>
          <w:tcPr>
            <w:tcW w:w="420" w:type="dxa"/>
            <w:vAlign w:val="bottom"/>
            <w:gridSpan w:val="2"/>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center"/>
              <w:ind w:left="612"/>
              <w:spacing w:after="0"/>
              <w:rPr>
                <w:sz w:val="20"/>
                <w:szCs w:val="20"/>
                <w:color w:val="auto"/>
              </w:rPr>
            </w:pPr>
            <w:r>
              <w:rPr>
                <w:rFonts w:ascii="Arial" w:cs="Arial" w:eastAsia="Arial" w:hAnsi="Arial"/>
                <w:sz w:val="18"/>
                <w:szCs w:val="18"/>
                <w:color w:val="auto"/>
                <w:w w:val="91"/>
              </w:rPr>
              <w:t>33.3</w:t>
            </w:r>
          </w:p>
        </w:tc>
        <w:tc>
          <w:tcPr>
            <w:tcW w:w="1760" w:type="dxa"/>
            <w:vAlign w:val="bottom"/>
            <w:gridSpan w:val="3"/>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46.2</w:t>
            </w:r>
          </w:p>
        </w:tc>
        <w:tc>
          <w:tcPr>
            <w:tcW w:w="100" w:type="dxa"/>
            <w:vAlign w:val="bottom"/>
            <w:shd w:val="clear" w:color="auto" w:fill="CCEEFF"/>
          </w:tcPr>
          <w:p>
            <w:pPr>
              <w:spacing w:after="0"/>
              <w:rPr>
                <w:sz w:val="18"/>
                <w:szCs w:val="18"/>
                <w:color w:val="auto"/>
              </w:rPr>
            </w:pPr>
          </w:p>
        </w:tc>
      </w:tr>
      <w:tr>
        <w:trPr>
          <w:trHeight w:val="208"/>
        </w:trPr>
        <w:tc>
          <w:tcPr>
            <w:tcW w:w="6740" w:type="dxa"/>
            <w:vAlign w:val="bottom"/>
          </w:tcPr>
          <w:p>
            <w:pPr>
              <w:spacing w:after="0"/>
              <w:rPr>
                <w:sz w:val="20"/>
                <w:szCs w:val="20"/>
                <w:color w:val="auto"/>
              </w:rPr>
            </w:pPr>
            <w:r>
              <w:rPr>
                <w:rFonts w:ascii="Arial" w:cs="Arial" w:eastAsia="Arial" w:hAnsi="Arial"/>
                <w:sz w:val="18"/>
                <w:szCs w:val="18"/>
                <w:color w:val="auto"/>
              </w:rPr>
              <w:t>The amount of unrecognized tax benefits that, if recognized, would affect our</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2"/>
        </w:trPr>
        <w:tc>
          <w:tcPr>
            <w:tcW w:w="6740" w:type="dxa"/>
            <w:vAlign w:val="bottom"/>
          </w:tcPr>
          <w:p>
            <w:pPr>
              <w:ind w:left="220"/>
              <w:spacing w:after="0"/>
              <w:rPr>
                <w:sz w:val="20"/>
                <w:szCs w:val="20"/>
                <w:color w:val="auto"/>
              </w:rPr>
            </w:pPr>
            <w:r>
              <w:rPr>
                <w:rFonts w:ascii="Arial" w:cs="Arial" w:eastAsia="Arial" w:hAnsi="Arial"/>
                <w:sz w:val="18"/>
                <w:szCs w:val="18"/>
                <w:color w:val="auto"/>
              </w:rPr>
              <w:t>effective tax rate</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20" w:type="dxa"/>
            <w:vAlign w:val="bottom"/>
          </w:tcPr>
          <w:p>
            <w:pPr>
              <w:jc w:val="center"/>
              <w:ind w:left="612"/>
              <w:spacing w:after="0"/>
              <w:rPr>
                <w:sz w:val="20"/>
                <w:szCs w:val="20"/>
                <w:color w:val="auto"/>
              </w:rPr>
            </w:pPr>
            <w:r>
              <w:rPr>
                <w:rFonts w:ascii="Arial" w:cs="Arial" w:eastAsia="Arial" w:hAnsi="Arial"/>
                <w:sz w:val="18"/>
                <w:szCs w:val="18"/>
                <w:color w:val="auto"/>
                <w:w w:val="91"/>
              </w:rPr>
              <w:t>33.3</w:t>
            </w:r>
          </w:p>
        </w:tc>
        <w:tc>
          <w:tcPr>
            <w:tcW w:w="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46.2</w:t>
            </w:r>
          </w:p>
        </w:tc>
        <w:tc>
          <w:tcPr>
            <w:tcW w:w="100" w:type="dxa"/>
            <w:vAlign w:val="bottom"/>
          </w:tcPr>
          <w:p>
            <w:pPr>
              <w:spacing w:after="0"/>
              <w:rPr>
                <w:sz w:val="19"/>
                <w:szCs w:val="19"/>
                <w:color w:val="auto"/>
              </w:rPr>
            </w:pPr>
          </w:p>
        </w:tc>
      </w:tr>
    </w:tbl>
    <w:p>
      <w:pPr>
        <w:spacing w:after="0" w:line="15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At September 30, 2010, we expect to pay $630,000 in income taxes, interest, or penalties related to uncertain tax positions over the next twelve months. We are not able to reasonably estimate the timing of future cash flows relating to the remaining balance.</w:t>
      </w:r>
    </w:p>
    <w:p>
      <w:pPr>
        <w:spacing w:after="0" w:line="13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believe it is reasonably possible that our unrecognized tax benefits may decrease by approximately $5.9 million within the next twelve months due to the potential lapse of certain applicable statutes of limitations and the final resolution of certain tax audits.</w:t>
      </w:r>
    </w:p>
    <w:p>
      <w:pPr>
        <w:spacing w:after="0" w:line="207"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Note 11:</w:t>
      </w:r>
      <w:r>
        <w:rPr>
          <w:sz w:val="20"/>
          <w:szCs w:val="20"/>
          <w:color w:val="auto"/>
        </w:rPr>
        <w:tab/>
      </w:r>
      <w:r>
        <w:rPr>
          <w:rFonts w:ascii="Arial" w:cs="Arial" w:eastAsia="Arial" w:hAnsi="Arial"/>
          <w:sz w:val="15"/>
          <w:szCs w:val="15"/>
          <w:b w:val="1"/>
          <w:bCs w:val="1"/>
          <w:color w:val="auto"/>
        </w:rPr>
        <w:t>Commitments and Contingencies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Guarantees and Indemnifications</w:t>
      </w:r>
    </w:p>
    <w:p>
      <w:pPr>
        <w:spacing w:after="0" w:line="9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often required to obtain standby letters of credit (LOC’s) or bonds in support of our obligations for customer contracts. These standby LOC’s or bonds typically provide a guarantee to the customer for future performance, which usually covers the installation phase of a contract and may on occasion cover the operations and maintenance phase of outsourcing contracts.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26</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6840" w:type="dxa"/>
            <w:vAlign w:val="bottom"/>
            <w:gridSpan w:val="2"/>
          </w:tcPr>
          <w:p>
            <w:pPr>
              <w:spacing w:after="0"/>
              <w:rPr>
                <w:sz w:val="20"/>
                <w:szCs w:val="20"/>
                <w:color w:val="auto"/>
              </w:rPr>
            </w:pPr>
            <w:r>
              <w:rPr>
                <w:rFonts w:ascii="Arial" w:cs="Arial" w:eastAsia="Arial" w:hAnsi="Arial"/>
                <w:sz w:val="18"/>
                <w:szCs w:val="18"/>
                <w:color w:val="auto"/>
              </w:rPr>
              <w:t>Our available lines of credit, outstanding standby LOC’s, and bonds are as follows:</w:t>
            </w:r>
          </w:p>
        </w:tc>
        <w:tc>
          <w:tcPr>
            <w:tcW w:w="2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6"/>
        </w:trPr>
        <w:tc>
          <w:tcPr>
            <w:tcW w:w="20" w:type="dxa"/>
            <w:vAlign w:val="bottom"/>
          </w:tcPr>
          <w:p>
            <w:pPr>
              <w:spacing w:after="0"/>
              <w:rPr>
                <w:sz w:val="24"/>
                <w:szCs w:val="24"/>
                <w:color w:val="auto"/>
              </w:rPr>
            </w:pPr>
          </w:p>
        </w:tc>
        <w:tc>
          <w:tcPr>
            <w:tcW w:w="6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20" w:type="dxa"/>
            <w:vAlign w:val="bottom"/>
          </w:tcPr>
          <w:p>
            <w:pPr>
              <w:jc w:val="right"/>
              <w:ind w:right="92"/>
              <w:spacing w:after="0"/>
              <w:rPr>
                <w:sz w:val="20"/>
                <w:szCs w:val="20"/>
                <w:color w:val="auto"/>
              </w:rPr>
            </w:pPr>
            <w:r>
              <w:rPr>
                <w:rFonts w:ascii="Arial" w:cs="Arial" w:eastAsia="Arial" w:hAnsi="Arial"/>
                <w:sz w:val="18"/>
                <w:szCs w:val="18"/>
                <w:b w:val="1"/>
                <w:bCs w:val="1"/>
                <w:color w:val="auto"/>
                <w:w w:val="89"/>
              </w:rPr>
              <w:t>At September 30,</w:t>
            </w:r>
          </w:p>
        </w:tc>
        <w:tc>
          <w:tcPr>
            <w:tcW w:w="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520" w:type="dxa"/>
            <w:vAlign w:val="bottom"/>
            <w:gridSpan w:val="3"/>
          </w:tcPr>
          <w:p>
            <w:pPr>
              <w:ind w:left="80"/>
              <w:spacing w:after="0"/>
              <w:rPr>
                <w:sz w:val="20"/>
                <w:szCs w:val="20"/>
                <w:color w:val="auto"/>
              </w:rPr>
            </w:pPr>
            <w:r>
              <w:rPr>
                <w:rFonts w:ascii="Arial" w:cs="Arial" w:eastAsia="Arial" w:hAnsi="Arial"/>
                <w:sz w:val="18"/>
                <w:szCs w:val="18"/>
                <w:b w:val="1"/>
                <w:bCs w:val="1"/>
                <w:color w:val="auto"/>
              </w:rPr>
              <w:t>At December 31,</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8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ind w:right="572"/>
              <w:spacing w:after="0"/>
              <w:rPr>
                <w:sz w:val="20"/>
                <w:szCs w:val="20"/>
                <w:color w:val="auto"/>
              </w:rPr>
            </w:pPr>
            <w:r>
              <w:rPr>
                <w:rFonts w:ascii="Arial" w:cs="Arial" w:eastAsia="Arial" w:hAnsi="Arial"/>
                <w:sz w:val="18"/>
                <w:szCs w:val="18"/>
                <w:b w:val="1"/>
                <w:bCs w:val="1"/>
                <w:color w:val="auto"/>
              </w:rPr>
              <w:t>2010</w:t>
            </w:r>
          </w:p>
        </w:tc>
        <w:tc>
          <w:tcPr>
            <w:tcW w:w="80" w:type="dxa"/>
            <w:vAlign w:val="bottom"/>
            <w:tcBorders>
              <w:bottom w:val="single" w:sz="8" w:color="auto"/>
            </w:tcBorders>
          </w:tcPr>
          <w:p>
            <w:pPr>
              <w:spacing w:after="0"/>
              <w:rPr>
                <w:sz w:val="19"/>
                <w:szCs w:val="19"/>
                <w:color w:val="auto"/>
              </w:rPr>
            </w:pPr>
          </w:p>
        </w:tc>
        <w:tc>
          <w:tcPr>
            <w:tcW w:w="124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32"/>
              <w:spacing w:after="0"/>
              <w:rPr>
                <w:sz w:val="20"/>
                <w:szCs w:val="20"/>
                <w:color w:val="auto"/>
              </w:rPr>
            </w:pPr>
            <w:r>
              <w:rPr>
                <w:rFonts w:ascii="Arial" w:cs="Arial" w:eastAsia="Arial" w:hAnsi="Arial"/>
                <w:sz w:val="18"/>
                <w:szCs w:val="18"/>
                <w:b w:val="1"/>
                <w:bCs w:val="1"/>
                <w:color w:val="auto"/>
              </w:rPr>
              <w:t>2009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Arial" w:cs="Arial" w:eastAsia="Arial" w:hAnsi="Arial"/>
                <w:sz w:val="18"/>
                <w:szCs w:val="18"/>
                <w:b w:val="1"/>
                <w:bCs w:val="1"/>
                <w:color w:val="auto"/>
              </w:rPr>
              <w:t>(in millions)</w:t>
            </w:r>
          </w:p>
        </w:tc>
        <w:tc>
          <w:tcPr>
            <w:tcW w:w="3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Credit facility</w:t>
            </w:r>
            <w:r>
              <w:rPr>
                <w:rFonts w:ascii="Arial" w:cs="Arial" w:eastAsia="Arial" w:hAnsi="Arial"/>
                <w:sz w:val="11"/>
                <w:szCs w:val="11"/>
                <w:color w:val="auto"/>
              </w:rPr>
              <w:t>(1)</w:t>
            </w:r>
          </w:p>
        </w:tc>
        <w:tc>
          <w:tcPr>
            <w:tcW w:w="22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tcPr>
          <w:p>
            <w:pPr>
              <w:ind w:left="420"/>
              <w:spacing w:after="0"/>
              <w:rPr>
                <w:sz w:val="20"/>
                <w:szCs w:val="20"/>
                <w:color w:val="auto"/>
              </w:rPr>
            </w:pPr>
            <w:r>
              <w:rPr>
                <w:rFonts w:ascii="Arial" w:cs="Arial" w:eastAsia="Arial" w:hAnsi="Arial"/>
                <w:sz w:val="18"/>
                <w:szCs w:val="18"/>
                <w:color w:val="auto"/>
              </w:rPr>
              <w:t>Multicurrency revolving line of credit</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240.0</w:t>
            </w:r>
          </w:p>
        </w:tc>
        <w:tc>
          <w:tcPr>
            <w:tcW w:w="1680" w:type="dxa"/>
            <w:vAlign w:val="bottom"/>
            <w:gridSpan w:val="3"/>
          </w:tcPr>
          <w:p>
            <w:pPr>
              <w:ind w:left="142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115.0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Standby LOC’s issued and outstanding</w:t>
            </w:r>
          </w:p>
        </w:tc>
        <w:tc>
          <w:tcPr>
            <w:tcW w:w="22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(46.8)</w:t>
            </w:r>
          </w:p>
        </w:tc>
        <w:tc>
          <w:tcPr>
            <w:tcW w:w="80" w:type="dxa"/>
            <w:vAlign w:val="bottom"/>
            <w:tcBorders>
              <w:bottom w:val="single" w:sz="8" w:color="auto"/>
            </w:tcBorders>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(39.9)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820" w:type="dxa"/>
            <w:vAlign w:val="bottom"/>
          </w:tcPr>
          <w:p>
            <w:pPr>
              <w:ind w:left="860"/>
              <w:spacing w:after="0"/>
              <w:rPr>
                <w:sz w:val="20"/>
                <w:szCs w:val="20"/>
                <w:color w:val="auto"/>
              </w:rPr>
            </w:pPr>
            <w:r>
              <w:rPr>
                <w:rFonts w:ascii="Arial" w:cs="Arial" w:eastAsia="Arial" w:hAnsi="Arial"/>
                <w:sz w:val="18"/>
                <w:szCs w:val="18"/>
                <w:color w:val="auto"/>
              </w:rPr>
              <w:t>Net available for additional borrowings and LOC’s</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193.2</w:t>
            </w:r>
          </w:p>
        </w:tc>
        <w:tc>
          <w:tcPr>
            <w:tcW w:w="1680" w:type="dxa"/>
            <w:vAlign w:val="bottom"/>
            <w:gridSpan w:val="3"/>
          </w:tcPr>
          <w:p>
            <w:pPr>
              <w:ind w:left="142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75.1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68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5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Unsecured multicurrency revolving lines of credit with various financial</w:t>
            </w:r>
          </w:p>
        </w:tc>
        <w:tc>
          <w:tcPr>
            <w:tcW w:w="22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8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institutions</w:t>
            </w: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tcPr>
          <w:p>
            <w:pPr>
              <w:ind w:left="420"/>
              <w:spacing w:after="0"/>
              <w:rPr>
                <w:sz w:val="20"/>
                <w:szCs w:val="20"/>
                <w:color w:val="auto"/>
              </w:rPr>
            </w:pPr>
            <w:r>
              <w:rPr>
                <w:rFonts w:ascii="Arial" w:cs="Arial" w:eastAsia="Arial" w:hAnsi="Arial"/>
                <w:sz w:val="18"/>
                <w:szCs w:val="18"/>
                <w:color w:val="auto"/>
              </w:rPr>
              <w:t>Total lines of credit</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46.1</w:t>
            </w:r>
          </w:p>
        </w:tc>
        <w:tc>
          <w:tcPr>
            <w:tcW w:w="1680" w:type="dxa"/>
            <w:vAlign w:val="bottom"/>
            <w:gridSpan w:val="3"/>
          </w:tcPr>
          <w:p>
            <w:pPr>
              <w:ind w:left="142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38.7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Standby LOC’s issued and outstanding</w:t>
            </w:r>
          </w:p>
        </w:tc>
        <w:tc>
          <w:tcPr>
            <w:tcW w:w="22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w:t>
            </w:r>
          </w:p>
        </w:tc>
        <w:tc>
          <w:tcPr>
            <w:tcW w:w="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(10.9)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20" w:type="dxa"/>
            <w:vAlign w:val="bottom"/>
          </w:tcPr>
          <w:p>
            <w:pPr>
              <w:ind w:left="420"/>
              <w:spacing w:after="0"/>
              <w:rPr>
                <w:sz w:val="20"/>
                <w:szCs w:val="20"/>
                <w:color w:val="auto"/>
              </w:rPr>
            </w:pPr>
            <w:r>
              <w:rPr>
                <w:rFonts w:ascii="Arial" w:cs="Arial" w:eastAsia="Arial" w:hAnsi="Arial"/>
                <w:sz w:val="18"/>
                <w:szCs w:val="18"/>
                <w:color w:val="auto"/>
              </w:rPr>
              <w:t>Short-term borrowings</w:t>
            </w:r>
            <w:r>
              <w:rPr>
                <w:rFonts w:ascii="Arial" w:cs="Arial" w:eastAsia="Arial" w:hAnsi="Arial"/>
                <w:sz w:val="11"/>
                <w:szCs w:val="11"/>
                <w:color w:val="auto"/>
              </w:rPr>
              <w:t>(2)</w:t>
            </w:r>
          </w:p>
        </w:tc>
        <w:tc>
          <w:tcPr>
            <w:tcW w:w="22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80" w:type="dxa"/>
            <w:vAlign w:val="bottom"/>
            <w:tcBorders>
              <w:bottom w:val="single" w:sz="8" w:color="auto"/>
            </w:tcBorders>
          </w:tcPr>
          <w:p>
            <w:pPr>
              <w:spacing w:after="0"/>
              <w:rPr>
                <w:sz w:val="19"/>
                <w:szCs w:val="19"/>
                <w:color w:val="auto"/>
              </w:rPr>
            </w:pPr>
          </w:p>
        </w:tc>
        <w:tc>
          <w:tcPr>
            <w:tcW w:w="124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Net available for additional borrowings and LOC’s</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w:t>
            </w:r>
          </w:p>
        </w:tc>
        <w:tc>
          <w:tcPr>
            <w:tcW w:w="80" w:type="dxa"/>
            <w:vAlign w:val="bottom"/>
            <w:tcBorders>
              <w:bottom w:val="single" w:sz="8" w:color="auto"/>
            </w:tcBorders>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25.7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840" w:type="dxa"/>
            <w:vAlign w:val="bottom"/>
            <w:gridSpan w:val="2"/>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6840" w:type="dxa"/>
            <w:vAlign w:val="bottom"/>
            <w:gridSpan w:val="2"/>
          </w:tcPr>
          <w:p>
            <w:pPr>
              <w:spacing w:after="0"/>
              <w:rPr>
                <w:sz w:val="20"/>
                <w:szCs w:val="20"/>
                <w:color w:val="auto"/>
              </w:rPr>
            </w:pPr>
            <w:r>
              <w:rPr>
                <w:rFonts w:ascii="Arial" w:cs="Arial" w:eastAsia="Arial" w:hAnsi="Arial"/>
                <w:sz w:val="18"/>
                <w:szCs w:val="18"/>
                <w:color w:val="auto"/>
              </w:rPr>
              <w:t>Unsecured surety bonds in force</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97.7</w:t>
            </w:r>
          </w:p>
        </w:tc>
        <w:tc>
          <w:tcPr>
            <w:tcW w:w="1680" w:type="dxa"/>
            <w:vAlign w:val="bottom"/>
            <w:gridSpan w:val="3"/>
          </w:tcPr>
          <w:p>
            <w:pPr>
              <w:ind w:left="142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71.4</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44" w:lineRule="exact"/>
        <w:rPr>
          <w:sz w:val="20"/>
          <w:szCs w:val="20"/>
          <w:color w:val="auto"/>
        </w:rPr>
      </w:pPr>
    </w:p>
    <w:p>
      <w:pPr>
        <w:ind w:left="220" w:hanging="212"/>
        <w:spacing w:after="0"/>
        <w:tabs>
          <w:tab w:leader="none" w:pos="220" w:val="left"/>
        </w:tabs>
        <w:numPr>
          <w:ilvl w:val="0"/>
          <w:numId w:val="10"/>
        </w:numPr>
        <w:rPr>
          <w:rFonts w:ascii="Arial" w:cs="Arial" w:eastAsia="Arial" w:hAnsi="Arial"/>
          <w:sz w:val="22"/>
          <w:szCs w:val="22"/>
          <w:color w:val="auto"/>
          <w:vertAlign w:val="superscript"/>
        </w:rPr>
      </w:pPr>
      <w:r>
        <w:rPr>
          <w:rFonts w:ascii="Arial" w:cs="Arial" w:eastAsia="Arial" w:hAnsi="Arial"/>
          <w:sz w:val="18"/>
          <w:szCs w:val="18"/>
          <w:color w:val="auto"/>
        </w:rPr>
        <w:t>See Note 6 for details regarding our credit facility, which is secured.</w:t>
      </w:r>
    </w:p>
    <w:p>
      <w:pPr>
        <w:spacing w:after="0" w:line="7" w:lineRule="exact"/>
        <w:rPr>
          <w:rFonts w:ascii="Arial" w:cs="Arial" w:eastAsia="Arial" w:hAnsi="Arial"/>
          <w:sz w:val="22"/>
          <w:szCs w:val="22"/>
          <w:color w:val="auto"/>
          <w:vertAlign w:val="superscript"/>
        </w:rPr>
      </w:pPr>
    </w:p>
    <w:p>
      <w:pPr>
        <w:ind w:left="220" w:hanging="212"/>
        <w:spacing w:after="0" w:line="197" w:lineRule="auto"/>
        <w:tabs>
          <w:tab w:leader="none" w:pos="220" w:val="left"/>
        </w:tabs>
        <w:numPr>
          <w:ilvl w:val="0"/>
          <w:numId w:val="10"/>
        </w:numPr>
        <w:rPr>
          <w:rFonts w:ascii="Arial" w:cs="Arial" w:eastAsia="Arial" w:hAnsi="Arial"/>
          <w:sz w:val="22"/>
          <w:szCs w:val="22"/>
          <w:color w:val="auto"/>
          <w:vertAlign w:val="superscript"/>
        </w:rPr>
      </w:pPr>
      <w:r>
        <w:rPr>
          <w:rFonts w:ascii="Arial" w:cs="Arial" w:eastAsia="Arial" w:hAnsi="Arial"/>
          <w:sz w:val="18"/>
          <w:szCs w:val="18"/>
          <w:color w:val="auto"/>
        </w:rPr>
        <w:t>Short-term borrowings are included in “Other current liabilities” on the Consolidated Balance Sheets.</w:t>
      </w:r>
    </w:p>
    <w:p>
      <w:pPr>
        <w:spacing w:after="0" w:line="15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 the event any such bond or standby LOC is called, we would be obligated to reimburse the issuer of the standby LOC or bond; however, we do not believe that any currently outstanding bond or LOC will be called.</w:t>
      </w:r>
    </w:p>
    <w:p>
      <w:pPr>
        <w:spacing w:after="0" w:line="13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generally provide an indemnification related to the infringement of any patent, copyright, trademark, or other intellectual property right on software or equipment within our sales contracts, which indemnifies the customer from and pays the resulting costs, damages, and attorney’s fees awarded against a customer with respect to such a claim provided that (a) the customer promptly notifies us in writing of the claim and (b) we have the sole control of the defense and all related settlement negotiations. We also provide an indemnification to our customers for third party claims resulting from damages caused by the negligence or willful misconduct of our employees/agents in connection with the performance of certain contracts. The terms of our indemnifications generally do not limit the maximum potential payments. It is not possible to predict the maximum potential amount of future payments under these or similar agreements.</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Legal Matters</w:t>
      </w:r>
    </w:p>
    <w:p>
      <w:pPr>
        <w:spacing w:after="0" w:line="90"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We are subject to various legal proceedings and claims of which the outcomes are subject to significant uncertainty. Our policy is to assess the likelihood of any adverse judgments or outcomes related to legal matters, as well as ranges of probable losses. A determination of the amount of the liability required, if any, for these contingencies is made after an analysis of each known issue. A liability is recorded and charged to operating expense when we determine that a loss is probable and the amount can be reasonably estimated. Additionally, we disclose contingencies for which a material loss is reasonably possible, but not probable. Liabilities recorded for legal contingencies at September 30, 2010 were not material to our financial condition or results of operations.</w:t>
      </w:r>
    </w:p>
    <w:p>
      <w:pPr>
        <w:spacing w:after="0" w:line="116"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On December 18, 2009, we received a statement of claim in the matter of an arbitration between Cinclus Technology (Cinclus) and Itron Metering Solutions UK Ltd (Itron UK). The claim relates to an alleged defect in meters sold to Cinclus during 2007 for installation on a project Cinclus was managing for E.ON, a utility with customers in Sweden. On December 23, 2009, we received a statement of claim in the matter of an arbitration between Cinclus and Itron UK relating to an alleged defect in meters sold to Cinclus during 2007 - 2009 for installation on a project Cinclus was managing for Fortum, a utility with customers in Sweden. Both arbitrations were filed with the Arbitration Institute of the Stockholm Chamber of Commerce. In both arbitrations, Cinclus claimed the meters provided by Itron UK failed to meet specifications because in certain environments the meters were affected by high frequency pollution from third party devices in the home environment, which impairs the meters’ capability to measure energy accurately. Cinclus asserted that all meters must be replaced at Itron UK’s cost and expense, including the cost of field work to replace the meters, plus other losses and damages to be specified at a later date. Itron UK resolved the claim by Cinclus related to the E.ON project in the second quarter of 2010. Itron UK resolved the claim by Cinclus related to the Fortum claim in the third quarter of 2010.</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27</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Warranty</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warranty accrual account activity is as follows: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4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40" w:type="dxa"/>
            <w:vAlign w:val="bottom"/>
            <w:gridSpan w:val="4"/>
          </w:tcPr>
          <w:p>
            <w:pPr>
              <w:jc w:val="right"/>
              <w:ind w:right="192"/>
              <w:spacing w:after="0"/>
              <w:rPr>
                <w:sz w:val="20"/>
                <w:szCs w:val="20"/>
                <w:color w:val="auto"/>
              </w:rPr>
            </w:pPr>
            <w:r>
              <w:rPr>
                <w:rFonts w:ascii="Arial" w:cs="Arial" w:eastAsia="Arial" w:hAnsi="Arial"/>
                <w:sz w:val="18"/>
                <w:szCs w:val="18"/>
                <w:b w:val="1"/>
                <w:bCs w:val="1"/>
                <w:color w:val="auto"/>
                <w:w w:val="89"/>
              </w:rPr>
              <w:t>Three Months Ended September 30,</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40" w:type="dxa"/>
            <w:vAlign w:val="bottom"/>
            <w:gridSpan w:val="5"/>
          </w:tcPr>
          <w:p>
            <w:pPr>
              <w:ind w:left="60"/>
              <w:spacing w:after="0"/>
              <w:rPr>
                <w:sz w:val="20"/>
                <w:szCs w:val="20"/>
                <w:color w:val="auto"/>
              </w:rPr>
            </w:pPr>
            <w:r>
              <w:rPr>
                <w:rFonts w:ascii="Arial" w:cs="Arial" w:eastAsia="Arial" w:hAnsi="Arial"/>
                <w:sz w:val="18"/>
                <w:szCs w:val="18"/>
                <w:b w:val="1"/>
                <w:bCs w:val="1"/>
                <w:color w:val="auto"/>
                <w:w w:val="99"/>
              </w:rPr>
              <w:t>Nine Months Ended September 30,</w:t>
            </w:r>
          </w:p>
        </w:tc>
      </w:tr>
      <w:tr>
        <w:trPr>
          <w:trHeight w:val="212"/>
        </w:trPr>
        <w:tc>
          <w:tcPr>
            <w:tcW w:w="2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452"/>
              <w:spacing w:after="0"/>
              <w:rPr>
                <w:sz w:val="20"/>
                <w:szCs w:val="20"/>
                <w:color w:val="auto"/>
              </w:rPr>
            </w:pPr>
            <w:r>
              <w:rPr>
                <w:rFonts w:ascii="Arial" w:cs="Arial" w:eastAsia="Arial" w:hAnsi="Arial"/>
                <w:sz w:val="18"/>
                <w:szCs w:val="18"/>
                <w:b w:val="1"/>
                <w:bCs w:val="1"/>
                <w:color w:val="auto"/>
              </w:rPr>
              <w:t>2010</w:t>
            </w:r>
          </w:p>
        </w:tc>
        <w:tc>
          <w:tcPr>
            <w:tcW w:w="400" w:type="dxa"/>
            <w:vAlign w:val="bottom"/>
            <w:tcBorders>
              <w:top w:val="single" w:sz="8" w:color="auto"/>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452"/>
              <w:spacing w:after="0"/>
              <w:rPr>
                <w:sz w:val="20"/>
                <w:szCs w:val="20"/>
                <w:color w:val="auto"/>
              </w:rPr>
            </w:pPr>
            <w:r>
              <w:rPr>
                <w:rFonts w:ascii="Arial" w:cs="Arial" w:eastAsia="Arial" w:hAnsi="Arial"/>
                <w:sz w:val="18"/>
                <w:szCs w:val="18"/>
                <w:b w:val="1"/>
                <w:bCs w:val="1"/>
                <w:color w:val="auto"/>
              </w:rPr>
              <w:t>2009</w:t>
            </w:r>
          </w:p>
        </w:tc>
        <w:tc>
          <w:tcPr>
            <w:tcW w:w="36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12"/>
              <w:spacing w:after="0"/>
              <w:rPr>
                <w:sz w:val="20"/>
                <w:szCs w:val="20"/>
                <w:color w:val="auto"/>
              </w:rPr>
            </w:pPr>
            <w:r>
              <w:rPr>
                <w:rFonts w:ascii="Arial" w:cs="Arial" w:eastAsia="Arial" w:hAnsi="Arial"/>
                <w:sz w:val="18"/>
                <w:szCs w:val="18"/>
                <w:b w:val="1"/>
                <w:bCs w:val="1"/>
                <w:color w:val="auto"/>
              </w:rPr>
              <w:t>2010</w:t>
            </w:r>
          </w:p>
        </w:tc>
        <w:tc>
          <w:tcPr>
            <w:tcW w:w="420" w:type="dxa"/>
            <w:vAlign w:val="bottom"/>
            <w:tcBorders>
              <w:top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432"/>
              <w:spacing w:after="0"/>
              <w:rPr>
                <w:sz w:val="20"/>
                <w:szCs w:val="20"/>
                <w:color w:val="auto"/>
              </w:rPr>
            </w:pPr>
            <w:r>
              <w:rPr>
                <w:rFonts w:ascii="Arial" w:cs="Arial" w:eastAsia="Arial" w:hAnsi="Arial"/>
                <w:sz w:val="18"/>
                <w:szCs w:val="18"/>
                <w:b w:val="1"/>
                <w:bCs w:val="1"/>
                <w:color w:val="auto"/>
              </w:rPr>
              <w:t>2009</w:t>
            </w:r>
          </w:p>
        </w:tc>
        <w:tc>
          <w:tcPr>
            <w:tcW w:w="10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tcPr>
          <w:p>
            <w:pPr>
              <w:jc w:val="right"/>
              <w:ind w:right="92"/>
              <w:spacing w:after="0"/>
              <w:rPr>
                <w:sz w:val="20"/>
                <w:szCs w:val="20"/>
                <w:color w:val="auto"/>
              </w:rPr>
            </w:pPr>
            <w:r>
              <w:rPr>
                <w:rFonts w:ascii="Arial" w:cs="Arial" w:eastAsia="Arial" w:hAnsi="Arial"/>
                <w:sz w:val="18"/>
                <w:szCs w:val="18"/>
                <w:b w:val="1"/>
                <w:bCs w:val="1"/>
                <w:color w:val="auto"/>
              </w:rPr>
              <w:t>(in</w:t>
            </w:r>
          </w:p>
        </w:tc>
        <w:tc>
          <w:tcPr>
            <w:tcW w:w="1720" w:type="dxa"/>
            <w:vAlign w:val="bottom"/>
            <w:gridSpan w:val="4"/>
          </w:tcPr>
          <w:p>
            <w:pPr>
              <w:jc w:val="right"/>
              <w:ind w:right="952"/>
              <w:spacing w:after="0"/>
              <w:rPr>
                <w:sz w:val="20"/>
                <w:szCs w:val="20"/>
                <w:color w:val="auto"/>
              </w:rPr>
            </w:pPr>
            <w:r>
              <w:rPr>
                <w:rFonts w:ascii="Arial" w:cs="Arial" w:eastAsia="Arial" w:hAnsi="Arial"/>
                <w:sz w:val="16"/>
                <w:szCs w:val="16"/>
                <w:b w:val="1"/>
                <w:bCs w:val="1"/>
                <w:color w:val="auto"/>
                <w:w w:val="76"/>
              </w:rPr>
              <w:t>thousands)</w:t>
            </w: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49,203</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34,065</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33,873</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38,255</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20" w:type="dxa"/>
            <w:vAlign w:val="bottom"/>
          </w:tcPr>
          <w:p>
            <w:pPr>
              <w:ind w:left="420"/>
              <w:spacing w:after="0"/>
              <w:rPr>
                <w:sz w:val="20"/>
                <w:szCs w:val="20"/>
                <w:color w:val="auto"/>
              </w:rPr>
            </w:pPr>
            <w:r>
              <w:rPr>
                <w:rFonts w:ascii="Arial" w:cs="Arial" w:eastAsia="Arial" w:hAnsi="Arial"/>
                <w:sz w:val="18"/>
                <w:szCs w:val="18"/>
                <w:color w:val="auto"/>
              </w:rPr>
              <w:t>New product warranties</w:t>
            </w:r>
          </w:p>
        </w:tc>
        <w:tc>
          <w:tcPr>
            <w:tcW w:w="220" w:type="dxa"/>
            <w:vAlign w:val="bottom"/>
          </w:tcPr>
          <w:p>
            <w:pPr>
              <w:spacing w:after="0"/>
              <w:rPr>
                <w:sz w:val="18"/>
                <w:szCs w:val="18"/>
                <w:color w:val="auto"/>
              </w:rPr>
            </w:pPr>
          </w:p>
        </w:tc>
        <w:tc>
          <w:tcPr>
            <w:tcW w:w="1200" w:type="dxa"/>
            <w:vAlign w:val="bottom"/>
          </w:tcPr>
          <w:p>
            <w:pPr>
              <w:jc w:val="right"/>
              <w:ind w:right="52"/>
              <w:spacing w:after="0"/>
              <w:rPr>
                <w:sz w:val="20"/>
                <w:szCs w:val="20"/>
                <w:color w:val="auto"/>
              </w:rPr>
            </w:pPr>
            <w:r>
              <w:rPr>
                <w:rFonts w:ascii="Arial" w:cs="Arial" w:eastAsia="Arial" w:hAnsi="Arial"/>
                <w:sz w:val="18"/>
                <w:szCs w:val="18"/>
                <w:color w:val="auto"/>
              </w:rPr>
              <w:t>3,516</w:t>
            </w: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tcPr>
          <w:p>
            <w:pPr>
              <w:jc w:val="right"/>
              <w:ind w:right="52"/>
              <w:spacing w:after="0"/>
              <w:rPr>
                <w:sz w:val="20"/>
                <w:szCs w:val="20"/>
                <w:color w:val="auto"/>
              </w:rPr>
            </w:pPr>
            <w:r>
              <w:rPr>
                <w:rFonts w:ascii="Arial" w:cs="Arial" w:eastAsia="Arial" w:hAnsi="Arial"/>
                <w:sz w:val="18"/>
                <w:szCs w:val="18"/>
                <w:color w:val="auto"/>
              </w:rPr>
              <w:t>2,223</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9,212</w:t>
            </w: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5,345</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changes/adjustments to warranties</w:t>
            </w: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7,845</w:t>
            </w: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1,641</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23,438</w:t>
            </w: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4,750</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20" w:type="dxa"/>
            <w:vAlign w:val="bottom"/>
          </w:tcPr>
          <w:p>
            <w:pPr>
              <w:ind w:left="420"/>
              <w:spacing w:after="0"/>
              <w:rPr>
                <w:sz w:val="20"/>
                <w:szCs w:val="20"/>
                <w:color w:val="auto"/>
              </w:rPr>
            </w:pPr>
            <w:r>
              <w:rPr>
                <w:rFonts w:ascii="Arial" w:cs="Arial" w:eastAsia="Arial" w:hAnsi="Arial"/>
                <w:sz w:val="18"/>
                <w:szCs w:val="18"/>
                <w:color w:val="auto"/>
              </w:rPr>
              <w:t>Reclassification from other current liabilities</w:t>
            </w:r>
          </w:p>
        </w:tc>
        <w:tc>
          <w:tcPr>
            <w:tcW w:w="220" w:type="dxa"/>
            <w:vAlign w:val="bottom"/>
          </w:tcPr>
          <w:p>
            <w:pPr>
              <w:spacing w:after="0"/>
              <w:rPr>
                <w:sz w:val="18"/>
                <w:szCs w:val="18"/>
                <w:color w:val="auto"/>
              </w:rPr>
            </w:pPr>
          </w:p>
        </w:tc>
        <w:tc>
          <w:tcPr>
            <w:tcW w:w="120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2,878</w:t>
            </w: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Claims activity</w:t>
            </w: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(9,585)</w:t>
            </w: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(5,067)</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(16,648)</w:t>
            </w: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(15,788)</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520" w:type="dxa"/>
            <w:vAlign w:val="bottom"/>
          </w:tcPr>
          <w:p>
            <w:pPr>
              <w:ind w:left="420"/>
              <w:spacing w:after="0"/>
              <w:rPr>
                <w:sz w:val="20"/>
                <w:szCs w:val="20"/>
                <w:color w:val="auto"/>
              </w:rPr>
            </w:pPr>
            <w:r>
              <w:rPr>
                <w:rFonts w:ascii="Arial" w:cs="Arial" w:eastAsia="Arial" w:hAnsi="Arial"/>
                <w:sz w:val="18"/>
                <w:szCs w:val="18"/>
                <w:color w:val="auto"/>
              </w:rPr>
              <w:t>Effect of change in exchange rates</w:t>
            </w: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2,246</w:t>
            </w:r>
          </w:p>
        </w:tc>
        <w:tc>
          <w:tcPr>
            <w:tcW w:w="4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653</w:t>
            </w:r>
          </w:p>
        </w:tc>
        <w:tc>
          <w:tcPr>
            <w:tcW w:w="3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472</w:t>
            </w:r>
          </w:p>
        </w:tc>
        <w:tc>
          <w:tcPr>
            <w:tcW w:w="4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953</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Ending balance, September 30</w:t>
            </w: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53,225</w:t>
            </w: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33,515</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53,225</w:t>
            </w: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33,515</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Less: current portion of warranty</w:t>
            </w: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(28,232)</w:t>
            </w:r>
          </w:p>
        </w:tc>
        <w:tc>
          <w:tcPr>
            <w:tcW w:w="4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(20,751)</w:t>
            </w:r>
          </w:p>
        </w:tc>
        <w:tc>
          <w:tcPr>
            <w:tcW w:w="3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(28,232)</w:t>
            </w:r>
          </w:p>
        </w:tc>
        <w:tc>
          <w:tcPr>
            <w:tcW w:w="4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(20,751)</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Long-term warranty</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24,993</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12,764</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24,993</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12,764</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Total warranty expense is classified within cost of revenues and consists of new product warranties issued and other changes and adjustments to warranties.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Warranty expense for the three and nine months ended September 30 is as follows: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5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900" w:type="dxa"/>
            <w:vAlign w:val="bottom"/>
            <w:gridSpan w:val="3"/>
          </w:tcPr>
          <w:p>
            <w:pPr>
              <w:jc w:val="right"/>
              <w:spacing w:after="0"/>
              <w:rPr>
                <w:sz w:val="20"/>
                <w:szCs w:val="20"/>
                <w:color w:val="auto"/>
              </w:rPr>
            </w:pPr>
            <w:r>
              <w:rPr>
                <w:rFonts w:ascii="Arial" w:cs="Arial" w:eastAsia="Arial" w:hAnsi="Arial"/>
                <w:sz w:val="18"/>
                <w:szCs w:val="18"/>
                <w:b w:val="1"/>
                <w:bCs w:val="1"/>
                <w:color w:val="auto"/>
                <w:w w:val="92"/>
              </w:rPr>
              <w:t>Three Months Ended September 30,</w:t>
            </w: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280" w:type="dxa"/>
            <w:vAlign w:val="bottom"/>
            <w:gridSpan w:val="8"/>
          </w:tcPr>
          <w:p>
            <w:pPr>
              <w:ind w:left="120"/>
              <w:spacing w:after="0"/>
              <w:rPr>
                <w:sz w:val="20"/>
                <w:szCs w:val="20"/>
                <w:color w:val="auto"/>
              </w:rPr>
            </w:pPr>
            <w:r>
              <w:rPr>
                <w:rFonts w:ascii="Arial" w:cs="Arial" w:eastAsia="Arial" w:hAnsi="Arial"/>
                <w:sz w:val="18"/>
                <w:szCs w:val="18"/>
                <w:b w:val="1"/>
                <w:bCs w:val="1"/>
                <w:color w:val="auto"/>
              </w:rPr>
              <w:t>Nine Months Ended September 30,</w:t>
            </w:r>
          </w:p>
        </w:tc>
      </w:tr>
      <w:tr>
        <w:trPr>
          <w:trHeight w:val="212"/>
        </w:trPr>
        <w:tc>
          <w:tcPr>
            <w:tcW w:w="3520" w:type="dxa"/>
            <w:vAlign w:val="bottom"/>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452"/>
              <w:spacing w:after="0"/>
              <w:rPr>
                <w:sz w:val="20"/>
                <w:szCs w:val="20"/>
                <w:color w:val="auto"/>
              </w:rPr>
            </w:pPr>
            <w:r>
              <w:rPr>
                <w:rFonts w:ascii="Arial" w:cs="Arial" w:eastAsia="Arial" w:hAnsi="Arial"/>
                <w:sz w:val="18"/>
                <w:szCs w:val="18"/>
                <w:b w:val="1"/>
                <w:bCs w:val="1"/>
                <w:color w:val="auto"/>
              </w:rPr>
              <w:t>2010</w:t>
            </w:r>
          </w:p>
        </w:tc>
        <w:tc>
          <w:tcPr>
            <w:tcW w:w="900" w:type="dxa"/>
            <w:vAlign w:val="bottom"/>
            <w:tcBorders>
              <w:top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2009</w:t>
            </w:r>
          </w:p>
        </w:tc>
        <w:tc>
          <w:tcPr>
            <w:tcW w:w="30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372"/>
              <w:spacing w:after="0"/>
              <w:rPr>
                <w:sz w:val="20"/>
                <w:szCs w:val="20"/>
                <w:color w:val="auto"/>
              </w:rPr>
            </w:pPr>
            <w:r>
              <w:rPr>
                <w:rFonts w:ascii="Arial" w:cs="Arial" w:eastAsia="Arial" w:hAnsi="Arial"/>
                <w:sz w:val="18"/>
                <w:szCs w:val="18"/>
                <w:b w:val="1"/>
                <w:bCs w:val="1"/>
                <w:color w:val="auto"/>
              </w:rPr>
              <w:t>2010</w:t>
            </w:r>
          </w:p>
        </w:tc>
        <w:tc>
          <w:tcPr>
            <w:tcW w:w="84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gridSpan w:val="3"/>
          </w:tcPr>
          <w:p>
            <w:pPr>
              <w:jc w:val="right"/>
              <w:ind w:right="392"/>
              <w:spacing w:after="0"/>
              <w:rPr>
                <w:sz w:val="20"/>
                <w:szCs w:val="20"/>
                <w:color w:val="auto"/>
              </w:rPr>
            </w:pPr>
            <w:r>
              <w:rPr>
                <w:rFonts w:ascii="Arial" w:cs="Arial" w:eastAsia="Arial" w:hAnsi="Arial"/>
                <w:sz w:val="18"/>
                <w:szCs w:val="18"/>
                <w:b w:val="1"/>
                <w:bCs w:val="1"/>
                <w:color w:val="auto"/>
                <w:w w:val="94"/>
              </w:rPr>
              <w:t>2009</w:t>
            </w:r>
          </w:p>
        </w:tc>
        <w:tc>
          <w:tcPr>
            <w:tcW w:w="100" w:type="dxa"/>
            <w:vAlign w:val="bottom"/>
          </w:tcPr>
          <w:p>
            <w:pPr>
              <w:spacing w:after="0"/>
              <w:rPr>
                <w:sz w:val="18"/>
                <w:szCs w:val="18"/>
                <w:color w:val="auto"/>
              </w:rPr>
            </w:pPr>
          </w:p>
        </w:tc>
      </w:tr>
      <w:tr>
        <w:trPr>
          <w:trHeight w:val="210"/>
        </w:trPr>
        <w:tc>
          <w:tcPr>
            <w:tcW w:w="3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w w:val="89"/>
              </w:rPr>
              <w:t>(in millions)</w:t>
            </w:r>
          </w:p>
        </w:tc>
        <w:tc>
          <w:tcPr>
            <w:tcW w:w="9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Warranty expense</w:t>
            </w:r>
          </w:p>
        </w:tc>
        <w:tc>
          <w:tcPr>
            <w:tcW w:w="3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11.4</w:t>
            </w:r>
          </w:p>
        </w:tc>
        <w:tc>
          <w:tcPr>
            <w:tcW w:w="1780" w:type="dxa"/>
            <w:vAlign w:val="bottom"/>
            <w:gridSpan w:val="2"/>
            <w:shd w:val="clear" w:color="auto" w:fill="CCEEFF"/>
          </w:tcPr>
          <w:p>
            <w:pPr>
              <w:jc w:val="right"/>
              <w:ind w:right="612"/>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1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w:t>
            </w:r>
          </w:p>
        </w:tc>
        <w:tc>
          <w:tcPr>
            <w:tcW w:w="13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100" w:type="dxa"/>
            <w:vAlign w:val="bottom"/>
            <w:shd w:val="clear" w:color="auto" w:fill="CCEEFF"/>
          </w:tcPr>
          <w:p>
            <w:pPr>
              <w:spacing w:after="0"/>
              <w:rPr>
                <w:sz w:val="18"/>
                <w:szCs w:val="18"/>
                <w:color w:val="auto"/>
              </w:rPr>
            </w:pPr>
          </w:p>
        </w:tc>
      </w:tr>
      <w:tr>
        <w:trPr>
          <w:trHeight w:val="376"/>
        </w:trPr>
        <w:tc>
          <w:tcPr>
            <w:tcW w:w="8140" w:type="dxa"/>
            <w:vAlign w:val="bottom"/>
            <w:gridSpan w:val="9"/>
          </w:tcPr>
          <w:p>
            <w:pPr>
              <w:spacing w:after="0"/>
              <w:rPr>
                <w:sz w:val="20"/>
                <w:szCs w:val="20"/>
                <w:color w:val="auto"/>
              </w:rPr>
            </w:pPr>
            <w:r>
              <w:rPr>
                <w:rFonts w:ascii="Arial" w:cs="Arial" w:eastAsia="Arial" w:hAnsi="Arial"/>
                <w:sz w:val="18"/>
                <w:szCs w:val="18"/>
                <w:color w:val="auto"/>
                <w:w w:val="95"/>
              </w:rPr>
              <w:t>Warranty expense associated with our segments was as follows for the nine months ended September 30:</w:t>
            </w:r>
          </w:p>
        </w:tc>
        <w:tc>
          <w:tcPr>
            <w:tcW w:w="9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20"/>
        </w:trPr>
        <w:tc>
          <w:tcPr>
            <w:tcW w:w="3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8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b w:val="1"/>
                <w:bCs w:val="1"/>
                <w:color w:val="auto"/>
              </w:rPr>
              <w:t>2010</w:t>
            </w:r>
          </w:p>
        </w:tc>
        <w:tc>
          <w:tcPr>
            <w:tcW w:w="40" w:type="dxa"/>
            <w:vAlign w:val="bottom"/>
            <w:tcBorders>
              <w:bottom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2009</w:t>
            </w:r>
          </w:p>
        </w:tc>
        <w:tc>
          <w:tcPr>
            <w:tcW w:w="100" w:type="dxa"/>
            <w:vAlign w:val="bottom"/>
          </w:tcPr>
          <w:p>
            <w:pPr>
              <w:spacing w:after="0"/>
              <w:rPr>
                <w:sz w:val="24"/>
                <w:szCs w:val="24"/>
                <w:color w:val="auto"/>
              </w:rPr>
            </w:pPr>
          </w:p>
        </w:tc>
      </w:tr>
      <w:tr>
        <w:trPr>
          <w:trHeight w:val="211"/>
        </w:trPr>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Itron North America</w:t>
            </w: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50%</w:t>
            </w: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00" w:type="dxa"/>
            <w:vAlign w:val="bottom"/>
            <w:shd w:val="clear" w:color="auto" w:fill="CCEEFF"/>
          </w:tcPr>
          <w:p>
            <w:pPr>
              <w:spacing w:after="0"/>
              <w:rPr>
                <w:sz w:val="18"/>
                <w:szCs w:val="18"/>
                <w:color w:val="auto"/>
              </w:rPr>
            </w:pPr>
          </w:p>
        </w:tc>
      </w:tr>
      <w:tr>
        <w:trPr>
          <w:trHeight w:val="222"/>
        </w:trPr>
        <w:tc>
          <w:tcPr>
            <w:tcW w:w="3520" w:type="dxa"/>
            <w:vAlign w:val="bottom"/>
          </w:tcPr>
          <w:p>
            <w:pPr>
              <w:spacing w:after="0"/>
              <w:rPr>
                <w:sz w:val="20"/>
                <w:szCs w:val="20"/>
                <w:color w:val="auto"/>
              </w:rPr>
            </w:pPr>
            <w:r>
              <w:rPr>
                <w:rFonts w:ascii="Arial" w:cs="Arial" w:eastAsia="Arial" w:hAnsi="Arial"/>
                <w:sz w:val="18"/>
                <w:szCs w:val="18"/>
                <w:color w:val="auto"/>
              </w:rPr>
              <w:t>Itron International</w:t>
            </w:r>
          </w:p>
        </w:tc>
        <w:tc>
          <w:tcPr>
            <w:tcW w:w="3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320" w:type="dxa"/>
            <w:vAlign w:val="bottom"/>
            <w:gridSpan w:val="3"/>
          </w:tcPr>
          <w:p>
            <w:pPr>
              <w:jc w:val="right"/>
              <w:ind w:right="40"/>
              <w:spacing w:after="0"/>
              <w:rPr>
                <w:sz w:val="20"/>
                <w:szCs w:val="20"/>
                <w:color w:val="auto"/>
              </w:rPr>
            </w:pPr>
            <w:r>
              <w:rPr>
                <w:rFonts w:ascii="Arial" w:cs="Arial" w:eastAsia="Arial" w:hAnsi="Arial"/>
                <w:sz w:val="18"/>
                <w:szCs w:val="18"/>
                <w:color w:val="auto"/>
              </w:rPr>
              <w:t>50%</w:t>
            </w: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9"/>
                <w:szCs w:val="19"/>
                <w:color w:val="auto"/>
              </w:rPr>
            </w:pPr>
          </w:p>
        </w:tc>
      </w:tr>
    </w:tbl>
    <w:p>
      <w:pPr>
        <w:spacing w:after="0" w:line="14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increase in Itron International’s warranty expense was primarily the result of $13.8 million recorded for the arbitration claims in Sweden noted above in legal matters.</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Health Benefits</w:t>
      </w:r>
    </w:p>
    <w:p>
      <w:pPr>
        <w:spacing w:after="0" w:line="9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are self insured for a substantial portion of the cost of our U.S. employee group health insurance. We purchase insurance from a third party, which provides individual and aggregate stop loss protection for these costs. Each reporting period, we expense the costs of our health insurance plan including paid claims, the change in the estimate of incurred but not reported (IBNR) claims, taxes, and administrative fees (collectively, the plan costs). Plan costs and the IBNR accrual, which is included in wages and benefits payable, are as follows: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26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306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b w:val="1"/>
                <w:bCs w:val="1"/>
                <w:color w:val="auto"/>
                <w:w w:val="88"/>
              </w:rPr>
              <w:t>Three Months Ended September 30,</w:t>
            </w:r>
          </w:p>
        </w:tc>
        <w:tc>
          <w:tcPr>
            <w:tcW w:w="460" w:type="dxa"/>
            <w:vAlign w:val="bottom"/>
            <w:tcBorders>
              <w:bottom w:val="single" w:sz="8" w:color="auto"/>
            </w:tcBorders>
          </w:tcPr>
          <w:p>
            <w:pPr>
              <w:spacing w:after="0"/>
              <w:rPr>
                <w:sz w:val="19"/>
                <w:szCs w:val="19"/>
                <w:color w:val="auto"/>
              </w:rPr>
            </w:pPr>
          </w:p>
        </w:tc>
        <w:tc>
          <w:tcPr>
            <w:tcW w:w="6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276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b w:val="1"/>
                <w:bCs w:val="1"/>
                <w:color w:val="auto"/>
                <w:w w:val="91"/>
              </w:rPr>
              <w:t>Nine Months Ended September 30,</w:t>
            </w:r>
          </w:p>
        </w:tc>
        <w:tc>
          <w:tcPr>
            <w:tcW w:w="4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1"/>
        </w:trPr>
        <w:tc>
          <w:tcPr>
            <w:tcW w:w="3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60" w:type="dxa"/>
            <w:vAlign w:val="bottom"/>
          </w:tcPr>
          <w:p>
            <w:pPr>
              <w:jc w:val="center"/>
              <w:ind w:right="312"/>
              <w:spacing w:after="0"/>
              <w:rPr>
                <w:sz w:val="20"/>
                <w:szCs w:val="20"/>
                <w:color w:val="auto"/>
              </w:rPr>
            </w:pPr>
            <w:r>
              <w:rPr>
                <w:rFonts w:ascii="Arial" w:cs="Arial" w:eastAsia="Arial" w:hAnsi="Arial"/>
                <w:sz w:val="18"/>
                <w:szCs w:val="18"/>
                <w:b w:val="1"/>
                <w:bCs w:val="1"/>
                <w:color w:val="auto"/>
                <w:w w:val="84"/>
              </w:rPr>
              <w:t>2010</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center"/>
              <w:ind w:left="277"/>
              <w:spacing w:after="0"/>
              <w:rPr>
                <w:sz w:val="20"/>
                <w:szCs w:val="20"/>
                <w:color w:val="auto"/>
              </w:rPr>
            </w:pPr>
            <w:r>
              <w:rPr>
                <w:rFonts w:ascii="Arial" w:cs="Arial" w:eastAsia="Arial" w:hAnsi="Arial"/>
                <w:sz w:val="18"/>
                <w:szCs w:val="18"/>
                <w:b w:val="1"/>
                <w:bCs w:val="1"/>
                <w:color w:val="auto"/>
                <w:w w:val="89"/>
              </w:rPr>
              <w:t>2009</w:t>
            </w:r>
          </w:p>
        </w:tc>
        <w:tc>
          <w:tcPr>
            <w:tcW w:w="4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ind w:right="372"/>
              <w:spacing w:after="0"/>
              <w:rPr>
                <w:sz w:val="20"/>
                <w:szCs w:val="20"/>
                <w:color w:val="auto"/>
              </w:rPr>
            </w:pPr>
            <w:r>
              <w:rPr>
                <w:rFonts w:ascii="Arial" w:cs="Arial" w:eastAsia="Arial" w:hAnsi="Arial"/>
                <w:sz w:val="18"/>
                <w:szCs w:val="18"/>
                <w:b w:val="1"/>
                <w:bCs w:val="1"/>
                <w:color w:val="auto"/>
              </w:rPr>
              <w:t>2010</w:t>
            </w:r>
          </w:p>
        </w:tc>
        <w:tc>
          <w:tcPr>
            <w:tcW w:w="18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2009</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0"/>
        </w:trPr>
        <w:tc>
          <w:tcPr>
            <w:tcW w:w="326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jc w:val="center"/>
              <w:ind w:left="12"/>
              <w:spacing w:after="0"/>
              <w:rPr>
                <w:sz w:val="20"/>
                <w:szCs w:val="20"/>
                <w:color w:val="auto"/>
              </w:rPr>
            </w:pPr>
            <w:r>
              <w:rPr>
                <w:rFonts w:ascii="Arial" w:cs="Arial" w:eastAsia="Arial" w:hAnsi="Arial"/>
                <w:sz w:val="18"/>
                <w:szCs w:val="18"/>
                <w:b w:val="1"/>
                <w:bCs w:val="1"/>
                <w:color w:val="auto"/>
                <w:w w:val="90"/>
              </w:rPr>
              <w:t>(in</w:t>
            </w:r>
          </w:p>
        </w:tc>
        <w:tc>
          <w:tcPr>
            <w:tcW w:w="680" w:type="dxa"/>
            <w:vAlign w:val="bottom"/>
          </w:tcPr>
          <w:p>
            <w:pPr>
              <w:spacing w:after="0"/>
              <w:rPr>
                <w:sz w:val="20"/>
                <w:szCs w:val="20"/>
                <w:color w:val="auto"/>
              </w:rPr>
            </w:pPr>
            <w:r>
              <w:rPr>
                <w:rFonts w:ascii="Arial" w:cs="Arial" w:eastAsia="Arial" w:hAnsi="Arial"/>
                <w:sz w:val="18"/>
                <w:szCs w:val="18"/>
                <w:b w:val="1"/>
                <w:bCs w:val="1"/>
                <w:color w:val="auto"/>
                <w:w w:val="89"/>
              </w:rPr>
              <w:t>millions)</w:t>
            </w:r>
          </w:p>
        </w:tc>
        <w:tc>
          <w:tcPr>
            <w:tcW w:w="3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740" w:type="dxa"/>
            <w:vAlign w:val="bottom"/>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Plan costs</w:t>
            </w:r>
          </w:p>
        </w:tc>
        <w:tc>
          <w:tcPr>
            <w:tcW w:w="4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5.1</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877"/>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5.4</w:t>
            </w: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14.5</w:t>
            </w:r>
          </w:p>
        </w:tc>
        <w:tc>
          <w:tcPr>
            <w:tcW w:w="180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15.4</w:t>
            </w:r>
          </w:p>
        </w:tc>
        <w:tc>
          <w:tcPr>
            <w:tcW w:w="100" w:type="dxa"/>
            <w:vAlign w:val="bottom"/>
            <w:shd w:val="clear" w:color="auto" w:fill="CCEEFF"/>
          </w:tcPr>
          <w:p>
            <w:pPr>
              <w:spacing w:after="0"/>
              <w:rPr>
                <w:sz w:val="18"/>
                <w:szCs w:val="18"/>
                <w:color w:val="auto"/>
              </w:rPr>
            </w:pPr>
          </w:p>
        </w:tc>
      </w:tr>
      <w:tr>
        <w:trPr>
          <w:trHeight w:val="418"/>
        </w:trPr>
        <w:tc>
          <w:tcPr>
            <w:tcW w:w="3260" w:type="dxa"/>
            <w:vAlign w:val="bottom"/>
          </w:tcPr>
          <w:p>
            <w:pPr>
              <w:spacing w:after="0"/>
              <w:rPr>
                <w:sz w:val="24"/>
                <w:szCs w:val="24"/>
                <w:color w:val="auto"/>
              </w:rPr>
            </w:pPr>
          </w:p>
        </w:tc>
        <w:tc>
          <w:tcPr>
            <w:tcW w:w="2420" w:type="dxa"/>
            <w:vAlign w:val="bottom"/>
            <w:gridSpan w:val="4"/>
          </w:tcPr>
          <w:p>
            <w:pPr>
              <w:jc w:val="center"/>
              <w:ind w:right="760"/>
              <w:spacing w:after="0"/>
              <w:rPr>
                <w:sz w:val="20"/>
                <w:szCs w:val="20"/>
                <w:color w:val="auto"/>
              </w:rPr>
            </w:pPr>
            <w:r>
              <w:rPr>
                <w:rFonts w:ascii="Arial" w:cs="Arial" w:eastAsia="Arial" w:hAnsi="Arial"/>
                <w:sz w:val="18"/>
                <w:szCs w:val="18"/>
                <w:b w:val="1"/>
                <w:bCs w:val="1"/>
                <w:color w:val="auto"/>
                <w:w w:val="88"/>
              </w:rPr>
              <w:t>At September 30,</w:t>
            </w:r>
          </w:p>
        </w:tc>
        <w:tc>
          <w:tcPr>
            <w:tcW w:w="2180" w:type="dxa"/>
            <w:vAlign w:val="bottom"/>
            <w:gridSpan w:val="3"/>
          </w:tcPr>
          <w:p>
            <w:pPr>
              <w:jc w:val="center"/>
              <w:ind w:right="692"/>
              <w:spacing w:after="0"/>
              <w:rPr>
                <w:sz w:val="20"/>
                <w:szCs w:val="20"/>
                <w:color w:val="auto"/>
              </w:rPr>
            </w:pPr>
            <w:r>
              <w:rPr>
                <w:rFonts w:ascii="Arial" w:cs="Arial" w:eastAsia="Arial" w:hAnsi="Arial"/>
                <w:sz w:val="18"/>
                <w:szCs w:val="18"/>
                <w:b w:val="1"/>
                <w:bCs w:val="1"/>
                <w:color w:val="auto"/>
                <w:w w:val="87"/>
              </w:rPr>
              <w:t>At December 31,</w:t>
            </w: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9"/>
        </w:trPr>
        <w:tc>
          <w:tcPr>
            <w:tcW w:w="326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center"/>
              <w:ind w:right="312"/>
              <w:spacing w:after="0"/>
              <w:rPr>
                <w:sz w:val="20"/>
                <w:szCs w:val="20"/>
                <w:color w:val="auto"/>
              </w:rPr>
            </w:pPr>
            <w:r>
              <w:rPr>
                <w:rFonts w:ascii="Arial" w:cs="Arial" w:eastAsia="Arial" w:hAnsi="Arial"/>
                <w:sz w:val="18"/>
                <w:szCs w:val="18"/>
                <w:b w:val="1"/>
                <w:bCs w:val="1"/>
                <w:color w:val="auto"/>
                <w:w w:val="84"/>
              </w:rPr>
              <w:t>2010</w:t>
            </w:r>
          </w:p>
        </w:tc>
        <w:tc>
          <w:tcPr>
            <w:tcW w:w="6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center"/>
              <w:ind w:left="277"/>
              <w:spacing w:after="0"/>
              <w:rPr>
                <w:sz w:val="20"/>
                <w:szCs w:val="20"/>
                <w:color w:val="auto"/>
              </w:rPr>
            </w:pPr>
            <w:r>
              <w:rPr>
                <w:rFonts w:ascii="Arial" w:cs="Arial" w:eastAsia="Arial" w:hAnsi="Arial"/>
                <w:sz w:val="18"/>
                <w:szCs w:val="18"/>
                <w:b w:val="1"/>
                <w:bCs w:val="1"/>
                <w:color w:val="auto"/>
                <w:w w:val="89"/>
              </w:rPr>
              <w:t>2009</w:t>
            </w:r>
          </w:p>
        </w:tc>
        <w:tc>
          <w:tcPr>
            <w:tcW w:w="460" w:type="dxa"/>
            <w:vAlign w:val="bottom"/>
            <w:tcBorders>
              <w:bottom w:val="single" w:sz="8" w:color="auto"/>
            </w:tcBorders>
          </w:tcPr>
          <w:p>
            <w:pPr>
              <w:spacing w:after="0"/>
              <w:rPr>
                <w:sz w:val="19"/>
                <w:szCs w:val="19"/>
                <w:color w:val="auto"/>
              </w:rPr>
            </w:pPr>
          </w:p>
        </w:tc>
        <w:tc>
          <w:tcPr>
            <w:tcW w:w="6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1"/>
        </w:trPr>
        <w:tc>
          <w:tcPr>
            <w:tcW w:w="3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20" w:type="dxa"/>
            <w:vAlign w:val="bottom"/>
            <w:gridSpan w:val="3"/>
          </w:tcPr>
          <w:p>
            <w:pPr>
              <w:jc w:val="center"/>
              <w:ind w:left="1012"/>
              <w:spacing w:after="0"/>
              <w:rPr>
                <w:sz w:val="20"/>
                <w:szCs w:val="20"/>
                <w:color w:val="auto"/>
              </w:rPr>
            </w:pPr>
            <w:r>
              <w:rPr>
                <w:rFonts w:ascii="Arial" w:cs="Arial" w:eastAsia="Arial" w:hAnsi="Arial"/>
                <w:sz w:val="18"/>
                <w:szCs w:val="18"/>
                <w:b w:val="1"/>
                <w:bCs w:val="1"/>
                <w:color w:val="auto"/>
                <w:w w:val="91"/>
              </w:rPr>
              <w:t>(in millions)</w:t>
            </w:r>
          </w:p>
        </w:tc>
        <w:tc>
          <w:tcPr>
            <w:tcW w:w="10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IBNR accrual</w:t>
            </w:r>
          </w:p>
        </w:tc>
        <w:tc>
          <w:tcPr>
            <w:tcW w:w="4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2.0</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877"/>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3.3</w:t>
            </w:r>
          </w:p>
        </w:tc>
        <w:tc>
          <w:tcPr>
            <w:tcW w:w="680" w:type="dxa"/>
            <w:vAlign w:val="bottom"/>
            <w:shd w:val="clear" w:color="auto" w:fill="CCEEFF"/>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r>
    </w:tbl>
    <w:p>
      <w:pPr>
        <w:spacing w:after="0" w:line="15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Our IBNR accrual and expenses may fluctuate due to the number of plan participants, claims activity, and deductible limits. Due to a change in our medical plan administrator, we have reduced our claims processing time. Therefore, the</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28</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IBNR accrual is lower at September 30, 2010 compared with December 31, 2009. For our employees located outside of the United States, health benefits are provided primarily through governmental social plans, which are funded through employee and employer tax withholdings.</w:t>
      </w:r>
    </w:p>
    <w:p>
      <w:pPr>
        <w:spacing w:after="0" w:line="207"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Note 12:</w:t>
      </w:r>
      <w:r>
        <w:rPr>
          <w:sz w:val="20"/>
          <w:szCs w:val="20"/>
          <w:color w:val="auto"/>
        </w:rPr>
        <w:tab/>
      </w:r>
      <w:r>
        <w:rPr>
          <w:rFonts w:ascii="Arial" w:cs="Arial" w:eastAsia="Arial" w:hAnsi="Arial"/>
          <w:sz w:val="15"/>
          <w:szCs w:val="15"/>
          <w:b w:val="1"/>
          <w:bCs w:val="1"/>
          <w:color w:val="auto"/>
        </w:rPr>
        <w:t>Other Comprehensive Income (Loss)</w:t>
      </w:r>
    </w:p>
    <w:p>
      <w:pPr>
        <w:spacing w:after="0" w:line="96"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OCI is reflected as a net increase (decrease) to shareholders’ equity and is not reflected in our results of operations. Total comprehensive income (loss) during the reporting periods, net of tax, was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40" w:type="dxa"/>
            <w:vAlign w:val="bottom"/>
            <w:gridSpan w:val="4"/>
          </w:tcPr>
          <w:p>
            <w:pPr>
              <w:jc w:val="right"/>
              <w:ind w:right="192"/>
              <w:spacing w:after="0"/>
              <w:rPr>
                <w:sz w:val="20"/>
                <w:szCs w:val="20"/>
                <w:color w:val="auto"/>
              </w:rPr>
            </w:pPr>
            <w:r>
              <w:rPr>
                <w:rFonts w:ascii="Arial" w:cs="Arial" w:eastAsia="Arial" w:hAnsi="Arial"/>
                <w:sz w:val="18"/>
                <w:szCs w:val="18"/>
                <w:b w:val="1"/>
                <w:bCs w:val="1"/>
                <w:color w:val="auto"/>
                <w:w w:val="89"/>
              </w:rPr>
              <w:t>Three Months Ended September 30,</w:t>
            </w: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40" w:type="dxa"/>
            <w:vAlign w:val="bottom"/>
            <w:gridSpan w:val="5"/>
          </w:tcPr>
          <w:p>
            <w:pPr>
              <w:ind w:left="60"/>
              <w:spacing w:after="0"/>
              <w:rPr>
                <w:sz w:val="20"/>
                <w:szCs w:val="20"/>
                <w:color w:val="auto"/>
              </w:rPr>
            </w:pPr>
            <w:r>
              <w:rPr>
                <w:rFonts w:ascii="Arial" w:cs="Arial" w:eastAsia="Arial" w:hAnsi="Arial"/>
                <w:sz w:val="18"/>
                <w:szCs w:val="18"/>
                <w:b w:val="1"/>
                <w:bCs w:val="1"/>
                <w:color w:val="auto"/>
                <w:w w:val="99"/>
              </w:rPr>
              <w:t>Nine Months Ended September 30,</w:t>
            </w:r>
          </w:p>
        </w:tc>
      </w:tr>
      <w:tr>
        <w:trPr>
          <w:trHeight w:val="212"/>
        </w:trPr>
        <w:tc>
          <w:tcPr>
            <w:tcW w:w="454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ind w:right="452"/>
              <w:spacing w:after="0"/>
              <w:rPr>
                <w:sz w:val="20"/>
                <w:szCs w:val="20"/>
                <w:color w:val="auto"/>
              </w:rPr>
            </w:pPr>
            <w:r>
              <w:rPr>
                <w:rFonts w:ascii="Arial" w:cs="Arial" w:eastAsia="Arial" w:hAnsi="Arial"/>
                <w:sz w:val="18"/>
                <w:szCs w:val="18"/>
                <w:b w:val="1"/>
                <w:bCs w:val="1"/>
                <w:color w:val="auto"/>
              </w:rPr>
              <w:t>2010</w:t>
            </w:r>
          </w:p>
        </w:tc>
        <w:tc>
          <w:tcPr>
            <w:tcW w:w="420" w:type="dxa"/>
            <w:vAlign w:val="bottom"/>
            <w:tcBorders>
              <w:top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432"/>
              <w:spacing w:after="0"/>
              <w:rPr>
                <w:sz w:val="20"/>
                <w:szCs w:val="20"/>
                <w:color w:val="auto"/>
              </w:rPr>
            </w:pPr>
            <w:r>
              <w:rPr>
                <w:rFonts w:ascii="Arial" w:cs="Arial" w:eastAsia="Arial" w:hAnsi="Arial"/>
                <w:sz w:val="18"/>
                <w:szCs w:val="18"/>
                <w:b w:val="1"/>
                <w:bCs w:val="1"/>
                <w:color w:val="auto"/>
              </w:rPr>
              <w:t>2009</w:t>
            </w:r>
          </w:p>
        </w:tc>
        <w:tc>
          <w:tcPr>
            <w:tcW w:w="36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432"/>
              <w:spacing w:after="0"/>
              <w:rPr>
                <w:sz w:val="20"/>
                <w:szCs w:val="20"/>
                <w:color w:val="auto"/>
              </w:rPr>
            </w:pPr>
            <w:r>
              <w:rPr>
                <w:rFonts w:ascii="Arial" w:cs="Arial" w:eastAsia="Arial" w:hAnsi="Arial"/>
                <w:sz w:val="18"/>
                <w:szCs w:val="18"/>
                <w:b w:val="1"/>
                <w:bCs w:val="1"/>
                <w:color w:val="auto"/>
              </w:rPr>
              <w:t>2010</w:t>
            </w:r>
          </w:p>
        </w:tc>
        <w:tc>
          <w:tcPr>
            <w:tcW w:w="46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392"/>
              <w:spacing w:after="0"/>
              <w:rPr>
                <w:sz w:val="20"/>
                <w:szCs w:val="20"/>
                <w:color w:val="auto"/>
              </w:rPr>
            </w:pPr>
            <w:r>
              <w:rPr>
                <w:rFonts w:ascii="Arial" w:cs="Arial" w:eastAsia="Arial" w:hAnsi="Arial"/>
                <w:sz w:val="18"/>
                <w:szCs w:val="18"/>
                <w:b w:val="1"/>
                <w:bCs w:val="1"/>
                <w:color w:val="auto"/>
              </w:rPr>
              <w:t>2009</w:t>
            </w:r>
          </w:p>
        </w:tc>
        <w:tc>
          <w:tcPr>
            <w:tcW w:w="100" w:type="dxa"/>
            <w:vAlign w:val="bottom"/>
          </w:tcPr>
          <w:p>
            <w:pPr>
              <w:spacing w:after="0"/>
              <w:rPr>
                <w:sz w:val="18"/>
                <w:szCs w:val="18"/>
                <w:color w:val="auto"/>
              </w:rPr>
            </w:pPr>
          </w:p>
        </w:tc>
      </w:tr>
      <w:tr>
        <w:trPr>
          <w:trHeight w:val="210"/>
        </w:trPr>
        <w:tc>
          <w:tcPr>
            <w:tcW w:w="4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jc w:val="right"/>
              <w:ind w:right="52"/>
              <w:spacing w:after="0"/>
              <w:rPr>
                <w:sz w:val="20"/>
                <w:szCs w:val="20"/>
                <w:color w:val="auto"/>
              </w:rPr>
            </w:pPr>
            <w:r>
              <w:rPr>
                <w:rFonts w:ascii="Arial" w:cs="Arial" w:eastAsia="Arial" w:hAnsi="Arial"/>
                <w:sz w:val="18"/>
                <w:szCs w:val="18"/>
                <w:b w:val="1"/>
                <w:bCs w:val="1"/>
                <w:color w:val="auto"/>
              </w:rPr>
              <w:t>(in</w:t>
            </w:r>
          </w:p>
        </w:tc>
        <w:tc>
          <w:tcPr>
            <w:tcW w:w="1760" w:type="dxa"/>
            <w:vAlign w:val="bottom"/>
            <w:gridSpan w:val="3"/>
          </w:tcPr>
          <w:p>
            <w:pPr>
              <w:jc w:val="right"/>
              <w:ind w:right="932"/>
              <w:spacing w:after="0"/>
              <w:rPr>
                <w:sz w:val="20"/>
                <w:szCs w:val="20"/>
                <w:color w:val="auto"/>
              </w:rPr>
            </w:pPr>
            <w:r>
              <w:rPr>
                <w:rFonts w:ascii="Arial" w:cs="Arial" w:eastAsia="Arial" w:hAnsi="Arial"/>
                <w:sz w:val="18"/>
                <w:szCs w:val="18"/>
                <w:b w:val="1"/>
                <w:bCs w:val="1"/>
                <w:color w:val="auto"/>
                <w:w w:val="74"/>
              </w:rPr>
              <w:t>thousands)</w:t>
            </w: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29,108</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(2,962)</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82,795</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(7,402)</w:t>
            </w:r>
          </w:p>
        </w:tc>
        <w:tc>
          <w:tcPr>
            <w:tcW w:w="100" w:type="dxa"/>
            <w:vAlign w:val="bottom"/>
            <w:shd w:val="clear" w:color="auto" w:fill="CCEEFF"/>
          </w:tcPr>
          <w:p>
            <w:pPr>
              <w:spacing w:after="0"/>
              <w:rPr>
                <w:sz w:val="18"/>
                <w:szCs w:val="18"/>
                <w:color w:val="auto"/>
              </w:rPr>
            </w:pP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Foreign currency translation adjustment, net</w:t>
            </w: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125,179</w:t>
            </w: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65,895</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(87,292)</w:t>
            </w: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62,971</w:t>
            </w:r>
          </w:p>
        </w:tc>
        <w:tc>
          <w:tcPr>
            <w:tcW w:w="100" w:type="dxa"/>
            <w:vAlign w:val="bottom"/>
          </w:tcPr>
          <w:p>
            <w:pPr>
              <w:spacing w:after="0"/>
              <w:rPr>
                <w:sz w:val="18"/>
                <w:szCs w:val="18"/>
                <w:color w:val="auto"/>
              </w:rPr>
            </w:pPr>
          </w:p>
        </w:tc>
      </w:tr>
      <w:tr>
        <w:trPr>
          <w:trHeight w:val="208"/>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Net unrealized gain (loss) on derivative instruments,</w:t>
            </w: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4"/>
        </w:trPr>
        <w:tc>
          <w:tcPr>
            <w:tcW w:w="45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designated as cash flow hedges, net</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w:t>
            </w:r>
          </w:p>
        </w:tc>
        <w:tc>
          <w:tcPr>
            <w:tcW w:w="4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(2,102)</w:t>
            </w:r>
          </w:p>
        </w:tc>
        <w:tc>
          <w:tcPr>
            <w:tcW w:w="3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(2,920)</w:t>
            </w:r>
          </w:p>
        </w:tc>
        <w:tc>
          <w:tcPr>
            <w:tcW w:w="4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(5,906)</w:t>
            </w:r>
          </w:p>
        </w:tc>
        <w:tc>
          <w:tcPr>
            <w:tcW w:w="100" w:type="dxa"/>
            <w:vAlign w:val="bottom"/>
            <w:shd w:val="clear" w:color="auto" w:fill="CCEEFF"/>
          </w:tcPr>
          <w:p>
            <w:pPr>
              <w:spacing w:after="0"/>
              <w:rPr>
                <w:sz w:val="19"/>
                <w:szCs w:val="19"/>
                <w:color w:val="auto"/>
              </w:rPr>
            </w:pPr>
          </w:p>
        </w:tc>
      </w:tr>
      <w:tr>
        <w:trPr>
          <w:trHeight w:val="208"/>
        </w:trPr>
        <w:tc>
          <w:tcPr>
            <w:tcW w:w="4540" w:type="dxa"/>
            <w:vAlign w:val="bottom"/>
          </w:tcPr>
          <w:p>
            <w:pPr>
              <w:spacing w:after="0"/>
              <w:rPr>
                <w:sz w:val="20"/>
                <w:szCs w:val="20"/>
                <w:color w:val="auto"/>
              </w:rPr>
            </w:pPr>
            <w:r>
              <w:rPr>
                <w:rFonts w:ascii="Arial" w:cs="Arial" w:eastAsia="Arial" w:hAnsi="Arial"/>
                <w:sz w:val="18"/>
                <w:szCs w:val="18"/>
                <w:color w:val="auto"/>
                <w:w w:val="94"/>
              </w:rPr>
              <w:t>Net unrealized gain (loss) on a nonderivative net investment</w:t>
            </w: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2"/>
        </w:trPr>
        <w:tc>
          <w:tcPr>
            <w:tcW w:w="4540" w:type="dxa"/>
            <w:vAlign w:val="bottom"/>
          </w:tcPr>
          <w:p>
            <w:pPr>
              <w:ind w:left="220"/>
              <w:spacing w:after="0"/>
              <w:rPr>
                <w:sz w:val="20"/>
                <w:szCs w:val="20"/>
                <w:color w:val="auto"/>
              </w:rPr>
            </w:pPr>
            <w:r>
              <w:rPr>
                <w:rFonts w:ascii="Arial" w:cs="Arial" w:eastAsia="Arial" w:hAnsi="Arial"/>
                <w:sz w:val="18"/>
                <w:szCs w:val="18"/>
                <w:color w:val="auto"/>
              </w:rPr>
              <w:t>hedging instrument, net</w:t>
            </w: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(12,149)</w:t>
            </w:r>
          </w:p>
        </w:tc>
        <w:tc>
          <w:tcPr>
            <w:tcW w:w="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(8,524)</w:t>
            </w: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12,203</w:t>
            </w:r>
          </w:p>
        </w:tc>
        <w:tc>
          <w:tcPr>
            <w:tcW w:w="4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(5,676)</w:t>
            </w:r>
          </w:p>
        </w:tc>
        <w:tc>
          <w:tcPr>
            <w:tcW w:w="100" w:type="dxa"/>
            <w:vAlign w:val="bottom"/>
          </w:tcPr>
          <w:p>
            <w:pPr>
              <w:spacing w:after="0"/>
              <w:rPr>
                <w:sz w:val="19"/>
                <w:szCs w:val="19"/>
                <w:color w:val="auto"/>
              </w:rPr>
            </w:pPr>
          </w:p>
        </w:tc>
      </w:tr>
      <w:tr>
        <w:trPr>
          <w:trHeight w:val="210"/>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w w:val="98"/>
              </w:rPr>
              <w:t>Net hedging (gain) loss reclassified into net income (loss),</w:t>
            </w: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4"/>
        </w:trPr>
        <w:tc>
          <w:tcPr>
            <w:tcW w:w="45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1,677</w:t>
            </w:r>
          </w:p>
        </w:tc>
        <w:tc>
          <w:tcPr>
            <w:tcW w:w="4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2,222</w:t>
            </w:r>
          </w:p>
        </w:tc>
        <w:tc>
          <w:tcPr>
            <w:tcW w:w="3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5,874</w:t>
            </w:r>
          </w:p>
        </w:tc>
        <w:tc>
          <w:tcPr>
            <w:tcW w:w="4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6,025</w:t>
            </w:r>
          </w:p>
        </w:tc>
        <w:tc>
          <w:tcPr>
            <w:tcW w:w="100" w:type="dxa"/>
            <w:vAlign w:val="bottom"/>
            <w:shd w:val="clear" w:color="auto" w:fill="CCEEFF"/>
          </w:tcPr>
          <w:p>
            <w:pPr>
              <w:spacing w:after="0"/>
              <w:rPr>
                <w:sz w:val="19"/>
                <w:szCs w:val="19"/>
                <w:color w:val="auto"/>
              </w:rPr>
            </w:pPr>
          </w:p>
        </w:tc>
      </w:tr>
      <w:tr>
        <w:trPr>
          <w:trHeight w:val="223"/>
        </w:trPr>
        <w:tc>
          <w:tcPr>
            <w:tcW w:w="4540" w:type="dxa"/>
            <w:vAlign w:val="bottom"/>
          </w:tcPr>
          <w:p>
            <w:pPr>
              <w:spacing w:after="0"/>
              <w:rPr>
                <w:sz w:val="20"/>
                <w:szCs w:val="20"/>
                <w:color w:val="auto"/>
              </w:rPr>
            </w:pPr>
            <w:r>
              <w:rPr>
                <w:rFonts w:ascii="Arial" w:cs="Arial" w:eastAsia="Arial" w:hAnsi="Arial"/>
                <w:sz w:val="18"/>
                <w:szCs w:val="18"/>
                <w:color w:val="auto"/>
              </w:rPr>
              <w:t>Pension plan benefits liability adjustment, net</w:t>
            </w: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4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3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(683)</w:t>
            </w:r>
          </w:p>
        </w:tc>
        <w:tc>
          <w:tcPr>
            <w:tcW w:w="4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w:t>
            </w:r>
          </w:p>
        </w:tc>
        <w:tc>
          <w:tcPr>
            <w:tcW w:w="100" w:type="dxa"/>
            <w:vAlign w:val="bottom"/>
          </w:tcPr>
          <w:p>
            <w:pPr>
              <w:spacing w:after="0"/>
              <w:rPr>
                <w:sz w:val="19"/>
                <w:szCs w:val="19"/>
                <w:color w:val="auto"/>
              </w:rPr>
            </w:pPr>
          </w:p>
        </w:tc>
      </w:tr>
      <w:tr>
        <w:trPr>
          <w:trHeight w:val="216"/>
        </w:trPr>
        <w:tc>
          <w:tcPr>
            <w:tcW w:w="45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comprehensive income (loss)</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143,439</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54,500</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9,977</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49,825</w:t>
            </w:r>
          </w:p>
        </w:tc>
        <w:tc>
          <w:tcPr>
            <w:tcW w:w="100" w:type="dxa"/>
            <w:vAlign w:val="bottom"/>
            <w:shd w:val="clear" w:color="auto" w:fill="CCEEFF"/>
          </w:tcPr>
          <w:p>
            <w:pPr>
              <w:spacing w:after="0"/>
              <w:rPr>
                <w:sz w:val="18"/>
                <w:szCs w:val="18"/>
                <w:color w:val="auto"/>
              </w:rPr>
            </w:pPr>
          </w:p>
        </w:tc>
      </w:tr>
      <w:tr>
        <w:trPr>
          <w:trHeight w:val="20"/>
        </w:trPr>
        <w:tc>
          <w:tcPr>
            <w:tcW w:w="45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6360" w:type="dxa"/>
            <w:vAlign w:val="bottom"/>
            <w:gridSpan w:val="5"/>
          </w:tcPr>
          <w:p>
            <w:pPr>
              <w:spacing w:after="0"/>
              <w:rPr>
                <w:sz w:val="20"/>
                <w:szCs w:val="20"/>
                <w:color w:val="auto"/>
              </w:rPr>
            </w:pPr>
            <w:r>
              <w:rPr>
                <w:rFonts w:ascii="Arial" w:cs="Arial" w:eastAsia="Arial" w:hAnsi="Arial"/>
                <w:sz w:val="18"/>
                <w:szCs w:val="18"/>
                <w:color w:val="auto"/>
                <w:w w:val="90"/>
              </w:rPr>
              <w:t>Income tax (provision) benefit related to OCI during the reporting periods was as follows:</w:t>
            </w: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419"/>
        </w:trPr>
        <w:tc>
          <w:tcPr>
            <w:tcW w:w="4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60" w:type="dxa"/>
            <w:vAlign w:val="bottom"/>
            <w:gridSpan w:val="5"/>
          </w:tcPr>
          <w:p>
            <w:pPr>
              <w:jc w:val="right"/>
              <w:ind w:right="192"/>
              <w:spacing w:after="0"/>
              <w:rPr>
                <w:sz w:val="20"/>
                <w:szCs w:val="20"/>
                <w:color w:val="auto"/>
              </w:rPr>
            </w:pPr>
            <w:r>
              <w:rPr>
                <w:rFonts w:ascii="Arial" w:cs="Arial" w:eastAsia="Arial" w:hAnsi="Arial"/>
                <w:sz w:val="18"/>
                <w:szCs w:val="18"/>
                <w:b w:val="1"/>
                <w:bCs w:val="1"/>
                <w:color w:val="auto"/>
                <w:w w:val="90"/>
              </w:rPr>
              <w:t>Three Months Ended September 30,</w:t>
            </w: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60" w:type="dxa"/>
            <w:vAlign w:val="bottom"/>
            <w:gridSpan w:val="5"/>
          </w:tcPr>
          <w:p>
            <w:pPr>
              <w:ind w:left="60"/>
              <w:spacing w:after="0"/>
              <w:rPr>
                <w:sz w:val="20"/>
                <w:szCs w:val="20"/>
                <w:color w:val="auto"/>
              </w:rPr>
            </w:pPr>
            <w:r>
              <w:rPr>
                <w:rFonts w:ascii="Arial" w:cs="Arial" w:eastAsia="Arial" w:hAnsi="Arial"/>
                <w:sz w:val="18"/>
                <w:szCs w:val="18"/>
                <w:b w:val="1"/>
                <w:bCs w:val="1"/>
                <w:color w:val="auto"/>
              </w:rPr>
              <w:t>Nine Months Ended September 30,</w:t>
            </w:r>
          </w:p>
        </w:tc>
      </w:tr>
      <w:tr>
        <w:trPr>
          <w:trHeight w:val="212"/>
        </w:trPr>
        <w:tc>
          <w:tcPr>
            <w:tcW w:w="442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432"/>
              <w:spacing w:after="0"/>
              <w:rPr>
                <w:sz w:val="20"/>
                <w:szCs w:val="20"/>
                <w:color w:val="auto"/>
              </w:rPr>
            </w:pPr>
            <w:r>
              <w:rPr>
                <w:rFonts w:ascii="Arial" w:cs="Arial" w:eastAsia="Arial" w:hAnsi="Arial"/>
                <w:sz w:val="18"/>
                <w:szCs w:val="18"/>
                <w:b w:val="1"/>
                <w:bCs w:val="1"/>
                <w:color w:val="auto"/>
              </w:rPr>
              <w:t>2010</w:t>
            </w:r>
          </w:p>
        </w:tc>
        <w:tc>
          <w:tcPr>
            <w:tcW w:w="480" w:type="dxa"/>
            <w:vAlign w:val="bottom"/>
            <w:tcBorders>
              <w:top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432"/>
              <w:spacing w:after="0"/>
              <w:rPr>
                <w:sz w:val="20"/>
                <w:szCs w:val="20"/>
                <w:color w:val="auto"/>
              </w:rPr>
            </w:pPr>
            <w:r>
              <w:rPr>
                <w:rFonts w:ascii="Arial" w:cs="Arial" w:eastAsia="Arial" w:hAnsi="Arial"/>
                <w:sz w:val="18"/>
                <w:szCs w:val="18"/>
                <w:b w:val="1"/>
                <w:bCs w:val="1"/>
                <w:color w:val="auto"/>
              </w:rPr>
              <w:t>2009</w:t>
            </w:r>
          </w:p>
        </w:tc>
        <w:tc>
          <w:tcPr>
            <w:tcW w:w="42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ind w:right="472"/>
              <w:spacing w:after="0"/>
              <w:rPr>
                <w:sz w:val="20"/>
                <w:szCs w:val="20"/>
                <w:color w:val="auto"/>
              </w:rPr>
            </w:pPr>
            <w:r>
              <w:rPr>
                <w:rFonts w:ascii="Arial" w:cs="Arial" w:eastAsia="Arial" w:hAnsi="Arial"/>
                <w:sz w:val="18"/>
                <w:szCs w:val="18"/>
                <w:b w:val="1"/>
                <w:bCs w:val="1"/>
                <w:color w:val="auto"/>
              </w:rPr>
              <w:t>2010</w:t>
            </w:r>
          </w:p>
        </w:tc>
        <w:tc>
          <w:tcPr>
            <w:tcW w:w="500" w:type="dxa"/>
            <w:vAlign w:val="bottom"/>
            <w:tcBorders>
              <w:top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332"/>
              <w:spacing w:after="0"/>
              <w:rPr>
                <w:sz w:val="20"/>
                <w:szCs w:val="20"/>
                <w:color w:val="auto"/>
              </w:rPr>
            </w:pPr>
            <w:r>
              <w:rPr>
                <w:rFonts w:ascii="Arial" w:cs="Arial" w:eastAsia="Arial" w:hAnsi="Arial"/>
                <w:sz w:val="18"/>
                <w:szCs w:val="18"/>
                <w:b w:val="1"/>
                <w:bCs w:val="1"/>
                <w:color w:val="auto"/>
              </w:rPr>
              <w:t>2009</w:t>
            </w:r>
          </w:p>
        </w:tc>
        <w:tc>
          <w:tcPr>
            <w:tcW w:w="100" w:type="dxa"/>
            <w:vAlign w:val="bottom"/>
          </w:tcPr>
          <w:p>
            <w:pPr>
              <w:spacing w:after="0"/>
              <w:rPr>
                <w:sz w:val="18"/>
                <w:szCs w:val="18"/>
                <w:color w:val="auto"/>
              </w:rPr>
            </w:pPr>
          </w:p>
        </w:tc>
      </w:tr>
      <w:tr>
        <w:trPr>
          <w:trHeight w:val="210"/>
        </w:trPr>
        <w:tc>
          <w:tcPr>
            <w:tcW w:w="4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(in</w:t>
            </w:r>
          </w:p>
        </w:tc>
        <w:tc>
          <w:tcPr>
            <w:tcW w:w="1900" w:type="dxa"/>
            <w:vAlign w:val="bottom"/>
            <w:gridSpan w:val="3"/>
          </w:tcPr>
          <w:p>
            <w:pPr>
              <w:jc w:val="right"/>
              <w:ind w:right="1032"/>
              <w:spacing w:after="0"/>
              <w:rPr>
                <w:sz w:val="20"/>
                <w:szCs w:val="20"/>
                <w:color w:val="auto"/>
              </w:rPr>
            </w:pPr>
            <w:r>
              <w:rPr>
                <w:rFonts w:ascii="Arial" w:cs="Arial" w:eastAsia="Arial" w:hAnsi="Arial"/>
                <w:sz w:val="18"/>
                <w:szCs w:val="18"/>
                <w:b w:val="1"/>
                <w:bCs w:val="1"/>
                <w:color w:val="auto"/>
                <w:w w:val="78"/>
              </w:rPr>
              <w:t>thousands)</w:t>
            </w: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8"/>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Income tax (provision) benefit on foreign currency</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4"/>
        </w:trPr>
        <w:tc>
          <w:tcPr>
            <w:tcW w:w="44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translation adjustment</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w:t>
            </w:r>
          </w:p>
        </w:tc>
        <w:tc>
          <w:tcPr>
            <w:tcW w:w="4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(1,691)</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(1,335)</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(5,367)</w:t>
            </w:r>
          </w:p>
        </w:tc>
        <w:tc>
          <w:tcPr>
            <w:tcW w:w="100" w:type="dxa"/>
            <w:vAlign w:val="bottom"/>
            <w:shd w:val="clear" w:color="auto" w:fill="CCEEFF"/>
          </w:tcPr>
          <w:p>
            <w:pPr>
              <w:spacing w:after="0"/>
              <w:rPr>
                <w:sz w:val="19"/>
                <w:szCs w:val="19"/>
                <w:color w:val="auto"/>
              </w:rPr>
            </w:pPr>
          </w:p>
        </w:tc>
      </w:tr>
      <w:tr>
        <w:trPr>
          <w:trHeight w:val="208"/>
        </w:trPr>
        <w:tc>
          <w:tcPr>
            <w:tcW w:w="4420" w:type="dxa"/>
            <w:vAlign w:val="bottom"/>
          </w:tcPr>
          <w:p>
            <w:pPr>
              <w:spacing w:after="0"/>
              <w:rPr>
                <w:sz w:val="20"/>
                <w:szCs w:val="20"/>
                <w:color w:val="auto"/>
              </w:rPr>
            </w:pPr>
            <w:r>
              <w:rPr>
                <w:rFonts w:ascii="Arial" w:cs="Arial" w:eastAsia="Arial" w:hAnsi="Arial"/>
                <w:sz w:val="18"/>
                <w:szCs w:val="18"/>
                <w:color w:val="auto"/>
              </w:rPr>
              <w:t>Income tax (provision) benefit on net unrealized gain</w:t>
            </w: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2"/>
        </w:trPr>
        <w:tc>
          <w:tcPr>
            <w:tcW w:w="4420" w:type="dxa"/>
            <w:vAlign w:val="bottom"/>
          </w:tcPr>
          <w:p>
            <w:pPr>
              <w:ind w:left="220"/>
              <w:spacing w:after="0"/>
              <w:rPr>
                <w:sz w:val="20"/>
                <w:szCs w:val="20"/>
                <w:color w:val="auto"/>
              </w:rPr>
            </w:pPr>
            <w:r>
              <w:rPr>
                <w:rFonts w:ascii="Arial" w:cs="Arial" w:eastAsia="Arial" w:hAnsi="Arial"/>
                <w:sz w:val="18"/>
                <w:szCs w:val="18"/>
                <w:color w:val="auto"/>
              </w:rPr>
              <w:t>(loss) on derivative instruments</w:t>
            </w:r>
            <w:r>
              <w:rPr>
                <w:rFonts w:ascii="Arial" w:cs="Arial" w:eastAsia="Arial" w:hAnsi="Arial"/>
                <w:sz w:val="11"/>
                <w:szCs w:val="11"/>
                <w:color w:val="auto"/>
              </w:rPr>
              <w:t>(1)</w:t>
            </w: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225</w:t>
            </w: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1,266</w:t>
            </w: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1,805</w:t>
            </w:r>
          </w:p>
        </w:tc>
        <w:tc>
          <w:tcPr>
            <w:tcW w:w="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3,627</w:t>
            </w:r>
          </w:p>
        </w:tc>
        <w:tc>
          <w:tcPr>
            <w:tcW w:w="100" w:type="dxa"/>
            <w:vAlign w:val="bottom"/>
          </w:tcPr>
          <w:p>
            <w:pPr>
              <w:spacing w:after="0"/>
              <w:rPr>
                <w:sz w:val="19"/>
                <w:szCs w:val="19"/>
                <w:color w:val="auto"/>
              </w:rPr>
            </w:pPr>
          </w:p>
        </w:tc>
      </w:tr>
      <w:tr>
        <w:trPr>
          <w:trHeight w:val="210"/>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Income tax (provision) benefit on net unrealized gain</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4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(loss) on a nonderivative net investment hedging</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4"/>
        </w:trPr>
        <w:tc>
          <w:tcPr>
            <w:tcW w:w="44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instrument</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7,554</w:t>
            </w:r>
          </w:p>
        </w:tc>
        <w:tc>
          <w:tcPr>
            <w:tcW w:w="4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5,246</w:t>
            </w:r>
          </w:p>
        </w:tc>
        <w:tc>
          <w:tcPr>
            <w:tcW w:w="4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(7,592)</w:t>
            </w:r>
          </w:p>
        </w:tc>
        <w:tc>
          <w:tcPr>
            <w:tcW w:w="5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3,481</w:t>
            </w:r>
          </w:p>
        </w:tc>
        <w:tc>
          <w:tcPr>
            <w:tcW w:w="100" w:type="dxa"/>
            <w:vAlign w:val="bottom"/>
            <w:shd w:val="clear" w:color="auto" w:fill="CCEEFF"/>
          </w:tcPr>
          <w:p>
            <w:pPr>
              <w:spacing w:after="0"/>
              <w:rPr>
                <w:sz w:val="19"/>
                <w:szCs w:val="19"/>
                <w:color w:val="auto"/>
              </w:rPr>
            </w:pPr>
          </w:p>
        </w:tc>
      </w:tr>
      <w:tr>
        <w:trPr>
          <w:trHeight w:val="208"/>
        </w:trPr>
        <w:tc>
          <w:tcPr>
            <w:tcW w:w="4420" w:type="dxa"/>
            <w:vAlign w:val="bottom"/>
          </w:tcPr>
          <w:p>
            <w:pPr>
              <w:spacing w:after="0"/>
              <w:rPr>
                <w:sz w:val="20"/>
                <w:szCs w:val="20"/>
                <w:color w:val="auto"/>
              </w:rPr>
            </w:pPr>
            <w:r>
              <w:rPr>
                <w:rFonts w:ascii="Arial" w:cs="Arial" w:eastAsia="Arial" w:hAnsi="Arial"/>
                <w:sz w:val="18"/>
                <w:szCs w:val="18"/>
                <w:color w:val="auto"/>
                <w:w w:val="98"/>
              </w:rPr>
              <w:t>Income tax (provision) benefit on net hedging (gain) loss</w:t>
            </w: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2"/>
        </w:trPr>
        <w:tc>
          <w:tcPr>
            <w:tcW w:w="4420" w:type="dxa"/>
            <w:vAlign w:val="bottom"/>
          </w:tcPr>
          <w:p>
            <w:pPr>
              <w:ind w:left="220"/>
              <w:spacing w:after="0"/>
              <w:rPr>
                <w:sz w:val="20"/>
                <w:szCs w:val="20"/>
                <w:color w:val="auto"/>
              </w:rPr>
            </w:pPr>
            <w:r>
              <w:rPr>
                <w:rFonts w:ascii="Arial" w:cs="Arial" w:eastAsia="Arial" w:hAnsi="Arial"/>
                <w:sz w:val="18"/>
                <w:szCs w:val="18"/>
                <w:color w:val="auto"/>
              </w:rPr>
              <w:t>reclassified into net income (loss)</w:t>
            </w: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(1,038)</w:t>
            </w: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(1,366)</w:t>
            </w: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(3,651)</w:t>
            </w:r>
          </w:p>
        </w:tc>
        <w:tc>
          <w:tcPr>
            <w:tcW w:w="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(3,725)</w:t>
            </w:r>
          </w:p>
        </w:tc>
        <w:tc>
          <w:tcPr>
            <w:tcW w:w="100" w:type="dxa"/>
            <w:vAlign w:val="bottom"/>
          </w:tcPr>
          <w:p>
            <w:pPr>
              <w:spacing w:after="0"/>
              <w:rPr>
                <w:sz w:val="19"/>
                <w:szCs w:val="19"/>
                <w:color w:val="auto"/>
              </w:rPr>
            </w:pPr>
          </w:p>
        </w:tc>
      </w:tr>
      <w:tr>
        <w:trPr>
          <w:trHeight w:val="210"/>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Income tax benefit on pension plan benefits liability</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4"/>
        </w:trPr>
        <w:tc>
          <w:tcPr>
            <w:tcW w:w="44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adjustment</w:t>
            </w:r>
          </w:p>
        </w:tc>
        <w:tc>
          <w:tcPr>
            <w:tcW w:w="2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48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4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220</w:t>
            </w:r>
          </w:p>
        </w:tc>
        <w:tc>
          <w:tcPr>
            <w:tcW w:w="5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00" w:type="dxa"/>
            <w:vAlign w:val="bottom"/>
            <w:shd w:val="clear" w:color="auto" w:fill="CCEEFF"/>
          </w:tcPr>
          <w:p>
            <w:pPr>
              <w:spacing w:after="0"/>
              <w:rPr>
                <w:sz w:val="19"/>
                <w:szCs w:val="19"/>
                <w:color w:val="auto"/>
              </w:rPr>
            </w:pPr>
          </w:p>
        </w:tc>
      </w:tr>
      <w:tr>
        <w:trPr>
          <w:trHeight w:val="215"/>
        </w:trPr>
        <w:tc>
          <w:tcPr>
            <w:tcW w:w="4420" w:type="dxa"/>
            <w:vAlign w:val="bottom"/>
          </w:tcPr>
          <w:p>
            <w:pPr>
              <w:ind w:left="440"/>
              <w:spacing w:after="0"/>
              <w:rPr>
                <w:sz w:val="20"/>
                <w:szCs w:val="20"/>
                <w:color w:val="auto"/>
              </w:rPr>
            </w:pPr>
            <w:r>
              <w:rPr>
                <w:rFonts w:ascii="Arial" w:cs="Arial" w:eastAsia="Arial" w:hAnsi="Arial"/>
                <w:sz w:val="18"/>
                <w:szCs w:val="18"/>
                <w:color w:val="auto"/>
              </w:rPr>
              <w:t>Total income tax (provision) benefit on other</w:t>
            </w: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3"/>
        </w:trPr>
        <w:tc>
          <w:tcPr>
            <w:tcW w:w="4420" w:type="dxa"/>
            <w:vAlign w:val="bottom"/>
          </w:tcPr>
          <w:p>
            <w:pPr>
              <w:ind w:left="660"/>
              <w:spacing w:after="0"/>
              <w:rPr>
                <w:sz w:val="20"/>
                <w:szCs w:val="20"/>
                <w:color w:val="auto"/>
              </w:rPr>
            </w:pPr>
            <w:r>
              <w:rPr>
                <w:rFonts w:ascii="Arial" w:cs="Arial" w:eastAsia="Arial" w:hAnsi="Arial"/>
                <w:sz w:val="18"/>
                <w:szCs w:val="18"/>
                <w:color w:val="auto"/>
              </w:rPr>
              <w:t>comprehensive income (loss)</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5,990</w:t>
            </w: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jc w:val="right"/>
              <w:ind w:right="92"/>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3,468</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(10,553)</w:t>
            </w: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(1,904)</w:t>
            </w:r>
          </w:p>
        </w:tc>
        <w:tc>
          <w:tcPr>
            <w:tcW w:w="100" w:type="dxa"/>
            <w:vAlign w:val="bottom"/>
          </w:tcPr>
          <w:p>
            <w:pPr>
              <w:spacing w:after="0"/>
              <w:rPr>
                <w:sz w:val="19"/>
                <w:szCs w:val="19"/>
                <w:color w:val="auto"/>
              </w:rPr>
            </w:pPr>
          </w:p>
        </w:tc>
      </w:tr>
      <w:tr>
        <w:trPr>
          <w:trHeight w:val="20"/>
        </w:trPr>
        <w:tc>
          <w:tcPr>
            <w:tcW w:w="44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8" w:lineRule="exact"/>
        <w:rPr>
          <w:sz w:val="20"/>
          <w:szCs w:val="20"/>
          <w:color w:val="auto"/>
        </w:rPr>
      </w:pPr>
    </w:p>
    <w:p>
      <w:pPr>
        <w:spacing w:after="0"/>
        <w:rPr>
          <w:sz w:val="20"/>
          <w:szCs w:val="20"/>
          <w:color w:val="auto"/>
        </w:rPr>
      </w:pPr>
      <w:r>
        <w:rPr>
          <w:rFonts w:ascii="Arial" w:cs="Arial" w:eastAsia="Arial" w:hAnsi="Arial"/>
          <w:sz w:val="22"/>
          <w:szCs w:val="22"/>
          <w:color w:val="auto"/>
          <w:vertAlign w:val="superscript"/>
        </w:rPr>
        <w:t>(1)</w:t>
      </w:r>
      <w:r>
        <w:rPr>
          <w:rFonts w:ascii="Arial" w:cs="Arial" w:eastAsia="Arial" w:hAnsi="Arial"/>
          <w:sz w:val="18"/>
          <w:szCs w:val="18"/>
          <w:color w:val="auto"/>
        </w:rPr>
        <w:t xml:space="preserve">  Designated as cash flow hedges</w:t>
      </w:r>
    </w:p>
    <w:p>
      <w:pPr>
        <w:spacing w:after="0" w:line="173"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Accumulated other comprehensive income (loss), net of tax, was ($1.7) million at September 30, 2010 and $71.1 million at December 31, 2009. These amounts include adjustments for foreign currency translation, the unrealized gain (loss) on our hedging instruments, the hedging gain (loss), and the pension liability adjustment as indicated above.</w:t>
      </w:r>
    </w:p>
    <w:p>
      <w:pPr>
        <w:spacing w:after="0" w:line="215"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Note 13:</w:t>
      </w:r>
      <w:r>
        <w:rPr>
          <w:sz w:val="20"/>
          <w:szCs w:val="20"/>
          <w:color w:val="auto"/>
        </w:rPr>
        <w:tab/>
      </w:r>
      <w:r>
        <w:rPr>
          <w:rFonts w:ascii="Arial" w:cs="Arial" w:eastAsia="Arial" w:hAnsi="Arial"/>
          <w:sz w:val="15"/>
          <w:szCs w:val="15"/>
          <w:b w:val="1"/>
          <w:bCs w:val="1"/>
          <w:color w:val="auto"/>
        </w:rPr>
        <w:t>Fair Values of Financial Instruments</w:t>
      </w:r>
    </w:p>
    <w:p>
      <w:pPr>
        <w:spacing w:after="0" w:line="9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fair values provided are representative of fair values only at September 30, 2010 and December 31, 2009 and do not reflect subsequent changes in the economy, interest rates, tax rates, and other variables that may affect the determination of fair value.</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40" w:type="dxa"/>
            <w:vAlign w:val="bottom"/>
            <w:gridSpan w:val="4"/>
          </w:tcPr>
          <w:p>
            <w:pPr>
              <w:jc w:val="right"/>
              <w:ind w:right="272"/>
              <w:spacing w:after="0"/>
              <w:rPr>
                <w:sz w:val="20"/>
                <w:szCs w:val="20"/>
                <w:color w:val="auto"/>
              </w:rPr>
            </w:pPr>
            <w:r>
              <w:rPr>
                <w:rFonts w:ascii="Arial" w:cs="Arial" w:eastAsia="Arial" w:hAnsi="Arial"/>
                <w:sz w:val="18"/>
                <w:szCs w:val="18"/>
                <w:b w:val="1"/>
                <w:bCs w:val="1"/>
                <w:color w:val="auto"/>
                <w:w w:val="96"/>
              </w:rPr>
              <w:t>At September 30, 2010</w:t>
            </w: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320" w:type="dxa"/>
            <w:vAlign w:val="bottom"/>
            <w:gridSpan w:val="4"/>
          </w:tcPr>
          <w:p>
            <w:pPr>
              <w:ind w:left="200"/>
              <w:spacing w:after="0"/>
              <w:rPr>
                <w:sz w:val="20"/>
                <w:szCs w:val="20"/>
                <w:color w:val="auto"/>
              </w:rPr>
            </w:pPr>
            <w:r>
              <w:rPr>
                <w:rFonts w:ascii="Arial" w:cs="Arial" w:eastAsia="Arial" w:hAnsi="Arial"/>
                <w:sz w:val="18"/>
                <w:szCs w:val="18"/>
                <w:b w:val="1"/>
                <w:bCs w:val="1"/>
                <w:color w:val="auto"/>
              </w:rPr>
              <w:t>At December 31, 2009</w:t>
            </w:r>
          </w:p>
        </w:tc>
      </w:tr>
      <w:tr>
        <w:trPr>
          <w:trHeight w:val="197"/>
        </w:trPr>
        <w:tc>
          <w:tcPr>
            <w:tcW w:w="594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ind w:left="240"/>
              <w:spacing w:after="0" w:line="197" w:lineRule="exact"/>
              <w:rPr>
                <w:sz w:val="20"/>
                <w:szCs w:val="20"/>
                <w:color w:val="auto"/>
              </w:rPr>
            </w:pPr>
            <w:r>
              <w:rPr>
                <w:rFonts w:ascii="Arial" w:cs="Arial" w:eastAsia="Arial" w:hAnsi="Arial"/>
                <w:sz w:val="18"/>
                <w:szCs w:val="18"/>
                <w:b w:val="1"/>
                <w:bCs w:val="1"/>
                <w:color w:val="auto"/>
              </w:rPr>
              <w:t>Fair</w:t>
            </w:r>
          </w:p>
        </w:tc>
        <w:tc>
          <w:tcPr>
            <w:tcW w:w="100" w:type="dxa"/>
            <w:vAlign w:val="bottom"/>
          </w:tcPr>
          <w:p>
            <w:pPr>
              <w:spacing w:after="0"/>
              <w:rPr>
                <w:sz w:val="17"/>
                <w:szCs w:val="17"/>
                <w:color w:val="auto"/>
              </w:rPr>
            </w:pPr>
          </w:p>
        </w:tc>
      </w:tr>
      <w:tr>
        <w:trPr>
          <w:trHeight w:val="216"/>
        </w:trPr>
        <w:tc>
          <w:tcPr>
            <w:tcW w:w="5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ind w:right="112"/>
              <w:spacing w:after="0"/>
              <w:rPr>
                <w:sz w:val="20"/>
                <w:szCs w:val="20"/>
                <w:color w:val="auto"/>
              </w:rPr>
            </w:pPr>
            <w:r>
              <w:rPr>
                <w:rFonts w:ascii="Arial" w:cs="Arial" w:eastAsia="Arial" w:hAnsi="Arial"/>
                <w:sz w:val="18"/>
                <w:szCs w:val="18"/>
                <w:b w:val="1"/>
                <w:bCs w:val="1"/>
                <w:color w:val="auto"/>
                <w:w w:val="89"/>
              </w:rPr>
              <w:t>Carrying</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ind w:right="152"/>
              <w:spacing w:after="0"/>
              <w:rPr>
                <w:sz w:val="20"/>
                <w:szCs w:val="20"/>
                <w:color w:val="auto"/>
              </w:rPr>
            </w:pPr>
            <w:r>
              <w:rPr>
                <w:rFonts w:ascii="Arial" w:cs="Arial" w:eastAsia="Arial" w:hAnsi="Arial"/>
                <w:sz w:val="18"/>
                <w:szCs w:val="18"/>
                <w:b w:val="1"/>
                <w:bCs w:val="1"/>
                <w:color w:val="auto"/>
              </w:rPr>
              <w:t>Fair</w:t>
            </w: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ind w:right="92"/>
              <w:spacing w:after="0"/>
              <w:rPr>
                <w:sz w:val="20"/>
                <w:szCs w:val="20"/>
                <w:color w:val="auto"/>
              </w:rPr>
            </w:pPr>
            <w:r>
              <w:rPr>
                <w:rFonts w:ascii="Arial" w:cs="Arial" w:eastAsia="Arial" w:hAnsi="Arial"/>
                <w:sz w:val="18"/>
                <w:szCs w:val="18"/>
                <w:b w:val="1"/>
                <w:bCs w:val="1"/>
                <w:color w:val="auto"/>
                <w:w w:val="91"/>
              </w:rPr>
              <w:t>Carrying</w:t>
            </w:r>
          </w:p>
        </w:tc>
        <w:tc>
          <w:tcPr>
            <w:tcW w:w="540" w:type="dxa"/>
            <w:vAlign w:val="bottom"/>
          </w:tcPr>
          <w:p>
            <w:pPr>
              <w:spacing w:after="0"/>
              <w:rPr>
                <w:sz w:val="18"/>
                <w:szCs w:val="18"/>
                <w:color w:val="auto"/>
              </w:rPr>
            </w:pPr>
          </w:p>
        </w:tc>
        <w:tc>
          <w:tcPr>
            <w:tcW w:w="900" w:type="dxa"/>
            <w:vAlign w:val="bottom"/>
            <w:gridSpan w:val="2"/>
          </w:tcPr>
          <w:p>
            <w:pPr>
              <w:ind w:left="260"/>
              <w:spacing w:after="0"/>
              <w:rPr>
                <w:sz w:val="20"/>
                <w:szCs w:val="20"/>
                <w:color w:val="auto"/>
              </w:rPr>
            </w:pPr>
            <w:r>
              <w:rPr>
                <w:rFonts w:ascii="Arial" w:cs="Arial" w:eastAsia="Arial" w:hAnsi="Arial"/>
                <w:sz w:val="18"/>
                <w:szCs w:val="18"/>
                <w:b w:val="1"/>
                <w:bCs w:val="1"/>
                <w:color w:val="auto"/>
              </w:rPr>
              <w:t>Value</w:t>
            </w:r>
          </w:p>
        </w:tc>
      </w:tr>
      <w:tr>
        <w:trPr>
          <w:trHeight w:val="229"/>
        </w:trPr>
        <w:tc>
          <w:tcPr>
            <w:tcW w:w="59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b w:val="1"/>
                <w:bCs w:val="1"/>
                <w:color w:val="auto"/>
                <w:w w:val="94"/>
              </w:rPr>
              <w:t>Amount</w:t>
            </w:r>
          </w:p>
        </w:tc>
        <w:tc>
          <w:tcPr>
            <w:tcW w:w="5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b w:val="1"/>
                <w:bCs w:val="1"/>
                <w:color w:val="auto"/>
                <w:w w:val="83"/>
              </w:rPr>
              <w:t>Value</w:t>
            </w:r>
          </w:p>
        </w:tc>
        <w:tc>
          <w:tcPr>
            <w:tcW w:w="5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b w:val="1"/>
                <w:bCs w:val="1"/>
                <w:color w:val="auto"/>
                <w:w w:val="94"/>
              </w:rPr>
              <w:t>Amount</w:t>
            </w:r>
          </w:p>
        </w:tc>
        <w:tc>
          <w:tcPr>
            <w:tcW w:w="540" w:type="dxa"/>
            <w:vAlign w:val="bottom"/>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1"/>
        </w:trPr>
        <w:tc>
          <w:tcPr>
            <w:tcW w:w="5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60" w:type="dxa"/>
            <w:vAlign w:val="bottom"/>
            <w:gridSpan w:val="4"/>
          </w:tcPr>
          <w:p>
            <w:pPr>
              <w:jc w:val="right"/>
              <w:ind w:right="592"/>
              <w:spacing w:after="0"/>
              <w:rPr>
                <w:sz w:val="20"/>
                <w:szCs w:val="20"/>
                <w:color w:val="auto"/>
              </w:rPr>
            </w:pPr>
            <w:r>
              <w:rPr>
                <w:rFonts w:ascii="Arial" w:cs="Arial" w:eastAsia="Arial" w:hAnsi="Arial"/>
                <w:sz w:val="18"/>
                <w:szCs w:val="18"/>
                <w:b w:val="1"/>
                <w:bCs w:val="1"/>
                <w:color w:val="auto"/>
              </w:rPr>
              <w:t>(in thousands)</w:t>
            </w:r>
          </w:p>
        </w:tc>
        <w:tc>
          <w:tcPr>
            <w:tcW w:w="5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40" w:type="dxa"/>
            <w:vAlign w:val="bottom"/>
          </w:tcPr>
          <w:p>
            <w:pPr>
              <w:ind w:left="440"/>
              <w:spacing w:after="0"/>
              <w:rPr>
                <w:sz w:val="20"/>
                <w:szCs w:val="20"/>
                <w:color w:val="auto"/>
              </w:rPr>
            </w:pPr>
            <w:r>
              <w:rPr>
                <w:rFonts w:ascii="Arial" w:cs="Arial" w:eastAsia="Arial" w:hAnsi="Arial"/>
                <w:sz w:val="18"/>
                <w:szCs w:val="18"/>
                <w:color w:val="auto"/>
              </w:rPr>
              <w:t>Cash and cash equivalents</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148,114</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89"/>
              </w:rPr>
              <w:t>148,114</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121,893</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$121,893</w:t>
            </w:r>
          </w:p>
        </w:tc>
        <w:tc>
          <w:tcPr>
            <w:tcW w:w="100" w:type="dxa"/>
            <w:vAlign w:val="bottom"/>
          </w:tcPr>
          <w:p>
            <w:pPr>
              <w:spacing w:after="0"/>
              <w:rPr>
                <w:sz w:val="18"/>
                <w:szCs w:val="18"/>
                <w:color w:val="auto"/>
              </w:rPr>
            </w:pPr>
          </w:p>
        </w:tc>
      </w:tr>
      <w:tr>
        <w:trPr>
          <w:trHeight w:val="216"/>
        </w:trPr>
        <w:tc>
          <w:tcPr>
            <w:tcW w:w="59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Foreign exchange forwards</w:t>
            </w: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w:t>
            </w: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3,986</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3,986</w:t>
            </w:r>
          </w:p>
        </w:tc>
        <w:tc>
          <w:tcPr>
            <w:tcW w:w="100" w:type="dxa"/>
            <w:vAlign w:val="bottom"/>
            <w:shd w:val="clear" w:color="auto" w:fill="CCEEFF"/>
          </w:tcPr>
          <w:p>
            <w:pPr>
              <w:spacing w:after="0"/>
              <w:rPr>
                <w:sz w:val="18"/>
                <w:szCs w:val="18"/>
                <w:color w:val="auto"/>
              </w:rPr>
            </w:pPr>
          </w:p>
        </w:tc>
      </w:tr>
      <w:tr>
        <w:trPr>
          <w:trHeight w:val="216"/>
        </w:trPr>
        <w:tc>
          <w:tcPr>
            <w:tcW w:w="5940" w:type="dxa"/>
            <w:vAlign w:val="bottom"/>
          </w:tcPr>
          <w:p>
            <w:pPr>
              <w:spacing w:after="0"/>
              <w:rPr>
                <w:sz w:val="20"/>
                <w:szCs w:val="20"/>
                <w:color w:val="auto"/>
              </w:rPr>
            </w:pPr>
            <w:r>
              <w:rPr>
                <w:rFonts w:ascii="Arial" w:cs="Arial" w:eastAsia="Arial" w:hAnsi="Arial"/>
                <w:sz w:val="18"/>
                <w:szCs w:val="18"/>
                <w:color w:val="auto"/>
              </w:rPr>
              <w:t>Liabilities</w:t>
            </w: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Term loans</w:t>
            </w: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40" w:type="dxa"/>
            <w:vAlign w:val="bottom"/>
          </w:tcPr>
          <w:p>
            <w:pPr>
              <w:ind w:left="880"/>
              <w:spacing w:after="0"/>
              <w:rPr>
                <w:sz w:val="20"/>
                <w:szCs w:val="20"/>
                <w:color w:val="auto"/>
              </w:rPr>
            </w:pPr>
            <w:r>
              <w:rPr>
                <w:rFonts w:ascii="Arial" w:cs="Arial" w:eastAsia="Arial" w:hAnsi="Arial"/>
                <w:sz w:val="18"/>
                <w:szCs w:val="18"/>
                <w:color w:val="auto"/>
              </w:rPr>
              <w:t>USD denominated term loan</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220,154</w:t>
            </w: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89"/>
              </w:rPr>
              <w:t>220,704</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284,693</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$284,693</w:t>
            </w:r>
          </w:p>
        </w:tc>
        <w:tc>
          <w:tcPr>
            <w:tcW w:w="100" w:type="dxa"/>
            <w:vAlign w:val="bottom"/>
          </w:tcPr>
          <w:p>
            <w:pPr>
              <w:spacing w:after="0"/>
              <w:rPr>
                <w:sz w:val="18"/>
                <w:szCs w:val="18"/>
                <w:color w:val="auto"/>
              </w:rPr>
            </w:pPr>
          </w:p>
        </w:tc>
      </w:tr>
      <w:tr>
        <w:trPr>
          <w:trHeight w:val="216"/>
        </w:trPr>
        <w:tc>
          <w:tcPr>
            <w:tcW w:w="59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EUR denominated term loan</w:t>
            </w: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227,123</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227,691</w:t>
            </w: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288,902</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288,902</w:t>
            </w:r>
          </w:p>
        </w:tc>
        <w:tc>
          <w:tcPr>
            <w:tcW w:w="100" w:type="dxa"/>
            <w:vAlign w:val="bottom"/>
            <w:shd w:val="clear" w:color="auto" w:fill="CCEEFF"/>
          </w:tcPr>
          <w:p>
            <w:pPr>
              <w:spacing w:after="0"/>
              <w:rPr>
                <w:sz w:val="18"/>
                <w:szCs w:val="18"/>
                <w:color w:val="auto"/>
              </w:rPr>
            </w:pPr>
          </w:p>
        </w:tc>
      </w:tr>
      <w:tr>
        <w:trPr>
          <w:trHeight w:val="216"/>
        </w:trPr>
        <w:tc>
          <w:tcPr>
            <w:tcW w:w="5940" w:type="dxa"/>
            <w:vAlign w:val="bottom"/>
          </w:tcPr>
          <w:p>
            <w:pPr>
              <w:ind w:left="440"/>
              <w:spacing w:after="0"/>
              <w:rPr>
                <w:sz w:val="20"/>
                <w:szCs w:val="20"/>
                <w:color w:val="auto"/>
              </w:rPr>
            </w:pPr>
            <w:r>
              <w:rPr>
                <w:rFonts w:ascii="Arial" w:cs="Arial" w:eastAsia="Arial" w:hAnsi="Arial"/>
                <w:sz w:val="18"/>
                <w:szCs w:val="18"/>
                <w:color w:val="auto"/>
              </w:rPr>
              <w:t>Convertible senior subordinated notes</w:t>
            </w: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215,673</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89"/>
              </w:rPr>
              <w:t>248,199</w:t>
            </w: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208,169</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282,859</w:t>
            </w:r>
          </w:p>
        </w:tc>
        <w:tc>
          <w:tcPr>
            <w:tcW w:w="100" w:type="dxa"/>
            <w:vAlign w:val="bottom"/>
          </w:tcPr>
          <w:p>
            <w:pPr>
              <w:spacing w:after="0"/>
              <w:rPr>
                <w:sz w:val="18"/>
                <w:szCs w:val="18"/>
                <w:color w:val="auto"/>
              </w:rPr>
            </w:pPr>
          </w:p>
        </w:tc>
      </w:tr>
      <w:tr>
        <w:trPr>
          <w:trHeight w:val="216"/>
        </w:trPr>
        <w:tc>
          <w:tcPr>
            <w:tcW w:w="59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Interest rate swaps</w:t>
            </w: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9,450</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9,450</w:t>
            </w: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15,154</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15,154</w:t>
            </w:r>
          </w:p>
        </w:tc>
        <w:tc>
          <w:tcPr>
            <w:tcW w:w="100" w:type="dxa"/>
            <w:vAlign w:val="bottom"/>
            <w:shd w:val="clear" w:color="auto" w:fill="CCEEFF"/>
          </w:tcPr>
          <w:p>
            <w:pPr>
              <w:spacing w:after="0"/>
              <w:rPr>
                <w:sz w:val="18"/>
                <w:szCs w:val="18"/>
                <w:color w:val="auto"/>
              </w:rPr>
            </w:pPr>
          </w:p>
        </w:tc>
      </w:tr>
      <w:tr>
        <w:trPr>
          <w:trHeight w:val="222"/>
        </w:trPr>
        <w:tc>
          <w:tcPr>
            <w:tcW w:w="5940" w:type="dxa"/>
            <w:vAlign w:val="bottom"/>
          </w:tcPr>
          <w:p>
            <w:pPr>
              <w:ind w:left="440"/>
              <w:spacing w:after="0"/>
              <w:rPr>
                <w:sz w:val="20"/>
                <w:szCs w:val="20"/>
                <w:color w:val="auto"/>
              </w:rPr>
            </w:pPr>
            <w:r>
              <w:rPr>
                <w:rFonts w:ascii="Arial" w:cs="Arial" w:eastAsia="Arial" w:hAnsi="Arial"/>
                <w:sz w:val="18"/>
                <w:szCs w:val="18"/>
                <w:color w:val="auto"/>
              </w:rPr>
              <w:t>Foreign exchange forwards</w:t>
            </w: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87</w:t>
            </w: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87</w:t>
            </w: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2,442</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2,442</w:t>
            </w:r>
          </w:p>
        </w:tc>
        <w:tc>
          <w:tcPr>
            <w:tcW w:w="100" w:type="dxa"/>
            <w:vAlign w:val="bottom"/>
          </w:tcPr>
          <w:p>
            <w:pPr>
              <w:spacing w:after="0"/>
              <w:rPr>
                <w:sz w:val="19"/>
                <w:szCs w:val="19"/>
                <w:color w:val="auto"/>
              </w:rPr>
            </w:pPr>
          </w:p>
        </w:tc>
      </w:tr>
    </w:tbl>
    <w:p>
      <w:pPr>
        <w:spacing w:after="0" w:line="121" w:lineRule="exact"/>
        <w:rPr>
          <w:sz w:val="20"/>
          <w:szCs w:val="20"/>
          <w:color w:val="auto"/>
        </w:rPr>
      </w:pPr>
    </w:p>
    <w:p>
      <w:pPr>
        <w:sectPr>
          <w:pgSz w:w="11900" w:h="16838" w:orient="portrait"/>
          <w:cols w:equalWidth="0" w:num="1">
            <w:col w:w="11420"/>
          </w:cols>
          <w:pgMar w:left="240" w:top="459" w:right="239" w:bottom="716" w:gutter="0" w:footer="0" w:header="0"/>
        </w:sectPr>
      </w:pPr>
    </w:p>
    <w:p>
      <w:pPr>
        <w:jc w:val="center"/>
        <w:spacing w:after="0"/>
        <w:rPr>
          <w:sz w:val="20"/>
          <w:szCs w:val="20"/>
          <w:color w:val="auto"/>
        </w:rPr>
      </w:pPr>
      <w:r>
        <w:rPr>
          <w:rFonts w:ascii="Arial" w:cs="Arial" w:eastAsia="Arial" w:hAnsi="Arial"/>
          <w:sz w:val="19"/>
          <w:szCs w:val="19"/>
          <w:color w:val="auto"/>
        </w:rPr>
        <w:t>29</w:t>
      </w:r>
    </w:p>
    <w:p>
      <w:pPr>
        <w:sectPr>
          <w:pgSz w:w="11900" w:h="16838" w:orient="portrait"/>
          <w:cols w:equalWidth="0" w:num="1">
            <w:col w:w="11420"/>
          </w:cols>
          <w:pgMar w:left="240" w:top="459" w:right="239" w:bottom="716" w:gutter="0" w:footer="0" w:header="0"/>
          <w:type w:val="continuous"/>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methods and assumptions were used in estimating fair values: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Cash and cash equivalents: </w:t>
      </w:r>
      <w:r>
        <w:rPr>
          <w:rFonts w:ascii="Arial" w:cs="Arial" w:eastAsia="Arial" w:hAnsi="Arial"/>
          <w:sz w:val="18"/>
          <w:szCs w:val="18"/>
          <w:color w:val="auto"/>
        </w:rPr>
        <w:t>Due to the liquid nature of these instruments, the carrying value approximates fair value.</w:t>
      </w:r>
    </w:p>
    <w:p>
      <w:pPr>
        <w:spacing w:after="0" w:line="17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i w:val="1"/>
          <w:iCs w:val="1"/>
          <w:color w:val="auto"/>
        </w:rPr>
        <w:t xml:space="preserve">Term loans: </w:t>
      </w:r>
      <w:r>
        <w:rPr>
          <w:rFonts w:ascii="Arial" w:cs="Arial" w:eastAsia="Arial" w:hAnsi="Arial"/>
          <w:sz w:val="18"/>
          <w:szCs w:val="18"/>
          <w:color w:val="auto"/>
        </w:rPr>
        <w:t>The term loans are not registered with the SEC but are generally transferable through banks that hold the debt and make a market. The fair value is</w:t>
      </w:r>
      <w:r>
        <w:rPr>
          <w:rFonts w:ascii="Arial" w:cs="Arial" w:eastAsia="Arial" w:hAnsi="Arial"/>
          <w:sz w:val="18"/>
          <w:szCs w:val="18"/>
          <w:i w:val="1"/>
          <w:iCs w:val="1"/>
          <w:color w:val="auto"/>
        </w:rPr>
        <w:t xml:space="preserve"> </w:t>
      </w:r>
      <w:r>
        <w:rPr>
          <w:rFonts w:ascii="Arial" w:cs="Arial" w:eastAsia="Arial" w:hAnsi="Arial"/>
          <w:sz w:val="18"/>
          <w:szCs w:val="18"/>
          <w:color w:val="auto"/>
        </w:rPr>
        <w:t>based on quoted prices from recent trades of the term loans.</w:t>
      </w:r>
    </w:p>
    <w:p>
      <w:pPr>
        <w:spacing w:after="0" w:line="132" w:lineRule="exact"/>
        <w:rPr>
          <w:sz w:val="20"/>
          <w:szCs w:val="20"/>
          <w:color w:val="auto"/>
        </w:rPr>
      </w:pPr>
    </w:p>
    <w:p>
      <w:pPr>
        <w:jc w:val="both"/>
        <w:spacing w:after="0" w:line="335" w:lineRule="auto"/>
        <w:rPr>
          <w:sz w:val="20"/>
          <w:szCs w:val="20"/>
          <w:color w:val="auto"/>
        </w:rPr>
      </w:pPr>
      <w:r>
        <w:rPr>
          <w:rFonts w:ascii="Arial" w:cs="Arial" w:eastAsia="Arial" w:hAnsi="Arial"/>
          <w:sz w:val="15"/>
          <w:szCs w:val="15"/>
          <w:i w:val="1"/>
          <w:iCs w:val="1"/>
          <w:color w:val="auto"/>
        </w:rPr>
        <w:t xml:space="preserve">Convertible senior subordinated notes: </w:t>
      </w:r>
      <w:r>
        <w:rPr>
          <w:rFonts w:ascii="Arial" w:cs="Arial" w:eastAsia="Arial" w:hAnsi="Arial"/>
          <w:sz w:val="15"/>
          <w:szCs w:val="15"/>
          <w:color w:val="auto"/>
        </w:rPr>
        <w:t>The convertible notes are registered with the SEC and are generally transferable. The fair value is based on quoted prices</w:t>
      </w:r>
      <w:r>
        <w:rPr>
          <w:rFonts w:ascii="Arial" w:cs="Arial" w:eastAsia="Arial" w:hAnsi="Arial"/>
          <w:sz w:val="15"/>
          <w:szCs w:val="15"/>
          <w:i w:val="1"/>
          <w:iCs w:val="1"/>
          <w:color w:val="auto"/>
        </w:rPr>
        <w:t xml:space="preserve"> </w:t>
      </w:r>
      <w:r>
        <w:rPr>
          <w:rFonts w:ascii="Arial" w:cs="Arial" w:eastAsia="Arial" w:hAnsi="Arial"/>
          <w:sz w:val="15"/>
          <w:szCs w:val="15"/>
          <w:color w:val="auto"/>
        </w:rPr>
        <w:t>from recent broker trades of the convertible notes. The carrying value is lower than the face value of the convertible notes as a result of separating the liability and equity components. The face value of the convertible notes was $223.6 million at September 30, 2010 and December 31, 2009. See Note 6 for further discussion.</w:t>
      </w:r>
    </w:p>
    <w:p>
      <w:pPr>
        <w:spacing w:after="0" w:line="8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i w:val="1"/>
          <w:iCs w:val="1"/>
          <w:color w:val="auto"/>
        </w:rPr>
        <w:t xml:space="preserve">Derivatives: </w:t>
      </w:r>
      <w:r>
        <w:rPr>
          <w:rFonts w:ascii="Arial" w:cs="Arial" w:eastAsia="Arial" w:hAnsi="Arial"/>
          <w:sz w:val="18"/>
          <w:szCs w:val="18"/>
          <w:color w:val="auto"/>
        </w:rPr>
        <w:t>See Note 7 for a description of our methods and assumptions in determining the fair value of our derivatives, which were determined using fair value</w:t>
      </w:r>
      <w:r>
        <w:rPr>
          <w:rFonts w:ascii="Arial" w:cs="Arial" w:eastAsia="Arial" w:hAnsi="Arial"/>
          <w:sz w:val="18"/>
          <w:szCs w:val="18"/>
          <w:i w:val="1"/>
          <w:iCs w:val="1"/>
          <w:color w:val="auto"/>
        </w:rPr>
        <w:t xml:space="preserve"> </w:t>
      </w:r>
      <w:r>
        <w:rPr>
          <w:rFonts w:ascii="Arial" w:cs="Arial" w:eastAsia="Arial" w:hAnsi="Arial"/>
          <w:sz w:val="18"/>
          <w:szCs w:val="18"/>
          <w:color w:val="auto"/>
        </w:rPr>
        <w:t>measurements of significant other observable inputs (Level 2).</w:t>
      </w:r>
    </w:p>
    <w:p>
      <w:pPr>
        <w:spacing w:after="0" w:line="207"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Note 14:</w:t>
      </w:r>
      <w:r>
        <w:rPr>
          <w:sz w:val="20"/>
          <w:szCs w:val="20"/>
          <w:color w:val="auto"/>
        </w:rPr>
        <w:tab/>
      </w:r>
      <w:r>
        <w:rPr>
          <w:rFonts w:ascii="Arial" w:cs="Arial" w:eastAsia="Arial" w:hAnsi="Arial"/>
          <w:sz w:val="15"/>
          <w:szCs w:val="15"/>
          <w:b w:val="1"/>
          <w:bCs w:val="1"/>
          <w:color w:val="auto"/>
        </w:rPr>
        <w:t>Segment Information</w:t>
      </w:r>
    </w:p>
    <w:p>
      <w:pPr>
        <w:spacing w:after="0" w:line="96"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We have two operating segments: Itron North America and Itron International. Itron North America generates a majority of its revenues in the United States and Canada, while Itron International generates a majority of its revenues in Europe, and the balance primarily in Africa, South America, and Asia/Pacific. Due to the continued refinement of our management and geographic reporting structures, as of January 1, 2010, Itron International includes our Taiwan operations, which were previously part of Itron North America. Historical segment information has been revised to conform to our current segment reporting structure.</w:t>
      </w:r>
    </w:p>
    <w:p>
      <w:pPr>
        <w:spacing w:after="0" w:line="11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three measures of segment performance: revenue, gross profit (margin), and operating income (margin). Intersegment revenues were minimal. Corporate operating expenses, interest income, interest expense, gain (loss) on extinguishment of debt, other income (expense), and income tax provision (benefit) are not allocated to the segments, nor included in the measure of segment profit or loss.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Depreciation and amortization expense associated with our segments was as follows: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720" w:type="dxa"/>
            <w:vAlign w:val="bottom"/>
          </w:tcPr>
          <w:p>
            <w:pPr>
              <w:spacing w:after="0"/>
              <w:rPr>
                <w:sz w:val="19"/>
                <w:szCs w:val="19"/>
                <w:color w:val="auto"/>
              </w:rPr>
            </w:pPr>
          </w:p>
        </w:tc>
        <w:tc>
          <w:tcPr>
            <w:tcW w:w="3100" w:type="dxa"/>
            <w:vAlign w:val="bottom"/>
            <w:gridSpan w:val="5"/>
          </w:tcPr>
          <w:p>
            <w:pPr>
              <w:jc w:val="right"/>
              <w:ind w:right="112"/>
              <w:spacing w:after="0"/>
              <w:rPr>
                <w:sz w:val="20"/>
                <w:szCs w:val="20"/>
                <w:color w:val="auto"/>
              </w:rPr>
            </w:pPr>
            <w:r>
              <w:rPr>
                <w:rFonts w:ascii="Arial" w:cs="Arial" w:eastAsia="Arial" w:hAnsi="Arial"/>
                <w:sz w:val="18"/>
                <w:szCs w:val="18"/>
                <w:b w:val="1"/>
                <w:bCs w:val="1"/>
                <w:color w:val="auto"/>
                <w:w w:val="94"/>
              </w:rPr>
              <w:t>Three Months Ended September 30,</w:t>
            </w: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920" w:type="dxa"/>
            <w:vAlign w:val="bottom"/>
            <w:gridSpan w:val="5"/>
          </w:tcPr>
          <w:p>
            <w:pPr>
              <w:ind w:left="20"/>
              <w:spacing w:after="0"/>
              <w:rPr>
                <w:sz w:val="20"/>
                <w:szCs w:val="20"/>
                <w:color w:val="auto"/>
              </w:rPr>
            </w:pPr>
            <w:r>
              <w:rPr>
                <w:rFonts w:ascii="Arial" w:cs="Arial" w:eastAsia="Arial" w:hAnsi="Arial"/>
                <w:sz w:val="18"/>
                <w:szCs w:val="18"/>
                <w:b w:val="1"/>
                <w:bCs w:val="1"/>
                <w:color w:val="auto"/>
                <w:w w:val="97"/>
              </w:rPr>
              <w:t>Nine Months Ended September 30,</w:t>
            </w:r>
          </w:p>
        </w:tc>
      </w:tr>
      <w:tr>
        <w:trPr>
          <w:trHeight w:val="212"/>
        </w:trPr>
        <w:tc>
          <w:tcPr>
            <w:tcW w:w="3720" w:type="dxa"/>
            <w:vAlign w:val="bottom"/>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2010</w:t>
            </w:r>
          </w:p>
        </w:tc>
        <w:tc>
          <w:tcPr>
            <w:tcW w:w="40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52"/>
              <w:spacing w:after="0"/>
              <w:rPr>
                <w:sz w:val="20"/>
                <w:szCs w:val="20"/>
                <w:color w:val="auto"/>
              </w:rPr>
            </w:pPr>
            <w:r>
              <w:rPr>
                <w:rFonts w:ascii="Arial" w:cs="Arial" w:eastAsia="Arial" w:hAnsi="Arial"/>
                <w:sz w:val="18"/>
                <w:szCs w:val="18"/>
                <w:b w:val="1"/>
                <w:bCs w:val="1"/>
                <w:color w:val="auto"/>
              </w:rPr>
              <w:t>2009</w:t>
            </w:r>
          </w:p>
        </w:tc>
        <w:tc>
          <w:tcPr>
            <w:tcW w:w="58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rPr>
              <w:t>2010</w:t>
            </w:r>
          </w:p>
        </w:tc>
        <w:tc>
          <w:tcPr>
            <w:tcW w:w="68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52"/>
              <w:spacing w:after="0"/>
              <w:rPr>
                <w:sz w:val="20"/>
                <w:szCs w:val="20"/>
                <w:color w:val="auto"/>
              </w:rPr>
            </w:pPr>
            <w:r>
              <w:rPr>
                <w:rFonts w:ascii="Arial" w:cs="Arial" w:eastAsia="Arial" w:hAnsi="Arial"/>
                <w:sz w:val="18"/>
                <w:szCs w:val="18"/>
                <w:b w:val="1"/>
                <w:bCs w:val="1"/>
                <w:color w:val="auto"/>
              </w:rPr>
              <w:t>2009</w:t>
            </w:r>
          </w:p>
        </w:tc>
        <w:tc>
          <w:tcPr>
            <w:tcW w:w="100" w:type="dxa"/>
            <w:vAlign w:val="bottom"/>
          </w:tcPr>
          <w:p>
            <w:pPr>
              <w:spacing w:after="0"/>
              <w:rPr>
                <w:sz w:val="18"/>
                <w:szCs w:val="18"/>
                <w:color w:val="auto"/>
              </w:rPr>
            </w:pPr>
          </w:p>
        </w:tc>
      </w:tr>
      <w:tr>
        <w:trPr>
          <w:trHeight w:val="210"/>
        </w:trPr>
        <w:tc>
          <w:tcPr>
            <w:tcW w:w="37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(in</w:t>
            </w:r>
          </w:p>
        </w:tc>
        <w:tc>
          <w:tcPr>
            <w:tcW w:w="580" w:type="dxa"/>
            <w:vAlign w:val="bottom"/>
          </w:tcPr>
          <w:p>
            <w:pPr>
              <w:ind w:left="40"/>
              <w:spacing w:after="0"/>
              <w:rPr>
                <w:sz w:val="20"/>
                <w:szCs w:val="20"/>
                <w:color w:val="auto"/>
              </w:rPr>
            </w:pPr>
            <w:r>
              <w:rPr>
                <w:rFonts w:ascii="Arial" w:cs="Arial" w:eastAsia="Arial" w:hAnsi="Arial"/>
                <w:sz w:val="18"/>
                <w:szCs w:val="18"/>
                <w:b w:val="1"/>
                <w:bCs w:val="1"/>
                <w:color w:val="auto"/>
                <w:w w:val="70"/>
              </w:rPr>
              <w:t>millions)</w:t>
            </w: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Itron North America</w:t>
            </w:r>
          </w:p>
        </w:tc>
        <w:tc>
          <w:tcPr>
            <w:tcW w:w="780" w:type="dxa"/>
            <w:vAlign w:val="bottom"/>
            <w:shd w:val="clear" w:color="auto" w:fill="CCEEFF"/>
          </w:tcPr>
          <w:p>
            <w:pPr>
              <w:jc w:val="right"/>
              <w:ind w:right="512"/>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11.5</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12.4</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34.2</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w:t>
            </w:r>
          </w:p>
        </w:tc>
        <w:tc>
          <w:tcPr>
            <w:tcW w:w="100" w:type="dxa"/>
            <w:vAlign w:val="bottom"/>
            <w:shd w:val="clear" w:color="auto" w:fill="CCEEFF"/>
          </w:tcPr>
          <w:p>
            <w:pPr>
              <w:spacing w:after="0"/>
              <w:rPr>
                <w:sz w:val="18"/>
                <w:szCs w:val="18"/>
                <w:color w:val="auto"/>
              </w:rPr>
            </w:pPr>
          </w:p>
        </w:tc>
      </w:tr>
      <w:tr>
        <w:trPr>
          <w:trHeight w:val="223"/>
        </w:trPr>
        <w:tc>
          <w:tcPr>
            <w:tcW w:w="3720" w:type="dxa"/>
            <w:vAlign w:val="bottom"/>
          </w:tcPr>
          <w:p>
            <w:pPr>
              <w:spacing w:after="0"/>
              <w:rPr>
                <w:sz w:val="20"/>
                <w:szCs w:val="20"/>
                <w:color w:val="auto"/>
              </w:rPr>
            </w:pPr>
            <w:r>
              <w:rPr>
                <w:rFonts w:ascii="Arial" w:cs="Arial" w:eastAsia="Arial" w:hAnsi="Arial"/>
                <w:sz w:val="18"/>
                <w:szCs w:val="18"/>
                <w:color w:val="auto"/>
              </w:rPr>
              <w:t>Itron International</w:t>
            </w:r>
          </w:p>
        </w:tc>
        <w:tc>
          <w:tcPr>
            <w:tcW w:w="78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w w:val="79"/>
              </w:rPr>
              <w:t>20.6</w:t>
            </w:r>
          </w:p>
        </w:tc>
        <w:tc>
          <w:tcPr>
            <w:tcW w:w="7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27.0</w:t>
            </w:r>
          </w:p>
        </w:tc>
        <w:tc>
          <w:tcPr>
            <w:tcW w:w="5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63.0</w:t>
            </w:r>
          </w:p>
        </w:tc>
        <w:tc>
          <w:tcPr>
            <w:tcW w:w="6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78.4</w:t>
            </w:r>
          </w:p>
        </w:tc>
        <w:tc>
          <w:tcPr>
            <w:tcW w:w="100" w:type="dxa"/>
            <w:vAlign w:val="bottom"/>
          </w:tcPr>
          <w:p>
            <w:pPr>
              <w:spacing w:after="0"/>
              <w:rPr>
                <w:sz w:val="19"/>
                <w:szCs w:val="19"/>
                <w:color w:val="auto"/>
              </w:rPr>
            </w:pPr>
          </w:p>
        </w:tc>
      </w:tr>
      <w:tr>
        <w:trPr>
          <w:trHeight w:val="216"/>
        </w:trPr>
        <w:tc>
          <w:tcPr>
            <w:tcW w:w="37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Company</w:t>
            </w:r>
          </w:p>
        </w:tc>
        <w:tc>
          <w:tcPr>
            <w:tcW w:w="780" w:type="dxa"/>
            <w:vAlign w:val="bottom"/>
            <w:shd w:val="clear" w:color="auto" w:fill="CCEEFF"/>
          </w:tcPr>
          <w:p>
            <w:pPr>
              <w:jc w:val="right"/>
              <w:ind w:right="512"/>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32.1</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39.4</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97.2</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113.8</w:t>
            </w:r>
          </w:p>
        </w:tc>
        <w:tc>
          <w:tcPr>
            <w:tcW w:w="100" w:type="dxa"/>
            <w:vAlign w:val="bottom"/>
            <w:shd w:val="clear" w:color="auto" w:fill="CCEEFF"/>
          </w:tcPr>
          <w:p>
            <w:pPr>
              <w:spacing w:after="0"/>
              <w:rPr>
                <w:sz w:val="18"/>
                <w:szCs w:val="18"/>
                <w:color w:val="auto"/>
              </w:rPr>
            </w:pPr>
          </w:p>
        </w:tc>
      </w:tr>
      <w:tr>
        <w:trPr>
          <w:trHeight w:val="20"/>
        </w:trPr>
        <w:tc>
          <w:tcPr>
            <w:tcW w:w="37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Products</w:t>
      </w:r>
    </w:p>
    <w:p>
      <w:pPr>
        <w:spacing w:after="0" w:line="218" w:lineRule="exact"/>
        <w:rPr>
          <w:sz w:val="20"/>
          <w:szCs w:val="20"/>
          <w:color w:val="auto"/>
        </w:rPr>
      </w:pPr>
    </w:p>
    <w:p>
      <w:pPr>
        <w:jc w:val="both"/>
        <w:ind w:left="1840" w:hanging="1836"/>
        <w:spacing w:after="0" w:line="306" w:lineRule="auto"/>
        <w:tabs>
          <w:tab w:leader="none" w:pos="1820" w:val="left"/>
        </w:tabs>
        <w:rPr>
          <w:sz w:val="20"/>
          <w:szCs w:val="20"/>
          <w:color w:val="auto"/>
        </w:rPr>
      </w:pPr>
      <w:r>
        <w:rPr>
          <w:rFonts w:ascii="Arial" w:cs="Arial" w:eastAsia="Arial" w:hAnsi="Arial"/>
          <w:sz w:val="18"/>
          <w:szCs w:val="18"/>
          <w:i w:val="1"/>
          <w:iCs w:val="1"/>
          <w:color w:val="auto"/>
        </w:rPr>
        <w:t>Itron North America</w:t>
      </w:r>
      <w:r>
        <w:rPr>
          <w:sz w:val="20"/>
          <w:szCs w:val="20"/>
          <w:color w:val="auto"/>
        </w:rPr>
        <w:tab/>
      </w:r>
      <w:r>
        <w:rPr>
          <w:rFonts w:ascii="Arial" w:cs="Arial" w:eastAsia="Arial" w:hAnsi="Arial"/>
          <w:sz w:val="16"/>
          <w:szCs w:val="16"/>
          <w:color w:val="auto"/>
        </w:rPr>
        <w:t>Electronic and smart electricity meters; gas and water meters; electricity, gas, and water automated meter reading (AMR) and advanced metering infrastructure (AMI)/smart meter modules; handheld, mobile, and network AMR data collection technologies; AMI network technologies; software, installation, implementation, consulting, maintenance support, and other services.</w:t>
      </w:r>
    </w:p>
    <w:p>
      <w:pPr>
        <w:spacing w:after="0" w:line="53" w:lineRule="exact"/>
        <w:rPr>
          <w:sz w:val="20"/>
          <w:szCs w:val="20"/>
          <w:color w:val="auto"/>
        </w:rPr>
      </w:pPr>
    </w:p>
    <w:p>
      <w:pPr>
        <w:jc w:val="both"/>
        <w:ind w:left="1840" w:hanging="1836"/>
        <w:spacing w:after="0" w:line="256" w:lineRule="auto"/>
        <w:tabs>
          <w:tab w:leader="none" w:pos="1820" w:val="left"/>
        </w:tabs>
        <w:rPr>
          <w:sz w:val="20"/>
          <w:szCs w:val="20"/>
          <w:color w:val="auto"/>
        </w:rPr>
      </w:pPr>
      <w:r>
        <w:rPr>
          <w:rFonts w:ascii="Arial" w:cs="Arial" w:eastAsia="Arial" w:hAnsi="Arial"/>
          <w:sz w:val="18"/>
          <w:szCs w:val="18"/>
          <w:i w:val="1"/>
          <w:iCs w:val="1"/>
          <w:color w:val="auto"/>
        </w:rPr>
        <w:t>Itron International</w:t>
      </w:r>
      <w:r>
        <w:rPr>
          <w:sz w:val="20"/>
          <w:szCs w:val="20"/>
          <w:color w:val="auto"/>
        </w:rPr>
        <w:tab/>
      </w:r>
      <w:r>
        <w:rPr>
          <w:rFonts w:ascii="Arial" w:cs="Arial" w:eastAsia="Arial" w:hAnsi="Arial"/>
          <w:sz w:val="18"/>
          <w:szCs w:val="18"/>
          <w:color w:val="auto"/>
        </w:rPr>
        <w:t>Electromechanical, electronic, and smart electricity meters; mechanical and ultrasonic water and heat meters; diaphragm, turbine, and rotary gas meters; one-way and two-way electricity prepayment systems, including smart key, keypad, and smart card; two-way gas prepayment systems using smart card; AMR and AMI data collection technologies; installation, implementation, maintenance support, and other managed services.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30</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5080" w:type="dxa"/>
            <w:vAlign w:val="bottom"/>
          </w:tcPr>
          <w:p>
            <w:pPr>
              <w:spacing w:after="0"/>
              <w:rPr>
                <w:sz w:val="19"/>
                <w:szCs w:val="19"/>
                <w:color w:val="auto"/>
              </w:rPr>
            </w:pPr>
          </w:p>
        </w:tc>
        <w:tc>
          <w:tcPr>
            <w:tcW w:w="2940" w:type="dxa"/>
            <w:vAlign w:val="bottom"/>
            <w:gridSpan w:val="5"/>
          </w:tcPr>
          <w:p>
            <w:pPr>
              <w:jc w:val="right"/>
              <w:ind w:right="32"/>
              <w:spacing w:after="0"/>
              <w:rPr>
                <w:sz w:val="20"/>
                <w:szCs w:val="20"/>
                <w:color w:val="auto"/>
              </w:rPr>
            </w:pPr>
            <w:r>
              <w:rPr>
                <w:rFonts w:ascii="Arial" w:cs="Arial" w:eastAsia="Arial" w:hAnsi="Arial"/>
                <w:sz w:val="18"/>
                <w:szCs w:val="18"/>
                <w:b w:val="1"/>
                <w:bCs w:val="1"/>
                <w:color w:val="auto"/>
                <w:w w:val="91"/>
              </w:rPr>
              <w:t>Three Months Ended September 30,</w:t>
            </w:r>
          </w:p>
        </w:tc>
        <w:tc>
          <w:tcPr>
            <w:tcW w:w="420" w:type="dxa"/>
            <w:vAlign w:val="bottom"/>
          </w:tcPr>
          <w:p>
            <w:pPr>
              <w:spacing w:after="0"/>
              <w:rPr>
                <w:sz w:val="19"/>
                <w:szCs w:val="19"/>
                <w:color w:val="auto"/>
              </w:rPr>
            </w:pPr>
          </w:p>
        </w:tc>
        <w:tc>
          <w:tcPr>
            <w:tcW w:w="2960" w:type="dxa"/>
            <w:vAlign w:val="bottom"/>
            <w:gridSpan w:val="6"/>
          </w:tcPr>
          <w:p>
            <w:pPr>
              <w:ind w:left="120"/>
              <w:spacing w:after="0"/>
              <w:rPr>
                <w:sz w:val="20"/>
                <w:szCs w:val="20"/>
                <w:color w:val="auto"/>
              </w:rPr>
            </w:pPr>
            <w:r>
              <w:rPr>
                <w:rFonts w:ascii="Arial" w:cs="Arial" w:eastAsia="Arial" w:hAnsi="Arial"/>
                <w:sz w:val="18"/>
                <w:szCs w:val="18"/>
                <w:b w:val="1"/>
                <w:bCs w:val="1"/>
                <w:color w:val="auto"/>
                <w:w w:val="95"/>
              </w:rPr>
              <w:t>Nine Months Ended September 30,</w:t>
            </w:r>
          </w:p>
        </w:tc>
      </w:tr>
      <w:tr>
        <w:trPr>
          <w:trHeight w:val="212"/>
        </w:trPr>
        <w:tc>
          <w:tcPr>
            <w:tcW w:w="20" w:type="dxa"/>
            <w:vAlign w:val="bottom"/>
          </w:tcPr>
          <w:p>
            <w:pPr>
              <w:spacing w:after="0"/>
              <w:rPr>
                <w:sz w:val="18"/>
                <w:szCs w:val="18"/>
                <w:color w:val="auto"/>
              </w:rPr>
            </w:pPr>
          </w:p>
        </w:tc>
        <w:tc>
          <w:tcPr>
            <w:tcW w:w="5080" w:type="dxa"/>
            <w:vAlign w:val="bottom"/>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52"/>
              <w:spacing w:after="0"/>
              <w:rPr>
                <w:sz w:val="20"/>
                <w:szCs w:val="20"/>
                <w:color w:val="auto"/>
              </w:rPr>
            </w:pPr>
            <w:r>
              <w:rPr>
                <w:rFonts w:ascii="Arial" w:cs="Arial" w:eastAsia="Arial" w:hAnsi="Arial"/>
                <w:sz w:val="18"/>
                <w:szCs w:val="18"/>
                <w:b w:val="1"/>
                <w:bCs w:val="1"/>
                <w:color w:val="auto"/>
              </w:rPr>
              <w:t>2010</w:t>
            </w:r>
          </w:p>
        </w:tc>
        <w:tc>
          <w:tcPr>
            <w:tcW w:w="46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352"/>
              <w:spacing w:after="0"/>
              <w:rPr>
                <w:sz w:val="20"/>
                <w:szCs w:val="20"/>
                <w:color w:val="auto"/>
              </w:rPr>
            </w:pPr>
            <w:r>
              <w:rPr>
                <w:rFonts w:ascii="Arial" w:cs="Arial" w:eastAsia="Arial" w:hAnsi="Arial"/>
                <w:sz w:val="18"/>
                <w:szCs w:val="18"/>
                <w:b w:val="1"/>
                <w:bCs w:val="1"/>
                <w:color w:val="auto"/>
              </w:rPr>
              <w:t>2009</w:t>
            </w:r>
          </w:p>
        </w:tc>
        <w:tc>
          <w:tcPr>
            <w:tcW w:w="420" w:type="dxa"/>
            <w:vAlign w:val="bottom"/>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332"/>
              <w:spacing w:after="0"/>
              <w:rPr>
                <w:sz w:val="20"/>
                <w:szCs w:val="20"/>
                <w:color w:val="auto"/>
              </w:rPr>
            </w:pPr>
            <w:r>
              <w:rPr>
                <w:rFonts w:ascii="Arial" w:cs="Arial" w:eastAsia="Arial" w:hAnsi="Arial"/>
                <w:sz w:val="18"/>
                <w:szCs w:val="18"/>
                <w:b w:val="1"/>
                <w:bCs w:val="1"/>
                <w:color w:val="auto"/>
              </w:rPr>
              <w:t>2010</w:t>
            </w:r>
          </w:p>
        </w:tc>
        <w:tc>
          <w:tcPr>
            <w:tcW w:w="440" w:type="dxa"/>
            <w:vAlign w:val="bottom"/>
            <w:tcBorders>
              <w:top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352"/>
              <w:spacing w:after="0"/>
              <w:rPr>
                <w:sz w:val="20"/>
                <w:szCs w:val="20"/>
                <w:color w:val="auto"/>
              </w:rPr>
            </w:pPr>
            <w:r>
              <w:rPr>
                <w:rFonts w:ascii="Arial" w:cs="Arial" w:eastAsia="Arial" w:hAnsi="Arial"/>
                <w:sz w:val="18"/>
                <w:szCs w:val="18"/>
                <w:b w:val="1"/>
                <w:bCs w:val="1"/>
                <w:color w:val="auto"/>
              </w:rPr>
              <w:t>2009</w:t>
            </w:r>
          </w:p>
        </w:tc>
        <w:tc>
          <w:tcPr>
            <w:tcW w:w="10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5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jc w:val="right"/>
              <w:ind w:right="72"/>
              <w:spacing w:after="0"/>
              <w:rPr>
                <w:sz w:val="20"/>
                <w:szCs w:val="20"/>
                <w:color w:val="auto"/>
              </w:rPr>
            </w:pPr>
            <w:r>
              <w:rPr>
                <w:rFonts w:ascii="Arial" w:cs="Arial" w:eastAsia="Arial" w:hAnsi="Arial"/>
                <w:sz w:val="18"/>
                <w:szCs w:val="18"/>
                <w:b w:val="1"/>
                <w:bCs w:val="1"/>
                <w:color w:val="auto"/>
              </w:rPr>
              <w:t>(in</w:t>
            </w:r>
          </w:p>
        </w:tc>
        <w:tc>
          <w:tcPr>
            <w:tcW w:w="740" w:type="dxa"/>
            <w:vAlign w:val="bottom"/>
            <w:gridSpan w:val="2"/>
          </w:tcPr>
          <w:p>
            <w:pPr>
              <w:jc w:val="right"/>
              <w:spacing w:after="0"/>
              <w:rPr>
                <w:sz w:val="20"/>
                <w:szCs w:val="20"/>
                <w:color w:val="auto"/>
              </w:rPr>
            </w:pPr>
            <w:r>
              <w:rPr>
                <w:rFonts w:ascii="Arial" w:cs="Arial" w:eastAsia="Arial" w:hAnsi="Arial"/>
                <w:sz w:val="18"/>
                <w:szCs w:val="18"/>
                <w:b w:val="1"/>
                <w:bCs w:val="1"/>
                <w:color w:val="auto"/>
                <w:w w:val="70"/>
              </w:rPr>
              <w:t>thousands)</w:t>
            </w:r>
          </w:p>
        </w:tc>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420"/>
              <w:spacing w:after="0"/>
              <w:rPr>
                <w:sz w:val="20"/>
                <w:szCs w:val="20"/>
                <w:color w:val="auto"/>
              </w:rPr>
            </w:pPr>
            <w:r>
              <w:rPr>
                <w:rFonts w:ascii="Arial" w:cs="Arial" w:eastAsia="Arial" w:hAnsi="Arial"/>
                <w:sz w:val="18"/>
                <w:szCs w:val="18"/>
                <w:color w:val="auto"/>
              </w:rPr>
              <w:t>Itron North America</w:t>
            </w:r>
          </w:p>
        </w:tc>
        <w:tc>
          <w:tcPr>
            <w:tcW w:w="30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315,335</w:t>
            </w: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137,351</w:t>
            </w:r>
          </w:p>
        </w:tc>
        <w:tc>
          <w:tcPr>
            <w:tcW w:w="740" w:type="dxa"/>
            <w:vAlign w:val="bottom"/>
            <w:gridSpan w:val="2"/>
          </w:tcPr>
          <w:p>
            <w:pPr>
              <w:jc w:val="right"/>
              <w:ind w:right="52"/>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861,607</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419,658</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Itron International</w:t>
            </w:r>
          </w:p>
        </w:tc>
        <w:tc>
          <w:tcPr>
            <w:tcW w:w="3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260,633</w:t>
            </w:r>
          </w:p>
        </w:tc>
        <w:tc>
          <w:tcPr>
            <w:tcW w:w="46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271,007</w:t>
            </w:r>
          </w:p>
        </w:tc>
        <w:tc>
          <w:tcPr>
            <w:tcW w:w="4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783,101</w:t>
            </w:r>
          </w:p>
        </w:tc>
        <w:tc>
          <w:tcPr>
            <w:tcW w:w="44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790,966</w:t>
            </w:r>
          </w:p>
        </w:tc>
        <w:tc>
          <w:tcPr>
            <w:tcW w:w="100" w:type="dxa"/>
            <w:vAlign w:val="bottom"/>
            <w:shd w:val="clear" w:color="auto" w:fill="CCEEFF"/>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5080" w:type="dxa"/>
            <w:vAlign w:val="bottom"/>
          </w:tcPr>
          <w:p>
            <w:pPr>
              <w:ind w:left="860"/>
              <w:spacing w:after="0"/>
              <w:rPr>
                <w:sz w:val="20"/>
                <w:szCs w:val="20"/>
                <w:color w:val="auto"/>
              </w:rPr>
            </w:pPr>
            <w:r>
              <w:rPr>
                <w:rFonts w:ascii="Arial" w:cs="Arial" w:eastAsia="Arial" w:hAnsi="Arial"/>
                <w:sz w:val="18"/>
                <w:szCs w:val="18"/>
                <w:color w:val="auto"/>
              </w:rPr>
              <w:t>Total Company</w:t>
            </w:r>
          </w:p>
        </w:tc>
        <w:tc>
          <w:tcPr>
            <w:tcW w:w="30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575,968</w:t>
            </w: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408,358</w:t>
            </w:r>
          </w:p>
        </w:tc>
        <w:tc>
          <w:tcPr>
            <w:tcW w:w="740" w:type="dxa"/>
            <w:vAlign w:val="bottom"/>
            <w:gridSpan w:val="2"/>
          </w:tcPr>
          <w:p>
            <w:pPr>
              <w:jc w:val="right"/>
              <w:ind w:right="52"/>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2"/>
              <w:spacing w:after="0"/>
              <w:rPr>
                <w:sz w:val="20"/>
                <w:szCs w:val="20"/>
                <w:color w:val="auto"/>
              </w:rPr>
            </w:pPr>
            <w:r>
              <w:rPr>
                <w:rFonts w:ascii="Arial" w:cs="Arial" w:eastAsia="Arial" w:hAnsi="Arial"/>
                <w:sz w:val="18"/>
                <w:szCs w:val="18"/>
                <w:color w:val="auto"/>
                <w:w w:val="92"/>
              </w:rPr>
              <w:t>1,644,708</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2"/>
              <w:spacing w:after="0"/>
              <w:rPr>
                <w:sz w:val="20"/>
                <w:szCs w:val="20"/>
                <w:color w:val="auto"/>
              </w:rPr>
            </w:pPr>
            <w:r>
              <w:rPr>
                <w:rFonts w:ascii="Arial" w:cs="Arial" w:eastAsia="Arial" w:hAnsi="Arial"/>
                <w:sz w:val="18"/>
                <w:szCs w:val="18"/>
                <w:color w:val="auto"/>
                <w:w w:val="99"/>
              </w:rPr>
              <w:t>1,210,624</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Gross profit</w:t>
            </w: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420"/>
              <w:spacing w:after="0"/>
              <w:rPr>
                <w:sz w:val="20"/>
                <w:szCs w:val="20"/>
                <w:color w:val="auto"/>
              </w:rPr>
            </w:pPr>
            <w:r>
              <w:rPr>
                <w:rFonts w:ascii="Arial" w:cs="Arial" w:eastAsia="Arial" w:hAnsi="Arial"/>
                <w:sz w:val="18"/>
                <w:szCs w:val="18"/>
                <w:color w:val="auto"/>
              </w:rPr>
              <w:t>Itron North America</w:t>
            </w:r>
          </w:p>
        </w:tc>
        <w:tc>
          <w:tcPr>
            <w:tcW w:w="30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111,858</w:t>
            </w: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42,524</w:t>
            </w:r>
          </w:p>
        </w:tc>
        <w:tc>
          <w:tcPr>
            <w:tcW w:w="740" w:type="dxa"/>
            <w:vAlign w:val="bottom"/>
            <w:gridSpan w:val="2"/>
          </w:tcPr>
          <w:p>
            <w:pPr>
              <w:jc w:val="right"/>
              <w:ind w:right="52"/>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294,880</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144,737</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Itron International</w:t>
            </w:r>
          </w:p>
        </w:tc>
        <w:tc>
          <w:tcPr>
            <w:tcW w:w="3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72,349</w:t>
            </w:r>
          </w:p>
        </w:tc>
        <w:tc>
          <w:tcPr>
            <w:tcW w:w="46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86,955</w:t>
            </w:r>
          </w:p>
        </w:tc>
        <w:tc>
          <w:tcPr>
            <w:tcW w:w="4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224,546</w:t>
            </w:r>
          </w:p>
        </w:tc>
        <w:tc>
          <w:tcPr>
            <w:tcW w:w="44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247,435</w:t>
            </w:r>
          </w:p>
        </w:tc>
        <w:tc>
          <w:tcPr>
            <w:tcW w:w="100" w:type="dxa"/>
            <w:vAlign w:val="bottom"/>
            <w:shd w:val="clear" w:color="auto" w:fill="CCEEFF"/>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5080" w:type="dxa"/>
            <w:vAlign w:val="bottom"/>
          </w:tcPr>
          <w:p>
            <w:pPr>
              <w:ind w:left="860"/>
              <w:spacing w:after="0"/>
              <w:rPr>
                <w:sz w:val="20"/>
                <w:szCs w:val="20"/>
                <w:color w:val="auto"/>
              </w:rPr>
            </w:pPr>
            <w:r>
              <w:rPr>
                <w:rFonts w:ascii="Arial" w:cs="Arial" w:eastAsia="Arial" w:hAnsi="Arial"/>
                <w:sz w:val="18"/>
                <w:szCs w:val="18"/>
                <w:color w:val="auto"/>
              </w:rPr>
              <w:t>Total Company</w:t>
            </w:r>
          </w:p>
        </w:tc>
        <w:tc>
          <w:tcPr>
            <w:tcW w:w="30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184,207</w:t>
            </w: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129,479</w:t>
            </w:r>
          </w:p>
        </w:tc>
        <w:tc>
          <w:tcPr>
            <w:tcW w:w="740" w:type="dxa"/>
            <w:vAlign w:val="bottom"/>
            <w:gridSpan w:val="2"/>
          </w:tcPr>
          <w:p>
            <w:pPr>
              <w:jc w:val="right"/>
              <w:ind w:right="52"/>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519,426</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392,172</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income (loss)</w:t>
            </w: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420"/>
              <w:spacing w:after="0"/>
              <w:rPr>
                <w:sz w:val="20"/>
                <w:szCs w:val="20"/>
                <w:color w:val="auto"/>
              </w:rPr>
            </w:pPr>
            <w:r>
              <w:rPr>
                <w:rFonts w:ascii="Arial" w:cs="Arial" w:eastAsia="Arial" w:hAnsi="Arial"/>
                <w:sz w:val="18"/>
                <w:szCs w:val="18"/>
                <w:color w:val="auto"/>
              </w:rPr>
              <w:t>Itron North America</w:t>
            </w:r>
          </w:p>
        </w:tc>
        <w:tc>
          <w:tcPr>
            <w:tcW w:w="30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64,581</w:t>
            </w: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(1,188)</w:t>
            </w:r>
          </w:p>
        </w:tc>
        <w:tc>
          <w:tcPr>
            <w:tcW w:w="740" w:type="dxa"/>
            <w:vAlign w:val="bottom"/>
            <w:gridSpan w:val="2"/>
          </w:tcPr>
          <w:p>
            <w:pPr>
              <w:jc w:val="right"/>
              <w:ind w:right="52"/>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155,892</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12,459</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Itron International</w:t>
            </w: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7,652</w:t>
            </w:r>
          </w:p>
        </w:tc>
        <w:tc>
          <w:tcPr>
            <w:tcW w:w="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17,319</w:t>
            </w:r>
          </w:p>
        </w:tc>
        <w:tc>
          <w:tcPr>
            <w:tcW w:w="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23,314</w:t>
            </w: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40,018</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080" w:type="dxa"/>
            <w:vAlign w:val="bottom"/>
          </w:tcPr>
          <w:p>
            <w:pPr>
              <w:ind w:left="420"/>
              <w:spacing w:after="0"/>
              <w:rPr>
                <w:sz w:val="20"/>
                <w:szCs w:val="20"/>
                <w:color w:val="auto"/>
              </w:rPr>
            </w:pPr>
            <w:r>
              <w:rPr>
                <w:rFonts w:ascii="Arial" w:cs="Arial" w:eastAsia="Arial" w:hAnsi="Arial"/>
                <w:sz w:val="18"/>
                <w:szCs w:val="18"/>
                <w:color w:val="auto"/>
              </w:rPr>
              <w:t>Corporate unallocated</w:t>
            </w: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(10,853)</w:t>
            </w:r>
          </w:p>
        </w:tc>
        <w:tc>
          <w:tcPr>
            <w:tcW w:w="4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(7,125)</w:t>
            </w:r>
          </w:p>
        </w:tc>
        <w:tc>
          <w:tcPr>
            <w:tcW w:w="4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(32,099)</w:t>
            </w:r>
          </w:p>
        </w:tc>
        <w:tc>
          <w:tcPr>
            <w:tcW w:w="4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(22,803)</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Company</w:t>
            </w: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61,380</w:t>
            </w:r>
          </w:p>
        </w:tc>
        <w:tc>
          <w:tcPr>
            <w:tcW w:w="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9,006</w:t>
            </w:r>
          </w:p>
        </w:tc>
        <w:tc>
          <w:tcPr>
            <w:tcW w:w="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147,107</w:t>
            </w: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29,674</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Total other income (expense)</w:t>
            </w: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(17,585)</w:t>
            </w:r>
          </w:p>
        </w:tc>
        <w:tc>
          <w:tcPr>
            <w:tcW w:w="4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(27,114)</w:t>
            </w:r>
          </w:p>
        </w:tc>
        <w:tc>
          <w:tcPr>
            <w:tcW w:w="4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(47,212)</w:t>
            </w:r>
          </w:p>
        </w:tc>
        <w:tc>
          <w:tcPr>
            <w:tcW w:w="4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(74,593)</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Income (loss) before income taxes</w:t>
            </w:r>
          </w:p>
        </w:tc>
        <w:tc>
          <w:tcPr>
            <w:tcW w:w="3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43,795</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(18,108)</w:t>
            </w:r>
          </w:p>
        </w:tc>
        <w:tc>
          <w:tcPr>
            <w:tcW w:w="74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99,895</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(44,919)</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One customer represented more than 10% of total Company revenues for the three and nine months ended September 30, 2010, while no single customer did for the same periods in 2009. Three customers each accounted for more than 10% of Itron North America revenues for the three and nine months ended September 30, 2010, while no single customer did for the same periods in 2009. No single customer represented more than 10% of Itron International revenues for the three and nine months ended September 30, 2010 and 2009.</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700" w:type="dxa"/>
            <w:vAlign w:val="bottom"/>
          </w:tcPr>
          <w:p>
            <w:pPr>
              <w:spacing w:after="0"/>
              <w:rPr>
                <w:sz w:val="20"/>
                <w:szCs w:val="20"/>
                <w:color w:val="auto"/>
              </w:rPr>
            </w:pPr>
            <w:r>
              <w:rPr>
                <w:rFonts w:ascii="Arial" w:cs="Arial" w:eastAsia="Arial" w:hAnsi="Arial"/>
                <w:sz w:val="18"/>
                <w:szCs w:val="18"/>
                <w:color w:val="auto"/>
              </w:rPr>
              <w:t>Revenues by region were as follows:</w:t>
            </w:r>
          </w:p>
        </w:tc>
        <w:tc>
          <w:tcPr>
            <w:tcW w:w="3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419"/>
        </w:trPr>
        <w:tc>
          <w:tcPr>
            <w:tcW w:w="4700" w:type="dxa"/>
            <w:vAlign w:val="bottom"/>
          </w:tcPr>
          <w:p>
            <w:pPr>
              <w:spacing w:after="0"/>
              <w:rPr>
                <w:sz w:val="24"/>
                <w:szCs w:val="24"/>
                <w:color w:val="auto"/>
              </w:rPr>
            </w:pPr>
          </w:p>
        </w:tc>
        <w:tc>
          <w:tcPr>
            <w:tcW w:w="3040" w:type="dxa"/>
            <w:vAlign w:val="bottom"/>
            <w:gridSpan w:val="5"/>
          </w:tcPr>
          <w:p>
            <w:pPr>
              <w:jc w:val="right"/>
              <w:ind w:right="76"/>
              <w:spacing w:after="0"/>
              <w:rPr>
                <w:sz w:val="20"/>
                <w:szCs w:val="20"/>
                <w:color w:val="auto"/>
              </w:rPr>
            </w:pPr>
            <w:r>
              <w:rPr>
                <w:rFonts w:ascii="Arial" w:cs="Arial" w:eastAsia="Arial" w:hAnsi="Arial"/>
                <w:sz w:val="18"/>
                <w:szCs w:val="18"/>
                <w:b w:val="1"/>
                <w:bCs w:val="1"/>
                <w:color w:val="auto"/>
                <w:w w:val="93"/>
              </w:rPr>
              <w:t>Three Months Ended September 30,</w:t>
            </w: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980" w:type="dxa"/>
            <w:vAlign w:val="bottom"/>
            <w:gridSpan w:val="5"/>
          </w:tcPr>
          <w:p>
            <w:pPr>
              <w:ind w:left="20"/>
              <w:spacing w:after="0"/>
              <w:rPr>
                <w:sz w:val="20"/>
                <w:szCs w:val="20"/>
                <w:color w:val="auto"/>
              </w:rPr>
            </w:pPr>
            <w:r>
              <w:rPr>
                <w:rFonts w:ascii="Arial" w:cs="Arial" w:eastAsia="Arial" w:hAnsi="Arial"/>
                <w:sz w:val="18"/>
                <w:szCs w:val="18"/>
                <w:b w:val="1"/>
                <w:bCs w:val="1"/>
                <w:color w:val="auto"/>
                <w:w w:val="99"/>
              </w:rPr>
              <w:t>Nine Months Ended September 30,</w:t>
            </w:r>
          </w:p>
        </w:tc>
      </w:tr>
      <w:tr>
        <w:trPr>
          <w:trHeight w:val="212"/>
        </w:trPr>
        <w:tc>
          <w:tcPr>
            <w:tcW w:w="4700" w:type="dxa"/>
            <w:vAlign w:val="bottom"/>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352"/>
              <w:spacing w:after="0"/>
              <w:rPr>
                <w:sz w:val="20"/>
                <w:szCs w:val="20"/>
                <w:color w:val="auto"/>
              </w:rPr>
            </w:pPr>
            <w:r>
              <w:rPr>
                <w:rFonts w:ascii="Arial" w:cs="Arial" w:eastAsia="Arial" w:hAnsi="Arial"/>
                <w:sz w:val="18"/>
                <w:szCs w:val="18"/>
                <w:b w:val="1"/>
                <w:bCs w:val="1"/>
                <w:color w:val="auto"/>
              </w:rPr>
              <w:t>2010</w:t>
            </w:r>
          </w:p>
        </w:tc>
        <w:tc>
          <w:tcPr>
            <w:tcW w:w="48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396"/>
              <w:spacing w:after="0"/>
              <w:rPr>
                <w:sz w:val="20"/>
                <w:szCs w:val="20"/>
                <w:color w:val="auto"/>
              </w:rPr>
            </w:pPr>
            <w:r>
              <w:rPr>
                <w:rFonts w:ascii="Arial" w:cs="Arial" w:eastAsia="Arial" w:hAnsi="Arial"/>
                <w:sz w:val="18"/>
                <w:szCs w:val="18"/>
                <w:b w:val="1"/>
                <w:bCs w:val="1"/>
                <w:color w:val="auto"/>
              </w:rPr>
              <w:t>2009</w:t>
            </w:r>
          </w:p>
        </w:tc>
        <w:tc>
          <w:tcPr>
            <w:tcW w:w="46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392"/>
              <w:spacing w:after="0"/>
              <w:rPr>
                <w:sz w:val="20"/>
                <w:szCs w:val="20"/>
                <w:color w:val="auto"/>
              </w:rPr>
            </w:pPr>
            <w:r>
              <w:rPr>
                <w:rFonts w:ascii="Arial" w:cs="Arial" w:eastAsia="Arial" w:hAnsi="Arial"/>
                <w:sz w:val="18"/>
                <w:szCs w:val="18"/>
                <w:b w:val="1"/>
                <w:bCs w:val="1"/>
                <w:color w:val="auto"/>
              </w:rPr>
              <w:t>2010</w:t>
            </w:r>
          </w:p>
        </w:tc>
        <w:tc>
          <w:tcPr>
            <w:tcW w:w="480" w:type="dxa"/>
            <w:vAlign w:val="bottom"/>
            <w:tcBorders>
              <w:top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392"/>
              <w:spacing w:after="0"/>
              <w:rPr>
                <w:sz w:val="20"/>
                <w:szCs w:val="20"/>
                <w:color w:val="auto"/>
              </w:rPr>
            </w:pPr>
            <w:r>
              <w:rPr>
                <w:rFonts w:ascii="Arial" w:cs="Arial" w:eastAsia="Arial" w:hAnsi="Arial"/>
                <w:sz w:val="18"/>
                <w:szCs w:val="18"/>
                <w:b w:val="1"/>
                <w:bCs w:val="1"/>
                <w:color w:val="auto"/>
              </w:rPr>
              <w:t>2009</w:t>
            </w:r>
          </w:p>
        </w:tc>
        <w:tc>
          <w:tcPr>
            <w:tcW w:w="100" w:type="dxa"/>
            <w:vAlign w:val="bottom"/>
          </w:tcPr>
          <w:p>
            <w:pPr>
              <w:spacing w:after="0"/>
              <w:rPr>
                <w:sz w:val="18"/>
                <w:szCs w:val="18"/>
                <w:color w:val="auto"/>
              </w:rPr>
            </w:pPr>
          </w:p>
        </w:tc>
      </w:tr>
      <w:tr>
        <w:trPr>
          <w:trHeight w:val="142"/>
        </w:trPr>
        <w:tc>
          <w:tcPr>
            <w:tcW w:w="47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8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(in</w:t>
            </w:r>
          </w:p>
        </w:tc>
        <w:tc>
          <w:tcPr>
            <w:tcW w:w="700" w:type="dxa"/>
            <w:vAlign w:val="bottom"/>
            <w:gridSpan w:val="2"/>
          </w:tcPr>
          <w:p>
            <w:pPr>
              <w:jc w:val="right"/>
              <w:ind w:right="20"/>
              <w:spacing w:after="0" w:line="142" w:lineRule="exact"/>
              <w:rPr>
                <w:sz w:val="20"/>
                <w:szCs w:val="20"/>
                <w:color w:val="auto"/>
              </w:rPr>
            </w:pPr>
            <w:r>
              <w:rPr>
                <w:rFonts w:ascii="Arial" w:cs="Arial" w:eastAsia="Arial" w:hAnsi="Arial"/>
                <w:sz w:val="14"/>
                <w:szCs w:val="14"/>
                <w:b w:val="1"/>
                <w:bCs w:val="1"/>
                <w:color w:val="auto"/>
                <w:w w:val="87"/>
              </w:rPr>
              <w:t>thousands)</w:t>
            </w:r>
          </w:p>
        </w:tc>
        <w:tc>
          <w:tcPr>
            <w:tcW w:w="10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United States and Canada</w:t>
            </w:r>
          </w:p>
        </w:tc>
        <w:tc>
          <w:tcPr>
            <w:tcW w:w="3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312,851</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131,986</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854,923</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402,761</w:t>
            </w:r>
          </w:p>
        </w:tc>
        <w:tc>
          <w:tcPr>
            <w:tcW w:w="100" w:type="dxa"/>
            <w:vAlign w:val="bottom"/>
            <w:shd w:val="clear" w:color="auto" w:fill="CCEEFF"/>
          </w:tcPr>
          <w:p>
            <w:pPr>
              <w:spacing w:after="0"/>
              <w:rPr>
                <w:sz w:val="18"/>
                <w:szCs w:val="18"/>
                <w:color w:val="auto"/>
              </w:rPr>
            </w:pP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Europe</w:t>
            </w:r>
          </w:p>
        </w:tc>
        <w:tc>
          <w:tcPr>
            <w:tcW w:w="3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173,936</w:t>
            </w: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jc w:val="right"/>
              <w:ind w:right="16"/>
              <w:spacing w:after="0"/>
              <w:rPr>
                <w:sz w:val="20"/>
                <w:szCs w:val="20"/>
                <w:color w:val="auto"/>
              </w:rPr>
            </w:pPr>
            <w:r>
              <w:rPr>
                <w:rFonts w:ascii="Arial" w:cs="Arial" w:eastAsia="Arial" w:hAnsi="Arial"/>
                <w:sz w:val="18"/>
                <w:szCs w:val="18"/>
                <w:color w:val="auto"/>
              </w:rPr>
              <w:t>203,834</w:t>
            </w: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562,284</w:t>
            </w: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610,869</w:t>
            </w:r>
          </w:p>
        </w:tc>
        <w:tc>
          <w:tcPr>
            <w:tcW w:w="100" w:type="dxa"/>
            <w:vAlign w:val="bottom"/>
          </w:tcPr>
          <w:p>
            <w:pPr>
              <w:spacing w:after="0"/>
              <w:rPr>
                <w:sz w:val="18"/>
                <w:szCs w:val="18"/>
                <w:color w:val="auto"/>
              </w:rPr>
            </w:pP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89,181</w:t>
            </w:r>
          </w:p>
        </w:tc>
        <w:tc>
          <w:tcPr>
            <w:tcW w:w="48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72,538</w:t>
            </w:r>
          </w:p>
        </w:tc>
        <w:tc>
          <w:tcPr>
            <w:tcW w:w="46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227,501</w:t>
            </w:r>
          </w:p>
        </w:tc>
        <w:tc>
          <w:tcPr>
            <w:tcW w:w="48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196,994</w:t>
            </w:r>
          </w:p>
        </w:tc>
        <w:tc>
          <w:tcPr>
            <w:tcW w:w="100" w:type="dxa"/>
            <w:vAlign w:val="bottom"/>
            <w:shd w:val="clear" w:color="auto" w:fill="CCEEFF"/>
          </w:tcPr>
          <w:p>
            <w:pPr>
              <w:spacing w:after="0"/>
              <w:rPr>
                <w:sz w:val="18"/>
                <w:szCs w:val="18"/>
                <w:color w:val="auto"/>
              </w:rPr>
            </w:pPr>
          </w:p>
        </w:tc>
      </w:tr>
      <w:tr>
        <w:trPr>
          <w:trHeight w:val="222"/>
        </w:trPr>
        <w:tc>
          <w:tcPr>
            <w:tcW w:w="4700" w:type="dxa"/>
            <w:vAlign w:val="bottom"/>
          </w:tcPr>
          <w:p>
            <w:pPr>
              <w:ind w:left="440"/>
              <w:spacing w:after="0"/>
              <w:rPr>
                <w:sz w:val="20"/>
                <w:szCs w:val="20"/>
                <w:color w:val="auto"/>
              </w:rPr>
            </w:pPr>
            <w:r>
              <w:rPr>
                <w:rFonts w:ascii="Arial" w:cs="Arial" w:eastAsia="Arial" w:hAnsi="Arial"/>
                <w:sz w:val="18"/>
                <w:szCs w:val="18"/>
                <w:color w:val="auto"/>
              </w:rPr>
              <w:t>Total revenues</w:t>
            </w:r>
          </w:p>
        </w:tc>
        <w:tc>
          <w:tcPr>
            <w:tcW w:w="32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575,968</w:t>
            </w: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6"/>
              <w:spacing w:after="0"/>
              <w:rPr>
                <w:sz w:val="20"/>
                <w:szCs w:val="20"/>
                <w:color w:val="auto"/>
              </w:rPr>
            </w:pPr>
            <w:r>
              <w:rPr>
                <w:rFonts w:ascii="Arial" w:cs="Arial" w:eastAsia="Arial" w:hAnsi="Arial"/>
                <w:sz w:val="18"/>
                <w:szCs w:val="18"/>
                <w:color w:val="auto"/>
              </w:rPr>
              <w:t>408,358</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1,644,708</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1,210,624</w:t>
            </w:r>
          </w:p>
        </w:tc>
        <w:tc>
          <w:tcPr>
            <w:tcW w:w="100" w:type="dxa"/>
            <w:vAlign w:val="bottom"/>
          </w:tcPr>
          <w:p>
            <w:pPr>
              <w:spacing w:after="0"/>
              <w:rPr>
                <w:sz w:val="19"/>
                <w:szCs w:val="19"/>
                <w:color w:val="auto"/>
              </w:rPr>
            </w:pPr>
          </w:p>
        </w:tc>
      </w:tr>
      <w:tr>
        <w:trPr>
          <w:trHeight w:val="20"/>
        </w:trPr>
        <w:tc>
          <w:tcPr>
            <w:tcW w:w="47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4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31</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Note 15:</w:t>
      </w:r>
      <w:r>
        <w:rPr>
          <w:sz w:val="20"/>
          <w:szCs w:val="20"/>
          <w:color w:val="auto"/>
        </w:rPr>
        <w:tab/>
      </w:r>
      <w:r>
        <w:rPr>
          <w:rFonts w:ascii="Arial" w:cs="Arial" w:eastAsia="Arial" w:hAnsi="Arial"/>
          <w:sz w:val="16"/>
          <w:szCs w:val="16"/>
          <w:b w:val="1"/>
          <w:bCs w:val="1"/>
          <w:color w:val="auto"/>
        </w:rPr>
        <w:t>Consolidating Financial Information</w:t>
      </w:r>
    </w:p>
    <w:p>
      <w:pPr>
        <w:spacing w:after="0" w:line="9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convertible notes, issued by Itron, Inc., are guaranteed by one U.S. subsidiary, which is 100% owned. Our senior subordinated notes issued in May 2004, which were redeemed in 2009, were guaranteed by multiple U.S. operating subsidiaries. We have not restated the comparative prior period results to reflect the change in certain U.S. subsidiaries from guarantors to non-guarantors as they are immaterial.</w:t>
      </w:r>
    </w:p>
    <w:p>
      <w:pPr>
        <w:spacing w:after="0" w:line="14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guaranty by our U.S. subsidiary is joint and several, full, complete, and unconditional. There are currently no restrictions on the ability of the subsidiary guarantor to transfer funds to the parent company.</w:t>
      </w: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Consolidating Statement of Operations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Three Months Ended September 30, 2010</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center"/>
              <w:ind w:right="112"/>
              <w:spacing w:after="0"/>
              <w:rPr>
                <w:sz w:val="20"/>
                <w:szCs w:val="20"/>
                <w:color w:val="auto"/>
              </w:rPr>
            </w:pPr>
            <w:r>
              <w:rPr>
                <w:rFonts w:ascii="Arial" w:cs="Arial" w:eastAsia="Arial" w:hAnsi="Arial"/>
                <w:sz w:val="18"/>
                <w:szCs w:val="18"/>
                <w:b w:val="1"/>
                <w:bCs w:val="1"/>
                <w:color w:val="auto"/>
                <w:w w:val="88"/>
              </w:rPr>
              <w:t>Combined</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72"/>
              <w:spacing w:after="0"/>
              <w:rPr>
                <w:sz w:val="20"/>
                <w:szCs w:val="20"/>
                <w:color w:val="auto"/>
              </w:rPr>
            </w:pPr>
            <w:r>
              <w:rPr>
                <w:rFonts w:ascii="Arial" w:cs="Arial" w:eastAsia="Arial" w:hAnsi="Arial"/>
                <w:sz w:val="18"/>
                <w:szCs w:val="18"/>
                <w:b w:val="1"/>
                <w:bCs w:val="1"/>
                <w:color w:val="auto"/>
              </w:rPr>
              <w:t>Guarantor</w:t>
            </w:r>
          </w:p>
        </w:tc>
        <w:tc>
          <w:tcPr>
            <w:tcW w:w="160" w:type="dxa"/>
            <w:vAlign w:val="bottom"/>
          </w:tcPr>
          <w:p>
            <w:pPr>
              <w:spacing w:after="0"/>
              <w:rPr>
                <w:sz w:val="18"/>
                <w:szCs w:val="18"/>
                <w:color w:val="auto"/>
              </w:rPr>
            </w:pPr>
          </w:p>
        </w:tc>
        <w:tc>
          <w:tcPr>
            <w:tcW w:w="1220" w:type="dxa"/>
            <w:vAlign w:val="bottom"/>
            <w:gridSpan w:val="2"/>
          </w:tcPr>
          <w:p>
            <w:pPr>
              <w:jc w:val="center"/>
              <w:spacing w:after="0"/>
              <w:rPr>
                <w:sz w:val="20"/>
                <w:szCs w:val="20"/>
                <w:color w:val="auto"/>
              </w:rPr>
            </w:pPr>
            <w:r>
              <w:rPr>
                <w:rFonts w:ascii="Arial" w:cs="Arial" w:eastAsia="Arial" w:hAnsi="Arial"/>
                <w:sz w:val="18"/>
                <w:szCs w:val="18"/>
                <w:b w:val="1"/>
                <w:bCs w:val="1"/>
                <w:color w:val="auto"/>
                <w:w w:val="91"/>
              </w:rPr>
              <w:t>Non-guarantor</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8"/>
        </w:trPr>
        <w:tc>
          <w:tcPr>
            <w:tcW w:w="20" w:type="dxa"/>
            <w:vAlign w:val="bottom"/>
          </w:tcPr>
          <w:p>
            <w:pPr>
              <w:spacing w:after="0"/>
              <w:rPr>
                <w:sz w:val="19"/>
                <w:szCs w:val="19"/>
                <w:color w:val="auto"/>
              </w:rPr>
            </w:pPr>
          </w:p>
        </w:tc>
        <w:tc>
          <w:tcPr>
            <w:tcW w:w="48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tcPr>
          <w:p>
            <w:pPr>
              <w:jc w:val="right"/>
              <w:ind w:right="252"/>
              <w:spacing w:after="0"/>
              <w:rPr>
                <w:sz w:val="20"/>
                <w:szCs w:val="20"/>
                <w:color w:val="auto"/>
              </w:rPr>
            </w:pPr>
            <w:r>
              <w:rPr>
                <w:rFonts w:ascii="Arial" w:cs="Arial" w:eastAsia="Arial" w:hAnsi="Arial"/>
                <w:sz w:val="18"/>
                <w:szCs w:val="18"/>
                <w:b w:val="1"/>
                <w:bCs w:val="1"/>
                <w:color w:val="auto"/>
                <w:w w:val="89"/>
              </w:rPr>
              <w:t>Parent</w:t>
            </w:r>
          </w:p>
        </w:tc>
        <w:tc>
          <w:tcPr>
            <w:tcW w:w="160" w:type="dxa"/>
            <w:vAlign w:val="bottom"/>
          </w:tcPr>
          <w:p>
            <w:pPr>
              <w:spacing w:after="0"/>
              <w:rPr>
                <w:sz w:val="19"/>
                <w:szCs w:val="19"/>
                <w:color w:val="auto"/>
              </w:rPr>
            </w:pPr>
          </w:p>
        </w:tc>
        <w:tc>
          <w:tcPr>
            <w:tcW w:w="1120" w:type="dxa"/>
            <w:vAlign w:val="bottom"/>
            <w:gridSpan w:val="2"/>
          </w:tcPr>
          <w:p>
            <w:pPr>
              <w:jc w:val="right"/>
              <w:ind w:right="72"/>
              <w:spacing w:after="0"/>
              <w:rPr>
                <w:sz w:val="20"/>
                <w:szCs w:val="20"/>
                <w:color w:val="auto"/>
              </w:rPr>
            </w:pPr>
            <w:r>
              <w:rPr>
                <w:rFonts w:ascii="Arial" w:cs="Arial" w:eastAsia="Arial" w:hAnsi="Arial"/>
                <w:sz w:val="18"/>
                <w:szCs w:val="18"/>
                <w:b w:val="1"/>
                <w:bCs w:val="1"/>
                <w:color w:val="auto"/>
              </w:rPr>
              <w:t>Subsidiary</w:t>
            </w:r>
          </w:p>
        </w:tc>
        <w:tc>
          <w:tcPr>
            <w:tcW w:w="160" w:type="dxa"/>
            <w:vAlign w:val="bottom"/>
          </w:tcPr>
          <w:p>
            <w:pPr>
              <w:spacing w:after="0"/>
              <w:rPr>
                <w:sz w:val="19"/>
                <w:szCs w:val="19"/>
                <w:color w:val="auto"/>
              </w:rPr>
            </w:pPr>
          </w:p>
        </w:tc>
        <w:tc>
          <w:tcPr>
            <w:tcW w:w="1220" w:type="dxa"/>
            <w:vAlign w:val="bottom"/>
            <w:gridSpan w:val="2"/>
          </w:tcPr>
          <w:p>
            <w:pPr>
              <w:jc w:val="center"/>
              <w:spacing w:after="0"/>
              <w:rPr>
                <w:sz w:val="20"/>
                <w:szCs w:val="20"/>
                <w:color w:val="auto"/>
              </w:rPr>
            </w:pPr>
            <w:r>
              <w:rPr>
                <w:rFonts w:ascii="Arial" w:cs="Arial" w:eastAsia="Arial" w:hAnsi="Arial"/>
                <w:sz w:val="18"/>
                <w:szCs w:val="18"/>
                <w:b w:val="1"/>
                <w:bCs w:val="1"/>
                <w:color w:val="auto"/>
                <w:w w:val="84"/>
              </w:rPr>
              <w:t>Subsidiaries</w:t>
            </w:r>
          </w:p>
        </w:tc>
        <w:tc>
          <w:tcPr>
            <w:tcW w:w="160" w:type="dxa"/>
            <w:vAlign w:val="bottom"/>
          </w:tcPr>
          <w:p>
            <w:pPr>
              <w:spacing w:after="0"/>
              <w:rPr>
                <w:sz w:val="19"/>
                <w:szCs w:val="19"/>
                <w:color w:val="auto"/>
              </w:rPr>
            </w:pPr>
          </w:p>
        </w:tc>
        <w:tc>
          <w:tcPr>
            <w:tcW w:w="1140" w:type="dxa"/>
            <w:vAlign w:val="bottom"/>
            <w:gridSpan w:val="2"/>
          </w:tcPr>
          <w:p>
            <w:pPr>
              <w:ind w:left="100"/>
              <w:spacing w:after="0"/>
              <w:rPr>
                <w:sz w:val="20"/>
                <w:szCs w:val="20"/>
                <w:color w:val="auto"/>
              </w:rPr>
            </w:pPr>
            <w:r>
              <w:rPr>
                <w:rFonts w:ascii="Arial" w:cs="Arial" w:eastAsia="Arial" w:hAnsi="Arial"/>
                <w:sz w:val="18"/>
                <w:szCs w:val="18"/>
                <w:b w:val="1"/>
                <w:bCs w:val="1"/>
                <w:color w:val="auto"/>
                <w:w w:val="95"/>
              </w:rPr>
              <w:t>Eliminations</w:t>
            </w:r>
          </w:p>
        </w:tc>
        <w:tc>
          <w:tcPr>
            <w:tcW w:w="160" w:type="dxa"/>
            <w:vAlign w:val="bottom"/>
          </w:tcPr>
          <w:p>
            <w:pPr>
              <w:spacing w:after="0"/>
              <w:rPr>
                <w:sz w:val="19"/>
                <w:szCs w:val="19"/>
                <w:color w:val="auto"/>
              </w:rPr>
            </w:pPr>
          </w:p>
        </w:tc>
        <w:tc>
          <w:tcPr>
            <w:tcW w:w="1260" w:type="dxa"/>
            <w:vAlign w:val="bottom"/>
            <w:gridSpan w:val="3"/>
          </w:tcPr>
          <w:p>
            <w:pPr>
              <w:ind w:left="100"/>
              <w:spacing w:after="0"/>
              <w:rPr>
                <w:sz w:val="20"/>
                <w:szCs w:val="20"/>
                <w:color w:val="auto"/>
              </w:rPr>
            </w:pPr>
            <w:r>
              <w:rPr>
                <w:rFonts w:ascii="Arial" w:cs="Arial" w:eastAsia="Arial" w:hAnsi="Arial"/>
                <w:sz w:val="18"/>
                <w:szCs w:val="18"/>
                <w:b w:val="1"/>
                <w:bCs w:val="1"/>
                <w:color w:val="auto"/>
                <w:w w:val="99"/>
              </w:rPr>
              <w:t>Consolidated</w:t>
            </w:r>
          </w:p>
        </w:tc>
      </w:tr>
      <w:tr>
        <w:trPr>
          <w:trHeight w:val="212"/>
        </w:trPr>
        <w:tc>
          <w:tcPr>
            <w:tcW w:w="20" w:type="dxa"/>
            <w:vAlign w:val="bottom"/>
          </w:tcPr>
          <w:p>
            <w:pPr>
              <w:spacing w:after="0"/>
              <w:rPr>
                <w:sz w:val="18"/>
                <w:szCs w:val="18"/>
                <w:color w:val="auto"/>
              </w:rPr>
            </w:pPr>
          </w:p>
        </w:tc>
        <w:tc>
          <w:tcPr>
            <w:tcW w:w="486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Borders>
              <w:top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5"/>
              </w:rPr>
              <w:t>(in thousands)</w:t>
            </w:r>
          </w:p>
        </w:tc>
        <w:tc>
          <w:tcPr>
            <w:tcW w:w="16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313,593</w:t>
            </w:r>
          </w:p>
        </w:tc>
        <w:tc>
          <w:tcPr>
            <w:tcW w:w="680" w:type="dxa"/>
            <w:vAlign w:val="bottom"/>
            <w:gridSpan w:val="2"/>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276,771</w:t>
            </w:r>
          </w:p>
        </w:tc>
        <w:tc>
          <w:tcPr>
            <w:tcW w:w="4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(14,396)</w:t>
            </w:r>
          </w:p>
        </w:tc>
        <w:tc>
          <w:tcPr>
            <w:tcW w:w="4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575,968</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Cost of revenues</w:t>
            </w:r>
          </w:p>
        </w:tc>
        <w:tc>
          <w:tcPr>
            <w:tcW w:w="3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204,233</w:t>
            </w:r>
          </w:p>
        </w:tc>
        <w:tc>
          <w:tcPr>
            <w:tcW w:w="16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201,924</w:t>
            </w:r>
          </w:p>
        </w:tc>
        <w:tc>
          <w:tcPr>
            <w:tcW w:w="1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(14,396)</w:t>
            </w:r>
          </w:p>
        </w:tc>
        <w:tc>
          <w:tcPr>
            <w:tcW w:w="1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391,761</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109,360</w:t>
            </w: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74,847</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184,207</w:t>
            </w:r>
          </w:p>
        </w:tc>
        <w:tc>
          <w:tcPr>
            <w:tcW w:w="100" w:type="dxa"/>
            <w:vAlign w:val="bottom"/>
            <w:shd w:val="clear" w:color="auto" w:fill="CCEEFF"/>
          </w:tcPr>
          <w:p>
            <w:pPr>
              <w:spacing w:after="0"/>
              <w:rPr>
                <w:sz w:val="18"/>
                <w:szCs w:val="18"/>
                <w:color w:val="auto"/>
              </w:rPr>
            </w:pPr>
          </w:p>
        </w:tc>
      </w:tr>
      <w:tr>
        <w:trPr>
          <w:trHeight w:val="323"/>
        </w:trPr>
        <w:tc>
          <w:tcPr>
            <w:tcW w:w="488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7"/>
        </w:trPr>
        <w:tc>
          <w:tcPr>
            <w:tcW w:w="20" w:type="dxa"/>
            <w:vAlign w:val="bottom"/>
          </w:tcPr>
          <w:p>
            <w:pPr>
              <w:spacing w:after="0"/>
              <w:rPr>
                <w:sz w:val="18"/>
                <w:szCs w:val="18"/>
                <w:color w:val="auto"/>
              </w:rPr>
            </w:pPr>
          </w:p>
        </w:tc>
        <w:tc>
          <w:tcPr>
            <w:tcW w:w="4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Sales and marketing</w:t>
            </w: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16,090</w:t>
            </w: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25,107</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41,197</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60" w:type="dxa"/>
            <w:vAlign w:val="bottom"/>
          </w:tcPr>
          <w:p>
            <w:pPr>
              <w:ind w:left="420"/>
              <w:spacing w:after="0"/>
              <w:rPr>
                <w:sz w:val="20"/>
                <w:szCs w:val="20"/>
                <w:color w:val="auto"/>
              </w:rPr>
            </w:pPr>
            <w:r>
              <w:rPr>
                <w:rFonts w:ascii="Arial" w:cs="Arial" w:eastAsia="Arial" w:hAnsi="Arial"/>
                <w:sz w:val="18"/>
                <w:szCs w:val="18"/>
                <w:color w:val="auto"/>
              </w:rPr>
              <w:t>Product development</w:t>
            </w:r>
          </w:p>
        </w:tc>
        <w:tc>
          <w:tcPr>
            <w:tcW w:w="300" w:type="dxa"/>
            <w:vAlign w:val="bottom"/>
          </w:tcPr>
          <w:p>
            <w:pPr>
              <w:spacing w:after="0"/>
              <w:rPr>
                <w:sz w:val="18"/>
                <w:szCs w:val="18"/>
                <w:color w:val="auto"/>
              </w:rPr>
            </w:pPr>
          </w:p>
        </w:tc>
        <w:tc>
          <w:tcPr>
            <w:tcW w:w="860" w:type="dxa"/>
            <w:vAlign w:val="bottom"/>
          </w:tcPr>
          <w:p>
            <w:pPr>
              <w:jc w:val="right"/>
              <w:ind w:right="52"/>
              <w:spacing w:after="0"/>
              <w:rPr>
                <w:sz w:val="20"/>
                <w:szCs w:val="20"/>
                <w:color w:val="auto"/>
              </w:rPr>
            </w:pPr>
            <w:r>
              <w:rPr>
                <w:rFonts w:ascii="Arial" w:cs="Arial" w:eastAsia="Arial" w:hAnsi="Arial"/>
                <w:sz w:val="18"/>
                <w:szCs w:val="18"/>
                <w:color w:val="auto"/>
              </w:rPr>
              <w:t>21,855</w:t>
            </w: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12,183</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34,038</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General and administrative</w:t>
            </w: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14,174</w:t>
            </w: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16,536</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30,710</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860" w:type="dxa"/>
            <w:vAlign w:val="bottom"/>
          </w:tcPr>
          <w:p>
            <w:pPr>
              <w:ind w:left="420"/>
              <w:spacing w:after="0"/>
              <w:rPr>
                <w:sz w:val="20"/>
                <w:szCs w:val="20"/>
                <w:color w:val="auto"/>
              </w:rPr>
            </w:pPr>
            <w:r>
              <w:rPr>
                <w:rFonts w:ascii="Arial" w:cs="Arial" w:eastAsia="Arial" w:hAnsi="Arial"/>
                <w:sz w:val="18"/>
                <w:szCs w:val="18"/>
                <w:color w:val="auto"/>
              </w:rPr>
              <w:t>Amortization of intangible assets</w:t>
            </w:r>
          </w:p>
        </w:tc>
        <w:tc>
          <w:tcPr>
            <w:tcW w:w="3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4,084</w:t>
            </w:r>
          </w:p>
        </w:tc>
        <w:tc>
          <w:tcPr>
            <w:tcW w:w="16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12,798</w:t>
            </w:r>
          </w:p>
        </w:tc>
        <w:tc>
          <w:tcPr>
            <w:tcW w:w="1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16,882</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Total operating expenses</w:t>
            </w:r>
          </w:p>
        </w:tc>
        <w:tc>
          <w:tcPr>
            <w:tcW w:w="3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56,203</w:t>
            </w:r>
          </w:p>
        </w:tc>
        <w:tc>
          <w:tcPr>
            <w:tcW w:w="16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66,624</w:t>
            </w:r>
          </w:p>
        </w:tc>
        <w:tc>
          <w:tcPr>
            <w:tcW w:w="16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122,827</w:t>
            </w:r>
          </w:p>
        </w:tc>
        <w:tc>
          <w:tcPr>
            <w:tcW w:w="100" w:type="dxa"/>
            <w:vAlign w:val="bottom"/>
            <w:shd w:val="clear" w:color="auto" w:fill="CCEEFF"/>
          </w:tcPr>
          <w:p>
            <w:pPr>
              <w:spacing w:after="0"/>
              <w:rPr>
                <w:sz w:val="18"/>
                <w:szCs w:val="18"/>
                <w:color w:val="auto"/>
              </w:rPr>
            </w:pPr>
          </w:p>
        </w:tc>
      </w:tr>
      <w:tr>
        <w:trPr>
          <w:trHeight w:val="329"/>
        </w:trPr>
        <w:tc>
          <w:tcPr>
            <w:tcW w:w="488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300" w:type="dxa"/>
            <w:vAlign w:val="bottom"/>
          </w:tcPr>
          <w:p>
            <w:pPr>
              <w:spacing w:after="0"/>
              <w:rPr>
                <w:sz w:val="24"/>
                <w:szCs w:val="24"/>
                <w:color w:val="auto"/>
              </w:rPr>
            </w:pPr>
          </w:p>
        </w:tc>
        <w:tc>
          <w:tcPr>
            <w:tcW w:w="860" w:type="dxa"/>
            <w:vAlign w:val="bottom"/>
          </w:tcPr>
          <w:p>
            <w:pPr>
              <w:jc w:val="right"/>
              <w:ind w:right="52"/>
              <w:spacing w:after="0"/>
              <w:rPr>
                <w:sz w:val="20"/>
                <w:szCs w:val="20"/>
                <w:color w:val="auto"/>
              </w:rPr>
            </w:pPr>
            <w:r>
              <w:rPr>
                <w:rFonts w:ascii="Arial" w:cs="Arial" w:eastAsia="Arial" w:hAnsi="Arial"/>
                <w:sz w:val="18"/>
                <w:szCs w:val="18"/>
                <w:color w:val="auto"/>
              </w:rPr>
              <w:t>53,157</w:t>
            </w: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8,223</w:t>
            </w: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61,380</w:t>
            </w:r>
          </w:p>
        </w:tc>
        <w:tc>
          <w:tcPr>
            <w:tcW w:w="100" w:type="dxa"/>
            <w:vAlign w:val="bottom"/>
          </w:tcPr>
          <w:p>
            <w:pPr>
              <w:spacing w:after="0"/>
              <w:rPr>
                <w:sz w:val="24"/>
                <w:szCs w:val="24"/>
                <w:color w:val="auto"/>
              </w:rPr>
            </w:pPr>
          </w:p>
        </w:tc>
      </w:tr>
      <w:tr>
        <w:trPr>
          <w:trHeight w:val="218"/>
        </w:trPr>
        <w:tc>
          <w:tcPr>
            <w:tcW w:w="2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60" w:type="dxa"/>
            <w:vAlign w:val="bottom"/>
          </w:tcPr>
          <w:p>
            <w:pPr>
              <w:ind w:left="420"/>
              <w:spacing w:after="0"/>
              <w:rPr>
                <w:sz w:val="20"/>
                <w:szCs w:val="20"/>
                <w:color w:val="auto"/>
              </w:rPr>
            </w:pPr>
            <w:r>
              <w:rPr>
                <w:rFonts w:ascii="Arial" w:cs="Arial" w:eastAsia="Arial" w:hAnsi="Arial"/>
                <w:sz w:val="18"/>
                <w:szCs w:val="18"/>
                <w:color w:val="auto"/>
              </w:rPr>
              <w:t>Interest income</w:t>
            </w:r>
          </w:p>
        </w:tc>
        <w:tc>
          <w:tcPr>
            <w:tcW w:w="300" w:type="dxa"/>
            <w:vAlign w:val="bottom"/>
          </w:tcPr>
          <w:p>
            <w:pPr>
              <w:spacing w:after="0"/>
              <w:rPr>
                <w:sz w:val="18"/>
                <w:szCs w:val="18"/>
                <w:color w:val="auto"/>
              </w:rPr>
            </w:pPr>
          </w:p>
        </w:tc>
        <w:tc>
          <w:tcPr>
            <w:tcW w:w="860" w:type="dxa"/>
            <w:vAlign w:val="bottom"/>
          </w:tcPr>
          <w:p>
            <w:pPr>
              <w:jc w:val="right"/>
              <w:ind w:right="52"/>
              <w:spacing w:after="0"/>
              <w:rPr>
                <w:sz w:val="20"/>
                <w:szCs w:val="20"/>
                <w:color w:val="auto"/>
              </w:rPr>
            </w:pPr>
            <w:r>
              <w:rPr>
                <w:rFonts w:ascii="Arial" w:cs="Arial" w:eastAsia="Arial" w:hAnsi="Arial"/>
                <w:sz w:val="18"/>
                <w:szCs w:val="18"/>
                <w:color w:val="auto"/>
              </w:rPr>
              <w:t>62</w:t>
            </w: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0" w:type="dxa"/>
            <w:vAlign w:val="bottom"/>
          </w:tcPr>
          <w:p>
            <w:pPr>
              <w:jc w:val="right"/>
              <w:ind w:right="12"/>
              <w:spacing w:after="0"/>
              <w:rPr>
                <w:sz w:val="20"/>
                <w:szCs w:val="20"/>
                <w:color w:val="auto"/>
              </w:rPr>
            </w:pPr>
            <w:r>
              <w:rPr>
                <w:rFonts w:ascii="Arial" w:cs="Arial" w:eastAsia="Arial" w:hAnsi="Arial"/>
                <w:sz w:val="18"/>
                <w:szCs w:val="18"/>
                <w:color w:val="auto"/>
              </w:rPr>
              <w:t>888</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137</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(921)</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166</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expense</w:t>
            </w: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(14,157)</w:t>
            </w: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921</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(13,328)</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860" w:type="dxa"/>
            <w:vAlign w:val="bottom"/>
          </w:tcPr>
          <w:p>
            <w:pPr>
              <w:ind w:left="420"/>
              <w:spacing w:after="0"/>
              <w:rPr>
                <w:sz w:val="20"/>
                <w:szCs w:val="20"/>
                <w:color w:val="auto"/>
              </w:rPr>
            </w:pPr>
            <w:r>
              <w:rPr>
                <w:rFonts w:ascii="Arial" w:cs="Arial" w:eastAsia="Arial" w:hAnsi="Arial"/>
                <w:sz w:val="18"/>
                <w:szCs w:val="18"/>
                <w:color w:val="auto"/>
              </w:rPr>
              <w:t>Other income (expense), net</w:t>
            </w:r>
          </w:p>
        </w:tc>
        <w:tc>
          <w:tcPr>
            <w:tcW w:w="3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(1,716)</w:t>
            </w:r>
          </w:p>
        </w:tc>
        <w:tc>
          <w:tcPr>
            <w:tcW w:w="16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(2,707)</w:t>
            </w:r>
          </w:p>
        </w:tc>
        <w:tc>
          <w:tcPr>
            <w:tcW w:w="1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(4,423)</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Total other income (expense)</w:t>
            </w:r>
          </w:p>
        </w:tc>
        <w:tc>
          <w:tcPr>
            <w:tcW w:w="3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(15,811)</w:t>
            </w:r>
          </w:p>
        </w:tc>
        <w:tc>
          <w:tcPr>
            <w:tcW w:w="16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888</w:t>
            </w:r>
          </w:p>
        </w:tc>
        <w:tc>
          <w:tcPr>
            <w:tcW w:w="1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(2,662)</w:t>
            </w:r>
          </w:p>
        </w:tc>
        <w:tc>
          <w:tcPr>
            <w:tcW w:w="16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(17,585)</w:t>
            </w:r>
          </w:p>
        </w:tc>
        <w:tc>
          <w:tcPr>
            <w:tcW w:w="100" w:type="dxa"/>
            <w:vAlign w:val="bottom"/>
            <w:shd w:val="clear" w:color="auto" w:fill="CCEEFF"/>
          </w:tcPr>
          <w:p>
            <w:pPr>
              <w:spacing w:after="0"/>
              <w:rPr>
                <w:sz w:val="18"/>
                <w:szCs w:val="18"/>
                <w:color w:val="auto"/>
              </w:rPr>
            </w:pPr>
          </w:p>
        </w:tc>
      </w:tr>
      <w:tr>
        <w:trPr>
          <w:trHeight w:val="329"/>
        </w:trPr>
        <w:tc>
          <w:tcPr>
            <w:tcW w:w="4880" w:type="dxa"/>
            <w:vAlign w:val="bottom"/>
            <w:gridSpan w:val="2"/>
          </w:tcPr>
          <w:p>
            <w:pPr>
              <w:spacing w:after="0"/>
              <w:rPr>
                <w:sz w:val="20"/>
                <w:szCs w:val="20"/>
                <w:color w:val="auto"/>
              </w:rPr>
            </w:pPr>
            <w:r>
              <w:rPr>
                <w:rFonts w:ascii="Arial" w:cs="Arial" w:eastAsia="Arial" w:hAnsi="Arial"/>
                <w:sz w:val="18"/>
                <w:szCs w:val="18"/>
                <w:color w:val="auto"/>
              </w:rPr>
              <w:t>Income before income taxes</w:t>
            </w:r>
          </w:p>
        </w:tc>
        <w:tc>
          <w:tcPr>
            <w:tcW w:w="300" w:type="dxa"/>
            <w:vAlign w:val="bottom"/>
          </w:tcPr>
          <w:p>
            <w:pPr>
              <w:spacing w:after="0"/>
              <w:rPr>
                <w:sz w:val="24"/>
                <w:szCs w:val="24"/>
                <w:color w:val="auto"/>
              </w:rPr>
            </w:pPr>
          </w:p>
        </w:tc>
        <w:tc>
          <w:tcPr>
            <w:tcW w:w="860" w:type="dxa"/>
            <w:vAlign w:val="bottom"/>
          </w:tcPr>
          <w:p>
            <w:pPr>
              <w:jc w:val="right"/>
              <w:ind w:right="52"/>
              <w:spacing w:after="0"/>
              <w:rPr>
                <w:sz w:val="20"/>
                <w:szCs w:val="20"/>
                <w:color w:val="auto"/>
              </w:rPr>
            </w:pPr>
            <w:r>
              <w:rPr>
                <w:rFonts w:ascii="Arial" w:cs="Arial" w:eastAsia="Arial" w:hAnsi="Arial"/>
                <w:sz w:val="18"/>
                <w:szCs w:val="18"/>
                <w:color w:val="auto"/>
              </w:rPr>
              <w:t>37,346</w:t>
            </w: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0" w:type="dxa"/>
            <w:vAlign w:val="bottom"/>
          </w:tcPr>
          <w:p>
            <w:pPr>
              <w:jc w:val="right"/>
              <w:ind w:right="12"/>
              <w:spacing w:after="0"/>
              <w:rPr>
                <w:sz w:val="20"/>
                <w:szCs w:val="20"/>
                <w:color w:val="auto"/>
              </w:rPr>
            </w:pPr>
            <w:r>
              <w:rPr>
                <w:rFonts w:ascii="Arial" w:cs="Arial" w:eastAsia="Arial" w:hAnsi="Arial"/>
                <w:sz w:val="18"/>
                <w:szCs w:val="18"/>
                <w:color w:val="auto"/>
              </w:rPr>
              <w:t>888</w:t>
            </w: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5,561</w:t>
            </w: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43,795</w:t>
            </w:r>
          </w:p>
        </w:tc>
        <w:tc>
          <w:tcPr>
            <w:tcW w:w="100" w:type="dxa"/>
            <w:vAlign w:val="bottom"/>
          </w:tcPr>
          <w:p>
            <w:pPr>
              <w:spacing w:after="0"/>
              <w:rPr>
                <w:sz w:val="24"/>
                <w:szCs w:val="24"/>
                <w:color w:val="auto"/>
              </w:rPr>
            </w:pPr>
          </w:p>
        </w:tc>
      </w:tr>
      <w:tr>
        <w:trPr>
          <w:trHeight w:val="218"/>
        </w:trPr>
        <w:tc>
          <w:tcPr>
            <w:tcW w:w="2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Income tax provision</w:t>
            </w: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(12,814)</w:t>
            </w: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(1,873)</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(14,687)</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860" w:type="dxa"/>
            <w:vAlign w:val="bottom"/>
          </w:tcPr>
          <w:p>
            <w:pPr>
              <w:spacing w:after="0"/>
              <w:rPr>
                <w:sz w:val="20"/>
                <w:szCs w:val="20"/>
                <w:color w:val="auto"/>
              </w:rPr>
            </w:pPr>
            <w:r>
              <w:rPr>
                <w:rFonts w:ascii="Arial" w:cs="Arial" w:eastAsia="Arial" w:hAnsi="Arial"/>
                <w:sz w:val="18"/>
                <w:szCs w:val="18"/>
                <w:color w:val="auto"/>
                <w:w w:val="90"/>
              </w:rPr>
              <w:t>Equity in earnings of guarantor and non-guarantor subsidiaries, net</w:t>
            </w:r>
          </w:p>
        </w:tc>
        <w:tc>
          <w:tcPr>
            <w:tcW w:w="3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4,576</w:t>
            </w:r>
          </w:p>
        </w:tc>
        <w:tc>
          <w:tcPr>
            <w:tcW w:w="16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(4,576)</w:t>
            </w:r>
          </w:p>
        </w:tc>
        <w:tc>
          <w:tcPr>
            <w:tcW w:w="1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3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29,108</w:t>
            </w:r>
          </w:p>
        </w:tc>
        <w:tc>
          <w:tcPr>
            <w:tcW w:w="680" w:type="dxa"/>
            <w:vAlign w:val="bottom"/>
            <w:gridSpan w:val="2"/>
            <w:shd w:val="clear" w:color="auto" w:fill="CCEEFF"/>
          </w:tcPr>
          <w:p>
            <w:pPr>
              <w:jc w:val="right"/>
              <w:ind w:right="272"/>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888</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3,688</w:t>
            </w:r>
          </w:p>
        </w:tc>
        <w:tc>
          <w:tcPr>
            <w:tcW w:w="4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(4,576)</w:t>
            </w:r>
          </w:p>
        </w:tc>
        <w:tc>
          <w:tcPr>
            <w:tcW w:w="4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29,108</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4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32</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Consolidating Statement of Operations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Three Months Ended September 30, 2009</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gridSpan w:val="2"/>
          </w:tcPr>
          <w:p>
            <w:pPr>
              <w:jc w:val="right"/>
              <w:ind w:right="52"/>
              <w:spacing w:after="0"/>
              <w:rPr>
                <w:sz w:val="20"/>
                <w:szCs w:val="20"/>
                <w:color w:val="auto"/>
              </w:rPr>
            </w:pPr>
            <w:r>
              <w:rPr>
                <w:rFonts w:ascii="Arial" w:cs="Arial" w:eastAsia="Arial" w:hAnsi="Arial"/>
                <w:sz w:val="18"/>
                <w:szCs w:val="18"/>
                <w:b w:val="1"/>
                <w:bCs w:val="1"/>
                <w:color w:val="auto"/>
              </w:rPr>
              <w:t>Combined</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center"/>
              <w:ind w:right="112"/>
              <w:spacing w:after="0"/>
              <w:rPr>
                <w:sz w:val="20"/>
                <w:szCs w:val="20"/>
                <w:color w:val="auto"/>
              </w:rPr>
            </w:pPr>
            <w:r>
              <w:rPr>
                <w:rFonts w:ascii="Arial" w:cs="Arial" w:eastAsia="Arial" w:hAnsi="Arial"/>
                <w:sz w:val="18"/>
                <w:szCs w:val="18"/>
                <w:b w:val="1"/>
                <w:bCs w:val="1"/>
                <w:color w:val="auto"/>
                <w:w w:val="88"/>
              </w:rPr>
              <w:t>Combined</w:t>
            </w: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gridSpan w:val="2"/>
          </w:tcPr>
          <w:p>
            <w:pPr>
              <w:jc w:val="right"/>
              <w:ind w:right="52"/>
              <w:spacing w:after="0"/>
              <w:rPr>
                <w:sz w:val="20"/>
                <w:szCs w:val="20"/>
                <w:color w:val="auto"/>
              </w:rPr>
            </w:pPr>
            <w:r>
              <w:rPr>
                <w:rFonts w:ascii="Arial" w:cs="Arial" w:eastAsia="Arial" w:hAnsi="Arial"/>
                <w:sz w:val="18"/>
                <w:szCs w:val="18"/>
                <w:b w:val="1"/>
                <w:bCs w:val="1"/>
                <w:color w:val="auto"/>
              </w:rPr>
              <w:t>Guarantor</w:t>
            </w:r>
          </w:p>
        </w:tc>
        <w:tc>
          <w:tcPr>
            <w:tcW w:w="320" w:type="dxa"/>
            <w:vAlign w:val="bottom"/>
          </w:tcPr>
          <w:p>
            <w:pPr>
              <w:spacing w:after="0"/>
              <w:rPr>
                <w:sz w:val="18"/>
                <w:szCs w:val="18"/>
                <w:color w:val="auto"/>
              </w:rPr>
            </w:pPr>
          </w:p>
        </w:tc>
        <w:tc>
          <w:tcPr>
            <w:tcW w:w="1220" w:type="dxa"/>
            <w:vAlign w:val="bottom"/>
            <w:gridSpan w:val="2"/>
          </w:tcPr>
          <w:p>
            <w:pPr>
              <w:jc w:val="center"/>
              <w:spacing w:after="0"/>
              <w:rPr>
                <w:sz w:val="20"/>
                <w:szCs w:val="20"/>
                <w:color w:val="auto"/>
              </w:rPr>
            </w:pPr>
            <w:r>
              <w:rPr>
                <w:rFonts w:ascii="Arial" w:cs="Arial" w:eastAsia="Arial" w:hAnsi="Arial"/>
                <w:sz w:val="18"/>
                <w:szCs w:val="18"/>
                <w:b w:val="1"/>
                <w:bCs w:val="1"/>
                <w:color w:val="auto"/>
                <w:w w:val="91"/>
              </w:rPr>
              <w:t>Non-guarantor</w:t>
            </w: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ind w:right="272"/>
              <w:spacing w:after="0"/>
              <w:rPr>
                <w:sz w:val="20"/>
                <w:szCs w:val="20"/>
                <w:color w:val="auto"/>
              </w:rPr>
            </w:pPr>
            <w:r>
              <w:rPr>
                <w:rFonts w:ascii="Arial" w:cs="Arial" w:eastAsia="Arial" w:hAnsi="Arial"/>
                <w:sz w:val="18"/>
                <w:szCs w:val="18"/>
                <w:b w:val="1"/>
                <w:bCs w:val="1"/>
                <w:color w:val="auto"/>
              </w:rPr>
              <w:t>Parent</w:t>
            </w:r>
          </w:p>
        </w:tc>
        <w:tc>
          <w:tcPr>
            <w:tcW w:w="320" w:type="dxa"/>
            <w:vAlign w:val="bottom"/>
          </w:tcPr>
          <w:p>
            <w:pPr>
              <w:spacing w:after="0"/>
              <w:rPr>
                <w:sz w:val="19"/>
                <w:szCs w:val="19"/>
                <w:color w:val="auto"/>
              </w:rPr>
            </w:pPr>
          </w:p>
        </w:tc>
        <w:tc>
          <w:tcPr>
            <w:tcW w:w="1080" w:type="dxa"/>
            <w:vAlign w:val="bottom"/>
            <w:gridSpan w:val="2"/>
          </w:tcPr>
          <w:p>
            <w:pPr>
              <w:ind w:left="80"/>
              <w:spacing w:after="0"/>
              <w:rPr>
                <w:sz w:val="20"/>
                <w:szCs w:val="20"/>
                <w:color w:val="auto"/>
              </w:rPr>
            </w:pPr>
            <w:r>
              <w:rPr>
                <w:rFonts w:ascii="Arial" w:cs="Arial" w:eastAsia="Arial" w:hAnsi="Arial"/>
                <w:sz w:val="18"/>
                <w:szCs w:val="18"/>
                <w:b w:val="1"/>
                <w:bCs w:val="1"/>
                <w:color w:val="auto"/>
                <w:w w:val="91"/>
              </w:rPr>
              <w:t>Subsidiaries</w:t>
            </w:r>
          </w:p>
        </w:tc>
        <w:tc>
          <w:tcPr>
            <w:tcW w:w="320" w:type="dxa"/>
            <w:vAlign w:val="bottom"/>
          </w:tcPr>
          <w:p>
            <w:pPr>
              <w:spacing w:after="0"/>
              <w:rPr>
                <w:sz w:val="19"/>
                <w:szCs w:val="19"/>
                <w:color w:val="auto"/>
              </w:rPr>
            </w:pPr>
          </w:p>
        </w:tc>
        <w:tc>
          <w:tcPr>
            <w:tcW w:w="1220" w:type="dxa"/>
            <w:vAlign w:val="bottom"/>
            <w:gridSpan w:val="2"/>
          </w:tcPr>
          <w:p>
            <w:pPr>
              <w:jc w:val="center"/>
              <w:spacing w:after="0"/>
              <w:rPr>
                <w:sz w:val="20"/>
                <w:szCs w:val="20"/>
                <w:color w:val="auto"/>
              </w:rPr>
            </w:pPr>
            <w:r>
              <w:rPr>
                <w:rFonts w:ascii="Arial" w:cs="Arial" w:eastAsia="Arial" w:hAnsi="Arial"/>
                <w:sz w:val="18"/>
                <w:szCs w:val="18"/>
                <w:b w:val="1"/>
                <w:bCs w:val="1"/>
                <w:color w:val="auto"/>
                <w:w w:val="85"/>
              </w:rPr>
              <w:t>Subsidiaries</w:t>
            </w:r>
          </w:p>
        </w:tc>
        <w:tc>
          <w:tcPr>
            <w:tcW w:w="320" w:type="dxa"/>
            <w:vAlign w:val="bottom"/>
          </w:tcPr>
          <w:p>
            <w:pPr>
              <w:spacing w:after="0"/>
              <w:rPr>
                <w:sz w:val="19"/>
                <w:szCs w:val="19"/>
                <w:color w:val="auto"/>
              </w:rPr>
            </w:pPr>
          </w:p>
        </w:tc>
        <w:tc>
          <w:tcPr>
            <w:tcW w:w="1140" w:type="dxa"/>
            <w:vAlign w:val="bottom"/>
            <w:gridSpan w:val="2"/>
          </w:tcPr>
          <w:p>
            <w:pPr>
              <w:ind w:left="80"/>
              <w:spacing w:after="0"/>
              <w:rPr>
                <w:sz w:val="20"/>
                <w:szCs w:val="20"/>
                <w:color w:val="auto"/>
              </w:rPr>
            </w:pPr>
            <w:r>
              <w:rPr>
                <w:rFonts w:ascii="Arial" w:cs="Arial" w:eastAsia="Arial" w:hAnsi="Arial"/>
                <w:sz w:val="18"/>
                <w:szCs w:val="18"/>
                <w:b w:val="1"/>
                <w:bCs w:val="1"/>
                <w:color w:val="auto"/>
                <w:w w:val="97"/>
              </w:rPr>
              <w:t>Eliminations</w:t>
            </w:r>
          </w:p>
        </w:tc>
        <w:tc>
          <w:tcPr>
            <w:tcW w:w="300" w:type="dxa"/>
            <w:vAlign w:val="bottom"/>
          </w:tcPr>
          <w:p>
            <w:pPr>
              <w:spacing w:after="0"/>
              <w:rPr>
                <w:sz w:val="19"/>
                <w:szCs w:val="19"/>
                <w:color w:val="auto"/>
              </w:rPr>
            </w:pPr>
          </w:p>
        </w:tc>
        <w:tc>
          <w:tcPr>
            <w:tcW w:w="1260" w:type="dxa"/>
            <w:vAlign w:val="bottom"/>
            <w:gridSpan w:val="3"/>
          </w:tcPr>
          <w:p>
            <w:pPr>
              <w:ind w:left="100"/>
              <w:spacing w:after="0"/>
              <w:rPr>
                <w:sz w:val="20"/>
                <w:szCs w:val="20"/>
                <w:color w:val="auto"/>
              </w:rPr>
            </w:pPr>
            <w:r>
              <w:rPr>
                <w:rFonts w:ascii="Arial" w:cs="Arial" w:eastAsia="Arial" w:hAnsi="Arial"/>
                <w:sz w:val="18"/>
                <w:szCs w:val="18"/>
                <w:b w:val="1"/>
                <w:bCs w:val="1"/>
                <w:color w:val="auto"/>
                <w:w w:val="99"/>
              </w:rPr>
              <w:t>Consolidated</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Borders>
              <w:top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7"/>
              </w:rPr>
              <w:t>(in thousands)</w:t>
            </w:r>
          </w:p>
        </w:tc>
        <w:tc>
          <w:tcPr>
            <w:tcW w:w="3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133,898</w:t>
            </w:r>
          </w:p>
        </w:tc>
        <w:tc>
          <w:tcPr>
            <w:tcW w:w="6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1,005</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282,183</w:t>
            </w:r>
          </w:p>
        </w:tc>
        <w:tc>
          <w:tcPr>
            <w:tcW w:w="6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(8,728)</w:t>
            </w:r>
          </w:p>
        </w:tc>
        <w:tc>
          <w:tcPr>
            <w:tcW w:w="6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408,358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Cost of revenues</w:t>
            </w: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93,219</w:t>
            </w:r>
          </w:p>
        </w:tc>
        <w:tc>
          <w:tcPr>
            <w:tcW w:w="3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940</w:t>
            </w:r>
          </w:p>
        </w:tc>
        <w:tc>
          <w:tcPr>
            <w:tcW w:w="3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193,448</w:t>
            </w:r>
          </w:p>
        </w:tc>
        <w:tc>
          <w:tcPr>
            <w:tcW w:w="3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(8,728)</w:t>
            </w:r>
          </w:p>
        </w:tc>
        <w:tc>
          <w:tcPr>
            <w:tcW w:w="3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278,879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40,679</w:t>
            </w: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88,735</w:t>
            </w: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129,479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424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Sales and marketing</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14,400</w:t>
            </w: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23,269</w:t>
            </w: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37,669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ind w:left="420"/>
              <w:spacing w:after="0"/>
              <w:rPr>
                <w:sz w:val="20"/>
                <w:szCs w:val="20"/>
                <w:color w:val="auto"/>
              </w:rPr>
            </w:pPr>
            <w:r>
              <w:rPr>
                <w:rFonts w:ascii="Arial" w:cs="Arial" w:eastAsia="Arial" w:hAnsi="Arial"/>
                <w:sz w:val="18"/>
                <w:szCs w:val="18"/>
                <w:color w:val="auto"/>
              </w:rPr>
              <w:t>Product development</w:t>
            </w:r>
          </w:p>
        </w:tc>
        <w:tc>
          <w:tcPr>
            <w:tcW w:w="260" w:type="dxa"/>
            <w:vAlign w:val="bottom"/>
          </w:tcPr>
          <w:p>
            <w:pPr>
              <w:spacing w:after="0"/>
              <w:rPr>
                <w:sz w:val="18"/>
                <w:szCs w:val="18"/>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19,207</w:t>
            </w: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11,870</w:t>
            </w: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31,077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General and administrative</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9,941</w:t>
            </w: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16,665</w:t>
            </w: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26,606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20" w:type="dxa"/>
            <w:vAlign w:val="bottom"/>
          </w:tcPr>
          <w:p>
            <w:pPr>
              <w:ind w:left="420"/>
              <w:spacing w:after="0"/>
              <w:rPr>
                <w:sz w:val="20"/>
                <w:szCs w:val="20"/>
                <w:color w:val="auto"/>
              </w:rPr>
            </w:pPr>
            <w:r>
              <w:rPr>
                <w:rFonts w:ascii="Arial" w:cs="Arial" w:eastAsia="Arial" w:hAnsi="Arial"/>
                <w:sz w:val="18"/>
                <w:szCs w:val="18"/>
                <w:color w:val="auto"/>
              </w:rPr>
              <w:t>Amortization of intangible assets</w:t>
            </w: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5,874</w:t>
            </w:r>
          </w:p>
        </w:tc>
        <w:tc>
          <w:tcPr>
            <w:tcW w:w="3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19,247</w:t>
            </w:r>
          </w:p>
        </w:tc>
        <w:tc>
          <w:tcPr>
            <w:tcW w:w="3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25,121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Total operating expenses</w:t>
            </w:r>
          </w:p>
        </w:tc>
        <w:tc>
          <w:tcPr>
            <w:tcW w:w="2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49,422</w:t>
            </w:r>
          </w:p>
        </w:tc>
        <w:tc>
          <w:tcPr>
            <w:tcW w:w="3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71,051</w:t>
            </w:r>
          </w:p>
        </w:tc>
        <w:tc>
          <w:tcPr>
            <w:tcW w:w="3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120,473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9"/>
        </w:trPr>
        <w:tc>
          <w:tcPr>
            <w:tcW w:w="4240" w:type="dxa"/>
            <w:vAlign w:val="bottom"/>
            <w:gridSpan w:val="2"/>
          </w:tcPr>
          <w:p>
            <w:pPr>
              <w:spacing w:after="0"/>
              <w:rPr>
                <w:sz w:val="20"/>
                <w:szCs w:val="20"/>
                <w:color w:val="auto"/>
              </w:rPr>
            </w:pPr>
            <w:r>
              <w:rPr>
                <w:rFonts w:ascii="Arial" w:cs="Arial" w:eastAsia="Arial" w:hAnsi="Arial"/>
                <w:sz w:val="18"/>
                <w:szCs w:val="18"/>
                <w:color w:val="auto"/>
              </w:rPr>
              <w:t>Operating income (loss)</w:t>
            </w:r>
          </w:p>
        </w:tc>
        <w:tc>
          <w:tcPr>
            <w:tcW w:w="2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(8,743)</w:t>
            </w: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65</w:t>
            </w: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17,684</w:t>
            </w: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9,006</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ind w:left="420"/>
              <w:spacing w:after="0"/>
              <w:rPr>
                <w:sz w:val="20"/>
                <w:szCs w:val="20"/>
                <w:color w:val="auto"/>
              </w:rPr>
            </w:pPr>
            <w:r>
              <w:rPr>
                <w:rFonts w:ascii="Arial" w:cs="Arial" w:eastAsia="Arial" w:hAnsi="Arial"/>
                <w:sz w:val="18"/>
                <w:szCs w:val="18"/>
                <w:color w:val="auto"/>
              </w:rPr>
              <w:t>Interest income</w:t>
            </w:r>
          </w:p>
        </w:tc>
        <w:tc>
          <w:tcPr>
            <w:tcW w:w="260" w:type="dxa"/>
            <w:vAlign w:val="bottom"/>
          </w:tcPr>
          <w:p>
            <w:pPr>
              <w:spacing w:after="0"/>
              <w:rPr>
                <w:sz w:val="18"/>
                <w:szCs w:val="18"/>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29,145</w:t>
            </w: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877</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(112)</w:t>
            </w: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(29,955)</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expense</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(20,499)</w:t>
            </w: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(29,818)</w:t>
            </w: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30,242</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(20,075)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ind w:left="420"/>
              <w:spacing w:after="0"/>
              <w:rPr>
                <w:sz w:val="20"/>
                <w:szCs w:val="20"/>
                <w:color w:val="auto"/>
              </w:rPr>
            </w:pPr>
            <w:r>
              <w:rPr>
                <w:rFonts w:ascii="Arial" w:cs="Arial" w:eastAsia="Arial" w:hAnsi="Arial"/>
                <w:sz w:val="18"/>
                <w:szCs w:val="18"/>
                <w:color w:val="auto"/>
              </w:rPr>
              <w:t>Loss on extinguishment of debt, net</w:t>
            </w: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(2,460)</w:t>
            </w: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(2,460)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income (expense), net</w:t>
            </w:r>
          </w:p>
        </w:tc>
        <w:tc>
          <w:tcPr>
            <w:tcW w:w="2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(912)</w:t>
            </w:r>
          </w:p>
        </w:tc>
        <w:tc>
          <w:tcPr>
            <w:tcW w:w="3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3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(3,328)</w:t>
            </w:r>
          </w:p>
        </w:tc>
        <w:tc>
          <w:tcPr>
            <w:tcW w:w="3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(287)</w:t>
            </w:r>
          </w:p>
        </w:tc>
        <w:tc>
          <w:tcPr>
            <w:tcW w:w="3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(4,534)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220" w:type="dxa"/>
            <w:vAlign w:val="bottom"/>
          </w:tcPr>
          <w:p>
            <w:pPr>
              <w:ind w:left="1280"/>
              <w:spacing w:after="0"/>
              <w:rPr>
                <w:sz w:val="20"/>
                <w:szCs w:val="20"/>
                <w:color w:val="auto"/>
              </w:rPr>
            </w:pPr>
            <w:r>
              <w:rPr>
                <w:rFonts w:ascii="Arial" w:cs="Arial" w:eastAsia="Arial" w:hAnsi="Arial"/>
                <w:sz w:val="18"/>
                <w:szCs w:val="18"/>
                <w:color w:val="auto"/>
              </w:rPr>
              <w:t>Total other income (expense)</w:t>
            </w: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5,274</w:t>
            </w:r>
          </w:p>
        </w:tc>
        <w:tc>
          <w:tcPr>
            <w:tcW w:w="3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870</w:t>
            </w:r>
          </w:p>
        </w:tc>
        <w:tc>
          <w:tcPr>
            <w:tcW w:w="3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(33,258)</w:t>
            </w:r>
          </w:p>
        </w:tc>
        <w:tc>
          <w:tcPr>
            <w:tcW w:w="3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(27,114)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42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Income (loss) before income taxes</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(3,469)</w:t>
            </w: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935</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(15,574)</w:t>
            </w: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(18,108)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Income tax benefit</w:t>
            </w:r>
          </w:p>
        </w:tc>
        <w:tc>
          <w:tcPr>
            <w:tcW w:w="260" w:type="dxa"/>
            <w:vAlign w:val="bottom"/>
          </w:tcPr>
          <w:p>
            <w:pPr>
              <w:spacing w:after="0"/>
              <w:rPr>
                <w:sz w:val="18"/>
                <w:szCs w:val="18"/>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13,252</w:t>
            </w: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1,894</w:t>
            </w: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jc w:val="right"/>
              <w:ind w:right="23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15,146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Equity in losses of guarantor and non-guarantor</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subsidiaries, net</w:t>
            </w:r>
          </w:p>
        </w:tc>
        <w:tc>
          <w:tcPr>
            <w:tcW w:w="2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(12,745)</w:t>
            </w:r>
          </w:p>
        </w:tc>
        <w:tc>
          <w:tcPr>
            <w:tcW w:w="3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(2,428)</w:t>
            </w:r>
          </w:p>
        </w:tc>
        <w:tc>
          <w:tcPr>
            <w:tcW w:w="3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15,173</w:t>
            </w:r>
          </w:p>
        </w:tc>
        <w:tc>
          <w:tcPr>
            <w:tcW w:w="3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424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(2,962)</w:t>
            </w:r>
          </w:p>
        </w:tc>
        <w:tc>
          <w:tcPr>
            <w:tcW w:w="64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(1,493)</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(13,680)</w:t>
            </w:r>
          </w:p>
        </w:tc>
        <w:tc>
          <w:tcPr>
            <w:tcW w:w="64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52"/>
              <w:spacing w:after="0"/>
              <w:rPr>
                <w:sz w:val="20"/>
                <w:szCs w:val="20"/>
                <w:color w:val="auto"/>
              </w:rPr>
            </w:pPr>
            <w:r>
              <w:rPr>
                <w:rFonts w:ascii="Arial" w:cs="Arial" w:eastAsia="Arial" w:hAnsi="Arial"/>
                <w:sz w:val="18"/>
                <w:szCs w:val="18"/>
                <w:color w:val="auto"/>
              </w:rPr>
              <w:t>15,173</w:t>
            </w:r>
          </w:p>
        </w:tc>
        <w:tc>
          <w:tcPr>
            <w:tcW w:w="62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(2,962)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33</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50" w:lineRule="exact"/>
        <w:rPr>
          <w:sz w:val="20"/>
          <w:szCs w:val="20"/>
          <w:color w:val="auto"/>
        </w:rPr>
      </w:pPr>
    </w:p>
    <w:p>
      <w:pPr>
        <w:ind w:left="4260"/>
        <w:spacing w:after="0"/>
        <w:rPr>
          <w:sz w:val="20"/>
          <w:szCs w:val="20"/>
          <w:color w:val="auto"/>
        </w:rPr>
      </w:pPr>
      <w:r>
        <w:rPr>
          <w:rFonts w:ascii="Arial" w:cs="Arial" w:eastAsia="Arial" w:hAnsi="Arial"/>
          <w:sz w:val="18"/>
          <w:szCs w:val="18"/>
          <w:b w:val="1"/>
          <w:bCs w:val="1"/>
          <w:color w:val="auto"/>
        </w:rPr>
        <w:t>Consolidating Statement of Operations</w:t>
      </w:r>
    </w:p>
    <w:p>
      <w:pPr>
        <w:spacing w:after="0" w:line="21" w:lineRule="exact"/>
        <w:rPr>
          <w:sz w:val="20"/>
          <w:szCs w:val="20"/>
          <w:color w:val="auto"/>
        </w:rPr>
      </w:pPr>
    </w:p>
    <w:p>
      <w:pPr>
        <w:ind w:left="4200"/>
        <w:spacing w:after="0"/>
        <w:rPr>
          <w:sz w:val="20"/>
          <w:szCs w:val="20"/>
          <w:color w:val="auto"/>
        </w:rPr>
      </w:pPr>
      <w:r>
        <w:rPr>
          <w:rFonts w:ascii="Arial" w:cs="Arial" w:eastAsia="Arial" w:hAnsi="Arial"/>
          <w:sz w:val="18"/>
          <w:szCs w:val="18"/>
          <w:b w:val="1"/>
          <w:bCs w:val="1"/>
          <w:color w:val="auto"/>
        </w:rPr>
        <w:t>Nine Months Ended September 30, 2010</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5"/>
          </w:tcPr>
          <w:p>
            <w:pPr>
              <w:ind w:left="80"/>
              <w:spacing w:after="0"/>
              <w:rPr>
                <w:sz w:val="20"/>
                <w:szCs w:val="20"/>
                <w:color w:val="auto"/>
              </w:rPr>
            </w:pPr>
            <w:r>
              <w:rPr>
                <w:rFonts w:ascii="Arial" w:cs="Arial" w:eastAsia="Arial" w:hAnsi="Arial"/>
                <w:sz w:val="18"/>
                <w:szCs w:val="18"/>
                <w:b w:val="1"/>
                <w:bCs w:val="1"/>
                <w:color w:val="auto"/>
              </w:rPr>
              <w:t>Combined</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40" w:type="dxa"/>
            <w:vAlign w:val="bottom"/>
            <w:gridSpan w:val="5"/>
          </w:tcPr>
          <w:p>
            <w:pPr>
              <w:ind w:left="40"/>
              <w:spacing w:after="0"/>
              <w:rPr>
                <w:sz w:val="20"/>
                <w:szCs w:val="20"/>
                <w:color w:val="auto"/>
              </w:rPr>
            </w:pPr>
            <w:r>
              <w:rPr>
                <w:rFonts w:ascii="Arial" w:cs="Arial" w:eastAsia="Arial" w:hAnsi="Arial"/>
                <w:sz w:val="18"/>
                <w:szCs w:val="18"/>
                <w:b w:val="1"/>
                <w:bCs w:val="1"/>
                <w:color w:val="auto"/>
              </w:rPr>
              <w:t>Guarantor</w:t>
            </w:r>
          </w:p>
        </w:tc>
        <w:tc>
          <w:tcPr>
            <w:tcW w:w="1660" w:type="dxa"/>
            <w:vAlign w:val="bottom"/>
            <w:gridSpan w:val="6"/>
          </w:tcPr>
          <w:p>
            <w:pPr>
              <w:ind w:left="60"/>
              <w:spacing w:after="0"/>
              <w:rPr>
                <w:sz w:val="20"/>
                <w:szCs w:val="20"/>
                <w:color w:val="auto"/>
              </w:rPr>
            </w:pPr>
            <w:r>
              <w:rPr>
                <w:rFonts w:ascii="Arial" w:cs="Arial" w:eastAsia="Arial" w:hAnsi="Arial"/>
                <w:sz w:val="18"/>
                <w:szCs w:val="18"/>
                <w:b w:val="1"/>
                <w:bCs w:val="1"/>
                <w:color w:val="auto"/>
              </w:rPr>
              <w:t>Non-guarantor</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gridSpan w:val="4"/>
          </w:tcPr>
          <w:p>
            <w:pPr>
              <w:jc w:val="right"/>
              <w:ind w:right="720"/>
              <w:spacing w:after="0"/>
              <w:rPr>
                <w:sz w:val="20"/>
                <w:szCs w:val="20"/>
                <w:color w:val="auto"/>
              </w:rPr>
            </w:pPr>
            <w:r>
              <w:rPr>
                <w:rFonts w:ascii="Arial" w:cs="Arial" w:eastAsia="Arial" w:hAnsi="Arial"/>
                <w:sz w:val="18"/>
                <w:szCs w:val="18"/>
                <w:b w:val="1"/>
                <w:bCs w:val="1"/>
                <w:color w:val="auto"/>
              </w:rPr>
              <w:t>Parent</w:t>
            </w:r>
          </w:p>
        </w:tc>
        <w:tc>
          <w:tcPr>
            <w:tcW w:w="40" w:type="dxa"/>
            <w:vAlign w:val="bottom"/>
          </w:tcPr>
          <w:p>
            <w:pPr>
              <w:spacing w:after="0"/>
              <w:rPr>
                <w:sz w:val="19"/>
                <w:szCs w:val="19"/>
                <w:color w:val="auto"/>
              </w:rPr>
            </w:pPr>
          </w:p>
        </w:tc>
        <w:tc>
          <w:tcPr>
            <w:tcW w:w="1340" w:type="dxa"/>
            <w:vAlign w:val="bottom"/>
            <w:gridSpan w:val="5"/>
          </w:tcPr>
          <w:p>
            <w:pPr>
              <w:ind w:left="40"/>
              <w:spacing w:after="0"/>
              <w:rPr>
                <w:sz w:val="20"/>
                <w:szCs w:val="20"/>
                <w:color w:val="auto"/>
              </w:rPr>
            </w:pPr>
            <w:r>
              <w:rPr>
                <w:rFonts w:ascii="Arial" w:cs="Arial" w:eastAsia="Arial" w:hAnsi="Arial"/>
                <w:sz w:val="18"/>
                <w:szCs w:val="18"/>
                <w:b w:val="1"/>
                <w:bCs w:val="1"/>
                <w:color w:val="auto"/>
              </w:rPr>
              <w:t>Subsidiary</w:t>
            </w:r>
          </w:p>
        </w:tc>
        <w:tc>
          <w:tcPr>
            <w:tcW w:w="160" w:type="dxa"/>
            <w:vAlign w:val="bottom"/>
          </w:tcPr>
          <w:p>
            <w:pPr>
              <w:spacing w:after="0"/>
              <w:rPr>
                <w:sz w:val="19"/>
                <w:szCs w:val="19"/>
                <w:color w:val="auto"/>
              </w:rPr>
            </w:pPr>
          </w:p>
        </w:tc>
        <w:tc>
          <w:tcPr>
            <w:tcW w:w="1500" w:type="dxa"/>
            <w:vAlign w:val="bottom"/>
            <w:gridSpan w:val="5"/>
          </w:tcPr>
          <w:p>
            <w:pPr>
              <w:ind w:left="20"/>
              <w:spacing w:after="0"/>
              <w:rPr>
                <w:sz w:val="20"/>
                <w:szCs w:val="20"/>
                <w:color w:val="auto"/>
              </w:rPr>
            </w:pPr>
            <w:r>
              <w:rPr>
                <w:rFonts w:ascii="Arial" w:cs="Arial" w:eastAsia="Arial" w:hAnsi="Arial"/>
                <w:sz w:val="18"/>
                <w:szCs w:val="18"/>
                <w:b w:val="1"/>
                <w:bCs w:val="1"/>
                <w:color w:val="auto"/>
              </w:rPr>
              <w:t>Subsidiaries</w:t>
            </w:r>
          </w:p>
        </w:tc>
        <w:tc>
          <w:tcPr>
            <w:tcW w:w="1520" w:type="dxa"/>
            <w:vAlign w:val="bottom"/>
            <w:gridSpan w:val="5"/>
          </w:tcPr>
          <w:p>
            <w:pPr>
              <w:ind w:left="100"/>
              <w:spacing w:after="0"/>
              <w:rPr>
                <w:sz w:val="20"/>
                <w:szCs w:val="20"/>
                <w:color w:val="auto"/>
              </w:rPr>
            </w:pPr>
            <w:r>
              <w:rPr>
                <w:rFonts w:ascii="Arial" w:cs="Arial" w:eastAsia="Arial" w:hAnsi="Arial"/>
                <w:sz w:val="18"/>
                <w:szCs w:val="18"/>
                <w:b w:val="1"/>
                <w:bCs w:val="1"/>
                <w:color w:val="auto"/>
              </w:rPr>
              <w:t>Eliminations</w:t>
            </w:r>
          </w:p>
        </w:tc>
        <w:tc>
          <w:tcPr>
            <w:tcW w:w="1280" w:type="dxa"/>
            <w:vAlign w:val="bottom"/>
            <w:gridSpan w:val="4"/>
          </w:tcPr>
          <w:p>
            <w:pPr>
              <w:ind w:left="100"/>
              <w:spacing w:after="0"/>
              <w:rPr>
                <w:sz w:val="20"/>
                <w:szCs w:val="20"/>
                <w:color w:val="auto"/>
              </w:rPr>
            </w:pPr>
            <w:r>
              <w:rPr>
                <w:rFonts w:ascii="Arial" w:cs="Arial" w:eastAsia="Arial" w:hAnsi="Arial"/>
                <w:sz w:val="18"/>
                <w:szCs w:val="18"/>
                <w:b w:val="1"/>
                <w:bCs w:val="1"/>
                <w:color w:val="auto"/>
              </w:rPr>
              <w:t>Consolidated</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gridSpan w:val="3"/>
          </w:tcPr>
          <w:p>
            <w:pPr>
              <w:ind w:left="20"/>
              <w:spacing w:after="0"/>
              <w:rPr>
                <w:sz w:val="20"/>
                <w:szCs w:val="20"/>
                <w:color w:val="auto"/>
              </w:rPr>
            </w:pPr>
            <w:r>
              <w:rPr>
                <w:rFonts w:ascii="Arial" w:cs="Arial" w:eastAsia="Arial" w:hAnsi="Arial"/>
                <w:sz w:val="18"/>
                <w:szCs w:val="18"/>
                <w:b w:val="1"/>
                <w:bCs w:val="1"/>
                <w:color w:val="auto"/>
                <w:w w:val="87"/>
              </w:rPr>
              <w:t>(in thousands)</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3"/>
            <w:shd w:val="clear" w:color="auto" w:fill="CCEEFF"/>
          </w:tcPr>
          <w:p>
            <w:pPr>
              <w:jc w:val="right"/>
              <w:ind w:right="12"/>
              <w:spacing w:after="0"/>
              <w:rPr>
                <w:sz w:val="20"/>
                <w:szCs w:val="20"/>
                <w:color w:val="auto"/>
              </w:rPr>
            </w:pPr>
            <w:r>
              <w:rPr>
                <w:rFonts w:ascii="Arial" w:cs="Arial" w:eastAsia="Arial" w:hAnsi="Arial"/>
                <w:sz w:val="18"/>
                <w:szCs w:val="18"/>
                <w:color w:val="auto"/>
              </w:rPr>
              <w:t>856,416</w:t>
            </w:r>
          </w:p>
        </w:tc>
        <w:tc>
          <w:tcPr>
            <w:tcW w:w="3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jc w:val="center"/>
              <w:ind w:right="152"/>
              <w:spacing w:after="0"/>
              <w:rPr>
                <w:sz w:val="20"/>
                <w:szCs w:val="20"/>
                <w:color w:val="auto"/>
              </w:rPr>
            </w:pPr>
            <w:r>
              <w:rPr>
                <w:rFonts w:ascii="Arial" w:cs="Arial" w:eastAsia="Arial" w:hAnsi="Arial"/>
                <w:sz w:val="18"/>
                <w:szCs w:val="18"/>
                <w:color w:val="auto"/>
                <w:w w:val="99"/>
              </w:rPr>
              <w:t>-</w:t>
            </w: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ind w:left="60"/>
              <w:spacing w:after="0"/>
              <w:rPr>
                <w:sz w:val="20"/>
                <w:szCs w:val="20"/>
                <w:color w:val="auto"/>
              </w:rPr>
            </w:pPr>
            <w:r>
              <w:rPr>
                <w:rFonts w:ascii="Arial" w:cs="Arial" w:eastAsia="Arial" w:hAnsi="Arial"/>
                <w:sz w:val="18"/>
                <w:szCs w:val="18"/>
                <w:color w:val="auto"/>
                <w:w w:val="79"/>
              </w:rPr>
              <w:t>$</w:t>
            </w:r>
          </w:p>
        </w:tc>
        <w:tc>
          <w:tcPr>
            <w:tcW w:w="1120" w:type="dxa"/>
            <w:vAlign w:val="bottom"/>
            <w:gridSpan w:val="3"/>
            <w:shd w:val="clear" w:color="auto" w:fill="CCEEFF"/>
          </w:tcPr>
          <w:p>
            <w:pPr>
              <w:jc w:val="right"/>
              <w:ind w:right="32"/>
              <w:spacing w:after="0"/>
              <w:rPr>
                <w:sz w:val="20"/>
                <w:szCs w:val="20"/>
                <w:color w:val="auto"/>
              </w:rPr>
            </w:pPr>
            <w:r>
              <w:rPr>
                <w:rFonts w:ascii="Arial" w:cs="Arial" w:eastAsia="Arial" w:hAnsi="Arial"/>
                <w:sz w:val="18"/>
                <w:szCs w:val="18"/>
                <w:color w:val="auto"/>
              </w:rPr>
              <w:t>828,890</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(40,598)</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87"/>
              </w:rPr>
              <w:t>1,644,708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Cost of revenues</w:t>
            </w: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gridSpan w:val="3"/>
          </w:tcPr>
          <w:p>
            <w:pPr>
              <w:jc w:val="right"/>
              <w:ind w:right="12"/>
              <w:spacing w:after="0"/>
              <w:rPr>
                <w:sz w:val="20"/>
                <w:szCs w:val="20"/>
                <w:color w:val="auto"/>
              </w:rPr>
            </w:pPr>
            <w:r>
              <w:rPr>
                <w:rFonts w:ascii="Arial" w:cs="Arial" w:eastAsia="Arial" w:hAnsi="Arial"/>
                <w:sz w:val="18"/>
                <w:szCs w:val="18"/>
                <w:color w:val="auto"/>
              </w:rPr>
              <w:t>568,684</w:t>
            </w:r>
          </w:p>
        </w:tc>
        <w:tc>
          <w:tcPr>
            <w:tcW w:w="38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center"/>
              <w:ind w:right="152"/>
              <w:spacing w:after="0"/>
              <w:rPr>
                <w:sz w:val="20"/>
                <w:szCs w:val="20"/>
                <w:color w:val="auto"/>
              </w:rPr>
            </w:pPr>
            <w:r>
              <w:rPr>
                <w:rFonts w:ascii="Arial" w:cs="Arial" w:eastAsia="Arial" w:hAnsi="Arial"/>
                <w:sz w:val="18"/>
                <w:szCs w:val="18"/>
                <w:color w:val="auto"/>
                <w:w w:val="99"/>
              </w:rPr>
              <w:t>-</w:t>
            </w:r>
          </w:p>
        </w:tc>
        <w:tc>
          <w:tcPr>
            <w:tcW w:w="3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gridSpan w:val="3"/>
          </w:tcPr>
          <w:p>
            <w:pPr>
              <w:jc w:val="right"/>
              <w:ind w:right="32"/>
              <w:spacing w:after="0"/>
              <w:rPr>
                <w:sz w:val="20"/>
                <w:szCs w:val="20"/>
                <w:color w:val="auto"/>
              </w:rPr>
            </w:pPr>
            <w:r>
              <w:rPr>
                <w:rFonts w:ascii="Arial" w:cs="Arial" w:eastAsia="Arial" w:hAnsi="Arial"/>
                <w:sz w:val="18"/>
                <w:szCs w:val="18"/>
                <w:color w:val="auto"/>
              </w:rPr>
              <w:t>597,196</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(40,598)</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w w:val="87"/>
              </w:rPr>
              <w:t>1,125,282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20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2"/>
              <w:spacing w:after="0"/>
              <w:rPr>
                <w:sz w:val="20"/>
                <w:szCs w:val="20"/>
                <w:color w:val="auto"/>
              </w:rPr>
            </w:pPr>
            <w:r>
              <w:rPr>
                <w:rFonts w:ascii="Arial" w:cs="Arial" w:eastAsia="Arial" w:hAnsi="Arial"/>
                <w:sz w:val="18"/>
                <w:szCs w:val="18"/>
                <w:color w:val="auto"/>
              </w:rPr>
              <w:t>287,732</w:t>
            </w:r>
          </w:p>
        </w:tc>
        <w:tc>
          <w:tcPr>
            <w:tcW w:w="3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jc w:val="center"/>
              <w:ind w:right="152"/>
              <w:spacing w:after="0"/>
              <w:rPr>
                <w:sz w:val="20"/>
                <w:szCs w:val="20"/>
                <w:color w:val="auto"/>
              </w:rPr>
            </w:pPr>
            <w:r>
              <w:rPr>
                <w:rFonts w:ascii="Arial" w:cs="Arial" w:eastAsia="Arial" w:hAnsi="Arial"/>
                <w:sz w:val="18"/>
                <w:szCs w:val="18"/>
                <w:color w:val="auto"/>
                <w:w w:val="99"/>
              </w:rPr>
              <w:t>-</w:t>
            </w: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32"/>
              <w:spacing w:after="0"/>
              <w:rPr>
                <w:sz w:val="20"/>
                <w:szCs w:val="20"/>
                <w:color w:val="auto"/>
              </w:rPr>
            </w:pPr>
            <w:r>
              <w:rPr>
                <w:rFonts w:ascii="Arial" w:cs="Arial" w:eastAsia="Arial" w:hAnsi="Arial"/>
                <w:sz w:val="18"/>
                <w:szCs w:val="18"/>
                <w:color w:val="auto"/>
              </w:rPr>
              <w:t>231,694</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519,426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400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Sales and marketing</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0"/>
              </w:rPr>
              <w:t>47,363</w:t>
            </w:r>
          </w:p>
        </w:tc>
        <w:tc>
          <w:tcPr>
            <w:tcW w:w="3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jc w:val="center"/>
              <w:ind w:right="152"/>
              <w:spacing w:after="0"/>
              <w:rPr>
                <w:sz w:val="20"/>
                <w:szCs w:val="20"/>
                <w:color w:val="auto"/>
              </w:rPr>
            </w:pPr>
            <w:r>
              <w:rPr>
                <w:rFonts w:ascii="Arial" w:cs="Arial" w:eastAsia="Arial" w:hAnsi="Arial"/>
                <w:sz w:val="18"/>
                <w:szCs w:val="18"/>
                <w:color w:val="auto"/>
                <w:w w:val="99"/>
              </w:rPr>
              <w:t>-</w:t>
            </w: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98"/>
              </w:rPr>
              <w:t>76,345</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123,708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ind w:left="420"/>
              <w:spacing w:after="0"/>
              <w:rPr>
                <w:sz w:val="20"/>
                <w:szCs w:val="20"/>
                <w:color w:val="auto"/>
              </w:rPr>
            </w:pPr>
            <w:r>
              <w:rPr>
                <w:rFonts w:ascii="Arial" w:cs="Arial" w:eastAsia="Arial" w:hAnsi="Arial"/>
                <w:sz w:val="18"/>
                <w:szCs w:val="18"/>
                <w:color w:val="auto"/>
              </w:rPr>
              <w:t>Product development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ind w:right="12"/>
              <w:spacing w:after="0"/>
              <w:rPr>
                <w:sz w:val="20"/>
                <w:szCs w:val="20"/>
                <w:color w:val="auto"/>
              </w:rPr>
            </w:pPr>
            <w:r>
              <w:rPr>
                <w:rFonts w:ascii="Arial" w:cs="Arial" w:eastAsia="Arial" w:hAnsi="Arial"/>
                <w:sz w:val="18"/>
                <w:szCs w:val="18"/>
                <w:color w:val="auto"/>
                <w:w w:val="90"/>
              </w:rPr>
              <w:t>64,084</w:t>
            </w: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jc w:val="center"/>
              <w:ind w:right="152"/>
              <w:spacing w:after="0"/>
              <w:rPr>
                <w:sz w:val="20"/>
                <w:szCs w:val="20"/>
                <w:color w:val="auto"/>
              </w:rPr>
            </w:pPr>
            <w:r>
              <w:rPr>
                <w:rFonts w:ascii="Arial" w:cs="Arial" w:eastAsia="Arial" w:hAnsi="Arial"/>
                <w:sz w:val="18"/>
                <w:szCs w:val="18"/>
                <w:color w:val="auto"/>
                <w:w w:val="99"/>
              </w:rPr>
              <w:t>-</w:t>
            </w: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ind w:right="32"/>
              <w:spacing w:after="0"/>
              <w:rPr>
                <w:sz w:val="20"/>
                <w:szCs w:val="20"/>
                <w:color w:val="auto"/>
              </w:rPr>
            </w:pPr>
            <w:r>
              <w:rPr>
                <w:rFonts w:ascii="Arial" w:cs="Arial" w:eastAsia="Arial" w:hAnsi="Arial"/>
                <w:sz w:val="18"/>
                <w:szCs w:val="18"/>
                <w:color w:val="auto"/>
                <w:w w:val="98"/>
              </w:rPr>
              <w:t>36,016</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100,100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General and administrative</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0"/>
              </w:rPr>
              <w:t>41,424</w:t>
            </w:r>
          </w:p>
        </w:tc>
        <w:tc>
          <w:tcPr>
            <w:tcW w:w="3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jc w:val="center"/>
              <w:ind w:right="152"/>
              <w:spacing w:after="0"/>
              <w:rPr>
                <w:sz w:val="20"/>
                <w:szCs w:val="20"/>
                <w:color w:val="auto"/>
              </w:rPr>
            </w:pPr>
            <w:r>
              <w:rPr>
                <w:rFonts w:ascii="Arial" w:cs="Arial" w:eastAsia="Arial" w:hAnsi="Arial"/>
                <w:sz w:val="18"/>
                <w:szCs w:val="18"/>
                <w:color w:val="auto"/>
                <w:w w:val="99"/>
              </w:rPr>
              <w:t>-</w:t>
            </w: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98"/>
              </w:rPr>
              <w:t>55,628</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97,052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80" w:type="dxa"/>
            <w:vAlign w:val="bottom"/>
          </w:tcPr>
          <w:p>
            <w:pPr>
              <w:ind w:left="420"/>
              <w:spacing w:after="0"/>
              <w:rPr>
                <w:sz w:val="20"/>
                <w:szCs w:val="20"/>
                <w:color w:val="auto"/>
              </w:rPr>
            </w:pPr>
            <w:r>
              <w:rPr>
                <w:rFonts w:ascii="Arial" w:cs="Arial" w:eastAsia="Arial" w:hAnsi="Arial"/>
                <w:sz w:val="18"/>
                <w:szCs w:val="18"/>
                <w:color w:val="auto"/>
              </w:rPr>
              <w:t>Amortization of intangible assets</w:t>
            </w:r>
          </w:p>
        </w:tc>
        <w:tc>
          <w:tcPr>
            <w:tcW w:w="2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w w:val="90"/>
              </w:rPr>
              <w:t>12,256</w:t>
            </w:r>
          </w:p>
        </w:tc>
        <w:tc>
          <w:tcPr>
            <w:tcW w:w="38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center"/>
              <w:ind w:right="152"/>
              <w:spacing w:after="0"/>
              <w:rPr>
                <w:sz w:val="20"/>
                <w:szCs w:val="20"/>
                <w:color w:val="auto"/>
              </w:rPr>
            </w:pPr>
            <w:r>
              <w:rPr>
                <w:rFonts w:ascii="Arial" w:cs="Arial" w:eastAsia="Arial" w:hAnsi="Arial"/>
                <w:sz w:val="18"/>
                <w:szCs w:val="18"/>
                <w:color w:val="auto"/>
                <w:w w:val="99"/>
              </w:rPr>
              <w:t>-</w:t>
            </w:r>
          </w:p>
        </w:tc>
        <w:tc>
          <w:tcPr>
            <w:tcW w:w="3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w w:val="98"/>
              </w:rPr>
              <w:t>39,203</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51,459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Total operating expenses</w:t>
            </w:r>
          </w:p>
        </w:tc>
        <w:tc>
          <w:tcPr>
            <w:tcW w:w="2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gridSpan w:val="3"/>
            <w:shd w:val="clear" w:color="auto" w:fill="CCEEFF"/>
          </w:tcPr>
          <w:p>
            <w:pPr>
              <w:jc w:val="right"/>
              <w:ind w:right="12"/>
              <w:spacing w:after="0"/>
              <w:rPr>
                <w:sz w:val="20"/>
                <w:szCs w:val="20"/>
                <w:color w:val="auto"/>
              </w:rPr>
            </w:pPr>
            <w:r>
              <w:rPr>
                <w:rFonts w:ascii="Arial" w:cs="Arial" w:eastAsia="Arial" w:hAnsi="Arial"/>
                <w:sz w:val="18"/>
                <w:szCs w:val="18"/>
                <w:color w:val="auto"/>
              </w:rPr>
              <w:t>165,127</w:t>
            </w:r>
          </w:p>
        </w:tc>
        <w:tc>
          <w:tcPr>
            <w:tcW w:w="38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center"/>
              <w:ind w:right="152"/>
              <w:spacing w:after="0"/>
              <w:rPr>
                <w:sz w:val="20"/>
                <w:szCs w:val="20"/>
                <w:color w:val="auto"/>
              </w:rPr>
            </w:pPr>
            <w:r>
              <w:rPr>
                <w:rFonts w:ascii="Arial" w:cs="Arial" w:eastAsia="Arial" w:hAnsi="Arial"/>
                <w:sz w:val="18"/>
                <w:szCs w:val="18"/>
                <w:color w:val="auto"/>
                <w:w w:val="99"/>
              </w:rPr>
              <w:t>-</w:t>
            </w:r>
          </w:p>
        </w:tc>
        <w:tc>
          <w:tcPr>
            <w:tcW w:w="38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gridSpan w:val="3"/>
            <w:shd w:val="clear" w:color="auto" w:fill="CCEEFF"/>
          </w:tcPr>
          <w:p>
            <w:pPr>
              <w:jc w:val="right"/>
              <w:ind w:right="32"/>
              <w:spacing w:after="0"/>
              <w:rPr>
                <w:sz w:val="20"/>
                <w:szCs w:val="20"/>
                <w:color w:val="auto"/>
              </w:rPr>
            </w:pPr>
            <w:r>
              <w:rPr>
                <w:rFonts w:ascii="Arial" w:cs="Arial" w:eastAsia="Arial" w:hAnsi="Arial"/>
                <w:sz w:val="18"/>
                <w:szCs w:val="18"/>
                <w:color w:val="auto"/>
              </w:rPr>
              <w:t>207,192</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372,319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9"/>
        </w:trPr>
        <w:tc>
          <w:tcPr>
            <w:tcW w:w="400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200" w:type="dxa"/>
            <w:vAlign w:val="bottom"/>
          </w:tcPr>
          <w:p>
            <w:pPr>
              <w:spacing w:after="0"/>
              <w:rPr>
                <w:sz w:val="24"/>
                <w:szCs w:val="24"/>
                <w:color w:val="auto"/>
              </w:rPr>
            </w:pPr>
          </w:p>
        </w:tc>
        <w:tc>
          <w:tcPr>
            <w:tcW w:w="1000" w:type="dxa"/>
            <w:vAlign w:val="bottom"/>
            <w:gridSpan w:val="3"/>
          </w:tcPr>
          <w:p>
            <w:pPr>
              <w:jc w:val="right"/>
              <w:ind w:right="12"/>
              <w:spacing w:after="0"/>
              <w:rPr>
                <w:sz w:val="20"/>
                <w:szCs w:val="20"/>
                <w:color w:val="auto"/>
              </w:rPr>
            </w:pPr>
            <w:r>
              <w:rPr>
                <w:rFonts w:ascii="Arial" w:cs="Arial" w:eastAsia="Arial" w:hAnsi="Arial"/>
                <w:sz w:val="18"/>
                <w:szCs w:val="18"/>
                <w:color w:val="auto"/>
              </w:rPr>
              <w:t>122,605</w:t>
            </w: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jc w:val="center"/>
              <w:ind w:right="152"/>
              <w:spacing w:after="0"/>
              <w:rPr>
                <w:sz w:val="20"/>
                <w:szCs w:val="20"/>
                <w:color w:val="auto"/>
              </w:rPr>
            </w:pPr>
            <w:r>
              <w:rPr>
                <w:rFonts w:ascii="Arial" w:cs="Arial" w:eastAsia="Arial" w:hAnsi="Arial"/>
                <w:sz w:val="18"/>
                <w:szCs w:val="18"/>
                <w:color w:val="auto"/>
                <w:w w:val="99"/>
              </w:rPr>
              <w:t>-</w:t>
            </w: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jc w:val="right"/>
              <w:ind w:right="32"/>
              <w:spacing w:after="0"/>
              <w:rPr>
                <w:sz w:val="20"/>
                <w:szCs w:val="20"/>
                <w:color w:val="auto"/>
              </w:rPr>
            </w:pPr>
            <w:r>
              <w:rPr>
                <w:rFonts w:ascii="Arial" w:cs="Arial" w:eastAsia="Arial" w:hAnsi="Arial"/>
                <w:sz w:val="18"/>
                <w:szCs w:val="18"/>
                <w:color w:val="auto"/>
                <w:w w:val="98"/>
              </w:rPr>
              <w:t>24,502</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147,107</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ind w:left="420"/>
              <w:spacing w:after="0"/>
              <w:rPr>
                <w:sz w:val="20"/>
                <w:szCs w:val="20"/>
                <w:color w:val="auto"/>
              </w:rPr>
            </w:pPr>
            <w:r>
              <w:rPr>
                <w:rFonts w:ascii="Arial" w:cs="Arial" w:eastAsia="Arial" w:hAnsi="Arial"/>
                <w:sz w:val="18"/>
                <w:szCs w:val="18"/>
                <w:color w:val="auto"/>
              </w:rPr>
              <w:t>Interest income</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ind w:right="12"/>
              <w:spacing w:after="0"/>
              <w:rPr>
                <w:sz w:val="20"/>
                <w:szCs w:val="20"/>
                <w:color w:val="auto"/>
              </w:rPr>
            </w:pPr>
            <w:r>
              <w:rPr>
                <w:rFonts w:ascii="Arial" w:cs="Arial" w:eastAsia="Arial" w:hAnsi="Arial"/>
                <w:sz w:val="18"/>
                <w:szCs w:val="18"/>
                <w:color w:val="auto"/>
              </w:rPr>
              <w:t>537</w:t>
            </w: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20" w:type="dxa"/>
            <w:vAlign w:val="bottom"/>
            <w:gridSpan w:val="2"/>
          </w:tcPr>
          <w:p>
            <w:pPr>
              <w:jc w:val="center"/>
              <w:spacing w:after="0"/>
              <w:rPr>
                <w:sz w:val="20"/>
                <w:szCs w:val="20"/>
                <w:color w:val="auto"/>
              </w:rPr>
            </w:pPr>
            <w:r>
              <w:rPr>
                <w:rFonts w:ascii="Arial" w:cs="Arial" w:eastAsia="Arial" w:hAnsi="Arial"/>
                <w:sz w:val="18"/>
                <w:szCs w:val="18"/>
                <w:color w:val="auto"/>
                <w:w w:val="88"/>
              </w:rPr>
              <w:t>2,422</w:t>
            </w: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ind w:right="32"/>
              <w:spacing w:after="0"/>
              <w:rPr>
                <w:sz w:val="20"/>
                <w:szCs w:val="20"/>
                <w:color w:val="auto"/>
              </w:rPr>
            </w:pPr>
            <w:r>
              <w:rPr>
                <w:rFonts w:ascii="Arial" w:cs="Arial" w:eastAsia="Arial" w:hAnsi="Arial"/>
                <w:sz w:val="18"/>
                <w:szCs w:val="18"/>
                <w:color w:val="auto"/>
              </w:rPr>
              <w:t>363</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1"/>
              </w:rPr>
              <w:t>(2,878)</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444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expense</w:t>
            </w:r>
          </w:p>
        </w:tc>
        <w:tc>
          <w:tcPr>
            <w:tcW w:w="20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(44,357)</w:t>
            </w:r>
          </w:p>
        </w:tc>
        <w:tc>
          <w:tcPr>
            <w:tcW w:w="3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jc w:val="center"/>
              <w:ind w:right="152"/>
              <w:spacing w:after="0"/>
              <w:rPr>
                <w:sz w:val="20"/>
                <w:szCs w:val="20"/>
                <w:color w:val="auto"/>
              </w:rPr>
            </w:pPr>
            <w:r>
              <w:rPr>
                <w:rFonts w:ascii="Arial" w:cs="Arial" w:eastAsia="Arial" w:hAnsi="Arial"/>
                <w:sz w:val="18"/>
                <w:szCs w:val="18"/>
                <w:color w:val="auto"/>
                <w:w w:val="99"/>
              </w:rPr>
              <w:t>-</w:t>
            </w: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(736)</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2,877</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(42,216)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80" w:type="dxa"/>
            <w:vAlign w:val="bottom"/>
          </w:tcPr>
          <w:p>
            <w:pPr>
              <w:ind w:left="420"/>
              <w:spacing w:after="0"/>
              <w:rPr>
                <w:sz w:val="20"/>
                <w:szCs w:val="20"/>
                <w:color w:val="auto"/>
              </w:rPr>
            </w:pPr>
            <w:r>
              <w:rPr>
                <w:rFonts w:ascii="Arial" w:cs="Arial" w:eastAsia="Arial" w:hAnsi="Arial"/>
                <w:sz w:val="18"/>
                <w:szCs w:val="18"/>
                <w:color w:val="auto"/>
              </w:rPr>
              <w:t>Other income (expense), net</w:t>
            </w:r>
          </w:p>
        </w:tc>
        <w:tc>
          <w:tcPr>
            <w:tcW w:w="2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1,256</w:t>
            </w:r>
          </w:p>
        </w:tc>
        <w:tc>
          <w:tcPr>
            <w:tcW w:w="38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center"/>
              <w:ind w:right="152"/>
              <w:spacing w:after="0"/>
              <w:rPr>
                <w:sz w:val="20"/>
                <w:szCs w:val="20"/>
                <w:color w:val="auto"/>
              </w:rPr>
            </w:pPr>
            <w:r>
              <w:rPr>
                <w:rFonts w:ascii="Arial" w:cs="Arial" w:eastAsia="Arial" w:hAnsi="Arial"/>
                <w:sz w:val="18"/>
                <w:szCs w:val="18"/>
                <w:color w:val="auto"/>
                <w:w w:val="99"/>
              </w:rPr>
              <w:t>-</w:t>
            </w:r>
          </w:p>
        </w:tc>
        <w:tc>
          <w:tcPr>
            <w:tcW w:w="3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(6,697)</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(5,440)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Total other income (expense)</w:t>
            </w:r>
          </w:p>
        </w:tc>
        <w:tc>
          <w:tcPr>
            <w:tcW w:w="2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(42,564)</w:t>
            </w:r>
          </w:p>
        </w:tc>
        <w:tc>
          <w:tcPr>
            <w:tcW w:w="38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gridSpan w:val="2"/>
            <w:shd w:val="clear" w:color="auto" w:fill="CCEEFF"/>
          </w:tcPr>
          <w:p>
            <w:pPr>
              <w:jc w:val="center"/>
              <w:spacing w:after="0"/>
              <w:rPr>
                <w:sz w:val="20"/>
                <w:szCs w:val="20"/>
                <w:color w:val="auto"/>
              </w:rPr>
            </w:pPr>
            <w:r>
              <w:rPr>
                <w:rFonts w:ascii="Arial" w:cs="Arial" w:eastAsia="Arial" w:hAnsi="Arial"/>
                <w:sz w:val="18"/>
                <w:szCs w:val="18"/>
                <w:color w:val="auto"/>
                <w:w w:val="88"/>
              </w:rPr>
              <w:t>2,422</w:t>
            </w:r>
          </w:p>
        </w:tc>
        <w:tc>
          <w:tcPr>
            <w:tcW w:w="38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(7,070)</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(47,212)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9"/>
        </w:trPr>
        <w:tc>
          <w:tcPr>
            <w:tcW w:w="4000" w:type="dxa"/>
            <w:vAlign w:val="bottom"/>
            <w:gridSpan w:val="2"/>
          </w:tcPr>
          <w:p>
            <w:pPr>
              <w:spacing w:after="0"/>
              <w:rPr>
                <w:sz w:val="20"/>
                <w:szCs w:val="20"/>
                <w:color w:val="auto"/>
              </w:rPr>
            </w:pPr>
            <w:r>
              <w:rPr>
                <w:rFonts w:ascii="Arial" w:cs="Arial" w:eastAsia="Arial" w:hAnsi="Arial"/>
                <w:sz w:val="18"/>
                <w:szCs w:val="18"/>
                <w:color w:val="auto"/>
              </w:rPr>
              <w:t>Income before income taxes</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jc w:val="right"/>
              <w:ind w:right="12"/>
              <w:spacing w:after="0"/>
              <w:rPr>
                <w:sz w:val="20"/>
                <w:szCs w:val="20"/>
                <w:color w:val="auto"/>
              </w:rPr>
            </w:pPr>
            <w:r>
              <w:rPr>
                <w:rFonts w:ascii="Arial" w:cs="Arial" w:eastAsia="Arial" w:hAnsi="Arial"/>
                <w:sz w:val="18"/>
                <w:szCs w:val="18"/>
                <w:color w:val="auto"/>
                <w:w w:val="90"/>
              </w:rPr>
              <w:t>80,041</w:t>
            </w: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20" w:type="dxa"/>
            <w:vAlign w:val="bottom"/>
            <w:gridSpan w:val="2"/>
          </w:tcPr>
          <w:p>
            <w:pPr>
              <w:jc w:val="center"/>
              <w:spacing w:after="0"/>
              <w:rPr>
                <w:sz w:val="20"/>
                <w:szCs w:val="20"/>
                <w:color w:val="auto"/>
              </w:rPr>
            </w:pPr>
            <w:r>
              <w:rPr>
                <w:rFonts w:ascii="Arial" w:cs="Arial" w:eastAsia="Arial" w:hAnsi="Arial"/>
                <w:sz w:val="18"/>
                <w:szCs w:val="18"/>
                <w:color w:val="auto"/>
                <w:w w:val="88"/>
              </w:rPr>
              <w:t>2,422</w:t>
            </w: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jc w:val="right"/>
              <w:ind w:right="32"/>
              <w:spacing w:after="0"/>
              <w:rPr>
                <w:sz w:val="20"/>
                <w:szCs w:val="20"/>
                <w:color w:val="auto"/>
              </w:rPr>
            </w:pPr>
            <w:r>
              <w:rPr>
                <w:rFonts w:ascii="Arial" w:cs="Arial" w:eastAsia="Arial" w:hAnsi="Arial"/>
                <w:sz w:val="18"/>
                <w:szCs w:val="18"/>
                <w:color w:val="auto"/>
                <w:w w:val="98"/>
              </w:rPr>
              <w:t>17,432</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99,895</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Income tax provision</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(16,579)</w:t>
            </w:r>
          </w:p>
        </w:tc>
        <w:tc>
          <w:tcPr>
            <w:tcW w:w="3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jc w:val="center"/>
              <w:ind w:right="152"/>
              <w:spacing w:after="0"/>
              <w:rPr>
                <w:sz w:val="20"/>
                <w:szCs w:val="20"/>
                <w:color w:val="auto"/>
              </w:rPr>
            </w:pPr>
            <w:r>
              <w:rPr>
                <w:rFonts w:ascii="Arial" w:cs="Arial" w:eastAsia="Arial" w:hAnsi="Arial"/>
                <w:sz w:val="18"/>
                <w:szCs w:val="18"/>
                <w:color w:val="auto"/>
                <w:w w:val="99"/>
              </w:rPr>
              <w:t>-</w:t>
            </w: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(521)</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w w:val="99"/>
              </w:rPr>
              <w:t>Equity in earnings of guarantor and non-guarantor</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3980" w:type="dxa"/>
            <w:vAlign w:val="bottom"/>
          </w:tcPr>
          <w:p>
            <w:pPr>
              <w:ind w:left="200"/>
              <w:spacing w:after="0"/>
              <w:rPr>
                <w:sz w:val="20"/>
                <w:szCs w:val="20"/>
                <w:color w:val="auto"/>
              </w:rPr>
            </w:pPr>
            <w:r>
              <w:rPr>
                <w:rFonts w:ascii="Arial" w:cs="Arial" w:eastAsia="Arial" w:hAnsi="Arial"/>
                <w:sz w:val="18"/>
                <w:szCs w:val="18"/>
                <w:color w:val="auto"/>
              </w:rPr>
              <w:t>subsidiaries, net</w:t>
            </w:r>
          </w:p>
        </w:tc>
        <w:tc>
          <w:tcPr>
            <w:tcW w:w="2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w w:val="90"/>
              </w:rPr>
              <w:t>19,333</w:t>
            </w:r>
          </w:p>
        </w:tc>
        <w:tc>
          <w:tcPr>
            <w:tcW w:w="380" w:type="dxa"/>
            <w:vAlign w:val="bottom"/>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jc w:val="center"/>
              <w:ind w:right="152"/>
              <w:spacing w:after="0"/>
              <w:rPr>
                <w:sz w:val="20"/>
                <w:szCs w:val="20"/>
                <w:color w:val="auto"/>
              </w:rPr>
            </w:pPr>
            <w:r>
              <w:rPr>
                <w:rFonts w:ascii="Arial" w:cs="Arial" w:eastAsia="Arial" w:hAnsi="Arial"/>
                <w:sz w:val="18"/>
                <w:szCs w:val="18"/>
                <w:color w:val="auto"/>
                <w:w w:val="99"/>
              </w:rPr>
              <w:t>-</w:t>
            </w:r>
          </w:p>
        </w:tc>
        <w:tc>
          <w:tcPr>
            <w:tcW w:w="38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center"/>
              <w:ind w:left="12"/>
              <w:spacing w:after="0"/>
              <w:rPr>
                <w:sz w:val="20"/>
                <w:szCs w:val="20"/>
                <w:color w:val="auto"/>
              </w:rPr>
            </w:pPr>
            <w:r>
              <w:rPr>
                <w:rFonts w:ascii="Arial" w:cs="Arial" w:eastAsia="Arial" w:hAnsi="Arial"/>
                <w:sz w:val="18"/>
                <w:szCs w:val="18"/>
                <w:color w:val="auto"/>
                <w:w w:val="99"/>
              </w:rPr>
              <w:t>-</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(19,333)</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90"/>
              </w:rPr>
              <w:t>82,795</w:t>
            </w:r>
          </w:p>
        </w:tc>
        <w:tc>
          <w:tcPr>
            <w:tcW w:w="380" w:type="dxa"/>
            <w:vAlign w:val="bottom"/>
            <w:shd w:val="clear" w:color="auto" w:fill="CCEEFF"/>
          </w:tcPr>
          <w:p>
            <w:pPr>
              <w:spacing w:after="0"/>
              <w:rPr>
                <w:sz w:val="18"/>
                <w:szCs w:val="18"/>
                <w:color w:val="auto"/>
              </w:rPr>
            </w:pPr>
          </w:p>
        </w:tc>
        <w:tc>
          <w:tcPr>
            <w:tcW w:w="460" w:type="dxa"/>
            <w:vAlign w:val="bottom"/>
            <w:tcBorders>
              <w:bottom w:val="single" w:sz="8" w:color="auto"/>
            </w:tcBorders>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gridSpan w:val="2"/>
            <w:shd w:val="clear" w:color="auto" w:fill="CCEEFF"/>
          </w:tcPr>
          <w:p>
            <w:pPr>
              <w:jc w:val="center"/>
              <w:spacing w:after="0"/>
              <w:rPr>
                <w:sz w:val="20"/>
                <w:szCs w:val="20"/>
                <w:color w:val="auto"/>
              </w:rPr>
            </w:pPr>
            <w:r>
              <w:rPr>
                <w:rFonts w:ascii="Arial" w:cs="Arial" w:eastAsia="Arial" w:hAnsi="Arial"/>
                <w:sz w:val="18"/>
                <w:szCs w:val="18"/>
                <w:color w:val="auto"/>
                <w:w w:val="88"/>
              </w:rPr>
              <w:t>2,422</w:t>
            </w:r>
          </w:p>
        </w:tc>
        <w:tc>
          <w:tcPr>
            <w:tcW w:w="38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79"/>
              </w:rPr>
              <w:t>$</w:t>
            </w:r>
          </w:p>
        </w:tc>
        <w:tc>
          <w:tcPr>
            <w:tcW w:w="26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w w:val="98"/>
              </w:rPr>
              <w:t>16,911</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(19,333)</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40" w:type="dxa"/>
            <w:vAlign w:val="bottom"/>
            <w:tcBorders>
              <w:bottom w:val="single" w:sz="8" w:color="auto"/>
            </w:tcBorders>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82,795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Borders>
              <w:bottom w:val="single" w:sz="8" w:color="auto"/>
            </w:tcBorders>
            <w:gridSpan w:val="3"/>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2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360" w:type="dxa"/>
            <w:vAlign w:val="bottom"/>
            <w:gridSpan w:val="13"/>
          </w:tcPr>
          <w:p>
            <w:pPr>
              <w:jc w:val="right"/>
              <w:ind w:right="292"/>
              <w:spacing w:after="0"/>
              <w:rPr>
                <w:sz w:val="20"/>
                <w:szCs w:val="20"/>
                <w:color w:val="auto"/>
              </w:rPr>
            </w:pPr>
            <w:r>
              <w:rPr>
                <w:rFonts w:ascii="Arial" w:cs="Arial" w:eastAsia="Arial" w:hAnsi="Arial"/>
                <w:sz w:val="18"/>
                <w:szCs w:val="18"/>
                <w:b w:val="1"/>
                <w:bCs w:val="1"/>
                <w:color w:val="auto"/>
                <w:w w:val="88"/>
              </w:rPr>
              <w:t>Consolidating Statement of Operations</w:t>
            </w: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360" w:type="dxa"/>
            <w:vAlign w:val="bottom"/>
            <w:gridSpan w:val="13"/>
          </w:tcPr>
          <w:p>
            <w:pPr>
              <w:jc w:val="right"/>
              <w:ind w:right="252"/>
              <w:spacing w:after="0"/>
              <w:rPr>
                <w:sz w:val="20"/>
                <w:szCs w:val="20"/>
                <w:color w:val="auto"/>
              </w:rPr>
            </w:pPr>
            <w:r>
              <w:rPr>
                <w:rFonts w:ascii="Arial" w:cs="Arial" w:eastAsia="Arial" w:hAnsi="Arial"/>
                <w:sz w:val="18"/>
                <w:szCs w:val="18"/>
                <w:b w:val="1"/>
                <w:bCs w:val="1"/>
                <w:color w:val="auto"/>
                <w:w w:val="87"/>
              </w:rPr>
              <w:t>Nine Months Ended September 30, 2009</w:t>
            </w:r>
          </w:p>
        </w:tc>
        <w:tc>
          <w:tcPr>
            <w:tcW w:w="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6"/>
        </w:trPr>
        <w:tc>
          <w:tcPr>
            <w:tcW w:w="2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20" w:type="dxa"/>
            <w:vAlign w:val="bottom"/>
            <w:gridSpan w:val="4"/>
          </w:tcPr>
          <w:p>
            <w:pPr>
              <w:ind w:left="80"/>
              <w:spacing w:after="0"/>
              <w:rPr>
                <w:sz w:val="20"/>
                <w:szCs w:val="20"/>
                <w:color w:val="auto"/>
              </w:rPr>
            </w:pPr>
            <w:r>
              <w:rPr>
                <w:rFonts w:ascii="Arial" w:cs="Arial" w:eastAsia="Arial" w:hAnsi="Arial"/>
                <w:sz w:val="18"/>
                <w:szCs w:val="18"/>
                <w:b w:val="1"/>
                <w:bCs w:val="1"/>
                <w:color w:val="auto"/>
                <w:w w:val="93"/>
              </w:rPr>
              <w:t>Combined</w:t>
            </w: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gridSpan w:val="3"/>
          </w:tcPr>
          <w:p>
            <w:pPr>
              <w:jc w:val="center"/>
              <w:ind w:right="280"/>
              <w:spacing w:after="0"/>
              <w:rPr>
                <w:sz w:val="20"/>
                <w:szCs w:val="20"/>
                <w:color w:val="auto"/>
              </w:rPr>
            </w:pPr>
            <w:r>
              <w:rPr>
                <w:rFonts w:ascii="Arial" w:cs="Arial" w:eastAsia="Arial" w:hAnsi="Arial"/>
                <w:sz w:val="18"/>
                <w:szCs w:val="18"/>
                <w:b w:val="1"/>
                <w:bCs w:val="1"/>
                <w:color w:val="auto"/>
                <w:w w:val="88"/>
              </w:rPr>
              <w:t>Combined</w:t>
            </w: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gridSpan w:val="4"/>
          </w:tcPr>
          <w:p>
            <w:pPr>
              <w:ind w:left="60"/>
              <w:spacing w:after="0"/>
              <w:rPr>
                <w:sz w:val="20"/>
                <w:szCs w:val="20"/>
                <w:color w:val="auto"/>
              </w:rPr>
            </w:pPr>
            <w:r>
              <w:rPr>
                <w:rFonts w:ascii="Arial" w:cs="Arial" w:eastAsia="Arial" w:hAnsi="Arial"/>
                <w:sz w:val="18"/>
                <w:szCs w:val="18"/>
                <w:b w:val="1"/>
                <w:bCs w:val="1"/>
                <w:color w:val="auto"/>
                <w:w w:val="96"/>
              </w:rPr>
              <w:t>Guarantor</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gridSpan w:val="4"/>
          </w:tcPr>
          <w:p>
            <w:pPr>
              <w:jc w:val="center"/>
              <w:ind w:right="100"/>
              <w:spacing w:after="0"/>
              <w:rPr>
                <w:sz w:val="20"/>
                <w:szCs w:val="20"/>
                <w:color w:val="auto"/>
              </w:rPr>
            </w:pPr>
            <w:r>
              <w:rPr>
                <w:rFonts w:ascii="Arial" w:cs="Arial" w:eastAsia="Arial" w:hAnsi="Arial"/>
                <w:sz w:val="18"/>
                <w:szCs w:val="18"/>
                <w:b w:val="1"/>
                <w:bCs w:val="1"/>
                <w:color w:val="auto"/>
                <w:w w:val="91"/>
              </w:rPr>
              <w:t>Non-guarantor</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gridSpan w:val="2"/>
          </w:tcPr>
          <w:p>
            <w:pPr>
              <w:jc w:val="right"/>
              <w:ind w:right="320"/>
              <w:spacing w:after="0"/>
              <w:rPr>
                <w:sz w:val="20"/>
                <w:szCs w:val="20"/>
                <w:color w:val="auto"/>
              </w:rPr>
            </w:pPr>
            <w:r>
              <w:rPr>
                <w:rFonts w:ascii="Arial" w:cs="Arial" w:eastAsia="Arial" w:hAnsi="Arial"/>
                <w:sz w:val="18"/>
                <w:szCs w:val="18"/>
                <w:b w:val="1"/>
                <w:bCs w:val="1"/>
                <w:color w:val="auto"/>
              </w:rPr>
              <w:t>Parent</w:t>
            </w:r>
          </w:p>
        </w:tc>
        <w:tc>
          <w:tcPr>
            <w:tcW w:w="40" w:type="dxa"/>
            <w:vAlign w:val="bottom"/>
            <w:tcBorders>
              <w:bottom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920" w:type="dxa"/>
            <w:vAlign w:val="bottom"/>
            <w:tcBorders>
              <w:bottom w:val="single" w:sz="8" w:color="auto"/>
            </w:tcBorders>
            <w:gridSpan w:val="4"/>
          </w:tcPr>
          <w:p>
            <w:pPr>
              <w:spacing w:after="0"/>
              <w:rPr>
                <w:sz w:val="20"/>
                <w:szCs w:val="20"/>
                <w:color w:val="auto"/>
              </w:rPr>
            </w:pPr>
            <w:r>
              <w:rPr>
                <w:rFonts w:ascii="Arial" w:cs="Arial" w:eastAsia="Arial" w:hAnsi="Arial"/>
                <w:sz w:val="18"/>
                <w:szCs w:val="18"/>
                <w:b w:val="1"/>
                <w:bCs w:val="1"/>
                <w:color w:val="auto"/>
                <w:w w:val="84"/>
              </w:rPr>
              <w:t>Subsidiaries</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84"/>
              </w:rPr>
              <w:t>Subsidiaries</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w w:val="87"/>
              </w:rPr>
              <w:t>Eliminations</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85"/>
              </w:rPr>
              <w:t>Consolidated</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4"/>
          </w:tcPr>
          <w:p>
            <w:pPr>
              <w:jc w:val="right"/>
              <w:ind w:right="120"/>
              <w:spacing w:after="0"/>
              <w:rPr>
                <w:sz w:val="20"/>
                <w:szCs w:val="20"/>
                <w:color w:val="auto"/>
              </w:rPr>
            </w:pPr>
            <w:r>
              <w:rPr>
                <w:rFonts w:ascii="Arial" w:cs="Arial" w:eastAsia="Arial" w:hAnsi="Arial"/>
                <w:sz w:val="18"/>
                <w:szCs w:val="18"/>
                <w:b w:val="1"/>
                <w:bCs w:val="1"/>
                <w:color w:val="auto"/>
              </w:rPr>
              <w:t>(in thousands)</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2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410,367</w:t>
            </w: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ind w:left="100"/>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3,116</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829,870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(32,729)</w:t>
            </w:r>
          </w:p>
        </w:tc>
        <w:tc>
          <w:tcPr>
            <w:tcW w:w="24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32"/>
              <w:spacing w:after="0"/>
              <w:rPr>
                <w:sz w:val="20"/>
                <w:szCs w:val="20"/>
                <w:color w:val="auto"/>
              </w:rPr>
            </w:pPr>
            <w:r>
              <w:rPr>
                <w:rFonts w:ascii="Arial" w:cs="Arial" w:eastAsia="Arial" w:hAnsi="Arial"/>
                <w:sz w:val="18"/>
                <w:szCs w:val="18"/>
                <w:color w:val="auto"/>
              </w:rPr>
              <w:t>$1,210,624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Cost of revenues</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270,709</w:t>
            </w:r>
          </w:p>
        </w:tc>
        <w:tc>
          <w:tcPr>
            <w:tcW w:w="40" w:type="dxa"/>
            <w:vAlign w:val="bottom"/>
            <w:tcBorders>
              <w:bottom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3,298</w:t>
            </w:r>
          </w:p>
        </w:tc>
        <w:tc>
          <w:tcPr>
            <w:tcW w:w="2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577,174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w w:val="95"/>
              </w:rPr>
              <w:t>(32,729)</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818,452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Gross profit (loss)</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139,658</w:t>
            </w: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(182)</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252,696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392,172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400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Sales and marketing</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42,546</w:t>
            </w: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70,023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112,569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ind w:left="420"/>
              <w:spacing w:after="0"/>
              <w:rPr>
                <w:sz w:val="20"/>
                <w:szCs w:val="20"/>
                <w:color w:val="auto"/>
              </w:rPr>
            </w:pPr>
            <w:r>
              <w:rPr>
                <w:rFonts w:ascii="Arial" w:cs="Arial" w:eastAsia="Arial" w:hAnsi="Arial"/>
                <w:sz w:val="18"/>
                <w:szCs w:val="18"/>
                <w:color w:val="auto"/>
              </w:rPr>
              <w:t>Product development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58,869</w:t>
            </w: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34,175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93,044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General and administrative</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31,495</w:t>
            </w: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52,602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84,097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80" w:type="dxa"/>
            <w:vAlign w:val="bottom"/>
          </w:tcPr>
          <w:p>
            <w:pPr>
              <w:ind w:left="420"/>
              <w:spacing w:after="0"/>
              <w:rPr>
                <w:sz w:val="20"/>
                <w:szCs w:val="20"/>
                <w:color w:val="auto"/>
              </w:rPr>
            </w:pPr>
            <w:r>
              <w:rPr>
                <w:rFonts w:ascii="Arial" w:cs="Arial" w:eastAsia="Arial" w:hAnsi="Arial"/>
                <w:sz w:val="18"/>
                <w:szCs w:val="18"/>
                <w:color w:val="auto"/>
              </w:rPr>
              <w:t>Amortization of intangible assets</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17,633</w:t>
            </w:r>
          </w:p>
        </w:tc>
        <w:tc>
          <w:tcPr>
            <w:tcW w:w="40" w:type="dxa"/>
            <w:vAlign w:val="bottom"/>
            <w:tcBorders>
              <w:bottom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55,155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72,788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Total operating expenses</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150,543</w:t>
            </w:r>
          </w:p>
        </w:tc>
        <w:tc>
          <w:tcPr>
            <w:tcW w:w="40" w:type="dxa"/>
            <w:vAlign w:val="bottom"/>
            <w:tcBorders>
              <w:bottom w:val="single" w:sz="8" w:color="auto"/>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211,955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362,498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9"/>
        </w:trPr>
        <w:tc>
          <w:tcPr>
            <w:tcW w:w="4000" w:type="dxa"/>
            <w:vAlign w:val="bottom"/>
            <w:gridSpan w:val="2"/>
          </w:tcPr>
          <w:p>
            <w:pPr>
              <w:spacing w:after="0"/>
              <w:rPr>
                <w:sz w:val="20"/>
                <w:szCs w:val="20"/>
                <w:color w:val="auto"/>
              </w:rPr>
            </w:pPr>
            <w:r>
              <w:rPr>
                <w:rFonts w:ascii="Arial" w:cs="Arial" w:eastAsia="Arial" w:hAnsi="Arial"/>
                <w:sz w:val="18"/>
                <w:szCs w:val="18"/>
                <w:color w:val="auto"/>
              </w:rPr>
              <w:t>Operating income (loss)</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(10,885)</w:t>
            </w: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(182)</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40,741</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29,674</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ind w:left="420"/>
              <w:spacing w:after="0"/>
              <w:rPr>
                <w:sz w:val="20"/>
                <w:szCs w:val="20"/>
                <w:color w:val="auto"/>
              </w:rPr>
            </w:pPr>
            <w:r>
              <w:rPr>
                <w:rFonts w:ascii="Arial" w:cs="Arial" w:eastAsia="Arial" w:hAnsi="Arial"/>
                <w:sz w:val="18"/>
                <w:szCs w:val="18"/>
                <w:color w:val="auto"/>
              </w:rPr>
              <w:t>Interest income</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83,472</w:t>
            </w: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2,876</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537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(85,914)</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971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expense</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(56,003)</w:t>
            </w: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(83,517)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86,201</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(53,319)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ind w:left="420"/>
              <w:spacing w:after="0"/>
              <w:rPr>
                <w:sz w:val="20"/>
                <w:szCs w:val="20"/>
                <w:color w:val="auto"/>
              </w:rPr>
            </w:pPr>
            <w:r>
              <w:rPr>
                <w:rFonts w:ascii="Arial" w:cs="Arial" w:eastAsia="Arial" w:hAnsi="Arial"/>
                <w:sz w:val="18"/>
                <w:szCs w:val="18"/>
                <w:color w:val="auto"/>
              </w:rPr>
              <w:t>Loss on extinguishment of debt, net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(12,800)</w:t>
            </w: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(12,800)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income (expense), net</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(2,802)</w:t>
            </w:r>
          </w:p>
        </w:tc>
        <w:tc>
          <w:tcPr>
            <w:tcW w:w="40" w:type="dxa"/>
            <w:vAlign w:val="bottom"/>
            <w:tcBorders>
              <w:bottom w:val="single" w:sz="8" w:color="auto"/>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w:t>
            </w:r>
          </w:p>
        </w:tc>
        <w:tc>
          <w:tcPr>
            <w:tcW w:w="20" w:type="dxa"/>
            <w:vAlign w:val="bottom"/>
            <w:tcBorders>
              <w:bottom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(6,353)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(287)</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(9,445)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980" w:type="dxa"/>
            <w:vAlign w:val="bottom"/>
          </w:tcPr>
          <w:p>
            <w:pPr>
              <w:ind w:left="1280"/>
              <w:spacing w:after="0"/>
              <w:rPr>
                <w:sz w:val="20"/>
                <w:szCs w:val="20"/>
                <w:color w:val="auto"/>
              </w:rPr>
            </w:pPr>
            <w:r>
              <w:rPr>
                <w:rFonts w:ascii="Arial" w:cs="Arial" w:eastAsia="Arial" w:hAnsi="Arial"/>
                <w:sz w:val="18"/>
                <w:szCs w:val="18"/>
                <w:color w:val="auto"/>
              </w:rPr>
              <w:t>Total other income (expense)</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11,867</w:t>
            </w:r>
          </w:p>
        </w:tc>
        <w:tc>
          <w:tcPr>
            <w:tcW w:w="40" w:type="dxa"/>
            <w:vAlign w:val="bottom"/>
            <w:tcBorders>
              <w:bottom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2,873</w:t>
            </w:r>
          </w:p>
        </w:tc>
        <w:tc>
          <w:tcPr>
            <w:tcW w:w="2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(89,333)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(74,593)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39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Income (loss) before income taxes</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982</w:t>
            </w: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2,691</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(48,592)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(44,919)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Income tax benefit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36,938</w:t>
            </w: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579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37,517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Equity in losses of guarantor and non-guarantor</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9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subsidiaries, net</w:t>
            </w: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(45,322)</w:t>
            </w:r>
          </w:p>
        </w:tc>
        <w:tc>
          <w:tcPr>
            <w:tcW w:w="40" w:type="dxa"/>
            <w:vAlign w:val="bottom"/>
            <w:tcBorders>
              <w:bottom w:val="single" w:sz="8" w:color="auto"/>
            </w:tcBorders>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(5,466)</w:t>
            </w:r>
          </w:p>
        </w:tc>
        <w:tc>
          <w:tcPr>
            <w:tcW w:w="20" w:type="dxa"/>
            <w:vAlign w:val="bottom"/>
            <w:tcBorders>
              <w:bottom w:val="single" w:sz="8" w:color="auto"/>
            </w:tcBorders>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50,788</w:t>
            </w: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400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200" w:type="dxa"/>
            <w:vAlign w:val="bottom"/>
          </w:tcPr>
          <w:p>
            <w:pPr>
              <w:spacing w:after="0"/>
              <w:rPr>
                <w:sz w:val="19"/>
                <w:szCs w:val="19"/>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(7,402)</w:t>
            </w:r>
          </w:p>
        </w:tc>
        <w:tc>
          <w:tcPr>
            <w:tcW w:w="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80" w:type="dxa"/>
            <w:vAlign w:val="bottom"/>
          </w:tcPr>
          <w:p>
            <w:pPr>
              <w:ind w:left="100"/>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(2,775)</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(48,013)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50,788</w:t>
            </w:r>
          </w:p>
        </w:tc>
        <w:tc>
          <w:tcPr>
            <w:tcW w:w="240" w:type="dxa"/>
            <w:vAlign w:val="bottom"/>
          </w:tcPr>
          <w:p>
            <w:pPr>
              <w:spacing w:after="0"/>
              <w:rPr>
                <w:sz w:val="19"/>
                <w:szCs w:val="19"/>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(7,402)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1" w:lineRule="exact"/>
        <w:rPr>
          <w:sz w:val="20"/>
          <w:szCs w:val="20"/>
          <w:color w:val="auto"/>
        </w:rPr>
      </w:pPr>
    </w:p>
    <w:p>
      <w:pPr>
        <w:sectPr>
          <w:pgSz w:w="11900" w:h="16838" w:orient="portrait"/>
          <w:cols w:equalWidth="0" w:num="1">
            <w:col w:w="11420"/>
          </w:cols>
          <w:pgMar w:left="240" w:top="459" w:right="239" w:bottom="1440" w:gutter="0" w:footer="0" w:header="0"/>
        </w:sectPr>
      </w:pPr>
    </w:p>
    <w:p>
      <w:pPr>
        <w:jc w:val="center"/>
        <w:spacing w:after="0"/>
        <w:rPr>
          <w:sz w:val="20"/>
          <w:szCs w:val="20"/>
          <w:color w:val="auto"/>
        </w:rPr>
      </w:pPr>
      <w:r>
        <w:rPr>
          <w:rFonts w:ascii="Arial" w:cs="Arial" w:eastAsia="Arial" w:hAnsi="Arial"/>
          <w:sz w:val="19"/>
          <w:szCs w:val="19"/>
          <w:color w:val="auto"/>
        </w:rPr>
        <w:t>34</w:t>
      </w:r>
    </w:p>
    <w:p>
      <w:pPr>
        <w:sectPr>
          <w:pgSz w:w="11900" w:h="16838" w:orient="portrait"/>
          <w:cols w:equalWidth="0" w:num="1">
            <w:col w:w="11420"/>
          </w:cols>
          <w:pgMar w:left="240" w:top="459" w:right="239" w:bottom="1440" w:gutter="0" w:footer="0" w:header="0"/>
          <w:type w:val="continuous"/>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Consolidating Balance Sheet</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2010</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center"/>
              <w:ind w:right="113"/>
              <w:spacing w:after="0"/>
              <w:rPr>
                <w:sz w:val="20"/>
                <w:szCs w:val="20"/>
                <w:color w:val="auto"/>
              </w:rPr>
            </w:pPr>
            <w:r>
              <w:rPr>
                <w:rFonts w:ascii="Arial" w:cs="Arial" w:eastAsia="Arial" w:hAnsi="Arial"/>
                <w:sz w:val="18"/>
                <w:szCs w:val="18"/>
                <w:b w:val="1"/>
                <w:bCs w:val="1"/>
                <w:color w:val="auto"/>
                <w:w w:val="88"/>
              </w:rPr>
              <w:t>Combined</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ind w:right="92"/>
              <w:spacing w:after="0"/>
              <w:rPr>
                <w:sz w:val="20"/>
                <w:szCs w:val="20"/>
                <w:color w:val="auto"/>
              </w:rPr>
            </w:pPr>
            <w:r>
              <w:rPr>
                <w:rFonts w:ascii="Arial" w:cs="Arial" w:eastAsia="Arial" w:hAnsi="Arial"/>
                <w:sz w:val="18"/>
                <w:szCs w:val="18"/>
                <w:b w:val="1"/>
                <w:bCs w:val="1"/>
                <w:color w:val="auto"/>
                <w:w w:val="89"/>
              </w:rPr>
              <w:t>Guarantor</w:t>
            </w:r>
          </w:p>
        </w:tc>
        <w:tc>
          <w:tcPr>
            <w:tcW w:w="440" w:type="dxa"/>
            <w:vAlign w:val="bottom"/>
          </w:tcPr>
          <w:p>
            <w:pPr>
              <w:spacing w:after="0"/>
              <w:rPr>
                <w:sz w:val="18"/>
                <w:szCs w:val="18"/>
                <w:color w:val="auto"/>
              </w:rPr>
            </w:pPr>
          </w:p>
        </w:tc>
        <w:tc>
          <w:tcPr>
            <w:tcW w:w="1220" w:type="dxa"/>
            <w:vAlign w:val="bottom"/>
            <w:gridSpan w:val="2"/>
          </w:tcPr>
          <w:p>
            <w:pPr>
              <w:jc w:val="center"/>
              <w:spacing w:after="0"/>
              <w:rPr>
                <w:sz w:val="20"/>
                <w:szCs w:val="20"/>
                <w:color w:val="auto"/>
              </w:rPr>
            </w:pPr>
            <w:r>
              <w:rPr>
                <w:rFonts w:ascii="Arial" w:cs="Arial" w:eastAsia="Arial" w:hAnsi="Arial"/>
                <w:sz w:val="18"/>
                <w:szCs w:val="18"/>
                <w:b w:val="1"/>
                <w:bCs w:val="1"/>
                <w:color w:val="auto"/>
                <w:w w:val="91"/>
              </w:rPr>
              <w:t>Non-guarantor</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5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ind w:right="252"/>
              <w:spacing w:after="0"/>
              <w:rPr>
                <w:sz w:val="20"/>
                <w:szCs w:val="20"/>
                <w:color w:val="auto"/>
              </w:rPr>
            </w:pPr>
            <w:r>
              <w:rPr>
                <w:rFonts w:ascii="Arial" w:cs="Arial" w:eastAsia="Arial" w:hAnsi="Arial"/>
                <w:sz w:val="18"/>
                <w:szCs w:val="18"/>
                <w:b w:val="1"/>
                <w:bCs w:val="1"/>
                <w:color w:val="auto"/>
                <w:w w:val="99"/>
              </w:rPr>
              <w:t>Parent</w:t>
            </w:r>
          </w:p>
        </w:tc>
        <w:tc>
          <w:tcPr>
            <w:tcW w:w="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ind w:right="92"/>
              <w:spacing w:after="0"/>
              <w:rPr>
                <w:sz w:val="20"/>
                <w:szCs w:val="20"/>
                <w:color w:val="auto"/>
              </w:rPr>
            </w:pPr>
            <w:r>
              <w:rPr>
                <w:rFonts w:ascii="Arial" w:cs="Arial" w:eastAsia="Arial" w:hAnsi="Arial"/>
                <w:sz w:val="18"/>
                <w:szCs w:val="18"/>
                <w:b w:val="1"/>
                <w:bCs w:val="1"/>
                <w:color w:val="auto"/>
                <w:w w:val="84"/>
              </w:rPr>
              <w:t>Subsidiary</w:t>
            </w:r>
          </w:p>
        </w:tc>
        <w:tc>
          <w:tcPr>
            <w:tcW w:w="440" w:type="dxa"/>
            <w:vAlign w:val="bottom"/>
          </w:tcPr>
          <w:p>
            <w:pPr>
              <w:spacing w:after="0"/>
              <w:rPr>
                <w:sz w:val="19"/>
                <w:szCs w:val="19"/>
                <w:color w:val="auto"/>
              </w:rPr>
            </w:pPr>
          </w:p>
        </w:tc>
        <w:tc>
          <w:tcPr>
            <w:tcW w:w="1220" w:type="dxa"/>
            <w:vAlign w:val="bottom"/>
            <w:gridSpan w:val="2"/>
          </w:tcPr>
          <w:p>
            <w:pPr>
              <w:jc w:val="center"/>
              <w:spacing w:after="0"/>
              <w:rPr>
                <w:sz w:val="20"/>
                <w:szCs w:val="20"/>
                <w:color w:val="auto"/>
              </w:rPr>
            </w:pPr>
            <w:r>
              <w:rPr>
                <w:rFonts w:ascii="Arial" w:cs="Arial" w:eastAsia="Arial" w:hAnsi="Arial"/>
                <w:sz w:val="18"/>
                <w:szCs w:val="18"/>
                <w:b w:val="1"/>
                <w:bCs w:val="1"/>
                <w:color w:val="auto"/>
                <w:w w:val="85"/>
              </w:rPr>
              <w:t>Subsidiaries</w:t>
            </w:r>
          </w:p>
        </w:tc>
        <w:tc>
          <w:tcPr>
            <w:tcW w:w="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ind w:right="92"/>
              <w:spacing w:after="0"/>
              <w:rPr>
                <w:sz w:val="20"/>
                <w:szCs w:val="20"/>
                <w:color w:val="auto"/>
              </w:rPr>
            </w:pPr>
            <w:r>
              <w:rPr>
                <w:rFonts w:ascii="Arial" w:cs="Arial" w:eastAsia="Arial" w:hAnsi="Arial"/>
                <w:sz w:val="18"/>
                <w:szCs w:val="18"/>
                <w:b w:val="1"/>
                <w:bCs w:val="1"/>
                <w:color w:val="auto"/>
                <w:w w:val="87"/>
              </w:rPr>
              <w:t>Eliminations</w:t>
            </w:r>
          </w:p>
        </w:tc>
        <w:tc>
          <w:tcPr>
            <w:tcW w:w="440" w:type="dxa"/>
            <w:vAlign w:val="bottom"/>
          </w:tcPr>
          <w:p>
            <w:pPr>
              <w:spacing w:after="0"/>
              <w:rPr>
                <w:sz w:val="19"/>
                <w:szCs w:val="19"/>
                <w:color w:val="auto"/>
              </w:rPr>
            </w:pPr>
          </w:p>
        </w:tc>
        <w:tc>
          <w:tcPr>
            <w:tcW w:w="1260" w:type="dxa"/>
            <w:vAlign w:val="bottom"/>
            <w:gridSpan w:val="3"/>
          </w:tcPr>
          <w:p>
            <w:pPr>
              <w:ind w:left="100"/>
              <w:spacing w:after="0"/>
              <w:rPr>
                <w:sz w:val="20"/>
                <w:szCs w:val="20"/>
                <w:color w:val="auto"/>
              </w:rPr>
            </w:pPr>
            <w:r>
              <w:rPr>
                <w:rFonts w:ascii="Arial" w:cs="Arial" w:eastAsia="Arial" w:hAnsi="Arial"/>
                <w:sz w:val="18"/>
                <w:szCs w:val="18"/>
                <w:b w:val="1"/>
                <w:bCs w:val="1"/>
                <w:color w:val="auto"/>
                <w:w w:val="99"/>
              </w:rPr>
              <w:t>Consolidated</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jc w:val="right"/>
              <w:ind w:right="33"/>
              <w:spacing w:after="0" w:line="143" w:lineRule="exact"/>
              <w:rPr>
                <w:sz w:val="20"/>
                <w:szCs w:val="20"/>
                <w:color w:val="auto"/>
              </w:rPr>
            </w:pPr>
            <w:r>
              <w:rPr>
                <w:rFonts w:ascii="Arial" w:cs="Arial" w:eastAsia="Arial" w:hAnsi="Arial"/>
                <w:sz w:val="14"/>
                <w:szCs w:val="14"/>
                <w:b w:val="1"/>
                <w:bCs w:val="1"/>
                <w:color w:val="auto"/>
                <w:w w:val="91"/>
              </w:rPr>
              <w:t>(in thousands)</w:t>
            </w:r>
          </w:p>
        </w:tc>
        <w:tc>
          <w:tcPr>
            <w:tcW w:w="44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shd w:val="clear" w:color="auto" w:fill="CCEEFF"/>
          </w:tcPr>
          <w:p>
            <w:pPr>
              <w:ind w:left="1240"/>
              <w:spacing w:after="0"/>
              <w:rPr>
                <w:sz w:val="20"/>
                <w:szCs w:val="20"/>
                <w:color w:val="auto"/>
              </w:rPr>
            </w:pPr>
            <w:r>
              <w:rPr>
                <w:rFonts w:ascii="Arial" w:cs="Arial" w:eastAsia="Arial" w:hAnsi="Arial"/>
                <w:sz w:val="18"/>
                <w:szCs w:val="18"/>
                <w:b w:val="1"/>
                <w:bCs w:val="1"/>
                <w:color w:val="auto"/>
              </w:rPr>
              <w:t>ASSETS</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tcPr>
          <w:p>
            <w:pPr>
              <w:spacing w:after="0"/>
              <w:rPr>
                <w:sz w:val="20"/>
                <w:szCs w:val="20"/>
                <w:color w:val="auto"/>
              </w:rPr>
            </w:pPr>
            <w:r>
              <w:rPr>
                <w:rFonts w:ascii="Arial" w:cs="Arial" w:eastAsia="Arial" w:hAnsi="Arial"/>
                <w:sz w:val="18"/>
                <w:szCs w:val="18"/>
                <w:color w:val="auto"/>
              </w:rPr>
              <w:t>Current assets</w:t>
            </w: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18,517</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center"/>
              <w:ind w:left="232"/>
              <w:spacing w:after="0"/>
              <w:rPr>
                <w:sz w:val="20"/>
                <w:szCs w:val="20"/>
                <w:color w:val="auto"/>
              </w:rPr>
            </w:pPr>
            <w:r>
              <w:rPr>
                <w:rFonts w:ascii="Arial" w:cs="Arial" w:eastAsia="Arial" w:hAnsi="Arial"/>
                <w:sz w:val="18"/>
                <w:szCs w:val="18"/>
                <w:color w:val="auto"/>
                <w:w w:val="99"/>
              </w:rPr>
              <w: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129,597</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148,114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tcPr>
          <w:p>
            <w:pPr>
              <w:ind w:left="420"/>
              <w:spacing w:after="0"/>
              <w:rPr>
                <w:sz w:val="20"/>
                <w:szCs w:val="20"/>
                <w:color w:val="auto"/>
              </w:rPr>
            </w:pPr>
            <w:r>
              <w:rPr>
                <w:rFonts w:ascii="Arial" w:cs="Arial" w:eastAsia="Arial" w:hAnsi="Arial"/>
                <w:sz w:val="18"/>
                <w:szCs w:val="18"/>
                <w:color w:val="auto"/>
              </w:rPr>
              <w:t>Accounts receivable, net</w:t>
            </w:r>
          </w:p>
        </w:tc>
        <w:tc>
          <w:tcPr>
            <w:tcW w:w="260" w:type="dxa"/>
            <w:vAlign w:val="bottom"/>
          </w:tcPr>
          <w:p>
            <w:pPr>
              <w:spacing w:after="0"/>
              <w:rPr>
                <w:sz w:val="18"/>
                <w:szCs w:val="18"/>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157,970</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center"/>
              <w:ind w:left="232"/>
              <w:spacing w:after="0"/>
              <w:rPr>
                <w:sz w:val="20"/>
                <w:szCs w:val="20"/>
                <w:color w:val="auto"/>
              </w:rPr>
            </w:pPr>
            <w:r>
              <w:rPr>
                <w:rFonts w:ascii="Arial" w:cs="Arial" w:eastAsia="Arial" w:hAnsi="Arial"/>
                <w:sz w:val="18"/>
                <w:szCs w:val="18"/>
                <w:color w:val="auto"/>
                <w:w w:val="99"/>
              </w:rPr>
              <w:t>-</w:t>
            </w: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225,844</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right"/>
              <w:ind w:right="212"/>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383,814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Intercompany accounts receivable</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5,821</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center"/>
              <w:ind w:left="232"/>
              <w:spacing w:after="0"/>
              <w:rPr>
                <w:sz w:val="20"/>
                <w:szCs w:val="20"/>
                <w:color w:val="auto"/>
              </w:rPr>
            </w:pPr>
            <w:r>
              <w:rPr>
                <w:rFonts w:ascii="Arial" w:cs="Arial" w:eastAsia="Arial" w:hAnsi="Arial"/>
                <w:sz w:val="18"/>
                <w:szCs w:val="18"/>
                <w:color w:val="auto"/>
                <w:w w:val="99"/>
              </w:rPr>
              <w:t>-</w:t>
            </w: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1,350</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(7,171)</w:t>
            </w: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center"/>
              <w:ind w:left="152"/>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tcPr>
          <w:p>
            <w:pPr>
              <w:ind w:left="420"/>
              <w:spacing w:after="0"/>
              <w:rPr>
                <w:sz w:val="20"/>
                <w:szCs w:val="20"/>
                <w:color w:val="auto"/>
              </w:rPr>
            </w:pPr>
            <w:r>
              <w:rPr>
                <w:rFonts w:ascii="Arial" w:cs="Arial" w:eastAsia="Arial" w:hAnsi="Arial"/>
                <w:sz w:val="18"/>
                <w:szCs w:val="18"/>
                <w:color w:val="auto"/>
              </w:rPr>
              <w:t>Inventories</w:t>
            </w:r>
          </w:p>
        </w:tc>
        <w:tc>
          <w:tcPr>
            <w:tcW w:w="260" w:type="dxa"/>
            <w:vAlign w:val="bottom"/>
          </w:tcPr>
          <w:p>
            <w:pPr>
              <w:spacing w:after="0"/>
              <w:rPr>
                <w:sz w:val="18"/>
                <w:szCs w:val="18"/>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112,223</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center"/>
              <w:ind w:left="232"/>
              <w:spacing w:after="0"/>
              <w:rPr>
                <w:sz w:val="20"/>
                <w:szCs w:val="20"/>
                <w:color w:val="auto"/>
              </w:rPr>
            </w:pPr>
            <w:r>
              <w:rPr>
                <w:rFonts w:ascii="Arial" w:cs="Arial" w:eastAsia="Arial" w:hAnsi="Arial"/>
                <w:sz w:val="18"/>
                <w:szCs w:val="18"/>
                <w:color w:val="auto"/>
                <w:w w:val="99"/>
              </w:rPr>
              <w:t>-</w:t>
            </w: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114,160</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(618)</w:t>
            </w: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225,765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tax assets current, net</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11,952</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center"/>
              <w:ind w:left="232"/>
              <w:spacing w:after="0"/>
              <w:rPr>
                <w:sz w:val="20"/>
                <w:szCs w:val="20"/>
                <w:color w:val="auto"/>
              </w:rPr>
            </w:pPr>
            <w:r>
              <w:rPr>
                <w:rFonts w:ascii="Arial" w:cs="Arial" w:eastAsia="Arial" w:hAnsi="Arial"/>
                <w:sz w:val="18"/>
                <w:szCs w:val="18"/>
                <w:color w:val="auto"/>
                <w:w w:val="99"/>
              </w:rPr>
              <w:t>-</w:t>
            </w: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11,013</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22,965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tcPr>
          <w:p>
            <w:pPr>
              <w:ind w:left="420"/>
              <w:spacing w:after="0"/>
              <w:rPr>
                <w:sz w:val="20"/>
                <w:szCs w:val="20"/>
                <w:color w:val="auto"/>
              </w:rPr>
            </w:pPr>
            <w:r>
              <w:rPr>
                <w:rFonts w:ascii="Arial" w:cs="Arial" w:eastAsia="Arial" w:hAnsi="Arial"/>
                <w:sz w:val="18"/>
                <w:szCs w:val="18"/>
                <w:color w:val="auto"/>
              </w:rPr>
              <w:t>Other current assets</w:t>
            </w:r>
          </w:p>
        </w:tc>
        <w:tc>
          <w:tcPr>
            <w:tcW w:w="260" w:type="dxa"/>
            <w:vAlign w:val="bottom"/>
          </w:tcPr>
          <w:p>
            <w:pPr>
              <w:spacing w:after="0"/>
              <w:rPr>
                <w:sz w:val="18"/>
                <w:szCs w:val="18"/>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20,110</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center"/>
              <w:ind w:left="232"/>
              <w:spacing w:after="0"/>
              <w:rPr>
                <w:sz w:val="20"/>
                <w:szCs w:val="20"/>
                <w:color w:val="auto"/>
              </w:rPr>
            </w:pPr>
            <w:r>
              <w:rPr>
                <w:rFonts w:ascii="Arial" w:cs="Arial" w:eastAsia="Arial" w:hAnsi="Arial"/>
                <w:sz w:val="18"/>
                <w:szCs w:val="18"/>
                <w:color w:val="auto"/>
                <w:w w:val="99"/>
              </w:rPr>
              <w:t>-</w:t>
            </w: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52,261</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right"/>
              <w:ind w:right="212"/>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72,371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Intercompany other</w:t>
            </w:r>
          </w:p>
        </w:tc>
        <w:tc>
          <w:tcPr>
            <w:tcW w:w="2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2,021</w:t>
            </w:r>
          </w:p>
        </w:tc>
        <w:tc>
          <w:tcPr>
            <w:tcW w:w="4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888</w:t>
            </w:r>
          </w:p>
        </w:tc>
        <w:tc>
          <w:tcPr>
            <w:tcW w:w="4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2</w:t>
            </w:r>
          </w:p>
        </w:tc>
        <w:tc>
          <w:tcPr>
            <w:tcW w:w="4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(2,911)</w:t>
            </w:r>
          </w:p>
        </w:tc>
        <w:tc>
          <w:tcPr>
            <w:tcW w:w="44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center"/>
              <w:ind w:left="152"/>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3500" w:type="dxa"/>
            <w:vAlign w:val="bottom"/>
          </w:tcPr>
          <w:p>
            <w:pPr>
              <w:ind w:left="860"/>
              <w:spacing w:after="0"/>
              <w:rPr>
                <w:sz w:val="20"/>
                <w:szCs w:val="20"/>
                <w:color w:val="auto"/>
              </w:rPr>
            </w:pPr>
            <w:r>
              <w:rPr>
                <w:rFonts w:ascii="Arial" w:cs="Arial" w:eastAsia="Arial" w:hAnsi="Arial"/>
                <w:sz w:val="18"/>
                <w:szCs w:val="18"/>
                <w:color w:val="auto"/>
              </w:rPr>
              <w:t>Total current assets</w:t>
            </w:r>
          </w:p>
        </w:tc>
        <w:tc>
          <w:tcPr>
            <w:tcW w:w="260" w:type="dxa"/>
            <w:vAlign w:val="bottom"/>
          </w:tcPr>
          <w:p>
            <w:pPr>
              <w:spacing w:after="0"/>
              <w:rPr>
                <w:sz w:val="19"/>
                <w:szCs w:val="19"/>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328,614</w:t>
            </w:r>
          </w:p>
        </w:tc>
        <w:tc>
          <w:tcPr>
            <w:tcW w:w="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ind w:right="52"/>
              <w:spacing w:after="0"/>
              <w:rPr>
                <w:sz w:val="20"/>
                <w:szCs w:val="20"/>
                <w:color w:val="auto"/>
              </w:rPr>
            </w:pPr>
            <w:r>
              <w:rPr>
                <w:rFonts w:ascii="Arial" w:cs="Arial" w:eastAsia="Arial" w:hAnsi="Arial"/>
                <w:sz w:val="18"/>
                <w:szCs w:val="18"/>
                <w:color w:val="auto"/>
              </w:rPr>
              <w:t>888</w:t>
            </w: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534,227</w:t>
            </w:r>
          </w:p>
        </w:tc>
        <w:tc>
          <w:tcPr>
            <w:tcW w:w="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(10,700)</w:t>
            </w:r>
          </w:p>
        </w:tc>
        <w:tc>
          <w:tcPr>
            <w:tcW w:w="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853,029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3500" w:type="dxa"/>
            <w:vAlign w:val="bottom"/>
          </w:tcPr>
          <w:p>
            <w:pPr>
              <w:spacing w:after="0"/>
              <w:rPr>
                <w:sz w:val="9"/>
                <w:szCs w:val="9"/>
                <w:color w:val="auto"/>
              </w:rPr>
            </w:pPr>
          </w:p>
        </w:tc>
        <w:tc>
          <w:tcPr>
            <w:tcW w:w="260" w:type="dxa"/>
            <w:vAlign w:val="bottom"/>
          </w:tcPr>
          <w:p>
            <w:pPr>
              <w:spacing w:after="0"/>
              <w:rPr>
                <w:sz w:val="9"/>
                <w:szCs w:val="9"/>
                <w:color w:val="auto"/>
              </w:rPr>
            </w:pPr>
          </w:p>
        </w:tc>
        <w:tc>
          <w:tcPr>
            <w:tcW w:w="9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80" w:type="dxa"/>
            <w:vAlign w:val="bottom"/>
          </w:tcPr>
          <w:p>
            <w:pPr>
              <w:spacing w:after="0"/>
              <w:rPr>
                <w:sz w:val="9"/>
                <w:szCs w:val="9"/>
                <w:color w:val="auto"/>
              </w:rPr>
            </w:pPr>
          </w:p>
        </w:tc>
        <w:tc>
          <w:tcPr>
            <w:tcW w:w="98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440" w:type="dxa"/>
            <w:vAlign w:val="bottom"/>
          </w:tcPr>
          <w:p>
            <w:pPr>
              <w:spacing w:after="0"/>
              <w:rPr>
                <w:sz w:val="9"/>
                <w:szCs w:val="9"/>
                <w:color w:val="auto"/>
              </w:rPr>
            </w:pPr>
          </w:p>
        </w:tc>
        <w:tc>
          <w:tcPr>
            <w:tcW w:w="26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 net</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116,610</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center"/>
              <w:ind w:left="232"/>
              <w:spacing w:after="0"/>
              <w:rPr>
                <w:sz w:val="20"/>
                <w:szCs w:val="20"/>
                <w:color w:val="auto"/>
              </w:rPr>
            </w:pPr>
            <w:r>
              <w:rPr>
                <w:rFonts w:ascii="Arial" w:cs="Arial" w:eastAsia="Arial" w:hAnsi="Arial"/>
                <w:sz w:val="18"/>
                <w:szCs w:val="18"/>
                <w:color w:val="auto"/>
                <w:w w:val="99"/>
              </w:rPr>
              <w:t>-</w:t>
            </w: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185,696</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302,306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tcPr>
          <w:p>
            <w:pPr>
              <w:spacing w:after="0"/>
              <w:rPr>
                <w:sz w:val="20"/>
                <w:szCs w:val="20"/>
                <w:color w:val="auto"/>
              </w:rPr>
            </w:pPr>
            <w:r>
              <w:rPr>
                <w:rFonts w:ascii="Arial" w:cs="Arial" w:eastAsia="Arial" w:hAnsi="Arial"/>
                <w:sz w:val="18"/>
                <w:szCs w:val="18"/>
                <w:color w:val="auto"/>
              </w:rPr>
              <w:t>Prepaid debt fees</w:t>
            </w:r>
          </w:p>
        </w:tc>
        <w:tc>
          <w:tcPr>
            <w:tcW w:w="260" w:type="dxa"/>
            <w:vAlign w:val="bottom"/>
          </w:tcPr>
          <w:p>
            <w:pPr>
              <w:spacing w:after="0"/>
              <w:rPr>
                <w:sz w:val="18"/>
                <w:szCs w:val="18"/>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5,704</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center"/>
              <w:ind w:left="232"/>
              <w:spacing w:after="0"/>
              <w:rPr>
                <w:sz w:val="20"/>
                <w:szCs w:val="20"/>
                <w:color w:val="auto"/>
              </w:rPr>
            </w:pPr>
            <w:r>
              <w:rPr>
                <w:rFonts w:ascii="Arial" w:cs="Arial" w:eastAsia="Arial" w:hAnsi="Arial"/>
                <w:sz w:val="18"/>
                <w:szCs w:val="18"/>
                <w:color w:val="auto"/>
                <w:w w:val="99"/>
              </w:rPr>
              <w:t>-</w:t>
            </w: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213"/>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right"/>
              <w:ind w:right="212"/>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5,704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 noncurrent, net</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28,038</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center"/>
              <w:ind w:left="232"/>
              <w:spacing w:after="0"/>
              <w:rPr>
                <w:sz w:val="20"/>
                <w:szCs w:val="20"/>
                <w:color w:val="auto"/>
              </w:rPr>
            </w:pPr>
            <w:r>
              <w:rPr>
                <w:rFonts w:ascii="Arial" w:cs="Arial" w:eastAsia="Arial" w:hAnsi="Arial"/>
                <w:sz w:val="18"/>
                <w:szCs w:val="18"/>
                <w:color w:val="auto"/>
                <w:w w:val="99"/>
              </w:rPr>
              <w:t>-</w:t>
            </w: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21,574</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49,612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tcPr>
          <w:p>
            <w:pPr>
              <w:spacing w:after="0"/>
              <w:rPr>
                <w:sz w:val="20"/>
                <w:szCs w:val="20"/>
                <w:color w:val="auto"/>
              </w:rPr>
            </w:pPr>
            <w:r>
              <w:rPr>
                <w:rFonts w:ascii="Arial" w:cs="Arial" w:eastAsia="Arial" w:hAnsi="Arial"/>
                <w:sz w:val="18"/>
                <w:szCs w:val="18"/>
                <w:color w:val="auto"/>
              </w:rPr>
              <w:t>Other noncurrent assets</w:t>
            </w:r>
          </w:p>
        </w:tc>
        <w:tc>
          <w:tcPr>
            <w:tcW w:w="260" w:type="dxa"/>
            <w:vAlign w:val="bottom"/>
          </w:tcPr>
          <w:p>
            <w:pPr>
              <w:spacing w:after="0"/>
              <w:rPr>
                <w:sz w:val="18"/>
                <w:szCs w:val="18"/>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4,368</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center"/>
              <w:ind w:left="232"/>
              <w:spacing w:after="0"/>
              <w:rPr>
                <w:sz w:val="20"/>
                <w:szCs w:val="20"/>
                <w:color w:val="auto"/>
              </w:rPr>
            </w:pPr>
            <w:r>
              <w:rPr>
                <w:rFonts w:ascii="Arial" w:cs="Arial" w:eastAsia="Arial" w:hAnsi="Arial"/>
                <w:sz w:val="18"/>
                <w:szCs w:val="18"/>
                <w:color w:val="auto"/>
                <w:w w:val="99"/>
              </w:rPr>
              <w:t>-</w:t>
            </w: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11,930</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right"/>
              <w:ind w:right="212"/>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16,298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45,914</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center"/>
              <w:ind w:left="232"/>
              <w:spacing w:after="0"/>
              <w:rPr>
                <w:sz w:val="20"/>
                <w:szCs w:val="20"/>
                <w:color w:val="auto"/>
              </w:rPr>
            </w:pPr>
            <w:r>
              <w:rPr>
                <w:rFonts w:ascii="Arial" w:cs="Arial" w:eastAsia="Arial" w:hAnsi="Arial"/>
                <w:sz w:val="18"/>
                <w:szCs w:val="18"/>
                <w:color w:val="auto"/>
                <w:w w:val="99"/>
              </w:rPr>
              <w:t>-</w:t>
            </w: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269,842</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315,756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tcPr>
          <w:p>
            <w:pPr>
              <w:spacing w:after="0"/>
              <w:rPr>
                <w:sz w:val="20"/>
                <w:szCs w:val="20"/>
                <w:color w:val="auto"/>
              </w:rPr>
            </w:pPr>
            <w:r>
              <w:rPr>
                <w:rFonts w:ascii="Arial" w:cs="Arial" w:eastAsia="Arial" w:hAnsi="Arial"/>
                <w:sz w:val="18"/>
                <w:szCs w:val="18"/>
                <w:color w:val="auto"/>
              </w:rPr>
              <w:t>Goodwill</w:t>
            </w:r>
          </w:p>
        </w:tc>
        <w:tc>
          <w:tcPr>
            <w:tcW w:w="260" w:type="dxa"/>
            <w:vAlign w:val="bottom"/>
          </w:tcPr>
          <w:p>
            <w:pPr>
              <w:spacing w:after="0"/>
              <w:rPr>
                <w:sz w:val="18"/>
                <w:szCs w:val="18"/>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184,751</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center"/>
              <w:ind w:left="232"/>
              <w:spacing w:after="0"/>
              <w:rPr>
                <w:sz w:val="20"/>
                <w:szCs w:val="20"/>
                <w:color w:val="auto"/>
              </w:rPr>
            </w:pPr>
            <w:r>
              <w:rPr>
                <w:rFonts w:ascii="Arial" w:cs="Arial" w:eastAsia="Arial" w:hAnsi="Arial"/>
                <w:sz w:val="18"/>
                <w:szCs w:val="18"/>
                <w:color w:val="auto"/>
                <w:w w:val="99"/>
              </w:rPr>
              <w:t>-</w:t>
            </w: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1,051,832</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right"/>
              <w:ind w:right="212"/>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w w:val="94"/>
              </w:rPr>
              <w:t>1,236,583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Investment in subsidiaries</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317,383</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center"/>
              <w:ind w:left="232"/>
              <w:spacing w:after="0"/>
              <w:rPr>
                <w:sz w:val="20"/>
                <w:szCs w:val="20"/>
                <w:color w:val="auto"/>
              </w:rPr>
            </w:pPr>
            <w:r>
              <w:rPr>
                <w:rFonts w:ascii="Arial" w:cs="Arial" w:eastAsia="Arial" w:hAnsi="Arial"/>
                <w:sz w:val="18"/>
                <w:szCs w:val="18"/>
                <w:color w:val="auto"/>
                <w:w w:val="99"/>
              </w:rPr>
              <w:t>-</w:t>
            </w: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213"/>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(317,383)</w:t>
            </w: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center"/>
              <w:ind w:left="152"/>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500" w:type="dxa"/>
            <w:vAlign w:val="bottom"/>
          </w:tcPr>
          <w:p>
            <w:pPr>
              <w:spacing w:after="0"/>
              <w:rPr>
                <w:sz w:val="20"/>
                <w:szCs w:val="20"/>
                <w:color w:val="auto"/>
              </w:rPr>
            </w:pPr>
            <w:r>
              <w:rPr>
                <w:rFonts w:ascii="Arial" w:cs="Arial" w:eastAsia="Arial" w:hAnsi="Arial"/>
                <w:sz w:val="18"/>
                <w:szCs w:val="18"/>
                <w:color w:val="auto"/>
              </w:rPr>
              <w:t>Intercompany notes receivable</w:t>
            </w: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w w:val="97"/>
              </w:rPr>
              <w:t>1,317,923</w:t>
            </w:r>
          </w:p>
        </w:tc>
        <w:tc>
          <w:tcPr>
            <w:tcW w:w="4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99,703</w:t>
            </w:r>
          </w:p>
        </w:tc>
        <w:tc>
          <w:tcPr>
            <w:tcW w:w="4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213"/>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(1,417,626)</w:t>
            </w:r>
          </w:p>
        </w:tc>
        <w:tc>
          <w:tcPr>
            <w:tcW w:w="4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center"/>
              <w:ind w:left="152"/>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assets</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97"/>
              </w:rPr>
              <w:t>2,349,305</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100,591</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2,075,101</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(1,745,709)</w:t>
            </w:r>
          </w:p>
        </w:tc>
        <w:tc>
          <w:tcPr>
            <w:tcW w:w="7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94"/>
              </w:rPr>
              <w:t>2,779,288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00" w:type="dxa"/>
            <w:vAlign w:val="bottom"/>
            <w:vMerge w:val="restart"/>
          </w:tcPr>
          <w:p>
            <w:pPr>
              <w:ind w:left="420"/>
              <w:spacing w:after="0"/>
              <w:rPr>
                <w:sz w:val="20"/>
                <w:szCs w:val="20"/>
                <w:color w:val="auto"/>
              </w:rPr>
            </w:pPr>
            <w:r>
              <w:rPr>
                <w:rFonts w:ascii="Arial" w:cs="Arial" w:eastAsia="Arial" w:hAnsi="Arial"/>
                <w:sz w:val="18"/>
                <w:szCs w:val="18"/>
                <w:b w:val="1"/>
                <w:bCs w:val="1"/>
                <w:color w:val="auto"/>
              </w:rPr>
              <w:t>LIABILITIES AND</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350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500" w:type="dxa"/>
            <w:vAlign w:val="bottom"/>
          </w:tcPr>
          <w:p>
            <w:pPr>
              <w:ind w:left="640"/>
              <w:spacing w:after="0"/>
              <w:rPr>
                <w:sz w:val="20"/>
                <w:szCs w:val="20"/>
                <w:color w:val="auto"/>
              </w:rPr>
            </w:pPr>
            <w:r>
              <w:rPr>
                <w:rFonts w:ascii="Arial" w:cs="Arial" w:eastAsia="Arial" w:hAnsi="Arial"/>
                <w:sz w:val="18"/>
                <w:szCs w:val="18"/>
                <w:b w:val="1"/>
                <w:bCs w:val="1"/>
                <w:color w:val="auto"/>
              </w:rPr>
              <w:t>SHAREHOLDERS’ EQUITY</w:t>
            </w: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tcPr>
          <w:p>
            <w:pPr>
              <w:ind w:left="420"/>
              <w:spacing w:after="0"/>
              <w:rPr>
                <w:sz w:val="20"/>
                <w:szCs w:val="20"/>
                <w:color w:val="auto"/>
              </w:rPr>
            </w:pPr>
            <w:r>
              <w:rPr>
                <w:rFonts w:ascii="Arial" w:cs="Arial" w:eastAsia="Arial" w:hAnsi="Arial"/>
                <w:sz w:val="18"/>
                <w:szCs w:val="18"/>
                <w:color w:val="auto"/>
              </w:rPr>
              <w:t>Accounts payable</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74,970</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center"/>
              <w:ind w:left="232"/>
              <w:spacing w:after="0"/>
              <w:rPr>
                <w:sz w:val="20"/>
                <w:szCs w:val="20"/>
                <w:color w:val="auto"/>
              </w:rPr>
            </w:pPr>
            <w:r>
              <w:rPr>
                <w:rFonts w:ascii="Arial" w:cs="Arial" w:eastAsia="Arial" w:hAnsi="Arial"/>
                <w:sz w:val="18"/>
                <w:szCs w:val="18"/>
                <w:color w:val="auto"/>
                <w:w w:val="99"/>
              </w:rPr>
              <w:t>-</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163,125</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212"/>
              <w:spacing w:after="0"/>
              <w:rPr>
                <w:sz w:val="20"/>
                <w:szCs w:val="20"/>
                <w:color w:val="auto"/>
              </w:rPr>
            </w:pPr>
            <w:r>
              <w:rPr>
                <w:rFonts w:ascii="Arial" w:cs="Arial" w:eastAsia="Arial" w:hAnsi="Arial"/>
                <w:sz w:val="18"/>
                <w:szCs w:val="18"/>
                <w:color w:val="auto"/>
              </w:rPr>
              <w:t>-</w:t>
            </w:r>
          </w:p>
        </w:tc>
        <w:tc>
          <w:tcPr>
            <w:tcW w:w="70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238,095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current liabilities</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14,723</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center"/>
              <w:ind w:left="232"/>
              <w:spacing w:after="0"/>
              <w:rPr>
                <w:sz w:val="20"/>
                <w:szCs w:val="20"/>
                <w:color w:val="auto"/>
              </w:rPr>
            </w:pPr>
            <w:r>
              <w:rPr>
                <w:rFonts w:ascii="Arial" w:cs="Arial" w:eastAsia="Arial" w:hAnsi="Arial"/>
                <w:sz w:val="18"/>
                <w:szCs w:val="18"/>
                <w:color w:val="auto"/>
                <w:w w:val="99"/>
              </w:rPr>
              <w:t>-</w:t>
            </w: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45,083</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59,806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tcPr>
          <w:p>
            <w:pPr>
              <w:ind w:left="420"/>
              <w:spacing w:after="0"/>
              <w:rPr>
                <w:sz w:val="20"/>
                <w:szCs w:val="20"/>
                <w:color w:val="auto"/>
              </w:rPr>
            </w:pPr>
            <w:r>
              <w:rPr>
                <w:rFonts w:ascii="Arial" w:cs="Arial" w:eastAsia="Arial" w:hAnsi="Arial"/>
                <w:sz w:val="18"/>
                <w:szCs w:val="18"/>
                <w:color w:val="auto"/>
              </w:rPr>
              <w:t>Intercompany accounts payable</w:t>
            </w:r>
          </w:p>
        </w:tc>
        <w:tc>
          <w:tcPr>
            <w:tcW w:w="260" w:type="dxa"/>
            <w:vAlign w:val="bottom"/>
          </w:tcPr>
          <w:p>
            <w:pPr>
              <w:spacing w:after="0"/>
              <w:rPr>
                <w:sz w:val="18"/>
                <w:szCs w:val="18"/>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1,389</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center"/>
              <w:ind w:left="232"/>
              <w:spacing w:after="0"/>
              <w:rPr>
                <w:sz w:val="20"/>
                <w:szCs w:val="20"/>
                <w:color w:val="auto"/>
              </w:rPr>
            </w:pPr>
            <w:r>
              <w:rPr>
                <w:rFonts w:ascii="Arial" w:cs="Arial" w:eastAsia="Arial" w:hAnsi="Arial"/>
                <w:sz w:val="18"/>
                <w:szCs w:val="18"/>
                <w:color w:val="auto"/>
                <w:w w:val="99"/>
              </w:rPr>
              <w:t>-</w:t>
            </w: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5,782</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(7,171)</w:t>
            </w: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center"/>
              <w:ind w:left="152"/>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Wages and benefits payable</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42,018</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center"/>
              <w:ind w:left="232"/>
              <w:spacing w:after="0"/>
              <w:rPr>
                <w:sz w:val="20"/>
                <w:szCs w:val="20"/>
                <w:color w:val="auto"/>
              </w:rPr>
            </w:pPr>
            <w:r>
              <w:rPr>
                <w:rFonts w:ascii="Arial" w:cs="Arial" w:eastAsia="Arial" w:hAnsi="Arial"/>
                <w:sz w:val="18"/>
                <w:szCs w:val="18"/>
                <w:color w:val="auto"/>
                <w:w w:val="99"/>
              </w:rPr>
              <w:t>-</w:t>
            </w: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54,695</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96,713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tcPr>
          <w:p>
            <w:pPr>
              <w:ind w:left="420"/>
              <w:spacing w:after="0"/>
              <w:rPr>
                <w:sz w:val="20"/>
                <w:szCs w:val="20"/>
                <w:color w:val="auto"/>
              </w:rPr>
            </w:pPr>
            <w:r>
              <w:rPr>
                <w:rFonts w:ascii="Arial" w:cs="Arial" w:eastAsia="Arial" w:hAnsi="Arial"/>
                <w:sz w:val="18"/>
                <w:szCs w:val="18"/>
                <w:color w:val="auto"/>
              </w:rPr>
              <w:t>Taxes payable</w:t>
            </w:r>
          </w:p>
        </w:tc>
        <w:tc>
          <w:tcPr>
            <w:tcW w:w="260" w:type="dxa"/>
            <w:vAlign w:val="bottom"/>
          </w:tcPr>
          <w:p>
            <w:pPr>
              <w:spacing w:after="0"/>
              <w:rPr>
                <w:sz w:val="18"/>
                <w:szCs w:val="18"/>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1,500</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center"/>
              <w:ind w:left="232"/>
              <w:spacing w:after="0"/>
              <w:rPr>
                <w:sz w:val="20"/>
                <w:szCs w:val="20"/>
                <w:color w:val="auto"/>
              </w:rPr>
            </w:pPr>
            <w:r>
              <w:rPr>
                <w:rFonts w:ascii="Arial" w:cs="Arial" w:eastAsia="Arial" w:hAnsi="Arial"/>
                <w:sz w:val="18"/>
                <w:szCs w:val="18"/>
                <w:color w:val="auto"/>
                <w:w w:val="99"/>
              </w:rPr>
              <w:t>-</w:t>
            </w: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21,379</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right"/>
              <w:ind w:right="212"/>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22,879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Current portion of debt</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226,246</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center"/>
              <w:ind w:left="232"/>
              <w:spacing w:after="0"/>
              <w:rPr>
                <w:sz w:val="20"/>
                <w:szCs w:val="20"/>
                <w:color w:val="auto"/>
              </w:rPr>
            </w:pPr>
            <w:r>
              <w:rPr>
                <w:rFonts w:ascii="Arial" w:cs="Arial" w:eastAsia="Arial" w:hAnsi="Arial"/>
                <w:sz w:val="18"/>
                <w:szCs w:val="18"/>
                <w:color w:val="auto"/>
                <w:w w:val="99"/>
              </w:rPr>
              <w:t>-</w:t>
            </w: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213"/>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226,246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tcPr>
          <w:p>
            <w:pPr>
              <w:ind w:left="420"/>
              <w:spacing w:after="0"/>
              <w:rPr>
                <w:sz w:val="20"/>
                <w:szCs w:val="20"/>
                <w:color w:val="auto"/>
              </w:rPr>
            </w:pPr>
            <w:r>
              <w:rPr>
                <w:rFonts w:ascii="Arial" w:cs="Arial" w:eastAsia="Arial" w:hAnsi="Arial"/>
                <w:sz w:val="18"/>
                <w:szCs w:val="18"/>
                <w:color w:val="auto"/>
              </w:rPr>
              <w:t>Current portion of warranty</w:t>
            </w:r>
          </w:p>
        </w:tc>
        <w:tc>
          <w:tcPr>
            <w:tcW w:w="260" w:type="dxa"/>
            <w:vAlign w:val="bottom"/>
          </w:tcPr>
          <w:p>
            <w:pPr>
              <w:spacing w:after="0"/>
              <w:rPr>
                <w:sz w:val="18"/>
                <w:szCs w:val="18"/>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11,498</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center"/>
              <w:ind w:left="232"/>
              <w:spacing w:after="0"/>
              <w:rPr>
                <w:sz w:val="20"/>
                <w:szCs w:val="20"/>
                <w:color w:val="auto"/>
              </w:rPr>
            </w:pPr>
            <w:r>
              <w:rPr>
                <w:rFonts w:ascii="Arial" w:cs="Arial" w:eastAsia="Arial" w:hAnsi="Arial"/>
                <w:sz w:val="18"/>
                <w:szCs w:val="18"/>
                <w:color w:val="auto"/>
                <w:w w:val="99"/>
              </w:rPr>
              <w:t>-</w:t>
            </w: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16,734</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right"/>
              <w:ind w:right="212"/>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28,232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Unearned revenue</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23,896</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center"/>
              <w:ind w:left="232"/>
              <w:spacing w:after="0"/>
              <w:rPr>
                <w:sz w:val="20"/>
                <w:szCs w:val="20"/>
                <w:color w:val="auto"/>
              </w:rPr>
            </w:pPr>
            <w:r>
              <w:rPr>
                <w:rFonts w:ascii="Arial" w:cs="Arial" w:eastAsia="Arial" w:hAnsi="Arial"/>
                <w:sz w:val="18"/>
                <w:szCs w:val="18"/>
                <w:color w:val="auto"/>
                <w:w w:val="99"/>
              </w:rPr>
              <w:t>-</w:t>
            </w: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6,853</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30,749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tcPr>
          <w:p>
            <w:pPr>
              <w:ind w:left="420"/>
              <w:spacing w:after="0"/>
              <w:rPr>
                <w:sz w:val="20"/>
                <w:szCs w:val="20"/>
                <w:color w:val="auto"/>
              </w:rPr>
            </w:pPr>
            <w:r>
              <w:rPr>
                <w:rFonts w:ascii="Arial" w:cs="Arial" w:eastAsia="Arial" w:hAnsi="Arial"/>
                <w:sz w:val="18"/>
                <w:szCs w:val="18"/>
                <w:color w:val="auto"/>
              </w:rPr>
              <w:t>Deferred tax liabilities current, net</w:t>
            </w:r>
          </w:p>
        </w:tc>
        <w:tc>
          <w:tcPr>
            <w:tcW w:w="260" w:type="dxa"/>
            <w:vAlign w:val="bottom"/>
          </w:tcPr>
          <w:p>
            <w:pPr>
              <w:spacing w:after="0"/>
              <w:rPr>
                <w:sz w:val="18"/>
                <w:szCs w:val="18"/>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1,015</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center"/>
              <w:ind w:left="232"/>
              <w:spacing w:after="0"/>
              <w:rPr>
                <w:sz w:val="20"/>
                <w:szCs w:val="20"/>
                <w:color w:val="auto"/>
              </w:rPr>
            </w:pPr>
            <w:r>
              <w:rPr>
                <w:rFonts w:ascii="Arial" w:cs="Arial" w:eastAsia="Arial" w:hAnsi="Arial"/>
                <w:sz w:val="18"/>
                <w:szCs w:val="18"/>
                <w:color w:val="auto"/>
                <w:w w:val="99"/>
              </w:rPr>
              <w:t>-</w:t>
            </w: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654</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right"/>
              <w:ind w:right="212"/>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1,669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Short-term intercompany advances</w:t>
            </w:r>
          </w:p>
        </w:tc>
        <w:tc>
          <w:tcPr>
            <w:tcW w:w="2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887</w:t>
            </w:r>
          </w:p>
        </w:tc>
        <w:tc>
          <w:tcPr>
            <w:tcW w:w="4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center"/>
              <w:ind w:left="232"/>
              <w:spacing w:after="0"/>
              <w:rPr>
                <w:sz w:val="20"/>
                <w:szCs w:val="20"/>
                <w:color w:val="auto"/>
              </w:rPr>
            </w:pPr>
            <w:r>
              <w:rPr>
                <w:rFonts w:ascii="Arial" w:cs="Arial" w:eastAsia="Arial" w:hAnsi="Arial"/>
                <w:sz w:val="18"/>
                <w:szCs w:val="18"/>
                <w:color w:val="auto"/>
                <w:w w:val="99"/>
              </w:rPr>
              <w:t>-</w:t>
            </w:r>
          </w:p>
        </w:tc>
        <w:tc>
          <w:tcPr>
            <w:tcW w:w="4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2,024</w:t>
            </w:r>
          </w:p>
        </w:tc>
        <w:tc>
          <w:tcPr>
            <w:tcW w:w="4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(2,911)</w:t>
            </w:r>
          </w:p>
        </w:tc>
        <w:tc>
          <w:tcPr>
            <w:tcW w:w="44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center"/>
              <w:ind w:left="152"/>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3500" w:type="dxa"/>
            <w:vAlign w:val="bottom"/>
          </w:tcPr>
          <w:p>
            <w:pPr>
              <w:ind w:left="860"/>
              <w:spacing w:after="0"/>
              <w:rPr>
                <w:sz w:val="20"/>
                <w:szCs w:val="20"/>
                <w:color w:val="auto"/>
              </w:rPr>
            </w:pPr>
            <w:r>
              <w:rPr>
                <w:rFonts w:ascii="Arial" w:cs="Arial" w:eastAsia="Arial" w:hAnsi="Arial"/>
                <w:sz w:val="18"/>
                <w:szCs w:val="18"/>
                <w:color w:val="auto"/>
              </w:rPr>
              <w:t>Total current liabilities</w:t>
            </w:r>
          </w:p>
        </w:tc>
        <w:tc>
          <w:tcPr>
            <w:tcW w:w="260" w:type="dxa"/>
            <w:vAlign w:val="bottom"/>
          </w:tcPr>
          <w:p>
            <w:pPr>
              <w:spacing w:after="0"/>
              <w:rPr>
                <w:sz w:val="19"/>
                <w:szCs w:val="19"/>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398,142</w:t>
            </w:r>
          </w:p>
        </w:tc>
        <w:tc>
          <w:tcPr>
            <w:tcW w:w="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center"/>
              <w:ind w:left="232"/>
              <w:spacing w:after="0"/>
              <w:rPr>
                <w:sz w:val="20"/>
                <w:szCs w:val="20"/>
                <w:color w:val="auto"/>
              </w:rPr>
            </w:pPr>
            <w:r>
              <w:rPr>
                <w:rFonts w:ascii="Arial" w:cs="Arial" w:eastAsia="Arial" w:hAnsi="Arial"/>
                <w:sz w:val="18"/>
                <w:szCs w:val="18"/>
                <w:color w:val="auto"/>
                <w:w w:val="99"/>
              </w:rPr>
              <w:t>-</w:t>
            </w: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316,329</w:t>
            </w:r>
          </w:p>
        </w:tc>
        <w:tc>
          <w:tcPr>
            <w:tcW w:w="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(10,082)</w:t>
            </w:r>
          </w:p>
        </w:tc>
        <w:tc>
          <w:tcPr>
            <w:tcW w:w="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704,389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Long-term debt</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436,704</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center"/>
              <w:ind w:left="232"/>
              <w:spacing w:after="0"/>
              <w:rPr>
                <w:sz w:val="20"/>
                <w:szCs w:val="20"/>
                <w:color w:val="auto"/>
              </w:rPr>
            </w:pPr>
            <w:r>
              <w:rPr>
                <w:rFonts w:ascii="Arial" w:cs="Arial" w:eastAsia="Arial" w:hAnsi="Arial"/>
                <w:sz w:val="18"/>
                <w:szCs w:val="18"/>
                <w:color w:val="auto"/>
                <w:w w:val="99"/>
              </w:rPr>
              <w:t>-</w:t>
            </w: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213"/>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436,704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tcPr>
          <w:p>
            <w:pPr>
              <w:spacing w:after="0"/>
              <w:rPr>
                <w:sz w:val="20"/>
                <w:szCs w:val="20"/>
                <w:color w:val="auto"/>
              </w:rPr>
            </w:pPr>
            <w:r>
              <w:rPr>
                <w:rFonts w:ascii="Arial" w:cs="Arial" w:eastAsia="Arial" w:hAnsi="Arial"/>
                <w:sz w:val="18"/>
                <w:szCs w:val="18"/>
                <w:color w:val="auto"/>
              </w:rPr>
              <w:t>Long-term warranty</w:t>
            </w:r>
          </w:p>
        </w:tc>
        <w:tc>
          <w:tcPr>
            <w:tcW w:w="260" w:type="dxa"/>
            <w:vAlign w:val="bottom"/>
          </w:tcPr>
          <w:p>
            <w:pPr>
              <w:spacing w:after="0"/>
              <w:rPr>
                <w:sz w:val="18"/>
                <w:szCs w:val="18"/>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12,468</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center"/>
              <w:ind w:left="232"/>
              <w:spacing w:after="0"/>
              <w:rPr>
                <w:sz w:val="20"/>
                <w:szCs w:val="20"/>
                <w:color w:val="auto"/>
              </w:rPr>
            </w:pPr>
            <w:r>
              <w:rPr>
                <w:rFonts w:ascii="Arial" w:cs="Arial" w:eastAsia="Arial" w:hAnsi="Arial"/>
                <w:sz w:val="18"/>
                <w:szCs w:val="18"/>
                <w:color w:val="auto"/>
                <w:w w:val="99"/>
              </w:rPr>
              <w:t>-</w:t>
            </w: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12,525</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right"/>
              <w:ind w:right="212"/>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24,993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Pension plan benefits</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center"/>
              <w:ind w:left="232"/>
              <w:spacing w:after="0"/>
              <w:rPr>
                <w:sz w:val="20"/>
                <w:szCs w:val="20"/>
                <w:color w:val="auto"/>
              </w:rPr>
            </w:pPr>
            <w:r>
              <w:rPr>
                <w:rFonts w:ascii="Arial" w:cs="Arial" w:eastAsia="Arial" w:hAnsi="Arial"/>
                <w:sz w:val="18"/>
                <w:szCs w:val="18"/>
                <w:color w:val="auto"/>
                <w:w w:val="99"/>
              </w:rPr>
              <w:t>-</w:t>
            </w: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60,013</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60,013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tcPr>
          <w:p>
            <w:pPr>
              <w:spacing w:after="0"/>
              <w:rPr>
                <w:sz w:val="20"/>
                <w:szCs w:val="20"/>
                <w:color w:val="auto"/>
              </w:rPr>
            </w:pPr>
            <w:r>
              <w:rPr>
                <w:rFonts w:ascii="Arial" w:cs="Arial" w:eastAsia="Arial" w:hAnsi="Arial"/>
                <w:sz w:val="18"/>
                <w:szCs w:val="18"/>
                <w:color w:val="auto"/>
              </w:rPr>
              <w:t>Intercompany notes payable</w:t>
            </w:r>
          </w:p>
        </w:tc>
        <w:tc>
          <w:tcPr>
            <w:tcW w:w="260" w:type="dxa"/>
            <w:vAlign w:val="bottom"/>
          </w:tcPr>
          <w:p>
            <w:pPr>
              <w:spacing w:after="0"/>
              <w:rPr>
                <w:sz w:val="18"/>
                <w:szCs w:val="18"/>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99,703</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center"/>
              <w:ind w:left="232"/>
              <w:spacing w:after="0"/>
              <w:rPr>
                <w:sz w:val="20"/>
                <w:szCs w:val="20"/>
                <w:color w:val="auto"/>
              </w:rPr>
            </w:pPr>
            <w:r>
              <w:rPr>
                <w:rFonts w:ascii="Arial" w:cs="Arial" w:eastAsia="Arial" w:hAnsi="Arial"/>
                <w:sz w:val="18"/>
                <w:szCs w:val="18"/>
                <w:color w:val="auto"/>
                <w:w w:val="99"/>
              </w:rPr>
              <w:t>-</w:t>
            </w: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1,317,923</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(1,417,626)</w:t>
            </w: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center"/>
              <w:ind w:left="152"/>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liabilities noncurrent, net</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(46,436)</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center"/>
              <w:ind w:left="232"/>
              <w:spacing w:after="0"/>
              <w:rPr>
                <w:sz w:val="20"/>
                <w:szCs w:val="20"/>
                <w:color w:val="auto"/>
              </w:rPr>
            </w:pPr>
            <w:r>
              <w:rPr>
                <w:rFonts w:ascii="Arial" w:cs="Arial" w:eastAsia="Arial" w:hAnsi="Arial"/>
                <w:sz w:val="18"/>
                <w:szCs w:val="18"/>
                <w:color w:val="auto"/>
                <w:w w:val="99"/>
              </w:rPr>
              <w:t>-</w:t>
            </w: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98,564</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52,128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500" w:type="dxa"/>
            <w:vAlign w:val="bottom"/>
          </w:tcPr>
          <w:p>
            <w:pPr>
              <w:spacing w:after="0"/>
              <w:rPr>
                <w:sz w:val="20"/>
                <w:szCs w:val="20"/>
                <w:color w:val="auto"/>
              </w:rPr>
            </w:pPr>
            <w:r>
              <w:rPr>
                <w:rFonts w:ascii="Arial" w:cs="Arial" w:eastAsia="Arial" w:hAnsi="Arial"/>
                <w:sz w:val="18"/>
                <w:szCs w:val="18"/>
                <w:color w:val="auto"/>
              </w:rPr>
              <w:t>Other long-term obligations</w:t>
            </w: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16,080</w:t>
            </w:r>
          </w:p>
        </w:tc>
        <w:tc>
          <w:tcPr>
            <w:tcW w:w="4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center"/>
              <w:ind w:left="232"/>
              <w:spacing w:after="0"/>
              <w:rPr>
                <w:sz w:val="20"/>
                <w:szCs w:val="20"/>
                <w:color w:val="auto"/>
              </w:rPr>
            </w:pPr>
            <w:r>
              <w:rPr>
                <w:rFonts w:ascii="Arial" w:cs="Arial" w:eastAsia="Arial" w:hAnsi="Arial"/>
                <w:sz w:val="18"/>
                <w:szCs w:val="18"/>
                <w:color w:val="auto"/>
                <w:w w:val="99"/>
              </w:rPr>
              <w:t>-</w:t>
            </w:r>
          </w:p>
        </w:tc>
        <w:tc>
          <w:tcPr>
            <w:tcW w:w="4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52,337</w:t>
            </w:r>
          </w:p>
        </w:tc>
        <w:tc>
          <w:tcPr>
            <w:tcW w:w="4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68,417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liabilities</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916,661</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center"/>
              <w:ind w:left="232"/>
              <w:spacing w:after="0"/>
              <w:rPr>
                <w:sz w:val="20"/>
                <w:szCs w:val="20"/>
                <w:color w:val="auto"/>
              </w:rPr>
            </w:pPr>
            <w:r>
              <w:rPr>
                <w:rFonts w:ascii="Arial" w:cs="Arial" w:eastAsia="Arial" w:hAnsi="Arial"/>
                <w:sz w:val="18"/>
                <w:szCs w:val="18"/>
                <w:color w:val="auto"/>
                <w:w w:val="99"/>
              </w:rPr>
              <w:t>-</w:t>
            </w: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1,857,691</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(1,427,708)</w:t>
            </w: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94"/>
              </w:rPr>
              <w:t>1,346,644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tcPr>
          <w:p>
            <w:pPr>
              <w:spacing w:after="0"/>
              <w:rPr>
                <w:sz w:val="20"/>
                <w:szCs w:val="20"/>
                <w:color w:val="auto"/>
              </w:rPr>
            </w:pPr>
            <w:r>
              <w:rPr>
                <w:rFonts w:ascii="Arial" w:cs="Arial" w:eastAsia="Arial" w:hAnsi="Arial"/>
                <w:sz w:val="18"/>
                <w:szCs w:val="18"/>
                <w:color w:val="auto"/>
              </w:rPr>
              <w:t>Shareholders’ equity</w:t>
            </w: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Preferred stock</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center"/>
              <w:ind w:left="232"/>
              <w:spacing w:after="0"/>
              <w:rPr>
                <w:sz w:val="20"/>
                <w:szCs w:val="20"/>
                <w:color w:val="auto"/>
              </w:rPr>
            </w:pPr>
            <w:r>
              <w:rPr>
                <w:rFonts w:ascii="Arial" w:cs="Arial" w:eastAsia="Arial" w:hAnsi="Arial"/>
                <w:sz w:val="18"/>
                <w:szCs w:val="18"/>
                <w:color w:val="auto"/>
                <w:w w:val="99"/>
              </w:rPr>
              <w:t>-</w:t>
            </w: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213"/>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center"/>
              <w:ind w:left="152"/>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tcPr>
          <w:p>
            <w:pPr>
              <w:ind w:left="420"/>
              <w:spacing w:after="0"/>
              <w:rPr>
                <w:sz w:val="20"/>
                <w:szCs w:val="20"/>
                <w:color w:val="auto"/>
              </w:rPr>
            </w:pPr>
            <w:r>
              <w:rPr>
                <w:rFonts w:ascii="Arial" w:cs="Arial" w:eastAsia="Arial" w:hAnsi="Arial"/>
                <w:sz w:val="18"/>
                <w:szCs w:val="18"/>
                <w:color w:val="auto"/>
              </w:rPr>
              <w:t>Common stock</w:t>
            </w:r>
          </w:p>
        </w:tc>
        <w:tc>
          <w:tcPr>
            <w:tcW w:w="260" w:type="dxa"/>
            <w:vAlign w:val="bottom"/>
          </w:tcPr>
          <w:p>
            <w:pPr>
              <w:spacing w:after="0"/>
              <w:rPr>
                <w:sz w:val="18"/>
                <w:szCs w:val="18"/>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w w:val="97"/>
              </w:rPr>
              <w:t>1,321,287</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ind w:right="52"/>
              <w:spacing w:after="0"/>
              <w:rPr>
                <w:sz w:val="20"/>
                <w:szCs w:val="20"/>
                <w:color w:val="auto"/>
              </w:rPr>
            </w:pPr>
            <w:r>
              <w:rPr>
                <w:rFonts w:ascii="Arial" w:cs="Arial" w:eastAsia="Arial" w:hAnsi="Arial"/>
                <w:sz w:val="18"/>
                <w:szCs w:val="18"/>
                <w:color w:val="auto"/>
              </w:rPr>
              <w:t>97,377</w:t>
            </w: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65,511</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(162,888)</w:t>
            </w: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w w:val="94"/>
              </w:rPr>
              <w:t>1,321,287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Accumulated other comprehensive</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5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income (loss), net</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(1,688)</w:t>
            </w:r>
          </w:p>
        </w:tc>
        <w:tc>
          <w:tcPr>
            <w:tcW w:w="4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center"/>
              <w:ind w:left="212"/>
              <w:spacing w:after="0"/>
              <w:rPr>
                <w:sz w:val="20"/>
                <w:szCs w:val="20"/>
                <w:color w:val="auto"/>
              </w:rPr>
            </w:pPr>
            <w:r>
              <w:rPr>
                <w:rFonts w:ascii="Arial" w:cs="Arial" w:eastAsia="Arial" w:hAnsi="Arial"/>
                <w:sz w:val="18"/>
                <w:szCs w:val="18"/>
                <w:color w:val="auto"/>
                <w:w w:val="91"/>
              </w:rPr>
              <w:t>(7,787)</w:t>
            </w:r>
          </w:p>
        </w:tc>
        <w:tc>
          <w:tcPr>
            <w:tcW w:w="4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45,658</w:t>
            </w:r>
          </w:p>
        </w:tc>
        <w:tc>
          <w:tcPr>
            <w:tcW w:w="4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(37,871)</w:t>
            </w:r>
          </w:p>
        </w:tc>
        <w:tc>
          <w:tcPr>
            <w:tcW w:w="4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center"/>
              <w:ind w:left="132"/>
              <w:spacing w:after="0"/>
              <w:rPr>
                <w:sz w:val="20"/>
                <w:szCs w:val="20"/>
                <w:color w:val="auto"/>
              </w:rPr>
            </w:pPr>
            <w:r>
              <w:rPr>
                <w:rFonts w:ascii="Arial" w:cs="Arial" w:eastAsia="Arial" w:hAnsi="Arial"/>
                <w:sz w:val="18"/>
                <w:szCs w:val="18"/>
                <w:color w:val="auto"/>
                <w:w w:val="91"/>
              </w:rPr>
              <w:t>(1,688)</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500" w:type="dxa"/>
            <w:vAlign w:val="bottom"/>
          </w:tcPr>
          <w:p>
            <w:pPr>
              <w:ind w:left="420"/>
              <w:spacing w:after="0"/>
              <w:rPr>
                <w:sz w:val="20"/>
                <w:szCs w:val="20"/>
                <w:color w:val="auto"/>
              </w:rPr>
            </w:pPr>
            <w:r>
              <w:rPr>
                <w:rFonts w:ascii="Arial" w:cs="Arial" w:eastAsia="Arial" w:hAnsi="Arial"/>
                <w:sz w:val="18"/>
                <w:szCs w:val="18"/>
                <w:color w:val="auto"/>
              </w:rPr>
              <w:t>Retained earnings</w:t>
            </w: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113,045</w:t>
            </w:r>
          </w:p>
        </w:tc>
        <w:tc>
          <w:tcPr>
            <w:tcW w:w="4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11,001</w:t>
            </w:r>
          </w:p>
        </w:tc>
        <w:tc>
          <w:tcPr>
            <w:tcW w:w="4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106,241</w:t>
            </w:r>
          </w:p>
        </w:tc>
        <w:tc>
          <w:tcPr>
            <w:tcW w:w="4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(117,242)</w:t>
            </w:r>
          </w:p>
        </w:tc>
        <w:tc>
          <w:tcPr>
            <w:tcW w:w="4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113,045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shareholders’ equity</w:t>
            </w:r>
          </w:p>
        </w:tc>
        <w:tc>
          <w:tcPr>
            <w:tcW w:w="2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w w:val="97"/>
              </w:rPr>
              <w:t>1,432,644</w:t>
            </w:r>
          </w:p>
        </w:tc>
        <w:tc>
          <w:tcPr>
            <w:tcW w:w="4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100,591</w:t>
            </w:r>
          </w:p>
        </w:tc>
        <w:tc>
          <w:tcPr>
            <w:tcW w:w="4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217,410</w:t>
            </w:r>
          </w:p>
        </w:tc>
        <w:tc>
          <w:tcPr>
            <w:tcW w:w="4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(318,001)</w:t>
            </w:r>
          </w:p>
        </w:tc>
        <w:tc>
          <w:tcPr>
            <w:tcW w:w="44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w w:val="94"/>
              </w:rPr>
              <w:t>1,432,644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500" w:type="dxa"/>
            <w:vAlign w:val="bottom"/>
          </w:tcPr>
          <w:p>
            <w:pPr>
              <w:ind w:left="860"/>
              <w:spacing w:after="0"/>
              <w:rPr>
                <w:sz w:val="20"/>
                <w:szCs w:val="20"/>
                <w:color w:val="auto"/>
              </w:rPr>
            </w:pPr>
            <w:r>
              <w:rPr>
                <w:rFonts w:ascii="Arial" w:cs="Arial" w:eastAsia="Arial" w:hAnsi="Arial"/>
                <w:sz w:val="18"/>
                <w:szCs w:val="18"/>
                <w:color w:val="auto"/>
              </w:rPr>
              <w:t>Total liabilities and</w:t>
            </w: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500" w:type="dxa"/>
            <w:vAlign w:val="bottom"/>
          </w:tcPr>
          <w:p>
            <w:pPr>
              <w:ind w:left="1060"/>
              <w:spacing w:after="0"/>
              <w:rPr>
                <w:sz w:val="20"/>
                <w:szCs w:val="20"/>
                <w:color w:val="auto"/>
              </w:rPr>
            </w:pPr>
            <w:r>
              <w:rPr>
                <w:rFonts w:ascii="Arial" w:cs="Arial" w:eastAsia="Arial" w:hAnsi="Arial"/>
                <w:sz w:val="18"/>
                <w:szCs w:val="18"/>
                <w:color w:val="auto"/>
              </w:rPr>
              <w:t>shareholders’ equity</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2"/>
              <w:spacing w:after="0"/>
              <w:rPr>
                <w:sz w:val="20"/>
                <w:szCs w:val="20"/>
                <w:color w:val="auto"/>
              </w:rPr>
            </w:pPr>
            <w:r>
              <w:rPr>
                <w:rFonts w:ascii="Arial" w:cs="Arial" w:eastAsia="Arial" w:hAnsi="Arial"/>
                <w:sz w:val="18"/>
                <w:szCs w:val="18"/>
                <w:color w:val="auto"/>
                <w:w w:val="97"/>
              </w:rPr>
              <w:t>2,349,305</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52"/>
              <w:spacing w:after="0"/>
              <w:rPr>
                <w:sz w:val="20"/>
                <w:szCs w:val="20"/>
                <w:color w:val="auto"/>
              </w:rPr>
            </w:pPr>
            <w:r>
              <w:rPr>
                <w:rFonts w:ascii="Arial" w:cs="Arial" w:eastAsia="Arial" w:hAnsi="Arial"/>
                <w:sz w:val="18"/>
                <w:szCs w:val="18"/>
                <w:color w:val="auto"/>
              </w:rPr>
              <w:t>100,591</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2,075,101</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(1,745,709)</w:t>
            </w:r>
          </w:p>
        </w:tc>
        <w:tc>
          <w:tcPr>
            <w:tcW w:w="70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2"/>
              <w:spacing w:after="0"/>
              <w:rPr>
                <w:sz w:val="20"/>
                <w:szCs w:val="20"/>
                <w:color w:val="auto"/>
              </w:rPr>
            </w:pPr>
            <w:r>
              <w:rPr>
                <w:rFonts w:ascii="Arial" w:cs="Arial" w:eastAsia="Arial" w:hAnsi="Arial"/>
                <w:sz w:val="18"/>
                <w:szCs w:val="18"/>
                <w:color w:val="auto"/>
                <w:w w:val="94"/>
              </w:rPr>
              <w:t>2,779,288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1" w:lineRule="exact"/>
        <w:rPr>
          <w:sz w:val="20"/>
          <w:szCs w:val="20"/>
          <w:color w:val="auto"/>
        </w:rPr>
      </w:pPr>
    </w:p>
    <w:p>
      <w:pPr>
        <w:sectPr>
          <w:pgSz w:w="11900" w:h="16838" w:orient="portrait"/>
          <w:cols w:equalWidth="0" w:num="1">
            <w:col w:w="11420"/>
          </w:cols>
          <w:pgMar w:left="240" w:top="459" w:right="239" w:bottom="1440" w:gutter="0" w:footer="0" w:header="0"/>
        </w:sectPr>
      </w:pPr>
    </w:p>
    <w:p>
      <w:pPr>
        <w:jc w:val="center"/>
        <w:spacing w:after="0"/>
        <w:rPr>
          <w:sz w:val="20"/>
          <w:szCs w:val="20"/>
          <w:color w:val="auto"/>
        </w:rPr>
      </w:pPr>
      <w:r>
        <w:rPr>
          <w:rFonts w:ascii="Arial" w:cs="Arial" w:eastAsia="Arial" w:hAnsi="Arial"/>
          <w:sz w:val="19"/>
          <w:szCs w:val="19"/>
          <w:color w:val="auto"/>
        </w:rPr>
        <w:t>35</w:t>
      </w:r>
    </w:p>
    <w:p>
      <w:pPr>
        <w:sectPr>
          <w:pgSz w:w="11900" w:h="16838" w:orient="portrait"/>
          <w:cols w:equalWidth="0" w:num="1">
            <w:col w:w="11420"/>
          </w:cols>
          <w:pgMar w:left="240" w:top="459" w:right="239" w:bottom="1440" w:gutter="0" w:footer="0" w:header="0"/>
          <w:type w:val="continuous"/>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Consolidating Balance Sheet</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2009</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center"/>
              <w:ind w:right="72"/>
              <w:spacing w:after="0"/>
              <w:rPr>
                <w:sz w:val="20"/>
                <w:szCs w:val="20"/>
                <w:color w:val="auto"/>
              </w:rPr>
            </w:pPr>
            <w:r>
              <w:rPr>
                <w:rFonts w:ascii="Arial" w:cs="Arial" w:eastAsia="Arial" w:hAnsi="Arial"/>
                <w:sz w:val="18"/>
                <w:szCs w:val="18"/>
                <w:b w:val="1"/>
                <w:bCs w:val="1"/>
                <w:color w:val="auto"/>
                <w:w w:val="88"/>
              </w:rPr>
              <w:t>Combined</w:t>
            </w: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center"/>
              <w:ind w:right="112"/>
              <w:spacing w:after="0"/>
              <w:rPr>
                <w:sz w:val="20"/>
                <w:szCs w:val="20"/>
                <w:color w:val="auto"/>
              </w:rPr>
            </w:pPr>
            <w:r>
              <w:rPr>
                <w:rFonts w:ascii="Arial" w:cs="Arial" w:eastAsia="Arial" w:hAnsi="Arial"/>
                <w:sz w:val="18"/>
                <w:szCs w:val="18"/>
                <w:b w:val="1"/>
                <w:bCs w:val="1"/>
                <w:color w:val="auto"/>
                <w:w w:val="88"/>
              </w:rPr>
              <w:t>Combined</w:t>
            </w: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center"/>
              <w:ind w:right="72"/>
              <w:spacing w:after="0"/>
              <w:rPr>
                <w:sz w:val="20"/>
                <w:szCs w:val="20"/>
                <w:color w:val="auto"/>
              </w:rPr>
            </w:pPr>
            <w:r>
              <w:rPr>
                <w:rFonts w:ascii="Arial" w:cs="Arial" w:eastAsia="Arial" w:hAnsi="Arial"/>
                <w:sz w:val="18"/>
                <w:szCs w:val="18"/>
                <w:b w:val="1"/>
                <w:bCs w:val="1"/>
                <w:color w:val="auto"/>
                <w:w w:val="94"/>
              </w:rPr>
              <w:t>Guarantor</w:t>
            </w:r>
          </w:p>
        </w:tc>
        <w:tc>
          <w:tcPr>
            <w:tcW w:w="480" w:type="dxa"/>
            <w:vAlign w:val="bottom"/>
          </w:tcPr>
          <w:p>
            <w:pPr>
              <w:spacing w:after="0"/>
              <w:rPr>
                <w:sz w:val="18"/>
                <w:szCs w:val="18"/>
                <w:color w:val="auto"/>
              </w:rPr>
            </w:pPr>
          </w:p>
        </w:tc>
        <w:tc>
          <w:tcPr>
            <w:tcW w:w="1220" w:type="dxa"/>
            <w:vAlign w:val="bottom"/>
            <w:gridSpan w:val="2"/>
          </w:tcPr>
          <w:p>
            <w:pPr>
              <w:jc w:val="center"/>
              <w:spacing w:after="0"/>
              <w:rPr>
                <w:sz w:val="20"/>
                <w:szCs w:val="20"/>
                <w:color w:val="auto"/>
              </w:rPr>
            </w:pPr>
            <w:r>
              <w:rPr>
                <w:rFonts w:ascii="Arial" w:cs="Arial" w:eastAsia="Arial" w:hAnsi="Arial"/>
                <w:sz w:val="18"/>
                <w:szCs w:val="18"/>
                <w:b w:val="1"/>
                <w:bCs w:val="1"/>
                <w:color w:val="auto"/>
                <w:w w:val="91"/>
              </w:rPr>
              <w:t>Non-guarantor</w:t>
            </w: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ind w:right="252"/>
              <w:spacing w:after="0"/>
              <w:rPr>
                <w:sz w:val="20"/>
                <w:szCs w:val="20"/>
                <w:color w:val="auto"/>
              </w:rPr>
            </w:pPr>
            <w:r>
              <w:rPr>
                <w:rFonts w:ascii="Arial" w:cs="Arial" w:eastAsia="Arial" w:hAnsi="Arial"/>
                <w:sz w:val="18"/>
                <w:szCs w:val="18"/>
                <w:b w:val="1"/>
                <w:bCs w:val="1"/>
                <w:color w:val="auto"/>
              </w:rPr>
              <w:t>Parent</w:t>
            </w:r>
          </w:p>
        </w:tc>
        <w:tc>
          <w:tcPr>
            <w:tcW w:w="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center"/>
              <w:ind w:right="92"/>
              <w:spacing w:after="0"/>
              <w:rPr>
                <w:sz w:val="20"/>
                <w:szCs w:val="20"/>
                <w:color w:val="auto"/>
              </w:rPr>
            </w:pPr>
            <w:r>
              <w:rPr>
                <w:rFonts w:ascii="Arial" w:cs="Arial" w:eastAsia="Arial" w:hAnsi="Arial"/>
                <w:sz w:val="18"/>
                <w:szCs w:val="18"/>
                <w:b w:val="1"/>
                <w:bCs w:val="1"/>
                <w:color w:val="auto"/>
                <w:w w:val="85"/>
              </w:rPr>
              <w:t>Subsidiaries</w:t>
            </w:r>
          </w:p>
        </w:tc>
        <w:tc>
          <w:tcPr>
            <w:tcW w:w="480" w:type="dxa"/>
            <w:vAlign w:val="bottom"/>
          </w:tcPr>
          <w:p>
            <w:pPr>
              <w:spacing w:after="0"/>
              <w:rPr>
                <w:sz w:val="19"/>
                <w:szCs w:val="19"/>
                <w:color w:val="auto"/>
              </w:rPr>
            </w:pPr>
          </w:p>
        </w:tc>
        <w:tc>
          <w:tcPr>
            <w:tcW w:w="1220" w:type="dxa"/>
            <w:vAlign w:val="bottom"/>
            <w:gridSpan w:val="2"/>
          </w:tcPr>
          <w:p>
            <w:pPr>
              <w:jc w:val="center"/>
              <w:spacing w:after="0"/>
              <w:rPr>
                <w:sz w:val="20"/>
                <w:szCs w:val="20"/>
                <w:color w:val="auto"/>
              </w:rPr>
            </w:pPr>
            <w:r>
              <w:rPr>
                <w:rFonts w:ascii="Arial" w:cs="Arial" w:eastAsia="Arial" w:hAnsi="Arial"/>
                <w:sz w:val="18"/>
                <w:szCs w:val="18"/>
                <w:b w:val="1"/>
                <w:bCs w:val="1"/>
                <w:color w:val="auto"/>
                <w:w w:val="85"/>
              </w:rPr>
              <w:t>Subsidiaries</w:t>
            </w:r>
          </w:p>
        </w:tc>
        <w:tc>
          <w:tcPr>
            <w:tcW w:w="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ind w:right="92"/>
              <w:spacing w:after="0"/>
              <w:rPr>
                <w:sz w:val="20"/>
                <w:szCs w:val="20"/>
                <w:color w:val="auto"/>
              </w:rPr>
            </w:pPr>
            <w:r>
              <w:rPr>
                <w:rFonts w:ascii="Arial" w:cs="Arial" w:eastAsia="Arial" w:hAnsi="Arial"/>
                <w:sz w:val="18"/>
                <w:szCs w:val="18"/>
                <w:b w:val="1"/>
                <w:bCs w:val="1"/>
                <w:color w:val="auto"/>
                <w:w w:val="87"/>
              </w:rPr>
              <w:t>Eliminations</w:t>
            </w:r>
          </w:p>
        </w:tc>
        <w:tc>
          <w:tcPr>
            <w:tcW w:w="480" w:type="dxa"/>
            <w:vAlign w:val="bottom"/>
          </w:tcPr>
          <w:p>
            <w:pPr>
              <w:spacing w:after="0"/>
              <w:rPr>
                <w:sz w:val="19"/>
                <w:szCs w:val="19"/>
                <w:color w:val="auto"/>
              </w:rPr>
            </w:pPr>
          </w:p>
        </w:tc>
        <w:tc>
          <w:tcPr>
            <w:tcW w:w="1260" w:type="dxa"/>
            <w:vAlign w:val="bottom"/>
            <w:gridSpan w:val="3"/>
          </w:tcPr>
          <w:p>
            <w:pPr>
              <w:ind w:left="100"/>
              <w:spacing w:after="0"/>
              <w:rPr>
                <w:sz w:val="20"/>
                <w:szCs w:val="20"/>
                <w:color w:val="auto"/>
              </w:rPr>
            </w:pPr>
            <w:r>
              <w:rPr>
                <w:rFonts w:ascii="Arial" w:cs="Arial" w:eastAsia="Arial" w:hAnsi="Arial"/>
                <w:sz w:val="18"/>
                <w:szCs w:val="18"/>
                <w:b w:val="1"/>
                <w:bCs w:val="1"/>
                <w:color w:val="auto"/>
                <w:w w:val="99"/>
              </w:rPr>
              <w:t>Consolidated</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480" w:type="dxa"/>
            <w:vAlign w:val="bottom"/>
          </w:tcPr>
          <w:p>
            <w:pPr>
              <w:spacing w:after="0"/>
              <w:rPr>
                <w:sz w:val="18"/>
                <w:szCs w:val="18"/>
                <w:color w:val="auto"/>
              </w:rPr>
            </w:pPr>
          </w:p>
        </w:tc>
        <w:tc>
          <w:tcPr>
            <w:tcW w:w="1220" w:type="dxa"/>
            <w:vAlign w:val="bottom"/>
            <w:tcBorders>
              <w:top w:val="single" w:sz="8" w:color="auto"/>
            </w:tcBorders>
            <w:gridSpan w:val="2"/>
          </w:tcPr>
          <w:p>
            <w:pPr>
              <w:ind w:left="100"/>
              <w:spacing w:after="0"/>
              <w:rPr>
                <w:sz w:val="20"/>
                <w:szCs w:val="20"/>
                <w:color w:val="auto"/>
              </w:rPr>
            </w:pPr>
            <w:r>
              <w:rPr>
                <w:rFonts w:ascii="Arial" w:cs="Arial" w:eastAsia="Arial" w:hAnsi="Arial"/>
                <w:sz w:val="18"/>
                <w:szCs w:val="18"/>
                <w:b w:val="1"/>
                <w:bCs w:val="1"/>
                <w:color w:val="auto"/>
                <w:w w:val="88"/>
              </w:rPr>
              <w:t>(in thousands)</w:t>
            </w:r>
          </w:p>
        </w:tc>
        <w:tc>
          <w:tcPr>
            <w:tcW w:w="4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shd w:val="clear" w:color="auto" w:fill="CCEEFF"/>
          </w:tcPr>
          <w:p>
            <w:pPr>
              <w:ind w:left="1100"/>
              <w:spacing w:after="0"/>
              <w:rPr>
                <w:sz w:val="20"/>
                <w:szCs w:val="20"/>
                <w:color w:val="auto"/>
              </w:rPr>
            </w:pPr>
            <w:r>
              <w:rPr>
                <w:rFonts w:ascii="Arial" w:cs="Arial" w:eastAsia="Arial" w:hAnsi="Arial"/>
                <w:sz w:val="18"/>
                <w:szCs w:val="18"/>
                <w:b w:val="1"/>
                <w:bCs w:val="1"/>
                <w:color w:val="auto"/>
              </w:rPr>
              <w:t>ASSETS</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Arial" w:cs="Arial" w:eastAsia="Arial" w:hAnsi="Arial"/>
                <w:sz w:val="18"/>
                <w:szCs w:val="18"/>
                <w:color w:val="auto"/>
              </w:rPr>
              <w:t>Current assets</w:t>
            </w: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16,385</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379</w:t>
            </w:r>
          </w:p>
        </w:tc>
        <w:tc>
          <w:tcPr>
            <w:tcW w:w="68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105,129</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121,893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tcPr>
          <w:p>
            <w:pPr>
              <w:ind w:left="420"/>
              <w:spacing w:after="0"/>
              <w:rPr>
                <w:sz w:val="20"/>
                <w:szCs w:val="20"/>
                <w:color w:val="auto"/>
              </w:rPr>
            </w:pPr>
            <w:r>
              <w:rPr>
                <w:rFonts w:ascii="Arial" w:cs="Arial" w:eastAsia="Arial" w:hAnsi="Arial"/>
                <w:sz w:val="18"/>
                <w:szCs w:val="18"/>
                <w:color w:val="auto"/>
              </w:rPr>
              <w:t>Accounts receivable, net</w:t>
            </w:r>
          </w:p>
        </w:tc>
        <w:tc>
          <w:tcPr>
            <w:tcW w:w="260" w:type="dxa"/>
            <w:vAlign w:val="bottom"/>
          </w:tcPr>
          <w:p>
            <w:pPr>
              <w:spacing w:after="0"/>
              <w:rPr>
                <w:sz w:val="18"/>
                <w:szCs w:val="18"/>
                <w:color w:val="auto"/>
              </w:rPr>
            </w:pPr>
          </w:p>
        </w:tc>
        <w:tc>
          <w:tcPr>
            <w:tcW w:w="940" w:type="dxa"/>
            <w:vAlign w:val="bottom"/>
          </w:tcPr>
          <w:p>
            <w:pPr>
              <w:jc w:val="right"/>
              <w:ind w:right="52"/>
              <w:spacing w:after="0"/>
              <w:rPr>
                <w:sz w:val="20"/>
                <w:szCs w:val="20"/>
                <w:color w:val="auto"/>
              </w:rPr>
            </w:pPr>
            <w:r>
              <w:rPr>
                <w:rFonts w:ascii="Arial" w:cs="Arial" w:eastAsia="Arial" w:hAnsi="Arial"/>
                <w:sz w:val="18"/>
                <w:szCs w:val="18"/>
                <w:color w:val="auto"/>
              </w:rPr>
              <w:t>117,104</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ind w:right="52"/>
              <w:spacing w:after="0"/>
              <w:rPr>
                <w:sz w:val="20"/>
                <w:szCs w:val="20"/>
                <w:color w:val="auto"/>
              </w:rPr>
            </w:pPr>
            <w:r>
              <w:rPr>
                <w:rFonts w:ascii="Arial" w:cs="Arial" w:eastAsia="Arial" w:hAnsi="Arial"/>
                <w:sz w:val="18"/>
                <w:szCs w:val="18"/>
                <w:color w:val="auto"/>
              </w:rPr>
              <w:t>2,316</w:t>
            </w: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218,528</w:t>
            </w: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right"/>
              <w:ind w:right="212"/>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337,948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Intercompany accounts receivable</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9,524</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52</w:t>
            </w: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1,572</w:t>
            </w: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(11,148)</w:t>
            </w: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tcPr>
          <w:p>
            <w:pPr>
              <w:ind w:left="420"/>
              <w:spacing w:after="0"/>
              <w:rPr>
                <w:sz w:val="20"/>
                <w:szCs w:val="20"/>
                <w:color w:val="auto"/>
              </w:rPr>
            </w:pPr>
            <w:r>
              <w:rPr>
                <w:rFonts w:ascii="Arial" w:cs="Arial" w:eastAsia="Arial" w:hAnsi="Arial"/>
                <w:sz w:val="18"/>
                <w:szCs w:val="18"/>
                <w:color w:val="auto"/>
              </w:rPr>
              <w:t>Inventories</w:t>
            </w:r>
          </w:p>
        </w:tc>
        <w:tc>
          <w:tcPr>
            <w:tcW w:w="260" w:type="dxa"/>
            <w:vAlign w:val="bottom"/>
          </w:tcPr>
          <w:p>
            <w:pPr>
              <w:spacing w:after="0"/>
              <w:rPr>
                <w:sz w:val="18"/>
                <w:szCs w:val="18"/>
                <w:color w:val="auto"/>
              </w:rPr>
            </w:pPr>
          </w:p>
        </w:tc>
        <w:tc>
          <w:tcPr>
            <w:tcW w:w="940" w:type="dxa"/>
            <w:vAlign w:val="bottom"/>
          </w:tcPr>
          <w:p>
            <w:pPr>
              <w:jc w:val="right"/>
              <w:ind w:right="52"/>
              <w:spacing w:after="0"/>
              <w:rPr>
                <w:sz w:val="20"/>
                <w:szCs w:val="20"/>
                <w:color w:val="auto"/>
              </w:rPr>
            </w:pPr>
            <w:r>
              <w:rPr>
                <w:rFonts w:ascii="Arial" w:cs="Arial" w:eastAsia="Arial" w:hAnsi="Arial"/>
                <w:sz w:val="18"/>
                <w:szCs w:val="18"/>
                <w:color w:val="auto"/>
              </w:rPr>
              <w:t>71,581</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ind w:right="212"/>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98,881</w:t>
            </w: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(378)</w:t>
            </w: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170,084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tax assets current, net</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13,085</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7,721</w:t>
            </w: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20,762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tcPr>
          <w:p>
            <w:pPr>
              <w:ind w:left="420"/>
              <w:spacing w:after="0"/>
              <w:rPr>
                <w:sz w:val="20"/>
                <w:szCs w:val="20"/>
                <w:color w:val="auto"/>
              </w:rPr>
            </w:pPr>
            <w:r>
              <w:rPr>
                <w:rFonts w:ascii="Arial" w:cs="Arial" w:eastAsia="Arial" w:hAnsi="Arial"/>
                <w:sz w:val="18"/>
                <w:szCs w:val="18"/>
                <w:color w:val="auto"/>
              </w:rPr>
              <w:t>Other current assets</w:t>
            </w:r>
          </w:p>
        </w:tc>
        <w:tc>
          <w:tcPr>
            <w:tcW w:w="260" w:type="dxa"/>
            <w:vAlign w:val="bottom"/>
          </w:tcPr>
          <w:p>
            <w:pPr>
              <w:spacing w:after="0"/>
              <w:rPr>
                <w:sz w:val="18"/>
                <w:szCs w:val="18"/>
                <w:color w:val="auto"/>
              </w:rPr>
            </w:pPr>
          </w:p>
        </w:tc>
        <w:tc>
          <w:tcPr>
            <w:tcW w:w="940" w:type="dxa"/>
            <w:vAlign w:val="bottom"/>
          </w:tcPr>
          <w:p>
            <w:pPr>
              <w:jc w:val="right"/>
              <w:ind w:right="52"/>
              <w:spacing w:after="0"/>
              <w:rPr>
                <w:sz w:val="20"/>
                <w:szCs w:val="20"/>
                <w:color w:val="auto"/>
              </w:rPr>
            </w:pPr>
            <w:r>
              <w:rPr>
                <w:rFonts w:ascii="Arial" w:cs="Arial" w:eastAsia="Arial" w:hAnsi="Arial"/>
                <w:sz w:val="18"/>
                <w:szCs w:val="18"/>
                <w:color w:val="auto"/>
              </w:rPr>
              <w:t>32,349</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ind w:right="52"/>
              <w:spacing w:after="0"/>
              <w:rPr>
                <w:sz w:val="20"/>
                <w:szCs w:val="20"/>
                <w:color w:val="auto"/>
              </w:rPr>
            </w:pPr>
            <w:r>
              <w:rPr>
                <w:rFonts w:ascii="Arial" w:cs="Arial" w:eastAsia="Arial" w:hAnsi="Arial"/>
                <w:sz w:val="18"/>
                <w:szCs w:val="18"/>
                <w:color w:val="auto"/>
              </w:rPr>
              <w:t>108</w:t>
            </w: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42,772</w:t>
            </w: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right"/>
              <w:ind w:right="212"/>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75,229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Intercompany other</w:t>
            </w:r>
          </w:p>
        </w:tc>
        <w:tc>
          <w:tcPr>
            <w:tcW w:w="2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32,456</w:t>
            </w:r>
          </w:p>
        </w:tc>
        <w:tc>
          <w:tcPr>
            <w:tcW w:w="4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3,658</w:t>
            </w:r>
          </w:p>
        </w:tc>
        <w:tc>
          <w:tcPr>
            <w:tcW w:w="4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4,999</w:t>
            </w:r>
          </w:p>
        </w:tc>
        <w:tc>
          <w:tcPr>
            <w:tcW w:w="4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(41,113)</w:t>
            </w:r>
          </w:p>
        </w:tc>
        <w:tc>
          <w:tcPr>
            <w:tcW w:w="4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21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3220" w:type="dxa"/>
            <w:vAlign w:val="bottom"/>
          </w:tcPr>
          <w:p>
            <w:pPr>
              <w:ind w:left="860"/>
              <w:spacing w:after="0"/>
              <w:rPr>
                <w:sz w:val="20"/>
                <w:szCs w:val="20"/>
                <w:color w:val="auto"/>
              </w:rPr>
            </w:pPr>
            <w:r>
              <w:rPr>
                <w:rFonts w:ascii="Arial" w:cs="Arial" w:eastAsia="Arial" w:hAnsi="Arial"/>
                <w:sz w:val="18"/>
                <w:szCs w:val="18"/>
                <w:color w:val="auto"/>
              </w:rPr>
              <w:t>Total current assets</w:t>
            </w:r>
          </w:p>
        </w:tc>
        <w:tc>
          <w:tcPr>
            <w:tcW w:w="260" w:type="dxa"/>
            <w:vAlign w:val="bottom"/>
          </w:tcPr>
          <w:p>
            <w:pPr>
              <w:spacing w:after="0"/>
              <w:rPr>
                <w:sz w:val="19"/>
                <w:szCs w:val="19"/>
                <w:color w:val="auto"/>
              </w:rPr>
            </w:pPr>
          </w:p>
        </w:tc>
        <w:tc>
          <w:tcPr>
            <w:tcW w:w="940" w:type="dxa"/>
            <w:vAlign w:val="bottom"/>
          </w:tcPr>
          <w:p>
            <w:pPr>
              <w:jc w:val="right"/>
              <w:ind w:right="52"/>
              <w:spacing w:after="0"/>
              <w:rPr>
                <w:sz w:val="20"/>
                <w:szCs w:val="20"/>
                <w:color w:val="auto"/>
              </w:rPr>
            </w:pPr>
            <w:r>
              <w:rPr>
                <w:rFonts w:ascii="Arial" w:cs="Arial" w:eastAsia="Arial" w:hAnsi="Arial"/>
                <w:sz w:val="18"/>
                <w:szCs w:val="18"/>
                <w:color w:val="auto"/>
              </w:rPr>
              <w:t>292,484</w:t>
            </w:r>
          </w:p>
        </w:tc>
        <w:tc>
          <w:tcPr>
            <w:tcW w:w="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ind w:right="52"/>
              <w:spacing w:after="0"/>
              <w:rPr>
                <w:sz w:val="20"/>
                <w:szCs w:val="20"/>
                <w:color w:val="auto"/>
              </w:rPr>
            </w:pPr>
            <w:r>
              <w:rPr>
                <w:rFonts w:ascii="Arial" w:cs="Arial" w:eastAsia="Arial" w:hAnsi="Arial"/>
                <w:sz w:val="18"/>
                <w:szCs w:val="18"/>
                <w:color w:val="auto"/>
              </w:rPr>
              <w:t>6,469</w:t>
            </w:r>
          </w:p>
        </w:tc>
        <w:tc>
          <w:tcPr>
            <w:tcW w:w="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479,602</w:t>
            </w:r>
          </w:p>
        </w:tc>
        <w:tc>
          <w:tcPr>
            <w:tcW w:w="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(52,639)</w:t>
            </w:r>
          </w:p>
        </w:tc>
        <w:tc>
          <w:tcPr>
            <w:tcW w:w="4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725,916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3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940" w:type="dxa"/>
            <w:vAlign w:val="bottom"/>
          </w:tcPr>
          <w:p>
            <w:pPr>
              <w:spacing w:after="0"/>
              <w:rPr>
                <w:sz w:val="9"/>
                <w:szCs w:val="9"/>
                <w:color w:val="auto"/>
              </w:rPr>
            </w:pPr>
          </w:p>
        </w:tc>
        <w:tc>
          <w:tcPr>
            <w:tcW w:w="4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480" w:type="dxa"/>
            <w:vAlign w:val="bottom"/>
          </w:tcPr>
          <w:p>
            <w:pPr>
              <w:spacing w:after="0"/>
              <w:rPr>
                <w:sz w:val="9"/>
                <w:szCs w:val="9"/>
                <w:color w:val="auto"/>
              </w:rPr>
            </w:pPr>
          </w:p>
        </w:tc>
        <w:tc>
          <w:tcPr>
            <w:tcW w:w="26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 net</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116,081</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202,136</w:t>
            </w: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318,217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Arial" w:cs="Arial" w:eastAsia="Arial" w:hAnsi="Arial"/>
                <w:sz w:val="18"/>
                <w:szCs w:val="18"/>
                <w:color w:val="auto"/>
              </w:rPr>
              <w:t>Prepaid debt fees</w:t>
            </w:r>
          </w:p>
        </w:tc>
        <w:tc>
          <w:tcPr>
            <w:tcW w:w="260" w:type="dxa"/>
            <w:vAlign w:val="bottom"/>
          </w:tcPr>
          <w:p>
            <w:pPr>
              <w:spacing w:after="0"/>
              <w:rPr>
                <w:sz w:val="18"/>
                <w:szCs w:val="18"/>
                <w:color w:val="auto"/>
              </w:rPr>
            </w:pPr>
          </w:p>
        </w:tc>
        <w:tc>
          <w:tcPr>
            <w:tcW w:w="940" w:type="dxa"/>
            <w:vAlign w:val="bottom"/>
          </w:tcPr>
          <w:p>
            <w:pPr>
              <w:jc w:val="right"/>
              <w:ind w:right="52"/>
              <w:spacing w:after="0"/>
              <w:rPr>
                <w:sz w:val="20"/>
                <w:szCs w:val="20"/>
                <w:color w:val="auto"/>
              </w:rPr>
            </w:pPr>
            <w:r>
              <w:rPr>
                <w:rFonts w:ascii="Arial" w:cs="Arial" w:eastAsia="Arial" w:hAnsi="Arial"/>
                <w:sz w:val="18"/>
                <w:szCs w:val="18"/>
                <w:color w:val="auto"/>
              </w:rPr>
              <w:t>8,628</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ind w:right="212"/>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212"/>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right"/>
              <w:ind w:right="212"/>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8,628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 noncurrent, net</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67,195</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22,737</w:t>
            </w: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89,932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Arial" w:cs="Arial" w:eastAsia="Arial" w:hAnsi="Arial"/>
                <w:sz w:val="18"/>
                <w:szCs w:val="18"/>
                <w:color w:val="auto"/>
              </w:rPr>
              <w:t>Other noncurrent assets</w:t>
            </w:r>
          </w:p>
        </w:tc>
        <w:tc>
          <w:tcPr>
            <w:tcW w:w="260" w:type="dxa"/>
            <w:vAlign w:val="bottom"/>
          </w:tcPr>
          <w:p>
            <w:pPr>
              <w:spacing w:after="0"/>
              <w:rPr>
                <w:sz w:val="18"/>
                <w:szCs w:val="18"/>
                <w:color w:val="auto"/>
              </w:rPr>
            </w:pPr>
          </w:p>
        </w:tc>
        <w:tc>
          <w:tcPr>
            <w:tcW w:w="940" w:type="dxa"/>
            <w:vAlign w:val="bottom"/>
          </w:tcPr>
          <w:p>
            <w:pPr>
              <w:jc w:val="right"/>
              <w:ind w:right="52"/>
              <w:spacing w:after="0"/>
              <w:rPr>
                <w:sz w:val="20"/>
                <w:szCs w:val="20"/>
                <w:color w:val="auto"/>
              </w:rPr>
            </w:pPr>
            <w:r>
              <w:rPr>
                <w:rFonts w:ascii="Arial" w:cs="Arial" w:eastAsia="Arial" w:hAnsi="Arial"/>
                <w:sz w:val="18"/>
                <w:szCs w:val="18"/>
                <w:color w:val="auto"/>
              </w:rPr>
              <w:t>5,625</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ind w:right="212"/>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12,492</w:t>
            </w: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right"/>
              <w:ind w:right="212"/>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18,117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58,168</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330,044</w:t>
            </w: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388,212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Arial" w:cs="Arial" w:eastAsia="Arial" w:hAnsi="Arial"/>
                <w:sz w:val="18"/>
                <w:szCs w:val="18"/>
                <w:color w:val="auto"/>
              </w:rPr>
              <w:t>Goodwill</w:t>
            </w:r>
          </w:p>
        </w:tc>
        <w:tc>
          <w:tcPr>
            <w:tcW w:w="260" w:type="dxa"/>
            <w:vAlign w:val="bottom"/>
          </w:tcPr>
          <w:p>
            <w:pPr>
              <w:spacing w:after="0"/>
              <w:rPr>
                <w:sz w:val="18"/>
                <w:szCs w:val="18"/>
                <w:color w:val="auto"/>
              </w:rPr>
            </w:pPr>
          </w:p>
        </w:tc>
        <w:tc>
          <w:tcPr>
            <w:tcW w:w="940" w:type="dxa"/>
            <w:vAlign w:val="bottom"/>
          </w:tcPr>
          <w:p>
            <w:pPr>
              <w:jc w:val="right"/>
              <w:ind w:right="52"/>
              <w:spacing w:after="0"/>
              <w:rPr>
                <w:sz w:val="20"/>
                <w:szCs w:val="20"/>
                <w:color w:val="auto"/>
              </w:rPr>
            </w:pPr>
            <w:r>
              <w:rPr>
                <w:rFonts w:ascii="Arial" w:cs="Arial" w:eastAsia="Arial" w:hAnsi="Arial"/>
                <w:sz w:val="18"/>
                <w:szCs w:val="18"/>
                <w:color w:val="auto"/>
              </w:rPr>
              <w:t>174,781</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ind w:right="212"/>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1,130,818</w:t>
            </w: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right"/>
              <w:ind w:right="212"/>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w w:val="94"/>
              </w:rPr>
              <w:t>1,305,599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Investment in subsidiaries</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(9,081)</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(12,444)</w:t>
            </w: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21,525</w:t>
            </w: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Arial" w:cs="Arial" w:eastAsia="Arial" w:hAnsi="Arial"/>
                <w:sz w:val="18"/>
                <w:szCs w:val="18"/>
                <w:color w:val="auto"/>
              </w:rPr>
              <w:t>Intercompany notes receivable</w:t>
            </w: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w w:val="97"/>
              </w:rPr>
              <w:t>1,723,587</w:t>
            </w:r>
          </w:p>
        </w:tc>
        <w:tc>
          <w:tcPr>
            <w:tcW w:w="4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94,511</w:t>
            </w:r>
          </w:p>
        </w:tc>
        <w:tc>
          <w:tcPr>
            <w:tcW w:w="4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(1,818,098)</w:t>
            </w:r>
          </w:p>
        </w:tc>
        <w:tc>
          <w:tcPr>
            <w:tcW w:w="4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32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assets</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97"/>
              </w:rPr>
              <w:t>2,437,468</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88,536</w:t>
            </w:r>
          </w:p>
        </w:tc>
        <w:tc>
          <w:tcPr>
            <w:tcW w:w="68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2,177,829</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(1,849,212)</w:t>
            </w:r>
          </w:p>
        </w:tc>
        <w:tc>
          <w:tcPr>
            <w:tcW w:w="74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94"/>
              </w:rPr>
              <w:t>2,854,621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20" w:type="dxa"/>
            <w:vAlign w:val="bottom"/>
            <w:vMerge w:val="restart"/>
          </w:tcPr>
          <w:p>
            <w:pPr>
              <w:ind w:left="420"/>
              <w:spacing w:after="0"/>
              <w:rPr>
                <w:sz w:val="20"/>
                <w:szCs w:val="20"/>
                <w:color w:val="auto"/>
              </w:rPr>
            </w:pPr>
            <w:r>
              <w:rPr>
                <w:rFonts w:ascii="Arial" w:cs="Arial" w:eastAsia="Arial" w:hAnsi="Arial"/>
                <w:sz w:val="18"/>
                <w:szCs w:val="18"/>
                <w:b w:val="1"/>
                <w:bCs w:val="1"/>
                <w:color w:val="auto"/>
              </w:rPr>
              <w:t>LIABILITIES AND</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322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tcPr>
          <w:p>
            <w:pPr>
              <w:ind w:left="640"/>
              <w:spacing w:after="0"/>
              <w:rPr>
                <w:sz w:val="20"/>
                <w:szCs w:val="20"/>
                <w:color w:val="auto"/>
              </w:rPr>
            </w:pPr>
            <w:r>
              <w:rPr>
                <w:rFonts w:ascii="Arial" w:cs="Arial" w:eastAsia="Arial" w:hAnsi="Arial"/>
                <w:sz w:val="18"/>
                <w:szCs w:val="18"/>
                <w:b w:val="1"/>
                <w:bCs w:val="1"/>
                <w:color w:val="auto"/>
              </w:rPr>
              <w:t>SHAREHOLDERS’</w:t>
            </w: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220" w:type="dxa"/>
            <w:vAlign w:val="bottom"/>
          </w:tcPr>
          <w:p>
            <w:pPr>
              <w:ind w:left="640"/>
              <w:spacing w:after="0"/>
              <w:rPr>
                <w:sz w:val="20"/>
                <w:szCs w:val="20"/>
                <w:color w:val="auto"/>
              </w:rPr>
            </w:pPr>
            <w:r>
              <w:rPr>
                <w:rFonts w:ascii="Arial" w:cs="Arial" w:eastAsia="Arial" w:hAnsi="Arial"/>
                <w:sz w:val="18"/>
                <w:szCs w:val="18"/>
                <w:b w:val="1"/>
                <w:bCs w:val="1"/>
                <w:color w:val="auto"/>
              </w:rPr>
              <w:t>EQUITY</w:t>
            </w: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tcPr>
          <w:p>
            <w:pPr>
              <w:ind w:left="420"/>
              <w:spacing w:after="0"/>
              <w:rPr>
                <w:sz w:val="20"/>
                <w:szCs w:val="20"/>
                <w:color w:val="auto"/>
              </w:rPr>
            </w:pPr>
            <w:r>
              <w:rPr>
                <w:rFonts w:ascii="Arial" w:cs="Arial" w:eastAsia="Arial" w:hAnsi="Arial"/>
                <w:sz w:val="18"/>
                <w:szCs w:val="18"/>
                <w:color w:val="auto"/>
              </w:rPr>
              <w:t>Accounts payable</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52"/>
              <w:spacing w:after="0"/>
              <w:rPr>
                <w:sz w:val="20"/>
                <w:szCs w:val="20"/>
                <w:color w:val="auto"/>
              </w:rPr>
            </w:pPr>
            <w:r>
              <w:rPr>
                <w:rFonts w:ascii="Arial" w:cs="Arial" w:eastAsia="Arial" w:hAnsi="Arial"/>
                <w:sz w:val="18"/>
                <w:szCs w:val="18"/>
                <w:color w:val="auto"/>
              </w:rPr>
              <w:t>67,480</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52"/>
              <w:spacing w:after="0"/>
              <w:rPr>
                <w:sz w:val="20"/>
                <w:szCs w:val="20"/>
                <w:color w:val="auto"/>
              </w:rPr>
            </w:pPr>
            <w:r>
              <w:rPr>
                <w:rFonts w:ascii="Arial" w:cs="Arial" w:eastAsia="Arial" w:hAnsi="Arial"/>
                <w:sz w:val="18"/>
                <w:szCs w:val="18"/>
                <w:color w:val="auto"/>
              </w:rPr>
              <w:t>66</w:t>
            </w:r>
          </w:p>
        </w:tc>
        <w:tc>
          <w:tcPr>
            <w:tcW w:w="680" w:type="dxa"/>
            <w:vAlign w:val="bottom"/>
            <w:gridSpan w:val="2"/>
          </w:tcPr>
          <w:p>
            <w:pPr>
              <w:ind w:left="56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151,709</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212"/>
              <w:spacing w:after="0"/>
              <w:rPr>
                <w:sz w:val="20"/>
                <w:szCs w:val="20"/>
                <w:color w:val="auto"/>
              </w:rPr>
            </w:pPr>
            <w:r>
              <w:rPr>
                <w:rFonts w:ascii="Arial" w:cs="Arial" w:eastAsia="Arial" w:hAnsi="Arial"/>
                <w:sz w:val="18"/>
                <w:szCs w:val="18"/>
                <w:color w:val="auto"/>
              </w:rPr>
              <w:t>-</w:t>
            </w:r>
          </w:p>
        </w:tc>
        <w:tc>
          <w:tcPr>
            <w:tcW w:w="74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219,255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current liabilities</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21,147</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43,436</w:t>
            </w: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64,583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tcPr>
          <w:p>
            <w:pPr>
              <w:ind w:left="420"/>
              <w:spacing w:after="0"/>
              <w:rPr>
                <w:sz w:val="20"/>
                <w:szCs w:val="20"/>
                <w:color w:val="auto"/>
              </w:rPr>
            </w:pPr>
            <w:r>
              <w:rPr>
                <w:rFonts w:ascii="Arial" w:cs="Arial" w:eastAsia="Arial" w:hAnsi="Arial"/>
                <w:sz w:val="18"/>
                <w:szCs w:val="18"/>
                <w:color w:val="auto"/>
              </w:rPr>
              <w:t>Intercompany accounts payable</w:t>
            </w:r>
          </w:p>
        </w:tc>
        <w:tc>
          <w:tcPr>
            <w:tcW w:w="260" w:type="dxa"/>
            <w:vAlign w:val="bottom"/>
          </w:tcPr>
          <w:p>
            <w:pPr>
              <w:spacing w:after="0"/>
              <w:rPr>
                <w:sz w:val="18"/>
                <w:szCs w:val="18"/>
                <w:color w:val="auto"/>
              </w:rPr>
            </w:pPr>
          </w:p>
        </w:tc>
        <w:tc>
          <w:tcPr>
            <w:tcW w:w="940" w:type="dxa"/>
            <w:vAlign w:val="bottom"/>
          </w:tcPr>
          <w:p>
            <w:pPr>
              <w:jc w:val="right"/>
              <w:ind w:right="52"/>
              <w:spacing w:after="0"/>
              <w:rPr>
                <w:sz w:val="20"/>
                <w:szCs w:val="20"/>
                <w:color w:val="auto"/>
              </w:rPr>
            </w:pPr>
            <w:r>
              <w:rPr>
                <w:rFonts w:ascii="Arial" w:cs="Arial" w:eastAsia="Arial" w:hAnsi="Arial"/>
                <w:sz w:val="18"/>
                <w:szCs w:val="18"/>
                <w:color w:val="auto"/>
              </w:rPr>
              <w:t>1,674</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ind w:right="52"/>
              <w:spacing w:after="0"/>
              <w:rPr>
                <w:sz w:val="20"/>
                <w:szCs w:val="20"/>
                <w:color w:val="auto"/>
              </w:rPr>
            </w:pPr>
            <w:r>
              <w:rPr>
                <w:rFonts w:ascii="Arial" w:cs="Arial" w:eastAsia="Arial" w:hAnsi="Arial"/>
                <w:sz w:val="18"/>
                <w:szCs w:val="18"/>
                <w:color w:val="auto"/>
              </w:rPr>
              <w:t>184</w:t>
            </w: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9,290</w:t>
            </w: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(11,148)</w:t>
            </w: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ind w:right="21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Wages and benefits payable</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20,621</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102</w:t>
            </w: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50,869</w:t>
            </w: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71,592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tcPr>
          <w:p>
            <w:pPr>
              <w:ind w:left="420"/>
              <w:spacing w:after="0"/>
              <w:rPr>
                <w:sz w:val="20"/>
                <w:szCs w:val="20"/>
                <w:color w:val="auto"/>
              </w:rPr>
            </w:pPr>
            <w:r>
              <w:rPr>
                <w:rFonts w:ascii="Arial" w:cs="Arial" w:eastAsia="Arial" w:hAnsi="Arial"/>
                <w:sz w:val="18"/>
                <w:szCs w:val="18"/>
                <w:color w:val="auto"/>
              </w:rPr>
              <w:t>Taxes payable</w:t>
            </w:r>
          </w:p>
        </w:tc>
        <w:tc>
          <w:tcPr>
            <w:tcW w:w="260" w:type="dxa"/>
            <w:vAlign w:val="bottom"/>
          </w:tcPr>
          <w:p>
            <w:pPr>
              <w:spacing w:after="0"/>
              <w:rPr>
                <w:sz w:val="18"/>
                <w:szCs w:val="18"/>
                <w:color w:val="auto"/>
              </w:rPr>
            </w:pPr>
          </w:p>
        </w:tc>
        <w:tc>
          <w:tcPr>
            <w:tcW w:w="940" w:type="dxa"/>
            <w:vAlign w:val="bottom"/>
          </w:tcPr>
          <w:p>
            <w:pPr>
              <w:jc w:val="right"/>
              <w:ind w:right="52"/>
              <w:spacing w:after="0"/>
              <w:rPr>
                <w:sz w:val="20"/>
                <w:szCs w:val="20"/>
                <w:color w:val="auto"/>
              </w:rPr>
            </w:pPr>
            <w:r>
              <w:rPr>
                <w:rFonts w:ascii="Arial" w:cs="Arial" w:eastAsia="Arial" w:hAnsi="Arial"/>
                <w:sz w:val="18"/>
                <w:szCs w:val="18"/>
                <w:color w:val="auto"/>
              </w:rPr>
              <w:t>1,776</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(43)</w:t>
            </w: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12,644</w:t>
            </w: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right"/>
              <w:ind w:right="212"/>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14,377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Current portion of debt</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10,871</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10,871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tcPr>
          <w:p>
            <w:pPr>
              <w:ind w:left="420"/>
              <w:spacing w:after="0"/>
              <w:rPr>
                <w:sz w:val="20"/>
                <w:szCs w:val="20"/>
                <w:color w:val="auto"/>
              </w:rPr>
            </w:pPr>
            <w:r>
              <w:rPr>
                <w:rFonts w:ascii="Arial" w:cs="Arial" w:eastAsia="Arial" w:hAnsi="Arial"/>
                <w:sz w:val="18"/>
                <w:szCs w:val="18"/>
                <w:color w:val="auto"/>
              </w:rPr>
              <w:t>Current portion of warranty</w:t>
            </w:r>
          </w:p>
        </w:tc>
        <w:tc>
          <w:tcPr>
            <w:tcW w:w="260" w:type="dxa"/>
            <w:vAlign w:val="bottom"/>
          </w:tcPr>
          <w:p>
            <w:pPr>
              <w:spacing w:after="0"/>
              <w:rPr>
                <w:sz w:val="18"/>
                <w:szCs w:val="18"/>
                <w:color w:val="auto"/>
              </w:rPr>
            </w:pPr>
          </w:p>
        </w:tc>
        <w:tc>
          <w:tcPr>
            <w:tcW w:w="940" w:type="dxa"/>
            <w:vAlign w:val="bottom"/>
          </w:tcPr>
          <w:p>
            <w:pPr>
              <w:jc w:val="right"/>
              <w:ind w:right="52"/>
              <w:spacing w:after="0"/>
              <w:rPr>
                <w:sz w:val="20"/>
                <w:szCs w:val="20"/>
                <w:color w:val="auto"/>
              </w:rPr>
            </w:pPr>
            <w:r>
              <w:rPr>
                <w:rFonts w:ascii="Arial" w:cs="Arial" w:eastAsia="Arial" w:hAnsi="Arial"/>
                <w:sz w:val="18"/>
                <w:szCs w:val="18"/>
                <w:color w:val="auto"/>
              </w:rPr>
              <w:t>8,418</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ind w:right="212"/>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12,523</w:t>
            </w: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right"/>
              <w:ind w:right="212"/>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20,941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Unearned revenue</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36,421</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3,719</w:t>
            </w: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40,140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tcPr>
          <w:p>
            <w:pPr>
              <w:ind w:left="420"/>
              <w:spacing w:after="0"/>
              <w:rPr>
                <w:sz w:val="20"/>
                <w:szCs w:val="20"/>
                <w:color w:val="auto"/>
              </w:rPr>
            </w:pPr>
            <w:r>
              <w:rPr>
                <w:rFonts w:ascii="Arial" w:cs="Arial" w:eastAsia="Arial" w:hAnsi="Arial"/>
                <w:sz w:val="18"/>
                <w:szCs w:val="18"/>
                <w:color w:val="auto"/>
              </w:rPr>
              <w:t>Deferred tax liabilities current, net</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(1,550)</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ind w:right="212"/>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3,175</w:t>
            </w: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right"/>
              <w:ind w:right="212"/>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1,625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Short-term intercompany</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2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advances</w:t>
            </w: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8,661</w:t>
            </w:r>
          </w:p>
        </w:tc>
        <w:tc>
          <w:tcPr>
            <w:tcW w:w="4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2,450</w:t>
            </w:r>
          </w:p>
        </w:tc>
        <w:tc>
          <w:tcPr>
            <w:tcW w:w="4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30,002</w:t>
            </w:r>
          </w:p>
        </w:tc>
        <w:tc>
          <w:tcPr>
            <w:tcW w:w="4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(41,113)</w:t>
            </w:r>
          </w:p>
        </w:tc>
        <w:tc>
          <w:tcPr>
            <w:tcW w:w="4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21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3220" w:type="dxa"/>
            <w:vAlign w:val="bottom"/>
          </w:tcPr>
          <w:p>
            <w:pPr>
              <w:ind w:left="860"/>
              <w:spacing w:after="0"/>
              <w:rPr>
                <w:sz w:val="20"/>
                <w:szCs w:val="20"/>
                <w:color w:val="auto"/>
              </w:rPr>
            </w:pPr>
            <w:r>
              <w:rPr>
                <w:rFonts w:ascii="Arial" w:cs="Arial" w:eastAsia="Arial" w:hAnsi="Arial"/>
                <w:sz w:val="18"/>
                <w:szCs w:val="18"/>
                <w:color w:val="auto"/>
              </w:rPr>
              <w:t>Total current liabilities</w:t>
            </w:r>
          </w:p>
        </w:tc>
        <w:tc>
          <w:tcPr>
            <w:tcW w:w="260" w:type="dxa"/>
            <w:vAlign w:val="bottom"/>
          </w:tcPr>
          <w:p>
            <w:pPr>
              <w:spacing w:after="0"/>
              <w:rPr>
                <w:sz w:val="19"/>
                <w:szCs w:val="19"/>
                <w:color w:val="auto"/>
              </w:rPr>
            </w:pPr>
          </w:p>
        </w:tc>
        <w:tc>
          <w:tcPr>
            <w:tcW w:w="940" w:type="dxa"/>
            <w:vAlign w:val="bottom"/>
          </w:tcPr>
          <w:p>
            <w:pPr>
              <w:jc w:val="right"/>
              <w:ind w:right="52"/>
              <w:spacing w:after="0"/>
              <w:rPr>
                <w:sz w:val="20"/>
                <w:szCs w:val="20"/>
                <w:color w:val="auto"/>
              </w:rPr>
            </w:pPr>
            <w:r>
              <w:rPr>
                <w:rFonts w:ascii="Arial" w:cs="Arial" w:eastAsia="Arial" w:hAnsi="Arial"/>
                <w:sz w:val="18"/>
                <w:szCs w:val="18"/>
                <w:color w:val="auto"/>
              </w:rPr>
              <w:t>175,519</w:t>
            </w:r>
          </w:p>
        </w:tc>
        <w:tc>
          <w:tcPr>
            <w:tcW w:w="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ind w:right="52"/>
              <w:spacing w:after="0"/>
              <w:rPr>
                <w:sz w:val="20"/>
                <w:szCs w:val="20"/>
                <w:color w:val="auto"/>
              </w:rPr>
            </w:pPr>
            <w:r>
              <w:rPr>
                <w:rFonts w:ascii="Arial" w:cs="Arial" w:eastAsia="Arial" w:hAnsi="Arial"/>
                <w:sz w:val="18"/>
                <w:szCs w:val="18"/>
                <w:color w:val="auto"/>
              </w:rPr>
              <w:t>2,759</w:t>
            </w:r>
          </w:p>
        </w:tc>
        <w:tc>
          <w:tcPr>
            <w:tcW w:w="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317,367</w:t>
            </w:r>
          </w:p>
        </w:tc>
        <w:tc>
          <w:tcPr>
            <w:tcW w:w="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(52,261)</w:t>
            </w:r>
          </w:p>
        </w:tc>
        <w:tc>
          <w:tcPr>
            <w:tcW w:w="4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443,384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Long-term debt</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770,893</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770,893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Arial" w:cs="Arial" w:eastAsia="Arial" w:hAnsi="Arial"/>
                <w:sz w:val="18"/>
                <w:szCs w:val="18"/>
                <w:color w:val="auto"/>
              </w:rPr>
              <w:t>Long-term warranty</w:t>
            </w:r>
          </w:p>
        </w:tc>
        <w:tc>
          <w:tcPr>
            <w:tcW w:w="260" w:type="dxa"/>
            <w:vAlign w:val="bottom"/>
          </w:tcPr>
          <w:p>
            <w:pPr>
              <w:spacing w:after="0"/>
              <w:rPr>
                <w:sz w:val="18"/>
                <w:szCs w:val="18"/>
                <w:color w:val="auto"/>
              </w:rPr>
            </w:pPr>
          </w:p>
        </w:tc>
        <w:tc>
          <w:tcPr>
            <w:tcW w:w="940" w:type="dxa"/>
            <w:vAlign w:val="bottom"/>
          </w:tcPr>
          <w:p>
            <w:pPr>
              <w:jc w:val="right"/>
              <w:ind w:right="52"/>
              <w:spacing w:after="0"/>
              <w:rPr>
                <w:sz w:val="20"/>
                <w:szCs w:val="20"/>
                <w:color w:val="auto"/>
              </w:rPr>
            </w:pPr>
            <w:r>
              <w:rPr>
                <w:rFonts w:ascii="Arial" w:cs="Arial" w:eastAsia="Arial" w:hAnsi="Arial"/>
                <w:sz w:val="18"/>
                <w:szCs w:val="18"/>
                <w:color w:val="auto"/>
              </w:rPr>
              <w:t>9,919</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ind w:right="212"/>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3,013</w:t>
            </w: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right"/>
              <w:ind w:right="212"/>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12,932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Pension plan benefits</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63,040</w:t>
            </w: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63,040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Arial" w:cs="Arial" w:eastAsia="Arial" w:hAnsi="Arial"/>
                <w:sz w:val="18"/>
                <w:szCs w:val="18"/>
                <w:color w:val="auto"/>
              </w:rPr>
              <w:t>Intercompany notes payable</w:t>
            </w:r>
          </w:p>
        </w:tc>
        <w:tc>
          <w:tcPr>
            <w:tcW w:w="260" w:type="dxa"/>
            <w:vAlign w:val="bottom"/>
          </w:tcPr>
          <w:p>
            <w:pPr>
              <w:spacing w:after="0"/>
              <w:rPr>
                <w:sz w:val="18"/>
                <w:szCs w:val="18"/>
                <w:color w:val="auto"/>
              </w:rPr>
            </w:pPr>
          </w:p>
        </w:tc>
        <w:tc>
          <w:tcPr>
            <w:tcW w:w="940" w:type="dxa"/>
            <w:vAlign w:val="bottom"/>
          </w:tcPr>
          <w:p>
            <w:pPr>
              <w:jc w:val="right"/>
              <w:ind w:right="52"/>
              <w:spacing w:after="0"/>
              <w:rPr>
                <w:sz w:val="20"/>
                <w:szCs w:val="20"/>
                <w:color w:val="auto"/>
              </w:rPr>
            </w:pPr>
            <w:r>
              <w:rPr>
                <w:rFonts w:ascii="Arial" w:cs="Arial" w:eastAsia="Arial" w:hAnsi="Arial"/>
                <w:sz w:val="18"/>
                <w:szCs w:val="18"/>
                <w:color w:val="auto"/>
              </w:rPr>
              <w:t>94,512</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ind w:right="212"/>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1,723,586</w:t>
            </w: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(1,818,098)</w:t>
            </w: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ind w:right="21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liabilities noncurrent, net</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(37,176)</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117,871</w:t>
            </w: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80,695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220" w:type="dxa"/>
            <w:vAlign w:val="bottom"/>
          </w:tcPr>
          <w:p>
            <w:pPr>
              <w:spacing w:after="0"/>
              <w:rPr>
                <w:sz w:val="20"/>
                <w:szCs w:val="20"/>
                <w:color w:val="auto"/>
              </w:rPr>
            </w:pPr>
            <w:r>
              <w:rPr>
                <w:rFonts w:ascii="Arial" w:cs="Arial" w:eastAsia="Arial" w:hAnsi="Arial"/>
                <w:sz w:val="18"/>
                <w:szCs w:val="18"/>
                <w:color w:val="auto"/>
              </w:rPr>
              <w:t>Other long-term obligations</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23,287</w:t>
            </w:r>
          </w:p>
        </w:tc>
        <w:tc>
          <w:tcPr>
            <w:tcW w:w="4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59,876</w:t>
            </w:r>
          </w:p>
        </w:tc>
        <w:tc>
          <w:tcPr>
            <w:tcW w:w="4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83,163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liabilities</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97"/>
              </w:rPr>
              <w:t>1,036,954</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2,759</w:t>
            </w: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2,284,753</w:t>
            </w: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(1,870,359)</w:t>
            </w: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94"/>
              </w:rPr>
              <w:t>1,454,107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3240" w:type="dxa"/>
            <w:vAlign w:val="bottom"/>
            <w:gridSpan w:val="2"/>
          </w:tcPr>
          <w:p>
            <w:pPr>
              <w:spacing w:after="0"/>
              <w:rPr>
                <w:sz w:val="20"/>
                <w:szCs w:val="20"/>
                <w:color w:val="auto"/>
              </w:rPr>
            </w:pPr>
            <w:r>
              <w:rPr>
                <w:rFonts w:ascii="Arial" w:cs="Arial" w:eastAsia="Arial" w:hAnsi="Arial"/>
                <w:sz w:val="18"/>
                <w:szCs w:val="18"/>
                <w:color w:val="auto"/>
              </w:rPr>
              <w:t>Shareholders’ equity</w:t>
            </w: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Preferred stock</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tcPr>
          <w:p>
            <w:pPr>
              <w:ind w:left="420"/>
              <w:spacing w:after="0"/>
              <w:rPr>
                <w:sz w:val="20"/>
                <w:szCs w:val="20"/>
                <w:color w:val="auto"/>
              </w:rPr>
            </w:pPr>
            <w:r>
              <w:rPr>
                <w:rFonts w:ascii="Arial" w:cs="Arial" w:eastAsia="Arial" w:hAnsi="Arial"/>
                <w:sz w:val="18"/>
                <w:szCs w:val="18"/>
                <w:color w:val="auto"/>
              </w:rPr>
              <w:t>Common stock</w:t>
            </w:r>
          </w:p>
        </w:tc>
        <w:tc>
          <w:tcPr>
            <w:tcW w:w="260" w:type="dxa"/>
            <w:vAlign w:val="bottom"/>
          </w:tcPr>
          <w:p>
            <w:pPr>
              <w:spacing w:after="0"/>
              <w:rPr>
                <w:sz w:val="18"/>
                <w:szCs w:val="18"/>
                <w:color w:val="auto"/>
              </w:rPr>
            </w:pPr>
          </w:p>
        </w:tc>
        <w:tc>
          <w:tcPr>
            <w:tcW w:w="940" w:type="dxa"/>
            <w:vAlign w:val="bottom"/>
          </w:tcPr>
          <w:p>
            <w:pPr>
              <w:jc w:val="right"/>
              <w:ind w:right="52"/>
              <w:spacing w:after="0"/>
              <w:rPr>
                <w:sz w:val="20"/>
                <w:szCs w:val="20"/>
                <w:color w:val="auto"/>
              </w:rPr>
            </w:pPr>
            <w:r>
              <w:rPr>
                <w:rFonts w:ascii="Arial" w:cs="Arial" w:eastAsia="Arial" w:hAnsi="Arial"/>
                <w:sz w:val="18"/>
                <w:szCs w:val="18"/>
                <w:color w:val="auto"/>
                <w:w w:val="97"/>
              </w:rPr>
              <w:t>1,299,134</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ind w:right="52"/>
              <w:spacing w:after="0"/>
              <w:rPr>
                <w:sz w:val="20"/>
                <w:szCs w:val="20"/>
                <w:color w:val="auto"/>
              </w:rPr>
            </w:pPr>
            <w:r>
              <w:rPr>
                <w:rFonts w:ascii="Arial" w:cs="Arial" w:eastAsia="Arial" w:hAnsi="Arial"/>
                <w:sz w:val="18"/>
                <w:szCs w:val="18"/>
                <w:color w:val="auto"/>
              </w:rPr>
              <w:t>107,165</w:t>
            </w: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80,723</w:t>
            </w: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(187,888)</w:t>
            </w: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w w:val="94"/>
              </w:rPr>
              <w:t>1,299,134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Accumulated other</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comprehensive income (loss),</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2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net</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71,130</w:t>
            </w:r>
          </w:p>
        </w:tc>
        <w:tc>
          <w:tcPr>
            <w:tcW w:w="4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(9,200)</w:t>
            </w:r>
          </w:p>
        </w:tc>
        <w:tc>
          <w:tcPr>
            <w:tcW w:w="4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19,689</w:t>
            </w:r>
          </w:p>
        </w:tc>
        <w:tc>
          <w:tcPr>
            <w:tcW w:w="4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(10,489)</w:t>
            </w:r>
          </w:p>
        </w:tc>
        <w:tc>
          <w:tcPr>
            <w:tcW w:w="4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71,130</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220" w:type="dxa"/>
            <w:vAlign w:val="bottom"/>
          </w:tcPr>
          <w:p>
            <w:pPr>
              <w:ind w:left="420"/>
              <w:spacing w:after="0"/>
              <w:rPr>
                <w:sz w:val="20"/>
                <w:szCs w:val="20"/>
                <w:color w:val="auto"/>
              </w:rPr>
            </w:pPr>
            <w:r>
              <w:rPr>
                <w:rFonts w:ascii="Arial" w:cs="Arial" w:eastAsia="Arial" w:hAnsi="Arial"/>
                <w:sz w:val="18"/>
                <w:szCs w:val="18"/>
                <w:color w:val="auto"/>
              </w:rPr>
              <w:t>Retained earnings (accumulated</w:t>
            </w: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3220" w:type="dxa"/>
            <w:vAlign w:val="bottom"/>
          </w:tcPr>
          <w:p>
            <w:pPr>
              <w:ind w:left="640"/>
              <w:spacing w:after="0"/>
              <w:rPr>
                <w:sz w:val="20"/>
                <w:szCs w:val="20"/>
                <w:color w:val="auto"/>
              </w:rPr>
            </w:pPr>
            <w:r>
              <w:rPr>
                <w:rFonts w:ascii="Arial" w:cs="Arial" w:eastAsia="Arial" w:hAnsi="Arial"/>
                <w:sz w:val="18"/>
                <w:szCs w:val="18"/>
                <w:color w:val="auto"/>
              </w:rPr>
              <w:t>deficit)</w:t>
            </w: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30,250</w:t>
            </w:r>
          </w:p>
        </w:tc>
        <w:tc>
          <w:tcPr>
            <w:tcW w:w="4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(12,188)</w:t>
            </w:r>
          </w:p>
        </w:tc>
        <w:tc>
          <w:tcPr>
            <w:tcW w:w="4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(207,336)</w:t>
            </w:r>
          </w:p>
        </w:tc>
        <w:tc>
          <w:tcPr>
            <w:tcW w:w="4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219,524</w:t>
            </w:r>
          </w:p>
        </w:tc>
        <w:tc>
          <w:tcPr>
            <w:tcW w:w="4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30,250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shareholders’ equity</w:t>
            </w:r>
          </w:p>
        </w:tc>
        <w:tc>
          <w:tcPr>
            <w:tcW w:w="2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w w:val="97"/>
              </w:rPr>
              <w:t>1,400,514</w:t>
            </w:r>
          </w:p>
        </w:tc>
        <w:tc>
          <w:tcPr>
            <w:tcW w:w="4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85,777</w:t>
            </w:r>
          </w:p>
        </w:tc>
        <w:tc>
          <w:tcPr>
            <w:tcW w:w="4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(106,924)</w:t>
            </w:r>
          </w:p>
        </w:tc>
        <w:tc>
          <w:tcPr>
            <w:tcW w:w="4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21,147</w:t>
            </w:r>
          </w:p>
        </w:tc>
        <w:tc>
          <w:tcPr>
            <w:tcW w:w="4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w w:val="94"/>
              </w:rPr>
              <w:t>1,400,514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20" w:type="dxa"/>
            <w:vAlign w:val="bottom"/>
          </w:tcPr>
          <w:p>
            <w:pPr>
              <w:spacing w:after="0"/>
              <w:rPr>
                <w:sz w:val="24"/>
                <w:szCs w:val="24"/>
                <w:color w:val="auto"/>
              </w:rPr>
            </w:pPr>
          </w:p>
        </w:tc>
        <w:tc>
          <w:tcPr>
            <w:tcW w:w="3220" w:type="dxa"/>
            <w:vAlign w:val="bottom"/>
          </w:tcPr>
          <w:p>
            <w:pPr>
              <w:ind w:left="860"/>
              <w:spacing w:after="0"/>
              <w:rPr>
                <w:sz w:val="20"/>
                <w:szCs w:val="20"/>
                <w:color w:val="auto"/>
              </w:rPr>
            </w:pPr>
            <w:r>
              <w:rPr>
                <w:rFonts w:ascii="Arial" w:cs="Arial" w:eastAsia="Arial" w:hAnsi="Arial"/>
                <w:sz w:val="18"/>
                <w:szCs w:val="18"/>
                <w:color w:val="auto"/>
              </w:rPr>
              <w:t>Total liabilities and</w:t>
            </w: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220" w:type="dxa"/>
            <w:vAlign w:val="bottom"/>
          </w:tcPr>
          <w:p>
            <w:pPr>
              <w:ind w:left="1060"/>
              <w:spacing w:after="0"/>
              <w:rPr>
                <w:sz w:val="20"/>
                <w:szCs w:val="20"/>
                <w:color w:val="auto"/>
              </w:rPr>
            </w:pPr>
            <w:r>
              <w:rPr>
                <w:rFonts w:ascii="Arial" w:cs="Arial" w:eastAsia="Arial" w:hAnsi="Arial"/>
                <w:sz w:val="18"/>
                <w:szCs w:val="18"/>
                <w:color w:val="auto"/>
              </w:rPr>
              <w:t>shareholders’ equity</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52"/>
              <w:spacing w:after="0"/>
              <w:rPr>
                <w:sz w:val="20"/>
                <w:szCs w:val="20"/>
                <w:color w:val="auto"/>
              </w:rPr>
            </w:pPr>
            <w:r>
              <w:rPr>
                <w:rFonts w:ascii="Arial" w:cs="Arial" w:eastAsia="Arial" w:hAnsi="Arial"/>
                <w:sz w:val="18"/>
                <w:szCs w:val="18"/>
                <w:color w:val="auto"/>
                <w:w w:val="97"/>
              </w:rPr>
              <w:t>2,437,468</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52"/>
              <w:spacing w:after="0"/>
              <w:rPr>
                <w:sz w:val="20"/>
                <w:szCs w:val="20"/>
                <w:color w:val="auto"/>
              </w:rPr>
            </w:pPr>
            <w:r>
              <w:rPr>
                <w:rFonts w:ascii="Arial" w:cs="Arial" w:eastAsia="Arial" w:hAnsi="Arial"/>
                <w:sz w:val="18"/>
                <w:szCs w:val="18"/>
                <w:color w:val="auto"/>
              </w:rPr>
              <w:t>88,536</w:t>
            </w:r>
          </w:p>
        </w:tc>
        <w:tc>
          <w:tcPr>
            <w:tcW w:w="680" w:type="dxa"/>
            <w:vAlign w:val="bottom"/>
            <w:gridSpan w:val="2"/>
          </w:tcPr>
          <w:p>
            <w:pPr>
              <w:ind w:left="56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2,177,829</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52"/>
              <w:spacing w:after="0"/>
              <w:rPr>
                <w:sz w:val="20"/>
                <w:szCs w:val="20"/>
                <w:color w:val="auto"/>
              </w:rPr>
            </w:pPr>
            <w:r>
              <w:rPr>
                <w:rFonts w:ascii="Arial" w:cs="Arial" w:eastAsia="Arial" w:hAnsi="Arial"/>
                <w:sz w:val="18"/>
                <w:szCs w:val="18"/>
                <w:color w:val="auto"/>
              </w:rPr>
              <w:t>(1,849,212)</w:t>
            </w:r>
          </w:p>
        </w:tc>
        <w:tc>
          <w:tcPr>
            <w:tcW w:w="74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2"/>
              <w:spacing w:after="0"/>
              <w:rPr>
                <w:sz w:val="20"/>
                <w:szCs w:val="20"/>
                <w:color w:val="auto"/>
              </w:rPr>
            </w:pPr>
            <w:r>
              <w:rPr>
                <w:rFonts w:ascii="Arial" w:cs="Arial" w:eastAsia="Arial" w:hAnsi="Arial"/>
                <w:sz w:val="18"/>
                <w:szCs w:val="18"/>
                <w:color w:val="auto"/>
                <w:w w:val="94"/>
              </w:rPr>
              <w:t>2,854,621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1" w:lineRule="exact"/>
        <w:rPr>
          <w:sz w:val="20"/>
          <w:szCs w:val="20"/>
          <w:color w:val="auto"/>
        </w:rPr>
      </w:pPr>
    </w:p>
    <w:p>
      <w:pPr>
        <w:sectPr>
          <w:pgSz w:w="11900" w:h="16838" w:orient="portrait"/>
          <w:cols w:equalWidth="0" w:num="1">
            <w:col w:w="11420"/>
          </w:cols>
          <w:pgMar w:left="240" w:top="459" w:right="239" w:bottom="1440" w:gutter="0" w:footer="0" w:header="0"/>
        </w:sectPr>
      </w:pPr>
    </w:p>
    <w:p>
      <w:pPr>
        <w:jc w:val="center"/>
        <w:spacing w:after="0"/>
        <w:rPr>
          <w:sz w:val="20"/>
          <w:szCs w:val="20"/>
          <w:color w:val="auto"/>
        </w:rPr>
      </w:pPr>
      <w:r>
        <w:rPr>
          <w:rFonts w:ascii="Arial" w:cs="Arial" w:eastAsia="Arial" w:hAnsi="Arial"/>
          <w:sz w:val="19"/>
          <w:szCs w:val="19"/>
          <w:color w:val="auto"/>
        </w:rPr>
        <w:t>36</w:t>
      </w:r>
    </w:p>
    <w:p>
      <w:pPr>
        <w:sectPr>
          <w:pgSz w:w="11900" w:h="16838" w:orient="portrait"/>
          <w:cols w:equalWidth="0" w:num="1">
            <w:col w:w="11420"/>
          </w:cols>
          <w:pgMar w:left="240" w:top="459" w:right="239" w:bottom="1440" w:gutter="0" w:footer="0" w:header="0"/>
          <w:type w:val="continuous"/>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Consolidating Statement of Cash Flows</w:t>
      </w:r>
    </w:p>
    <w:p>
      <w:pPr>
        <w:spacing w:after="0" w:line="21" w:lineRule="exact"/>
        <w:rPr>
          <w:sz w:val="20"/>
          <w:szCs w:val="20"/>
          <w:color w:val="auto"/>
        </w:rPr>
      </w:pPr>
    </w:p>
    <w:p>
      <w:pPr>
        <w:ind w:left="4200"/>
        <w:spacing w:after="0"/>
        <w:rPr>
          <w:sz w:val="20"/>
          <w:szCs w:val="20"/>
          <w:color w:val="auto"/>
        </w:rPr>
      </w:pPr>
      <w:r>
        <w:rPr>
          <w:rFonts w:ascii="Arial" w:cs="Arial" w:eastAsia="Arial" w:hAnsi="Arial"/>
          <w:sz w:val="18"/>
          <w:szCs w:val="18"/>
          <w:b w:val="1"/>
          <w:bCs w:val="1"/>
          <w:color w:val="auto"/>
        </w:rPr>
        <w:t>Nine Months Ended September 30, 2010</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ind w:right="92"/>
              <w:spacing w:after="0"/>
              <w:rPr>
                <w:sz w:val="20"/>
                <w:szCs w:val="20"/>
                <w:color w:val="auto"/>
              </w:rPr>
            </w:pPr>
            <w:r>
              <w:rPr>
                <w:rFonts w:ascii="Arial" w:cs="Arial" w:eastAsia="Arial" w:hAnsi="Arial"/>
                <w:sz w:val="18"/>
                <w:szCs w:val="18"/>
                <w:b w:val="1"/>
                <w:bCs w:val="1"/>
                <w:color w:val="auto"/>
                <w:w w:val="86"/>
              </w:rPr>
              <w:t>Combined</w:t>
            </w: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20" w:type="dxa"/>
            <w:vAlign w:val="bottom"/>
            <w:gridSpan w:val="2"/>
          </w:tcPr>
          <w:p>
            <w:pPr>
              <w:ind w:left="100"/>
              <w:spacing w:after="0"/>
              <w:rPr>
                <w:sz w:val="20"/>
                <w:szCs w:val="20"/>
                <w:color w:val="auto"/>
              </w:rPr>
            </w:pPr>
            <w:r>
              <w:rPr>
                <w:rFonts w:ascii="Arial" w:cs="Arial" w:eastAsia="Arial" w:hAnsi="Arial"/>
                <w:sz w:val="18"/>
                <w:szCs w:val="18"/>
                <w:b w:val="1"/>
                <w:bCs w:val="1"/>
                <w:color w:val="auto"/>
              </w:rPr>
              <w:t>Guarantor</w:t>
            </w:r>
          </w:p>
        </w:tc>
        <w:tc>
          <w:tcPr>
            <w:tcW w:w="500" w:type="dxa"/>
            <w:vAlign w:val="bottom"/>
          </w:tcPr>
          <w:p>
            <w:pPr>
              <w:spacing w:after="0"/>
              <w:rPr>
                <w:sz w:val="18"/>
                <w:szCs w:val="18"/>
                <w:color w:val="auto"/>
              </w:rPr>
            </w:pPr>
          </w:p>
        </w:tc>
        <w:tc>
          <w:tcPr>
            <w:tcW w:w="1140" w:type="dxa"/>
            <w:vAlign w:val="bottom"/>
            <w:gridSpan w:val="2"/>
          </w:tcPr>
          <w:p>
            <w:pPr>
              <w:spacing w:after="0"/>
              <w:rPr>
                <w:sz w:val="20"/>
                <w:szCs w:val="20"/>
                <w:color w:val="auto"/>
              </w:rPr>
            </w:pPr>
            <w:r>
              <w:rPr>
                <w:rFonts w:ascii="Arial" w:cs="Arial" w:eastAsia="Arial" w:hAnsi="Arial"/>
                <w:sz w:val="18"/>
                <w:szCs w:val="18"/>
                <w:b w:val="1"/>
                <w:bCs w:val="1"/>
                <w:color w:val="auto"/>
                <w:w w:val="89"/>
              </w:rPr>
              <w:t>Non-guarantor</w:t>
            </w: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ind w:right="212"/>
              <w:spacing w:after="0"/>
              <w:rPr>
                <w:sz w:val="20"/>
                <w:szCs w:val="20"/>
                <w:color w:val="auto"/>
              </w:rPr>
            </w:pPr>
            <w:r>
              <w:rPr>
                <w:rFonts w:ascii="Arial" w:cs="Arial" w:eastAsia="Arial" w:hAnsi="Arial"/>
                <w:sz w:val="18"/>
                <w:szCs w:val="18"/>
                <w:b w:val="1"/>
                <w:bCs w:val="1"/>
                <w:color w:val="auto"/>
                <w:w w:val="96"/>
              </w:rPr>
              <w:t>Parent</w:t>
            </w:r>
          </w:p>
        </w:tc>
        <w:tc>
          <w:tcPr>
            <w:tcW w:w="500" w:type="dxa"/>
            <w:vAlign w:val="bottom"/>
          </w:tcPr>
          <w:p>
            <w:pPr>
              <w:spacing w:after="0"/>
              <w:rPr>
                <w:sz w:val="19"/>
                <w:szCs w:val="19"/>
                <w:color w:val="auto"/>
              </w:rPr>
            </w:pPr>
          </w:p>
        </w:tc>
        <w:tc>
          <w:tcPr>
            <w:tcW w:w="1020" w:type="dxa"/>
            <w:vAlign w:val="bottom"/>
            <w:gridSpan w:val="2"/>
          </w:tcPr>
          <w:p>
            <w:pPr>
              <w:ind w:left="100"/>
              <w:spacing w:after="0"/>
              <w:rPr>
                <w:sz w:val="20"/>
                <w:szCs w:val="20"/>
                <w:color w:val="auto"/>
              </w:rPr>
            </w:pPr>
            <w:r>
              <w:rPr>
                <w:rFonts w:ascii="Arial" w:cs="Arial" w:eastAsia="Arial" w:hAnsi="Arial"/>
                <w:sz w:val="18"/>
                <w:szCs w:val="18"/>
                <w:b w:val="1"/>
                <w:bCs w:val="1"/>
                <w:color w:val="auto"/>
                <w:w w:val="97"/>
              </w:rPr>
              <w:t>Subsidiary</w:t>
            </w:r>
          </w:p>
        </w:tc>
        <w:tc>
          <w:tcPr>
            <w:tcW w:w="500" w:type="dxa"/>
            <w:vAlign w:val="bottom"/>
          </w:tcPr>
          <w:p>
            <w:pPr>
              <w:spacing w:after="0"/>
              <w:rPr>
                <w:sz w:val="19"/>
                <w:szCs w:val="19"/>
                <w:color w:val="auto"/>
              </w:rPr>
            </w:pPr>
          </w:p>
        </w:tc>
        <w:tc>
          <w:tcPr>
            <w:tcW w:w="1140" w:type="dxa"/>
            <w:vAlign w:val="bottom"/>
            <w:gridSpan w:val="2"/>
          </w:tcPr>
          <w:p>
            <w:pPr>
              <w:ind w:left="100"/>
              <w:spacing w:after="0"/>
              <w:rPr>
                <w:sz w:val="20"/>
                <w:szCs w:val="20"/>
                <w:color w:val="auto"/>
              </w:rPr>
            </w:pPr>
            <w:r>
              <w:rPr>
                <w:rFonts w:ascii="Arial" w:cs="Arial" w:eastAsia="Arial" w:hAnsi="Arial"/>
                <w:sz w:val="18"/>
                <w:szCs w:val="18"/>
                <w:b w:val="1"/>
                <w:bCs w:val="1"/>
                <w:color w:val="auto"/>
                <w:w w:val="95"/>
              </w:rPr>
              <w:t>Subsidiaries</w:t>
            </w:r>
          </w:p>
        </w:tc>
        <w:tc>
          <w:tcPr>
            <w:tcW w:w="500" w:type="dxa"/>
            <w:vAlign w:val="bottom"/>
          </w:tcPr>
          <w:p>
            <w:pPr>
              <w:spacing w:after="0"/>
              <w:rPr>
                <w:sz w:val="19"/>
                <w:szCs w:val="19"/>
                <w:color w:val="auto"/>
              </w:rPr>
            </w:pPr>
          </w:p>
        </w:tc>
        <w:tc>
          <w:tcPr>
            <w:tcW w:w="1480" w:type="dxa"/>
            <w:vAlign w:val="bottom"/>
            <w:gridSpan w:val="3"/>
          </w:tcPr>
          <w:p>
            <w:pPr>
              <w:jc w:val="right"/>
              <w:ind w:right="520"/>
              <w:spacing w:after="0"/>
              <w:rPr>
                <w:sz w:val="20"/>
                <w:szCs w:val="20"/>
                <w:color w:val="auto"/>
              </w:rPr>
            </w:pPr>
            <w:r>
              <w:rPr>
                <w:rFonts w:ascii="Arial" w:cs="Arial" w:eastAsia="Arial" w:hAnsi="Arial"/>
                <w:sz w:val="18"/>
                <w:szCs w:val="18"/>
                <w:b w:val="1"/>
                <w:bCs w:val="1"/>
                <w:color w:val="auto"/>
                <w:w w:val="87"/>
              </w:rPr>
              <w:t>Eliminations</w:t>
            </w:r>
          </w:p>
        </w:tc>
        <w:tc>
          <w:tcPr>
            <w:tcW w:w="1080" w:type="dxa"/>
            <w:vAlign w:val="bottom"/>
            <w:gridSpan w:val="3"/>
          </w:tcPr>
          <w:p>
            <w:pPr>
              <w:spacing w:after="0"/>
              <w:rPr>
                <w:sz w:val="20"/>
                <w:szCs w:val="20"/>
                <w:color w:val="auto"/>
              </w:rPr>
            </w:pPr>
            <w:r>
              <w:rPr>
                <w:rFonts w:ascii="Arial" w:cs="Arial" w:eastAsia="Arial" w:hAnsi="Arial"/>
                <w:sz w:val="18"/>
                <w:szCs w:val="18"/>
                <w:b w:val="1"/>
                <w:bCs w:val="1"/>
                <w:color w:val="auto"/>
                <w:w w:val="92"/>
              </w:rPr>
              <w:t>Consolidated</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500" w:type="dxa"/>
            <w:vAlign w:val="bottom"/>
          </w:tcPr>
          <w:p>
            <w:pPr>
              <w:spacing w:after="0"/>
              <w:rPr>
                <w:sz w:val="18"/>
                <w:szCs w:val="18"/>
                <w:color w:val="auto"/>
              </w:rPr>
            </w:pPr>
          </w:p>
        </w:tc>
        <w:tc>
          <w:tcPr>
            <w:tcW w:w="1140" w:type="dxa"/>
            <w:vAlign w:val="bottom"/>
            <w:tcBorders>
              <w:top w:val="single" w:sz="8" w:color="auto"/>
            </w:tcBorders>
            <w:gridSpan w:val="2"/>
          </w:tcPr>
          <w:p>
            <w:pPr>
              <w:spacing w:after="0"/>
              <w:rPr>
                <w:sz w:val="20"/>
                <w:szCs w:val="20"/>
                <w:color w:val="auto"/>
              </w:rPr>
            </w:pPr>
            <w:r>
              <w:rPr>
                <w:rFonts w:ascii="Arial" w:cs="Arial" w:eastAsia="Arial" w:hAnsi="Arial"/>
                <w:sz w:val="18"/>
                <w:szCs w:val="18"/>
                <w:b w:val="1"/>
                <w:bCs w:val="1"/>
                <w:color w:val="auto"/>
                <w:w w:val="90"/>
              </w:rPr>
              <w:t>(in thousands)</w:t>
            </w:r>
          </w:p>
        </w:tc>
        <w:tc>
          <w:tcPr>
            <w:tcW w:w="5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Operating activities</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Pr>
          <w:p>
            <w:pPr>
              <w:ind w:left="200"/>
              <w:spacing w:after="0"/>
              <w:rPr>
                <w:sz w:val="20"/>
                <w:szCs w:val="20"/>
                <w:color w:val="auto"/>
              </w:rPr>
            </w:pPr>
            <w:r>
              <w:rPr>
                <w:rFonts w:ascii="Arial" w:cs="Arial" w:eastAsia="Arial" w:hAnsi="Arial"/>
                <w:sz w:val="18"/>
                <w:szCs w:val="18"/>
                <w:color w:val="auto"/>
              </w:rPr>
              <w:t>Net income</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82,795</w:t>
            </w:r>
          </w:p>
        </w:tc>
        <w:tc>
          <w:tcPr>
            <w:tcW w:w="82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2,422</w:t>
            </w:r>
          </w:p>
        </w:tc>
        <w:tc>
          <w:tcPr>
            <w:tcW w:w="680" w:type="dxa"/>
            <w:vAlign w:val="bottom"/>
            <w:gridSpan w:val="2"/>
          </w:tcPr>
          <w:p>
            <w:pPr>
              <w:ind w:left="58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16,911</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center"/>
              <w:spacing w:after="0"/>
              <w:rPr>
                <w:sz w:val="20"/>
                <w:szCs w:val="20"/>
                <w:color w:val="auto"/>
              </w:rPr>
            </w:pPr>
            <w:r>
              <w:rPr>
                <w:rFonts w:ascii="Arial" w:cs="Arial" w:eastAsia="Arial" w:hAnsi="Arial"/>
                <w:sz w:val="18"/>
                <w:szCs w:val="18"/>
                <w:color w:val="auto"/>
                <w:w w:val="89"/>
              </w:rPr>
              <w:t>(19,333)</w:t>
            </w:r>
          </w:p>
        </w:tc>
        <w:tc>
          <w:tcPr>
            <w:tcW w:w="52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82,795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Adjustments to reconcile net income to net cash</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provided by operating activities:</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34,101</w:t>
            </w: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63,083</w:t>
            </w: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97,184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Stock-based compensation</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14,222</w:t>
            </w: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14,222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Pr>
          <w:p>
            <w:pPr>
              <w:ind w:left="420"/>
              <w:spacing w:after="0"/>
              <w:rPr>
                <w:sz w:val="20"/>
                <w:szCs w:val="20"/>
                <w:color w:val="auto"/>
              </w:rPr>
            </w:pPr>
            <w:r>
              <w:rPr>
                <w:rFonts w:ascii="Arial" w:cs="Arial" w:eastAsia="Arial" w:hAnsi="Arial"/>
                <w:sz w:val="18"/>
                <w:szCs w:val="18"/>
                <w:color w:val="auto"/>
              </w:rPr>
              <w:t>Amortization of prepaid debt fees</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4,219</w:t>
            </w: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4,219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Amortization of convertible debt discount</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7,505</w:t>
            </w: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Pr>
          <w:p>
            <w:pPr>
              <w:ind w:left="420"/>
              <w:spacing w:after="0"/>
              <w:rPr>
                <w:sz w:val="20"/>
                <w:szCs w:val="20"/>
                <w:color w:val="auto"/>
              </w:rPr>
            </w:pPr>
            <w:r>
              <w:rPr>
                <w:rFonts w:ascii="Arial" w:cs="Arial" w:eastAsia="Arial" w:hAnsi="Arial"/>
                <w:sz w:val="18"/>
                <w:szCs w:val="18"/>
                <w:color w:val="auto"/>
              </w:rPr>
              <w:t>Deferred taxes, net</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17,072</w:t>
            </w: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(16,361)</w:t>
            </w: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Equity in earnings of guarantor and non-</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0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guarantor subsidiaries, net</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(19,333)</w:t>
            </w:r>
          </w:p>
        </w:tc>
        <w:tc>
          <w:tcPr>
            <w:tcW w:w="5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19,333</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Pr>
          <w:p>
            <w:pPr>
              <w:ind w:left="420"/>
              <w:spacing w:after="0"/>
              <w:rPr>
                <w:sz w:val="20"/>
                <w:szCs w:val="20"/>
                <w:color w:val="auto"/>
              </w:rPr>
            </w:pPr>
            <w:r>
              <w:rPr>
                <w:rFonts w:ascii="Arial" w:cs="Arial" w:eastAsia="Arial" w:hAnsi="Arial"/>
                <w:sz w:val="18"/>
                <w:szCs w:val="18"/>
                <w:color w:val="auto"/>
              </w:rPr>
              <w:t>Other adjustments, net</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1,707</w:t>
            </w: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2,301</w:t>
            </w: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4,008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Changes in operating assets and liabilities, net of</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acquisitions:</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Pr>
          <w:p>
            <w:pPr>
              <w:ind w:left="200"/>
              <w:spacing w:after="0"/>
              <w:rPr>
                <w:sz w:val="20"/>
                <w:szCs w:val="20"/>
                <w:color w:val="auto"/>
              </w:rPr>
            </w:pPr>
            <w:r>
              <w:rPr>
                <w:rFonts w:ascii="Arial" w:cs="Arial" w:eastAsia="Arial" w:hAnsi="Arial"/>
                <w:sz w:val="18"/>
                <w:szCs w:val="18"/>
                <w:color w:val="auto"/>
              </w:rPr>
              <w:t>Accounts receivable</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(40,866)</w:t>
            </w: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(12,904)</w:t>
            </w: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(53,770)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Inventories</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(40,402)</w:t>
            </w: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(17,296)</w:t>
            </w: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(57,698)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080" w:type="dxa"/>
            <w:vAlign w:val="bottom"/>
          </w:tcPr>
          <w:p>
            <w:pPr>
              <w:ind w:left="200"/>
              <w:spacing w:after="0"/>
              <w:rPr>
                <w:sz w:val="20"/>
                <w:szCs w:val="20"/>
                <w:color w:val="auto"/>
              </w:rPr>
            </w:pPr>
            <w:r>
              <w:rPr>
                <w:rFonts w:ascii="Arial" w:cs="Arial" w:eastAsia="Arial" w:hAnsi="Arial"/>
                <w:sz w:val="18"/>
                <w:szCs w:val="18"/>
                <w:color w:val="auto"/>
              </w:rPr>
              <w:t>Accounts payables, other current liabilities, and</w:t>
            </w: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80" w:type="dxa"/>
            <w:vAlign w:val="bottom"/>
          </w:tcPr>
          <w:p>
            <w:pPr>
              <w:ind w:left="420"/>
              <w:spacing w:after="0"/>
              <w:rPr>
                <w:sz w:val="20"/>
                <w:szCs w:val="20"/>
                <w:color w:val="auto"/>
              </w:rPr>
            </w:pPr>
            <w:r>
              <w:rPr>
                <w:rFonts w:ascii="Arial" w:cs="Arial" w:eastAsia="Arial" w:hAnsi="Arial"/>
                <w:sz w:val="18"/>
                <w:szCs w:val="18"/>
                <w:color w:val="auto"/>
              </w:rPr>
              <w:t>taxes payable</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10,323</w:t>
            </w:r>
          </w:p>
        </w:tc>
        <w:tc>
          <w:tcPr>
            <w:tcW w:w="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0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27,816</w:t>
            </w:r>
          </w:p>
        </w:tc>
        <w:tc>
          <w:tcPr>
            <w:tcW w:w="5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38,139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Wages and benefits payable</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21,397</w:t>
            </w: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5,402</w:t>
            </w: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26,799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Pr>
          <w:p>
            <w:pPr>
              <w:ind w:left="200"/>
              <w:spacing w:after="0"/>
              <w:rPr>
                <w:sz w:val="20"/>
                <w:szCs w:val="20"/>
                <w:color w:val="auto"/>
              </w:rPr>
            </w:pPr>
            <w:r>
              <w:rPr>
                <w:rFonts w:ascii="Arial" w:cs="Arial" w:eastAsia="Arial" w:hAnsi="Arial"/>
                <w:sz w:val="18"/>
                <w:szCs w:val="18"/>
                <w:color w:val="auto"/>
              </w:rPr>
              <w:t>Unearned revenue</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(11,829)</w:t>
            </w: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3,265</w:t>
            </w: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(8,564)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Warranty</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5,629</w:t>
            </w: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10,458</w:t>
            </w: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16,087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Pr>
          <w:p>
            <w:pPr>
              <w:ind w:left="200"/>
              <w:spacing w:after="0"/>
              <w:rPr>
                <w:sz w:val="20"/>
                <w:szCs w:val="20"/>
                <w:color w:val="auto"/>
              </w:rPr>
            </w:pPr>
            <w:r>
              <w:rPr>
                <w:rFonts w:ascii="Arial" w:cs="Arial" w:eastAsia="Arial" w:hAnsi="Arial"/>
                <w:sz w:val="18"/>
                <w:szCs w:val="18"/>
                <w:color w:val="auto"/>
              </w:rPr>
              <w:t>Intercompany transactions, net</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3,418</w:t>
            </w: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(3,418)</w:t>
            </w: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operating, net</w:t>
            </w: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11,026</w:t>
            </w:r>
          </w:p>
        </w:tc>
        <w:tc>
          <w:tcPr>
            <w:tcW w:w="5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(15,547)</w:t>
            </w:r>
          </w:p>
        </w:tc>
        <w:tc>
          <w:tcPr>
            <w:tcW w:w="5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(4,521)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4080" w:type="dxa"/>
            <w:vAlign w:val="bottom"/>
          </w:tcPr>
          <w:p>
            <w:pPr>
              <w:ind w:left="420"/>
              <w:spacing w:after="0"/>
              <w:rPr>
                <w:sz w:val="20"/>
                <w:szCs w:val="20"/>
                <w:color w:val="auto"/>
              </w:rPr>
            </w:pPr>
            <w:r>
              <w:rPr>
                <w:rFonts w:ascii="Arial" w:cs="Arial" w:eastAsia="Arial" w:hAnsi="Arial"/>
                <w:sz w:val="18"/>
                <w:szCs w:val="18"/>
                <w:color w:val="auto"/>
              </w:rPr>
              <w:t>Net cash provided by operating activities</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100,984</w:t>
            </w:r>
          </w:p>
        </w:tc>
        <w:tc>
          <w:tcPr>
            <w:tcW w:w="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2,422</w:t>
            </w:r>
          </w:p>
        </w:tc>
        <w:tc>
          <w:tcPr>
            <w:tcW w:w="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63,710</w:t>
            </w:r>
          </w:p>
        </w:tc>
        <w:tc>
          <w:tcPr>
            <w:tcW w:w="5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167,116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4080" w:type="dxa"/>
            <w:vAlign w:val="bottom"/>
          </w:tcPr>
          <w:p>
            <w:pPr>
              <w:spacing w:after="0"/>
              <w:rPr>
                <w:sz w:val="9"/>
                <w:szCs w:val="9"/>
                <w:color w:val="auto"/>
              </w:rPr>
            </w:pPr>
          </w:p>
        </w:tc>
        <w:tc>
          <w:tcPr>
            <w:tcW w:w="240" w:type="dxa"/>
            <w:vAlign w:val="bottom"/>
          </w:tcPr>
          <w:p>
            <w:pPr>
              <w:spacing w:after="0"/>
              <w:rPr>
                <w:sz w:val="9"/>
                <w:szCs w:val="9"/>
                <w:color w:val="auto"/>
              </w:rPr>
            </w:pPr>
          </w:p>
        </w:tc>
        <w:tc>
          <w:tcPr>
            <w:tcW w:w="860" w:type="dxa"/>
            <w:vAlign w:val="bottom"/>
          </w:tcPr>
          <w:p>
            <w:pPr>
              <w:spacing w:after="0"/>
              <w:rPr>
                <w:sz w:val="9"/>
                <w:szCs w:val="9"/>
                <w:color w:val="auto"/>
              </w:rPr>
            </w:pPr>
          </w:p>
        </w:tc>
        <w:tc>
          <w:tcPr>
            <w:tcW w:w="500" w:type="dxa"/>
            <w:vAlign w:val="bottom"/>
          </w:tcPr>
          <w:p>
            <w:pPr>
              <w:spacing w:after="0"/>
              <w:rPr>
                <w:sz w:val="9"/>
                <w:szCs w:val="9"/>
                <w:color w:val="auto"/>
              </w:rPr>
            </w:pPr>
          </w:p>
        </w:tc>
        <w:tc>
          <w:tcPr>
            <w:tcW w:w="320" w:type="dxa"/>
            <w:vAlign w:val="bottom"/>
          </w:tcPr>
          <w:p>
            <w:pPr>
              <w:spacing w:after="0"/>
              <w:rPr>
                <w:sz w:val="9"/>
                <w:szCs w:val="9"/>
                <w:color w:val="auto"/>
              </w:rPr>
            </w:pPr>
          </w:p>
        </w:tc>
        <w:tc>
          <w:tcPr>
            <w:tcW w:w="7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80" w:type="dxa"/>
            <w:vAlign w:val="bottom"/>
          </w:tcPr>
          <w:p>
            <w:pPr>
              <w:spacing w:after="0"/>
              <w:rPr>
                <w:sz w:val="9"/>
                <w:szCs w:val="9"/>
                <w:color w:val="auto"/>
              </w:rPr>
            </w:pPr>
          </w:p>
        </w:tc>
        <w:tc>
          <w:tcPr>
            <w:tcW w:w="960" w:type="dxa"/>
            <w:vAlign w:val="bottom"/>
          </w:tcPr>
          <w:p>
            <w:pPr>
              <w:spacing w:after="0"/>
              <w:rPr>
                <w:sz w:val="9"/>
                <w:szCs w:val="9"/>
                <w:color w:val="auto"/>
              </w:rPr>
            </w:pPr>
          </w:p>
        </w:tc>
        <w:tc>
          <w:tcPr>
            <w:tcW w:w="500" w:type="dxa"/>
            <w:vAlign w:val="bottom"/>
          </w:tcPr>
          <w:p>
            <w:pPr>
              <w:spacing w:after="0"/>
              <w:rPr>
                <w:sz w:val="9"/>
                <w:szCs w:val="9"/>
                <w:color w:val="auto"/>
              </w:rPr>
            </w:pPr>
          </w:p>
        </w:tc>
        <w:tc>
          <w:tcPr>
            <w:tcW w:w="260" w:type="dxa"/>
            <w:vAlign w:val="bottom"/>
          </w:tcPr>
          <w:p>
            <w:pPr>
              <w:spacing w:after="0"/>
              <w:rPr>
                <w:sz w:val="9"/>
                <w:szCs w:val="9"/>
                <w:color w:val="auto"/>
              </w:rPr>
            </w:pPr>
          </w:p>
        </w:tc>
        <w:tc>
          <w:tcPr>
            <w:tcW w:w="70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Investing activities</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Pr>
          <w:p>
            <w:pPr>
              <w:ind w:left="200"/>
              <w:spacing w:after="0"/>
              <w:rPr>
                <w:sz w:val="20"/>
                <w:szCs w:val="20"/>
                <w:color w:val="auto"/>
              </w:rPr>
            </w:pPr>
            <w:r>
              <w:rPr>
                <w:rFonts w:ascii="Arial" w:cs="Arial" w:eastAsia="Arial" w:hAnsi="Arial"/>
                <w:sz w:val="18"/>
                <w:szCs w:val="18"/>
                <w:color w:val="auto"/>
              </w:rPr>
              <w:t>Acquisitions of property, plant, and equipment</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(26,163)</w:t>
            </w: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(19,344)</w:t>
            </w: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(45,507)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Current intercompany notes, net</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28,563</w:t>
            </w: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(2,422)</w:t>
            </w: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5,000</w:t>
            </w: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(31,141)</w:t>
            </w: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80" w:type="dxa"/>
            <w:vAlign w:val="bottom"/>
          </w:tcPr>
          <w:p>
            <w:pPr>
              <w:ind w:left="200"/>
              <w:spacing w:after="0"/>
              <w:rPr>
                <w:sz w:val="20"/>
                <w:szCs w:val="20"/>
                <w:color w:val="auto"/>
              </w:rPr>
            </w:pPr>
            <w:r>
              <w:rPr>
                <w:rFonts w:ascii="Arial" w:cs="Arial" w:eastAsia="Arial" w:hAnsi="Arial"/>
                <w:sz w:val="18"/>
                <w:szCs w:val="18"/>
                <w:color w:val="auto"/>
              </w:rPr>
              <w:t>Other investing, net</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1,266</w:t>
            </w:r>
          </w:p>
        </w:tc>
        <w:tc>
          <w:tcPr>
            <w:tcW w:w="5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4,146</w:t>
            </w:r>
          </w:p>
        </w:tc>
        <w:tc>
          <w:tcPr>
            <w:tcW w:w="5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cash provided by (used in) investing</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0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activities</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3,666</w:t>
            </w:r>
          </w:p>
        </w:tc>
        <w:tc>
          <w:tcPr>
            <w:tcW w:w="5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(2,422)</w:t>
            </w:r>
          </w:p>
        </w:tc>
        <w:tc>
          <w:tcPr>
            <w:tcW w:w="5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(10,198)</w:t>
            </w:r>
          </w:p>
        </w:tc>
        <w:tc>
          <w:tcPr>
            <w:tcW w:w="5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(31,141)</w:t>
            </w:r>
          </w:p>
        </w:tc>
        <w:tc>
          <w:tcPr>
            <w:tcW w:w="5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(40,095)</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323"/>
        </w:trPr>
        <w:tc>
          <w:tcPr>
            <w:tcW w:w="4100" w:type="dxa"/>
            <w:vAlign w:val="bottom"/>
            <w:gridSpan w:val="2"/>
          </w:tcPr>
          <w:p>
            <w:pPr>
              <w:spacing w:after="0"/>
              <w:rPr>
                <w:sz w:val="20"/>
                <w:szCs w:val="20"/>
                <w:color w:val="auto"/>
              </w:rPr>
            </w:pPr>
            <w:r>
              <w:rPr>
                <w:rFonts w:ascii="Arial" w:cs="Arial" w:eastAsia="Arial" w:hAnsi="Arial"/>
                <w:sz w:val="18"/>
                <w:szCs w:val="18"/>
                <w:color w:val="auto"/>
              </w:rPr>
              <w:t>Financing activities</w:t>
            </w: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Payments on debt</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(106,524)</w:t>
            </w: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(106,524)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Pr>
          <w:p>
            <w:pPr>
              <w:ind w:left="200"/>
              <w:spacing w:after="0"/>
              <w:rPr>
                <w:sz w:val="20"/>
                <w:szCs w:val="20"/>
                <w:color w:val="auto"/>
              </w:rPr>
            </w:pPr>
            <w:r>
              <w:rPr>
                <w:rFonts w:ascii="Arial" w:cs="Arial" w:eastAsia="Arial" w:hAnsi="Arial"/>
                <w:sz w:val="18"/>
                <w:szCs w:val="18"/>
                <w:color w:val="auto"/>
              </w:rPr>
              <w:t>Issuance of common stock</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7,931</w:t>
            </w: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7,931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Current intercompany notes, net</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(2,578)</w:t>
            </w: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(28,563)</w:t>
            </w: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31,141</w:t>
            </w: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Pr>
          <w:p>
            <w:pPr>
              <w:ind w:left="200"/>
              <w:spacing w:after="0"/>
              <w:rPr>
                <w:sz w:val="20"/>
                <w:szCs w:val="20"/>
                <w:color w:val="auto"/>
              </w:rPr>
            </w:pPr>
            <w:r>
              <w:rPr>
                <w:rFonts w:ascii="Arial" w:cs="Arial" w:eastAsia="Arial" w:hAnsi="Arial"/>
                <w:sz w:val="18"/>
                <w:szCs w:val="18"/>
                <w:color w:val="auto"/>
              </w:rPr>
              <w:t>Prepaid debt fees</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(1,347)</w:t>
            </w: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(1,347)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financing, net</w:t>
            </w: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(983)</w:t>
            </w:r>
          </w:p>
        </w:tc>
        <w:tc>
          <w:tcPr>
            <w:tcW w:w="5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4080" w:type="dxa"/>
            <w:vAlign w:val="bottom"/>
          </w:tcPr>
          <w:p>
            <w:pPr>
              <w:ind w:left="420"/>
              <w:spacing w:after="0"/>
              <w:rPr>
                <w:sz w:val="20"/>
                <w:szCs w:val="20"/>
                <w:color w:val="auto"/>
              </w:rPr>
            </w:pPr>
            <w:r>
              <w:rPr>
                <w:rFonts w:ascii="Arial" w:cs="Arial" w:eastAsia="Arial" w:hAnsi="Arial"/>
                <w:sz w:val="18"/>
                <w:szCs w:val="18"/>
                <w:color w:val="auto"/>
              </w:rPr>
              <w:t>Net cash used in financing activities</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(102,518)</w:t>
            </w:r>
          </w:p>
        </w:tc>
        <w:tc>
          <w:tcPr>
            <w:tcW w:w="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0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(29,546)</w:t>
            </w:r>
          </w:p>
        </w:tc>
        <w:tc>
          <w:tcPr>
            <w:tcW w:w="5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jc w:val="center"/>
              <w:spacing w:after="0"/>
              <w:rPr>
                <w:sz w:val="20"/>
                <w:szCs w:val="20"/>
                <w:color w:val="auto"/>
              </w:rPr>
            </w:pPr>
            <w:r>
              <w:rPr>
                <w:rFonts w:ascii="Arial" w:cs="Arial" w:eastAsia="Arial" w:hAnsi="Arial"/>
                <w:sz w:val="18"/>
                <w:szCs w:val="18"/>
                <w:color w:val="auto"/>
                <w:w w:val="87"/>
              </w:rPr>
              <w:t>31,141</w:t>
            </w: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0"/>
              </w:rPr>
              <w:t>(100,923)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4080" w:type="dxa"/>
            <w:vAlign w:val="bottom"/>
          </w:tcPr>
          <w:p>
            <w:pPr>
              <w:spacing w:after="0"/>
              <w:rPr>
                <w:sz w:val="9"/>
                <w:szCs w:val="9"/>
                <w:color w:val="auto"/>
              </w:rPr>
            </w:pPr>
          </w:p>
        </w:tc>
        <w:tc>
          <w:tcPr>
            <w:tcW w:w="240" w:type="dxa"/>
            <w:vAlign w:val="bottom"/>
          </w:tcPr>
          <w:p>
            <w:pPr>
              <w:spacing w:after="0"/>
              <w:rPr>
                <w:sz w:val="9"/>
                <w:szCs w:val="9"/>
                <w:color w:val="auto"/>
              </w:rPr>
            </w:pPr>
          </w:p>
        </w:tc>
        <w:tc>
          <w:tcPr>
            <w:tcW w:w="860" w:type="dxa"/>
            <w:vAlign w:val="bottom"/>
          </w:tcPr>
          <w:p>
            <w:pPr>
              <w:spacing w:after="0"/>
              <w:rPr>
                <w:sz w:val="9"/>
                <w:szCs w:val="9"/>
                <w:color w:val="auto"/>
              </w:rPr>
            </w:pPr>
          </w:p>
        </w:tc>
        <w:tc>
          <w:tcPr>
            <w:tcW w:w="500" w:type="dxa"/>
            <w:vAlign w:val="bottom"/>
          </w:tcPr>
          <w:p>
            <w:pPr>
              <w:spacing w:after="0"/>
              <w:rPr>
                <w:sz w:val="9"/>
                <w:szCs w:val="9"/>
                <w:color w:val="auto"/>
              </w:rPr>
            </w:pPr>
          </w:p>
        </w:tc>
        <w:tc>
          <w:tcPr>
            <w:tcW w:w="320" w:type="dxa"/>
            <w:vAlign w:val="bottom"/>
          </w:tcPr>
          <w:p>
            <w:pPr>
              <w:spacing w:after="0"/>
              <w:rPr>
                <w:sz w:val="9"/>
                <w:szCs w:val="9"/>
                <w:color w:val="auto"/>
              </w:rPr>
            </w:pPr>
          </w:p>
        </w:tc>
        <w:tc>
          <w:tcPr>
            <w:tcW w:w="7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80" w:type="dxa"/>
            <w:vAlign w:val="bottom"/>
          </w:tcPr>
          <w:p>
            <w:pPr>
              <w:spacing w:after="0"/>
              <w:rPr>
                <w:sz w:val="9"/>
                <w:szCs w:val="9"/>
                <w:color w:val="auto"/>
              </w:rPr>
            </w:pPr>
          </w:p>
        </w:tc>
        <w:tc>
          <w:tcPr>
            <w:tcW w:w="960" w:type="dxa"/>
            <w:vAlign w:val="bottom"/>
          </w:tcPr>
          <w:p>
            <w:pPr>
              <w:spacing w:after="0"/>
              <w:rPr>
                <w:sz w:val="9"/>
                <w:szCs w:val="9"/>
                <w:color w:val="auto"/>
              </w:rPr>
            </w:pPr>
          </w:p>
        </w:tc>
        <w:tc>
          <w:tcPr>
            <w:tcW w:w="500" w:type="dxa"/>
            <w:vAlign w:val="bottom"/>
          </w:tcPr>
          <w:p>
            <w:pPr>
              <w:spacing w:after="0"/>
              <w:rPr>
                <w:sz w:val="9"/>
                <w:szCs w:val="9"/>
                <w:color w:val="auto"/>
              </w:rPr>
            </w:pPr>
          </w:p>
        </w:tc>
        <w:tc>
          <w:tcPr>
            <w:tcW w:w="260" w:type="dxa"/>
            <w:vAlign w:val="bottom"/>
          </w:tcPr>
          <w:p>
            <w:pPr>
              <w:spacing w:after="0"/>
              <w:rPr>
                <w:sz w:val="9"/>
                <w:szCs w:val="9"/>
                <w:color w:val="auto"/>
              </w:rPr>
            </w:pPr>
          </w:p>
        </w:tc>
        <w:tc>
          <w:tcPr>
            <w:tcW w:w="70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w w:val="96"/>
              </w:rPr>
              <w:t>Effect of foreign exchange rate changes on cash and</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equivalents</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123</w:t>
            </w:r>
          </w:p>
        </w:tc>
        <w:tc>
          <w:tcPr>
            <w:tcW w:w="5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Cash transferred from guarantor to combined non-</w:t>
            </w: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4080" w:type="dxa"/>
            <w:vAlign w:val="bottom"/>
          </w:tcPr>
          <w:p>
            <w:pPr>
              <w:ind w:left="200"/>
              <w:spacing w:after="0"/>
              <w:rPr>
                <w:sz w:val="20"/>
                <w:szCs w:val="20"/>
                <w:color w:val="auto"/>
              </w:rPr>
            </w:pPr>
            <w:r>
              <w:rPr>
                <w:rFonts w:ascii="Arial" w:cs="Arial" w:eastAsia="Arial" w:hAnsi="Arial"/>
                <w:sz w:val="18"/>
                <w:szCs w:val="18"/>
                <w:color w:val="auto"/>
              </w:rPr>
              <w:t>guarantor</w:t>
            </w: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(379)</w:t>
            </w:r>
          </w:p>
        </w:tc>
        <w:tc>
          <w:tcPr>
            <w:tcW w:w="5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379</w:t>
            </w:r>
          </w:p>
        </w:tc>
        <w:tc>
          <w:tcPr>
            <w:tcW w:w="5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Increase (decrease) in cash and cash equivalents</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2,132</w:t>
            </w: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w:t>
            </w: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24,468</w:t>
            </w: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26,221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Cash and cash equivalents at beginning of period</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16,385</w:t>
            </w:r>
          </w:p>
        </w:tc>
        <w:tc>
          <w:tcPr>
            <w:tcW w:w="5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379</w:t>
            </w:r>
          </w:p>
        </w:tc>
        <w:tc>
          <w:tcPr>
            <w:tcW w:w="5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105,129</w:t>
            </w:r>
          </w:p>
        </w:tc>
        <w:tc>
          <w:tcPr>
            <w:tcW w:w="5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121,893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18,517</w:t>
            </w:r>
          </w:p>
        </w:tc>
        <w:tc>
          <w:tcPr>
            <w:tcW w:w="82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129,597</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148,114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00" w:type="dxa"/>
            <w:vAlign w:val="bottom"/>
            <w:gridSpan w:val="2"/>
            <w:vMerge w:val="restart"/>
          </w:tcPr>
          <w:p>
            <w:pPr>
              <w:spacing w:after="0"/>
              <w:rPr>
                <w:sz w:val="20"/>
                <w:szCs w:val="20"/>
                <w:color w:val="auto"/>
              </w:rPr>
            </w:pPr>
            <w:r>
              <w:rPr>
                <w:rFonts w:ascii="Arial" w:cs="Arial" w:eastAsia="Arial" w:hAnsi="Arial"/>
                <w:sz w:val="18"/>
                <w:szCs w:val="18"/>
                <w:i w:val="1"/>
                <w:iCs w:val="1"/>
                <w:color w:val="auto"/>
              </w:rPr>
              <w:t>Non-cash transactions:</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4100" w:type="dxa"/>
            <w:vAlign w:val="bottom"/>
            <w:gridSpan w:val="2"/>
            <w:vMerge w:val="continue"/>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08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7"/>
              </w:rPr>
              <w:t>Property, plant, and equipment purchased but not</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yet paid, net</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(2,752)</w:t>
            </w:r>
          </w:p>
        </w:tc>
        <w:tc>
          <w:tcPr>
            <w:tcW w:w="82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(3,246)</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9"/>
                <w:szCs w:val="19"/>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(5,998)</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323"/>
        </w:trPr>
        <w:tc>
          <w:tcPr>
            <w:tcW w:w="4100" w:type="dxa"/>
            <w:vAlign w:val="bottom"/>
            <w:gridSpan w:val="2"/>
          </w:tcPr>
          <w:p>
            <w:pPr>
              <w:spacing w:after="0"/>
              <w:rPr>
                <w:sz w:val="20"/>
                <w:szCs w:val="20"/>
                <w:color w:val="auto"/>
              </w:rPr>
            </w:pPr>
            <w:r>
              <w:rPr>
                <w:rFonts w:ascii="Arial" w:cs="Arial" w:eastAsia="Arial" w:hAnsi="Arial"/>
                <w:sz w:val="18"/>
                <w:szCs w:val="18"/>
                <w:i w:val="1"/>
                <w:iCs w:val="1"/>
                <w:color w:val="auto"/>
              </w:rPr>
              <w:t>Supplemental disclosure of cash flow information:</w:t>
            </w: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paid during the period for:</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Pr>
          <w:p>
            <w:pPr>
              <w:ind w:left="420"/>
              <w:spacing w:after="0"/>
              <w:rPr>
                <w:sz w:val="20"/>
                <w:szCs w:val="20"/>
                <w:color w:val="auto"/>
              </w:rPr>
            </w:pPr>
            <w:r>
              <w:rPr>
                <w:rFonts w:ascii="Arial" w:cs="Arial" w:eastAsia="Arial" w:hAnsi="Arial"/>
                <w:sz w:val="18"/>
                <w:szCs w:val="18"/>
                <w:color w:val="auto"/>
              </w:rPr>
              <w:t>Income taxes</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667</w:t>
            </w:r>
          </w:p>
        </w:tc>
        <w:tc>
          <w:tcPr>
            <w:tcW w:w="82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680" w:type="dxa"/>
            <w:vAlign w:val="bottom"/>
            <w:gridSpan w:val="2"/>
          </w:tcPr>
          <w:p>
            <w:pPr>
              <w:ind w:left="58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16,780</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17,447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net of amounts capitalized</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31,386</w:t>
            </w: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280</w:t>
            </w: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31,666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27" w:lineRule="exact"/>
        <w:rPr>
          <w:sz w:val="20"/>
          <w:szCs w:val="20"/>
          <w:color w:val="auto"/>
        </w:rPr>
      </w:pPr>
    </w:p>
    <w:p>
      <w:pPr>
        <w:sectPr>
          <w:pgSz w:w="11900" w:h="16838" w:orient="portrait"/>
          <w:cols w:equalWidth="0" w:num="1">
            <w:col w:w="11420"/>
          </w:cols>
          <w:pgMar w:left="240" w:top="459" w:right="239" w:bottom="1440" w:gutter="0" w:footer="0" w:header="0"/>
        </w:sectPr>
      </w:pPr>
    </w:p>
    <w:p>
      <w:pPr>
        <w:jc w:val="center"/>
        <w:spacing w:after="0"/>
        <w:rPr>
          <w:sz w:val="20"/>
          <w:szCs w:val="20"/>
          <w:color w:val="auto"/>
        </w:rPr>
      </w:pPr>
      <w:r>
        <w:rPr>
          <w:rFonts w:ascii="Arial" w:cs="Arial" w:eastAsia="Arial" w:hAnsi="Arial"/>
          <w:sz w:val="19"/>
          <w:szCs w:val="19"/>
          <w:color w:val="auto"/>
        </w:rPr>
        <w:t>37</w:t>
      </w:r>
    </w:p>
    <w:p>
      <w:pPr>
        <w:sectPr>
          <w:pgSz w:w="11900" w:h="16838" w:orient="portrait"/>
          <w:cols w:equalWidth="0" w:num="1">
            <w:col w:w="11420"/>
          </w:cols>
          <w:pgMar w:left="240" w:top="459" w:right="239" w:bottom="1440" w:gutter="0" w:footer="0" w:header="0"/>
          <w:type w:val="continuous"/>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Consolidating Statement of Cash Flows</w:t>
      </w:r>
    </w:p>
    <w:p>
      <w:pPr>
        <w:spacing w:after="0" w:line="21" w:lineRule="exact"/>
        <w:rPr>
          <w:sz w:val="20"/>
          <w:szCs w:val="20"/>
          <w:color w:val="auto"/>
        </w:rPr>
      </w:pPr>
    </w:p>
    <w:p>
      <w:pPr>
        <w:ind w:left="4200"/>
        <w:spacing w:after="0"/>
        <w:rPr>
          <w:sz w:val="20"/>
          <w:szCs w:val="20"/>
          <w:color w:val="auto"/>
        </w:rPr>
      </w:pPr>
      <w:r>
        <w:rPr>
          <w:rFonts w:ascii="Arial" w:cs="Arial" w:eastAsia="Arial" w:hAnsi="Arial"/>
          <w:sz w:val="18"/>
          <w:szCs w:val="18"/>
          <w:b w:val="1"/>
          <w:bCs w:val="1"/>
          <w:color w:val="auto"/>
        </w:rPr>
        <w:t>Nine Months Ended September 30, 2009</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20" w:type="dxa"/>
            <w:vAlign w:val="bottom"/>
            <w:gridSpan w:val="2"/>
          </w:tcPr>
          <w:p>
            <w:pPr>
              <w:ind w:left="60"/>
              <w:spacing w:after="0"/>
              <w:rPr>
                <w:sz w:val="20"/>
                <w:szCs w:val="20"/>
                <w:color w:val="auto"/>
              </w:rPr>
            </w:pPr>
            <w:r>
              <w:rPr>
                <w:rFonts w:ascii="Arial" w:cs="Arial" w:eastAsia="Arial" w:hAnsi="Arial"/>
                <w:sz w:val="18"/>
                <w:szCs w:val="18"/>
                <w:b w:val="1"/>
                <w:bCs w:val="1"/>
                <w:color w:val="auto"/>
                <w:w w:val="95"/>
              </w:rPr>
              <w:t>Combined</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gridSpan w:val="2"/>
          </w:tcPr>
          <w:p>
            <w:pPr>
              <w:jc w:val="center"/>
              <w:ind w:right="720"/>
              <w:spacing w:after="0"/>
              <w:rPr>
                <w:sz w:val="20"/>
                <w:szCs w:val="20"/>
                <w:color w:val="auto"/>
              </w:rPr>
            </w:pPr>
            <w:r>
              <w:rPr>
                <w:rFonts w:ascii="Arial" w:cs="Arial" w:eastAsia="Arial" w:hAnsi="Arial"/>
                <w:sz w:val="18"/>
                <w:szCs w:val="18"/>
                <w:b w:val="1"/>
                <w:bCs w:val="1"/>
                <w:color w:val="auto"/>
                <w:w w:val="88"/>
              </w:rPr>
              <w:t>Combined</w:t>
            </w: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20" w:type="dxa"/>
            <w:vAlign w:val="bottom"/>
            <w:gridSpan w:val="2"/>
          </w:tcPr>
          <w:p>
            <w:pPr>
              <w:ind w:left="60"/>
              <w:spacing w:after="0"/>
              <w:rPr>
                <w:sz w:val="20"/>
                <w:szCs w:val="20"/>
                <w:color w:val="auto"/>
              </w:rPr>
            </w:pPr>
            <w:r>
              <w:rPr>
                <w:rFonts w:ascii="Arial" w:cs="Arial" w:eastAsia="Arial" w:hAnsi="Arial"/>
                <w:sz w:val="18"/>
                <w:szCs w:val="18"/>
                <w:b w:val="1"/>
                <w:bCs w:val="1"/>
                <w:color w:val="auto"/>
                <w:w w:val="96"/>
              </w:rPr>
              <w:t>Guarantor</w:t>
            </w:r>
          </w:p>
        </w:tc>
        <w:tc>
          <w:tcPr>
            <w:tcW w:w="540" w:type="dxa"/>
            <w:vAlign w:val="bottom"/>
          </w:tcPr>
          <w:p>
            <w:pPr>
              <w:spacing w:after="0"/>
              <w:rPr>
                <w:sz w:val="18"/>
                <w:szCs w:val="18"/>
                <w:color w:val="auto"/>
              </w:rPr>
            </w:pPr>
          </w:p>
        </w:tc>
        <w:tc>
          <w:tcPr>
            <w:tcW w:w="1680" w:type="dxa"/>
            <w:vAlign w:val="bottom"/>
            <w:gridSpan w:val="3"/>
          </w:tcPr>
          <w:p>
            <w:pPr>
              <w:jc w:val="center"/>
              <w:ind w:right="540"/>
              <w:spacing w:after="0"/>
              <w:rPr>
                <w:sz w:val="20"/>
                <w:szCs w:val="20"/>
                <w:color w:val="auto"/>
              </w:rPr>
            </w:pPr>
            <w:r>
              <w:rPr>
                <w:rFonts w:ascii="Arial" w:cs="Arial" w:eastAsia="Arial" w:hAnsi="Arial"/>
                <w:sz w:val="18"/>
                <w:szCs w:val="18"/>
                <w:b w:val="1"/>
                <w:bCs w:val="1"/>
                <w:color w:val="auto"/>
                <w:w w:val="91"/>
              </w:rPr>
              <w:t>Non-guarantor</w:t>
            </w: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ind w:right="112"/>
              <w:spacing w:after="0"/>
              <w:rPr>
                <w:sz w:val="20"/>
                <w:szCs w:val="20"/>
                <w:color w:val="auto"/>
              </w:rPr>
            </w:pPr>
            <w:r>
              <w:rPr>
                <w:rFonts w:ascii="Arial" w:cs="Arial" w:eastAsia="Arial" w:hAnsi="Arial"/>
                <w:sz w:val="18"/>
                <w:szCs w:val="18"/>
                <w:b w:val="1"/>
                <w:bCs w:val="1"/>
                <w:color w:val="auto"/>
                <w:w w:val="92"/>
              </w:rPr>
              <w:t>Parent</w:t>
            </w:r>
          </w:p>
        </w:tc>
        <w:tc>
          <w:tcPr>
            <w:tcW w:w="54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b w:val="1"/>
                <w:bCs w:val="1"/>
                <w:color w:val="auto"/>
                <w:w w:val="84"/>
              </w:rPr>
              <w:t>Subsidiaries</w:t>
            </w:r>
          </w:p>
        </w:tc>
        <w:tc>
          <w:tcPr>
            <w:tcW w:w="540" w:type="dxa"/>
            <w:vAlign w:val="bottom"/>
          </w:tcPr>
          <w:p>
            <w:pPr>
              <w:spacing w:after="0"/>
              <w:rPr>
                <w:sz w:val="19"/>
                <w:szCs w:val="19"/>
                <w:color w:val="auto"/>
              </w:rPr>
            </w:pPr>
          </w:p>
        </w:tc>
        <w:tc>
          <w:tcPr>
            <w:tcW w:w="1680" w:type="dxa"/>
            <w:vAlign w:val="bottom"/>
            <w:gridSpan w:val="3"/>
          </w:tcPr>
          <w:p>
            <w:pPr>
              <w:ind w:left="100"/>
              <w:spacing w:after="0"/>
              <w:rPr>
                <w:sz w:val="20"/>
                <w:szCs w:val="20"/>
                <w:color w:val="auto"/>
              </w:rPr>
            </w:pPr>
            <w:r>
              <w:rPr>
                <w:rFonts w:ascii="Arial" w:cs="Arial" w:eastAsia="Arial" w:hAnsi="Arial"/>
                <w:sz w:val="18"/>
                <w:szCs w:val="18"/>
                <w:b w:val="1"/>
                <w:bCs w:val="1"/>
                <w:color w:val="auto"/>
              </w:rPr>
              <w:t>Subsidiaries</w:t>
            </w:r>
          </w:p>
        </w:tc>
        <w:tc>
          <w:tcPr>
            <w:tcW w:w="960" w:type="dxa"/>
            <w:vAlign w:val="bottom"/>
            <w:gridSpan w:val="2"/>
          </w:tcPr>
          <w:p>
            <w:pPr>
              <w:jc w:val="right"/>
              <w:spacing w:after="0"/>
              <w:rPr>
                <w:sz w:val="20"/>
                <w:szCs w:val="20"/>
                <w:color w:val="auto"/>
              </w:rPr>
            </w:pPr>
            <w:r>
              <w:rPr>
                <w:rFonts w:ascii="Arial" w:cs="Arial" w:eastAsia="Arial" w:hAnsi="Arial"/>
                <w:sz w:val="18"/>
                <w:szCs w:val="18"/>
                <w:b w:val="1"/>
                <w:bCs w:val="1"/>
                <w:color w:val="auto"/>
                <w:w w:val="87"/>
              </w:rPr>
              <w:t>Eliminations</w:t>
            </w:r>
          </w:p>
        </w:tc>
        <w:tc>
          <w:tcPr>
            <w:tcW w:w="560" w:type="dxa"/>
            <w:vAlign w:val="bottom"/>
          </w:tcPr>
          <w:p>
            <w:pPr>
              <w:spacing w:after="0"/>
              <w:rPr>
                <w:sz w:val="19"/>
                <w:szCs w:val="19"/>
                <w:color w:val="auto"/>
              </w:rPr>
            </w:pPr>
          </w:p>
        </w:tc>
        <w:tc>
          <w:tcPr>
            <w:tcW w:w="1080" w:type="dxa"/>
            <w:vAlign w:val="bottom"/>
            <w:gridSpan w:val="3"/>
          </w:tcPr>
          <w:p>
            <w:pPr>
              <w:spacing w:after="0"/>
              <w:rPr>
                <w:sz w:val="20"/>
                <w:szCs w:val="20"/>
                <w:color w:val="auto"/>
              </w:rPr>
            </w:pPr>
            <w:r>
              <w:rPr>
                <w:rFonts w:ascii="Arial" w:cs="Arial" w:eastAsia="Arial" w:hAnsi="Arial"/>
                <w:sz w:val="18"/>
                <w:szCs w:val="18"/>
                <w:b w:val="1"/>
                <w:bCs w:val="1"/>
                <w:color w:val="auto"/>
                <w:w w:val="92"/>
              </w:rPr>
              <w:t>Consolidated</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540" w:type="dxa"/>
            <w:vAlign w:val="bottom"/>
          </w:tcPr>
          <w:p>
            <w:pPr>
              <w:spacing w:after="0"/>
              <w:rPr>
                <w:sz w:val="18"/>
                <w:szCs w:val="18"/>
                <w:color w:val="auto"/>
              </w:rPr>
            </w:pPr>
          </w:p>
        </w:tc>
        <w:tc>
          <w:tcPr>
            <w:tcW w:w="1140" w:type="dxa"/>
            <w:vAlign w:val="bottom"/>
            <w:tcBorders>
              <w:top w:val="single" w:sz="8" w:color="auto"/>
            </w:tcBorders>
            <w:gridSpan w:val="2"/>
          </w:tcPr>
          <w:p>
            <w:pPr>
              <w:ind w:left="100"/>
              <w:spacing w:after="0"/>
              <w:rPr>
                <w:sz w:val="20"/>
                <w:szCs w:val="20"/>
                <w:color w:val="auto"/>
              </w:rPr>
            </w:pPr>
            <w:r>
              <w:rPr>
                <w:rFonts w:ascii="Arial" w:cs="Arial" w:eastAsia="Arial" w:hAnsi="Arial"/>
                <w:sz w:val="18"/>
                <w:szCs w:val="18"/>
                <w:b w:val="1"/>
                <w:bCs w:val="1"/>
                <w:color w:val="auto"/>
                <w:w w:val="82"/>
              </w:rPr>
              <w:t>(in thousands)</w:t>
            </w:r>
          </w:p>
        </w:tc>
        <w:tc>
          <w:tcPr>
            <w:tcW w:w="54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Operating activities</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ind w:left="200"/>
              <w:spacing w:after="0"/>
              <w:rPr>
                <w:sz w:val="20"/>
                <w:szCs w:val="20"/>
                <w:color w:val="auto"/>
              </w:rPr>
            </w:pPr>
            <w:r>
              <w:rPr>
                <w:rFonts w:ascii="Arial" w:cs="Arial" w:eastAsia="Arial" w:hAnsi="Arial"/>
                <w:sz w:val="18"/>
                <w:szCs w:val="18"/>
                <w:color w:val="auto"/>
              </w:rPr>
              <w:t>Net loss</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(7,402)</w:t>
            </w:r>
          </w:p>
        </w:tc>
        <w:tc>
          <w:tcPr>
            <w:tcW w:w="78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(2,775)</w:t>
            </w:r>
          </w:p>
        </w:tc>
        <w:tc>
          <w:tcPr>
            <w:tcW w:w="720" w:type="dxa"/>
            <w:vAlign w:val="bottom"/>
            <w:gridSpan w:val="2"/>
          </w:tcPr>
          <w:p>
            <w:pPr>
              <w:ind w:left="62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(48,013)</w:t>
            </w:r>
          </w:p>
        </w:tc>
        <w:tc>
          <w:tcPr>
            <w:tcW w:w="54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50,788</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(7,402)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2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Adjustments to reconcile net loss to net cash</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2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provided by operating activities:</w:t>
            </w: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35,253</w:t>
            </w: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jc w:val="right"/>
              <w:ind w:right="212"/>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78,559</w:t>
            </w: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jc w:val="right"/>
              <w:ind w:right="212"/>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113,812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Stock-based compensation</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13,467</w:t>
            </w:r>
          </w:p>
        </w:tc>
        <w:tc>
          <w:tcPr>
            <w:tcW w:w="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13,467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ind w:left="420"/>
              <w:spacing w:after="0"/>
              <w:rPr>
                <w:sz w:val="20"/>
                <w:szCs w:val="20"/>
                <w:color w:val="auto"/>
              </w:rPr>
            </w:pPr>
            <w:r>
              <w:rPr>
                <w:rFonts w:ascii="Arial" w:cs="Arial" w:eastAsia="Arial" w:hAnsi="Arial"/>
                <w:sz w:val="18"/>
                <w:szCs w:val="18"/>
                <w:color w:val="auto"/>
              </w:rPr>
              <w:t>Amortization of prepaid debt fees</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6,384</w:t>
            </w: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jc w:val="right"/>
              <w:ind w:right="212"/>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ind w:right="232"/>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jc w:val="right"/>
              <w:ind w:right="212"/>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6,384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Amortization of convertible debt discount</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7,262</w:t>
            </w:r>
          </w:p>
        </w:tc>
        <w:tc>
          <w:tcPr>
            <w:tcW w:w="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7,262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ind w:left="420"/>
              <w:spacing w:after="0"/>
              <w:rPr>
                <w:sz w:val="20"/>
                <w:szCs w:val="20"/>
                <w:color w:val="auto"/>
              </w:rPr>
            </w:pPr>
            <w:r>
              <w:rPr>
                <w:rFonts w:ascii="Arial" w:cs="Arial" w:eastAsia="Arial" w:hAnsi="Arial"/>
                <w:sz w:val="18"/>
                <w:szCs w:val="18"/>
                <w:color w:val="auto"/>
              </w:rPr>
              <w:t>Loss on extinguishment of debt, net</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9,960</w:t>
            </w: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jc w:val="right"/>
              <w:ind w:right="212"/>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ind w:right="232"/>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jc w:val="right"/>
              <w:ind w:right="212"/>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9,960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taxes, net</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(37,015)</w:t>
            </w:r>
          </w:p>
        </w:tc>
        <w:tc>
          <w:tcPr>
            <w:tcW w:w="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(14,326)</w:t>
            </w: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(51,341)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200" w:type="dxa"/>
            <w:vAlign w:val="bottom"/>
          </w:tcPr>
          <w:p>
            <w:pPr>
              <w:ind w:left="420"/>
              <w:spacing w:after="0"/>
              <w:rPr>
                <w:sz w:val="20"/>
                <w:szCs w:val="20"/>
                <w:color w:val="auto"/>
              </w:rPr>
            </w:pPr>
            <w:r>
              <w:rPr>
                <w:rFonts w:ascii="Arial" w:cs="Arial" w:eastAsia="Arial" w:hAnsi="Arial"/>
                <w:sz w:val="18"/>
                <w:szCs w:val="18"/>
                <w:color w:val="auto"/>
              </w:rPr>
              <w:t>Equity in losses of guarantor and non-</w:t>
            </w: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00" w:type="dxa"/>
            <w:vAlign w:val="bottom"/>
          </w:tcPr>
          <w:p>
            <w:pPr>
              <w:ind w:left="640"/>
              <w:spacing w:after="0"/>
              <w:rPr>
                <w:sz w:val="20"/>
                <w:szCs w:val="20"/>
                <w:color w:val="auto"/>
              </w:rPr>
            </w:pPr>
            <w:r>
              <w:rPr>
                <w:rFonts w:ascii="Arial" w:cs="Arial" w:eastAsia="Arial" w:hAnsi="Arial"/>
                <w:sz w:val="18"/>
                <w:szCs w:val="18"/>
                <w:color w:val="auto"/>
              </w:rPr>
              <w:t>guarantor subsidiaries, net</w:t>
            </w: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45,322</w:t>
            </w:r>
          </w:p>
        </w:tc>
        <w:tc>
          <w:tcPr>
            <w:tcW w:w="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5,466</w:t>
            </w: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ind w:right="232"/>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5"/>
              </w:rPr>
              <w:t>(50,788)</w:t>
            </w: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ind w:right="21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2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adjustments, net</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1,552</w:t>
            </w:r>
          </w:p>
        </w:tc>
        <w:tc>
          <w:tcPr>
            <w:tcW w:w="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216</w:t>
            </w: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Changes in operating assets and liabilities, net of</w:t>
            </w: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00" w:type="dxa"/>
            <w:vAlign w:val="bottom"/>
          </w:tcPr>
          <w:p>
            <w:pPr>
              <w:ind w:left="200"/>
              <w:spacing w:after="0"/>
              <w:rPr>
                <w:sz w:val="20"/>
                <w:szCs w:val="20"/>
                <w:color w:val="auto"/>
              </w:rPr>
            </w:pPr>
            <w:r>
              <w:rPr>
                <w:rFonts w:ascii="Arial" w:cs="Arial" w:eastAsia="Arial" w:hAnsi="Arial"/>
                <w:sz w:val="18"/>
                <w:szCs w:val="18"/>
                <w:color w:val="auto"/>
              </w:rPr>
              <w:t>acquisitions:</w:t>
            </w: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2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Accounts receivable</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15,280</w:t>
            </w:r>
          </w:p>
        </w:tc>
        <w:tc>
          <w:tcPr>
            <w:tcW w:w="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(839)</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(2,833)</w:t>
            </w: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11,608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ind w:left="200"/>
              <w:spacing w:after="0"/>
              <w:rPr>
                <w:sz w:val="20"/>
                <w:szCs w:val="20"/>
                <w:color w:val="auto"/>
              </w:rPr>
            </w:pPr>
            <w:r>
              <w:rPr>
                <w:rFonts w:ascii="Arial" w:cs="Arial" w:eastAsia="Arial" w:hAnsi="Arial"/>
                <w:sz w:val="18"/>
                <w:szCs w:val="18"/>
                <w:color w:val="auto"/>
              </w:rPr>
              <w:t>Inventories</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(1,130)</w:t>
            </w: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jc w:val="right"/>
              <w:ind w:right="212"/>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(3,081)</w:t>
            </w: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jc w:val="right"/>
              <w:ind w:right="212"/>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(4,211)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2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Accounts payables, other current liabilities, and</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2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taxes payable</w:t>
            </w: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(3,376)</w:t>
            </w:r>
          </w:p>
        </w:tc>
        <w:tc>
          <w:tcPr>
            <w:tcW w:w="5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5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750</w:t>
            </w:r>
          </w:p>
        </w:tc>
        <w:tc>
          <w:tcPr>
            <w:tcW w:w="5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(2,473)</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ind w:left="200"/>
              <w:spacing w:after="0"/>
              <w:rPr>
                <w:sz w:val="20"/>
                <w:szCs w:val="20"/>
                <w:color w:val="auto"/>
              </w:rPr>
            </w:pPr>
            <w:r>
              <w:rPr>
                <w:rFonts w:ascii="Arial" w:cs="Arial" w:eastAsia="Arial" w:hAnsi="Arial"/>
                <w:sz w:val="18"/>
                <w:szCs w:val="18"/>
                <w:color w:val="auto"/>
              </w:rPr>
              <w:t>Wages and benefits payable</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(7,973)</w:t>
            </w: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(78)</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(2,353)</w:t>
            </w: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jc w:val="right"/>
              <w:ind w:right="212"/>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(10,404)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Unearned revenue</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10,773</w:t>
            </w:r>
          </w:p>
        </w:tc>
        <w:tc>
          <w:tcPr>
            <w:tcW w:w="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(1,839)</w:t>
            </w: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9,272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ind w:left="200"/>
              <w:spacing w:after="0"/>
              <w:rPr>
                <w:sz w:val="20"/>
                <w:szCs w:val="20"/>
                <w:color w:val="auto"/>
              </w:rPr>
            </w:pPr>
            <w:r>
              <w:rPr>
                <w:rFonts w:ascii="Arial" w:cs="Arial" w:eastAsia="Arial" w:hAnsi="Arial"/>
                <w:sz w:val="18"/>
                <w:szCs w:val="18"/>
                <w:color w:val="auto"/>
              </w:rPr>
              <w:t>Warranty</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(2,852)</w:t>
            </w: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jc w:val="right"/>
              <w:ind w:right="212"/>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(2,883)</w:t>
            </w: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jc w:val="right"/>
              <w:ind w:right="212"/>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(5,735)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Intercompany transactions, net</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1,005</w:t>
            </w:r>
          </w:p>
        </w:tc>
        <w:tc>
          <w:tcPr>
            <w:tcW w:w="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1,219</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(2,224)</w:t>
            </w: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00" w:type="dxa"/>
            <w:vAlign w:val="bottom"/>
          </w:tcPr>
          <w:p>
            <w:pPr>
              <w:ind w:left="200"/>
              <w:spacing w:after="0"/>
              <w:rPr>
                <w:sz w:val="20"/>
                <w:szCs w:val="20"/>
                <w:color w:val="auto"/>
              </w:rPr>
            </w:pPr>
            <w:r>
              <w:rPr>
                <w:rFonts w:ascii="Arial" w:cs="Arial" w:eastAsia="Arial" w:hAnsi="Arial"/>
                <w:sz w:val="18"/>
                <w:szCs w:val="18"/>
                <w:color w:val="auto"/>
              </w:rPr>
              <w:t>Other operating, net</w:t>
            </w: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(9,010)</w:t>
            </w:r>
          </w:p>
        </w:tc>
        <w:tc>
          <w:tcPr>
            <w:tcW w:w="5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w:t>
            </w:r>
          </w:p>
        </w:tc>
        <w:tc>
          <w:tcPr>
            <w:tcW w:w="5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4,067</w:t>
            </w:r>
          </w:p>
        </w:tc>
        <w:tc>
          <w:tcPr>
            <w:tcW w:w="5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(4,880)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cash provided by operating activities</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77,500</w:t>
            </w:r>
          </w:p>
        </w:tc>
        <w:tc>
          <w:tcPr>
            <w:tcW w:w="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3,547</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6,040</w:t>
            </w: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87,087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4220" w:type="dxa"/>
            <w:vAlign w:val="bottom"/>
            <w:gridSpan w:val="2"/>
          </w:tcPr>
          <w:p>
            <w:pPr>
              <w:spacing w:after="0"/>
              <w:rPr>
                <w:sz w:val="20"/>
                <w:szCs w:val="20"/>
                <w:color w:val="auto"/>
              </w:rPr>
            </w:pPr>
            <w:r>
              <w:rPr>
                <w:rFonts w:ascii="Arial" w:cs="Arial" w:eastAsia="Arial" w:hAnsi="Arial"/>
                <w:sz w:val="18"/>
                <w:szCs w:val="18"/>
                <w:color w:val="auto"/>
              </w:rPr>
              <w:t>Investing activities</w:t>
            </w: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2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Acquisitions of property, plant, and equipment</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(16,946)</w:t>
            </w:r>
          </w:p>
        </w:tc>
        <w:tc>
          <w:tcPr>
            <w:tcW w:w="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(20,731)</w:t>
            </w: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(38,023)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200" w:type="dxa"/>
            <w:vAlign w:val="bottom"/>
          </w:tcPr>
          <w:p>
            <w:pPr>
              <w:ind w:left="200"/>
              <w:spacing w:after="0"/>
              <w:rPr>
                <w:sz w:val="20"/>
                <w:szCs w:val="20"/>
                <w:color w:val="auto"/>
              </w:rPr>
            </w:pPr>
            <w:r>
              <w:rPr>
                <w:rFonts w:ascii="Arial" w:cs="Arial" w:eastAsia="Arial" w:hAnsi="Arial"/>
                <w:sz w:val="18"/>
                <w:szCs w:val="18"/>
                <w:color w:val="auto"/>
              </w:rPr>
              <w:t>Business acquisitions &amp; contingent consideration,</w:t>
            </w: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00" w:type="dxa"/>
            <w:vAlign w:val="bottom"/>
          </w:tcPr>
          <w:p>
            <w:pPr>
              <w:ind w:left="420"/>
              <w:spacing w:after="0"/>
              <w:rPr>
                <w:sz w:val="20"/>
                <w:szCs w:val="20"/>
                <w:color w:val="auto"/>
              </w:rPr>
            </w:pPr>
            <w:r>
              <w:rPr>
                <w:rFonts w:ascii="Arial" w:cs="Arial" w:eastAsia="Arial" w:hAnsi="Arial"/>
                <w:sz w:val="18"/>
                <w:szCs w:val="18"/>
                <w:color w:val="auto"/>
              </w:rPr>
              <w:t>net of cash equivalents acquired</w:t>
            </w: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(1,317)</w:t>
            </w:r>
          </w:p>
        </w:tc>
        <w:tc>
          <w:tcPr>
            <w:tcW w:w="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jc w:val="right"/>
              <w:ind w:right="212"/>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ind w:right="232"/>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jc w:val="right"/>
              <w:ind w:right="212"/>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(1,317)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2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Current intercompany notes, net</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(20,661)</w:t>
            </w:r>
          </w:p>
        </w:tc>
        <w:tc>
          <w:tcPr>
            <w:tcW w:w="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1,217</w:t>
            </w: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19,444</w:t>
            </w: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ind w:left="200"/>
              <w:spacing w:after="0"/>
              <w:rPr>
                <w:sz w:val="20"/>
                <w:szCs w:val="20"/>
                <w:color w:val="auto"/>
              </w:rPr>
            </w:pPr>
            <w:r>
              <w:rPr>
                <w:rFonts w:ascii="Arial" w:cs="Arial" w:eastAsia="Arial" w:hAnsi="Arial"/>
                <w:sz w:val="18"/>
                <w:szCs w:val="18"/>
                <w:color w:val="auto"/>
              </w:rPr>
              <w:t>Long-term intercompany notes receivable, net</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3,660</w:t>
            </w: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(3,850)</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1,135</w:t>
            </w: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(945)</w:t>
            </w: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ind w:right="21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investing, net</w:t>
            </w:r>
          </w:p>
        </w:tc>
        <w:tc>
          <w:tcPr>
            <w:tcW w:w="1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706</w:t>
            </w:r>
          </w:p>
        </w:tc>
        <w:tc>
          <w:tcPr>
            <w:tcW w:w="54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974</w:t>
            </w:r>
          </w:p>
        </w:tc>
        <w:tc>
          <w:tcPr>
            <w:tcW w:w="5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2,421</w:t>
            </w:r>
          </w:p>
        </w:tc>
        <w:tc>
          <w:tcPr>
            <w:tcW w:w="54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ind w:right="212"/>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4,101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4200" w:type="dxa"/>
            <w:vAlign w:val="bottom"/>
          </w:tcPr>
          <w:p>
            <w:pPr>
              <w:ind w:left="420"/>
              <w:spacing w:after="0"/>
              <w:rPr>
                <w:sz w:val="20"/>
                <w:szCs w:val="20"/>
                <w:color w:val="auto"/>
              </w:rPr>
            </w:pPr>
            <w:r>
              <w:rPr>
                <w:rFonts w:ascii="Arial" w:cs="Arial" w:eastAsia="Arial" w:hAnsi="Arial"/>
                <w:sz w:val="18"/>
                <w:szCs w:val="18"/>
                <w:color w:val="auto"/>
              </w:rPr>
              <w:t>Net cash used in investing activities</w:t>
            </w: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(34,558)</w:t>
            </w:r>
          </w:p>
        </w:tc>
        <w:tc>
          <w:tcPr>
            <w:tcW w:w="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(3,222)</w:t>
            </w: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(15,958)</w:t>
            </w:r>
          </w:p>
        </w:tc>
        <w:tc>
          <w:tcPr>
            <w:tcW w:w="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18,499</w:t>
            </w: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(35,239)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4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740" w:type="dxa"/>
            <w:vAlign w:val="bottom"/>
          </w:tcPr>
          <w:p>
            <w:pPr>
              <w:spacing w:after="0"/>
              <w:rPr>
                <w:sz w:val="9"/>
                <w:szCs w:val="9"/>
                <w:color w:val="auto"/>
              </w:rPr>
            </w:pPr>
          </w:p>
        </w:tc>
        <w:tc>
          <w:tcPr>
            <w:tcW w:w="540" w:type="dxa"/>
            <w:vAlign w:val="bottom"/>
          </w:tcPr>
          <w:p>
            <w:pPr>
              <w:spacing w:after="0"/>
              <w:rPr>
                <w:sz w:val="9"/>
                <w:szCs w:val="9"/>
                <w:color w:val="auto"/>
              </w:rPr>
            </w:pPr>
          </w:p>
        </w:tc>
        <w:tc>
          <w:tcPr>
            <w:tcW w:w="240" w:type="dxa"/>
            <w:vAlign w:val="bottom"/>
          </w:tcPr>
          <w:p>
            <w:pPr>
              <w:spacing w:after="0"/>
              <w:rPr>
                <w:sz w:val="9"/>
                <w:szCs w:val="9"/>
                <w:color w:val="auto"/>
              </w:rPr>
            </w:pPr>
          </w:p>
        </w:tc>
        <w:tc>
          <w:tcPr>
            <w:tcW w:w="6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9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60" w:type="dxa"/>
            <w:vAlign w:val="bottom"/>
          </w:tcPr>
          <w:p>
            <w:pPr>
              <w:spacing w:after="0"/>
              <w:rPr>
                <w:sz w:val="9"/>
                <w:szCs w:val="9"/>
                <w:color w:val="auto"/>
              </w:rPr>
            </w:pPr>
          </w:p>
        </w:tc>
        <w:tc>
          <w:tcPr>
            <w:tcW w:w="70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Financing activities</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ind w:left="200"/>
              <w:spacing w:after="0"/>
              <w:rPr>
                <w:sz w:val="20"/>
                <w:szCs w:val="20"/>
                <w:color w:val="auto"/>
              </w:rPr>
            </w:pPr>
            <w:r>
              <w:rPr>
                <w:rFonts w:ascii="Arial" w:cs="Arial" w:eastAsia="Arial" w:hAnsi="Arial"/>
                <w:sz w:val="18"/>
                <w:szCs w:val="18"/>
                <w:color w:val="auto"/>
              </w:rPr>
              <w:t>Payments on debt</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8"/>
              </w:rPr>
              <w:t>(236,495)</w:t>
            </w: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jc w:val="right"/>
              <w:ind w:right="212"/>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ind w:right="232"/>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jc w:val="right"/>
              <w:ind w:right="212"/>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0"/>
              </w:rPr>
              <w:t>(236,495)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Issuance of common stock</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165,235</w:t>
            </w:r>
          </w:p>
        </w:tc>
        <w:tc>
          <w:tcPr>
            <w:tcW w:w="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165,235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ind w:left="200"/>
              <w:spacing w:after="0"/>
              <w:rPr>
                <w:sz w:val="20"/>
                <w:szCs w:val="20"/>
                <w:color w:val="auto"/>
              </w:rPr>
            </w:pPr>
            <w:r>
              <w:rPr>
                <w:rFonts w:ascii="Arial" w:cs="Arial" w:eastAsia="Arial" w:hAnsi="Arial"/>
                <w:sz w:val="18"/>
                <w:szCs w:val="18"/>
                <w:color w:val="auto"/>
              </w:rPr>
              <w:t>Current intercompany notes, net</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(1,254)</w:t>
            </w: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jc w:val="right"/>
              <w:ind w:right="212"/>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20,698</w:t>
            </w: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5"/>
              </w:rPr>
              <w:t>(19,444)</w:t>
            </w: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ind w:right="21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Long-term intercompany notes payable, net</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(785)</w:t>
            </w:r>
          </w:p>
        </w:tc>
        <w:tc>
          <w:tcPr>
            <w:tcW w:w="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945</w:t>
            </w: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ind w:left="200"/>
              <w:spacing w:after="0"/>
              <w:rPr>
                <w:sz w:val="20"/>
                <w:szCs w:val="20"/>
                <w:color w:val="auto"/>
              </w:rPr>
            </w:pPr>
            <w:r>
              <w:rPr>
                <w:rFonts w:ascii="Arial" w:cs="Arial" w:eastAsia="Arial" w:hAnsi="Arial"/>
                <w:sz w:val="18"/>
                <w:szCs w:val="18"/>
                <w:color w:val="auto"/>
              </w:rPr>
              <w:t>Prepaid debt fees</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(3,936)</w:t>
            </w: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jc w:val="right"/>
              <w:ind w:right="212"/>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ind w:right="232"/>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jc w:val="right"/>
              <w:ind w:right="212"/>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(3,936)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financing, net</w:t>
            </w:r>
          </w:p>
        </w:tc>
        <w:tc>
          <w:tcPr>
            <w:tcW w:w="1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ind w:right="212"/>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ind w:right="212"/>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(1,309)</w:t>
            </w:r>
          </w:p>
        </w:tc>
        <w:tc>
          <w:tcPr>
            <w:tcW w:w="54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ind w:right="212"/>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200" w:type="dxa"/>
            <w:vAlign w:val="bottom"/>
          </w:tcPr>
          <w:p>
            <w:pPr>
              <w:ind w:left="420"/>
              <w:spacing w:after="0"/>
              <w:rPr>
                <w:sz w:val="20"/>
                <w:szCs w:val="20"/>
                <w:color w:val="auto"/>
              </w:rPr>
            </w:pPr>
            <w:r>
              <w:rPr>
                <w:rFonts w:ascii="Arial" w:cs="Arial" w:eastAsia="Arial" w:hAnsi="Arial"/>
                <w:sz w:val="18"/>
                <w:szCs w:val="18"/>
                <w:color w:val="auto"/>
              </w:rPr>
              <w:t>Net cash provided by (used in) financing</w:t>
            </w: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200" w:type="dxa"/>
            <w:vAlign w:val="bottom"/>
          </w:tcPr>
          <w:p>
            <w:pPr>
              <w:ind w:left="640"/>
              <w:spacing w:after="0"/>
              <w:rPr>
                <w:sz w:val="20"/>
                <w:szCs w:val="20"/>
                <w:color w:val="auto"/>
              </w:rPr>
            </w:pPr>
            <w:r>
              <w:rPr>
                <w:rFonts w:ascii="Arial" w:cs="Arial" w:eastAsia="Arial" w:hAnsi="Arial"/>
                <w:sz w:val="18"/>
                <w:szCs w:val="18"/>
                <w:color w:val="auto"/>
              </w:rPr>
              <w:t>activities</w:t>
            </w: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(77,235)</w:t>
            </w:r>
          </w:p>
        </w:tc>
        <w:tc>
          <w:tcPr>
            <w:tcW w:w="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jc w:val="right"/>
              <w:ind w:right="212"/>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19,229</w:t>
            </w:r>
          </w:p>
        </w:tc>
        <w:tc>
          <w:tcPr>
            <w:tcW w:w="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5"/>
              </w:rPr>
              <w:t>(18,499)</w:t>
            </w: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(76,505)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4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740" w:type="dxa"/>
            <w:vAlign w:val="bottom"/>
          </w:tcPr>
          <w:p>
            <w:pPr>
              <w:spacing w:after="0"/>
              <w:rPr>
                <w:sz w:val="9"/>
                <w:szCs w:val="9"/>
                <w:color w:val="auto"/>
              </w:rPr>
            </w:pPr>
          </w:p>
        </w:tc>
        <w:tc>
          <w:tcPr>
            <w:tcW w:w="540" w:type="dxa"/>
            <w:vAlign w:val="bottom"/>
          </w:tcPr>
          <w:p>
            <w:pPr>
              <w:spacing w:after="0"/>
              <w:rPr>
                <w:sz w:val="9"/>
                <w:szCs w:val="9"/>
                <w:color w:val="auto"/>
              </w:rPr>
            </w:pPr>
          </w:p>
        </w:tc>
        <w:tc>
          <w:tcPr>
            <w:tcW w:w="240" w:type="dxa"/>
            <w:vAlign w:val="bottom"/>
          </w:tcPr>
          <w:p>
            <w:pPr>
              <w:spacing w:after="0"/>
              <w:rPr>
                <w:sz w:val="9"/>
                <w:szCs w:val="9"/>
                <w:color w:val="auto"/>
              </w:rPr>
            </w:pPr>
          </w:p>
        </w:tc>
        <w:tc>
          <w:tcPr>
            <w:tcW w:w="6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9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60" w:type="dxa"/>
            <w:vAlign w:val="bottom"/>
          </w:tcPr>
          <w:p>
            <w:pPr>
              <w:spacing w:after="0"/>
              <w:rPr>
                <w:sz w:val="9"/>
                <w:szCs w:val="9"/>
                <w:color w:val="auto"/>
              </w:rPr>
            </w:pPr>
          </w:p>
        </w:tc>
        <w:tc>
          <w:tcPr>
            <w:tcW w:w="70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w w:val="99"/>
              </w:rPr>
              <w:t>Effect of foreign exchange rate changes on cash and</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2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equivalents</w:t>
            </w: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4,988</w:t>
            </w:r>
          </w:p>
        </w:tc>
        <w:tc>
          <w:tcPr>
            <w:tcW w:w="5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4,988</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Cash transferred from guarantor to parent</w:t>
            </w: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2,940</w:t>
            </w:r>
          </w:p>
        </w:tc>
        <w:tc>
          <w:tcPr>
            <w:tcW w:w="5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(2,940)</w:t>
            </w:r>
          </w:p>
        </w:tc>
        <w:tc>
          <w:tcPr>
            <w:tcW w:w="5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Increase (decrease) in cash and cash equivalents</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(31,353)</w:t>
            </w:r>
          </w:p>
        </w:tc>
        <w:tc>
          <w:tcPr>
            <w:tcW w:w="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(2,615)</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14,299</w:t>
            </w: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(19,669)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Cash and cash equivalents at beginning of period</w:t>
            </w: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67,404</w:t>
            </w:r>
          </w:p>
        </w:tc>
        <w:tc>
          <w:tcPr>
            <w:tcW w:w="5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3,180</w:t>
            </w:r>
          </w:p>
        </w:tc>
        <w:tc>
          <w:tcPr>
            <w:tcW w:w="5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73,806</w:t>
            </w:r>
          </w:p>
        </w:tc>
        <w:tc>
          <w:tcPr>
            <w:tcW w:w="5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144,390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36,051</w:t>
            </w:r>
          </w:p>
        </w:tc>
        <w:tc>
          <w:tcPr>
            <w:tcW w:w="78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565</w:t>
            </w:r>
          </w:p>
        </w:tc>
        <w:tc>
          <w:tcPr>
            <w:tcW w:w="72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88,105</w:t>
            </w: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124,721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20" w:type="dxa"/>
            <w:vAlign w:val="bottom"/>
            <w:gridSpan w:val="2"/>
            <w:vMerge w:val="restart"/>
          </w:tcPr>
          <w:p>
            <w:pPr>
              <w:spacing w:after="0"/>
              <w:rPr>
                <w:sz w:val="20"/>
                <w:szCs w:val="20"/>
                <w:color w:val="auto"/>
              </w:rPr>
            </w:pPr>
            <w:r>
              <w:rPr>
                <w:rFonts w:ascii="Arial" w:cs="Arial" w:eastAsia="Arial" w:hAnsi="Arial"/>
                <w:sz w:val="18"/>
                <w:szCs w:val="18"/>
                <w:i w:val="1"/>
                <w:iCs w:val="1"/>
                <w:color w:val="auto"/>
              </w:rPr>
              <w:t>Non-cash transactions:</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4220" w:type="dxa"/>
            <w:vAlign w:val="bottom"/>
            <w:gridSpan w:val="2"/>
            <w:vMerge w:val="continue"/>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2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Property, plant, and equipment purchased but not</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2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yet paid, net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1,265</w:t>
            </w:r>
          </w:p>
        </w:tc>
        <w:tc>
          <w:tcPr>
            <w:tcW w:w="78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w:t>
            </w:r>
          </w:p>
        </w:tc>
        <w:tc>
          <w:tcPr>
            <w:tcW w:w="72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3,881</w:t>
            </w:r>
          </w:p>
        </w:tc>
        <w:tc>
          <w:tcPr>
            <w:tcW w:w="540" w:type="dxa"/>
            <w:vAlign w:val="bottom"/>
            <w:shd w:val="clear" w:color="auto" w:fill="CCEEFF"/>
          </w:tcPr>
          <w:p>
            <w:pPr>
              <w:spacing w:after="0"/>
              <w:rPr>
                <w:sz w:val="19"/>
                <w:szCs w:val="19"/>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5,492</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ind w:left="200"/>
              <w:spacing w:after="0"/>
              <w:rPr>
                <w:sz w:val="20"/>
                <w:szCs w:val="20"/>
                <w:color w:val="auto"/>
              </w:rPr>
            </w:pPr>
            <w:r>
              <w:rPr>
                <w:rFonts w:ascii="Arial" w:cs="Arial" w:eastAsia="Arial" w:hAnsi="Arial"/>
                <w:sz w:val="18"/>
                <w:szCs w:val="18"/>
                <w:color w:val="auto"/>
              </w:rPr>
              <w:t>Exchange of debt (face value) for common stock</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98"/>
              </w:rPr>
              <w:t>120,984</w:t>
            </w: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jc w:val="right"/>
              <w:ind w:right="212"/>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ind w:right="232"/>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jc w:val="right"/>
              <w:ind w:right="212"/>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120,984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2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Contingent consideration payable for previous</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2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acquisitions</w:t>
            </w: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5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323"/>
        </w:trPr>
        <w:tc>
          <w:tcPr>
            <w:tcW w:w="4220" w:type="dxa"/>
            <w:vAlign w:val="bottom"/>
            <w:gridSpan w:val="2"/>
          </w:tcPr>
          <w:p>
            <w:pPr>
              <w:spacing w:after="0"/>
              <w:rPr>
                <w:sz w:val="20"/>
                <w:szCs w:val="20"/>
                <w:color w:val="auto"/>
              </w:rPr>
            </w:pPr>
            <w:r>
              <w:rPr>
                <w:rFonts w:ascii="Arial" w:cs="Arial" w:eastAsia="Arial" w:hAnsi="Arial"/>
                <w:sz w:val="18"/>
                <w:szCs w:val="18"/>
                <w:i w:val="1"/>
                <w:iCs w:val="1"/>
                <w:color w:val="auto"/>
              </w:rPr>
              <w:t>Supplemental disclosure of cash flow information:</w:t>
            </w: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2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paid during the period for:</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ind w:left="420"/>
              <w:spacing w:after="0"/>
              <w:rPr>
                <w:sz w:val="20"/>
                <w:szCs w:val="20"/>
                <w:color w:val="auto"/>
              </w:rPr>
            </w:pPr>
            <w:r>
              <w:rPr>
                <w:rFonts w:ascii="Arial" w:cs="Arial" w:eastAsia="Arial" w:hAnsi="Arial"/>
                <w:sz w:val="18"/>
                <w:szCs w:val="18"/>
                <w:color w:val="auto"/>
              </w:rPr>
              <w:t>Income taxes</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539</w:t>
            </w:r>
          </w:p>
        </w:tc>
        <w:tc>
          <w:tcPr>
            <w:tcW w:w="78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212"/>
              <w:spacing w:after="0"/>
              <w:rPr>
                <w:sz w:val="20"/>
                <w:szCs w:val="20"/>
                <w:color w:val="auto"/>
              </w:rPr>
            </w:pPr>
            <w:r>
              <w:rPr>
                <w:rFonts w:ascii="Arial" w:cs="Arial" w:eastAsia="Arial" w:hAnsi="Arial"/>
                <w:sz w:val="18"/>
                <w:szCs w:val="18"/>
                <w:color w:val="auto"/>
              </w:rPr>
              <w:t>-</w:t>
            </w:r>
          </w:p>
        </w:tc>
        <w:tc>
          <w:tcPr>
            <w:tcW w:w="720" w:type="dxa"/>
            <w:vAlign w:val="bottom"/>
            <w:gridSpan w:val="2"/>
          </w:tcPr>
          <w:p>
            <w:pPr>
              <w:ind w:left="62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18,769</w:t>
            </w:r>
          </w:p>
        </w:tc>
        <w:tc>
          <w:tcPr>
            <w:tcW w:w="54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212"/>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19,308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net of amounts capitalized</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43,199</w:t>
            </w:r>
          </w:p>
        </w:tc>
        <w:tc>
          <w:tcPr>
            <w:tcW w:w="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43,207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27" w:lineRule="exact"/>
        <w:rPr>
          <w:sz w:val="20"/>
          <w:szCs w:val="20"/>
          <w:color w:val="auto"/>
        </w:rPr>
      </w:pPr>
    </w:p>
    <w:p>
      <w:pPr>
        <w:sectPr>
          <w:pgSz w:w="11900" w:h="16838" w:orient="portrait"/>
          <w:cols w:equalWidth="0" w:num="1">
            <w:col w:w="11420"/>
          </w:cols>
          <w:pgMar w:left="240" w:top="459" w:right="239" w:bottom="149" w:gutter="0" w:footer="0" w:header="0"/>
        </w:sectPr>
      </w:pPr>
    </w:p>
    <w:p>
      <w:pPr>
        <w:jc w:val="center"/>
        <w:spacing w:after="0"/>
        <w:rPr>
          <w:sz w:val="20"/>
          <w:szCs w:val="20"/>
          <w:color w:val="auto"/>
        </w:rPr>
      </w:pPr>
      <w:r>
        <w:rPr>
          <w:rFonts w:ascii="Arial" w:cs="Arial" w:eastAsia="Arial" w:hAnsi="Arial"/>
          <w:sz w:val="19"/>
          <w:szCs w:val="19"/>
          <w:color w:val="auto"/>
        </w:rPr>
        <w:t>38</w:t>
      </w:r>
    </w:p>
    <w:p>
      <w:pPr>
        <w:sectPr>
          <w:pgSz w:w="11900" w:h="16838" w:orient="portrait"/>
          <w:cols w:equalWidth="0" w:num="1">
            <w:col w:w="11420"/>
          </w:cols>
          <w:pgMar w:left="240" w:top="459" w:right="239" w:bottom="149" w:gutter="0" w:footer="0" w:header="0"/>
          <w:type w:val="continuous"/>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Management’sDiscussion and Analysis of Financial Condition and Results of Operations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In this Quarterly Report on Form 10-Q, the terms “we,” “us,” “our,” “Itron,” and the “Company” refer to Itron, Inc.</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following discussion and analysis should be read in conjunction with the unaudited condensed consolidated financial statements and notes included in this report and with our Annual Report on Form 10-K for the year ended December 31, 2009, filed with the Securities and Exchange Commission (SEC) on February 25, 2010.</w:t>
      </w:r>
    </w:p>
    <w:p>
      <w:pPr>
        <w:spacing w:after="0" w:line="14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Documents we provide to the SEC are available free of charge under the Investors section of our website at </w:t>
      </w:r>
      <w:r>
        <w:rPr>
          <w:rFonts w:ascii="Arial" w:cs="Arial" w:eastAsia="Arial" w:hAnsi="Arial"/>
          <w:sz w:val="18"/>
          <w:szCs w:val="18"/>
          <w:i w:val="1"/>
          <w:iCs w:val="1"/>
          <w:color w:val="auto"/>
        </w:rPr>
        <w:t>www.itron.com</w:t>
      </w:r>
      <w:r>
        <w:rPr>
          <w:rFonts w:ascii="Arial" w:cs="Arial" w:eastAsia="Arial" w:hAnsi="Arial"/>
          <w:sz w:val="18"/>
          <w:szCs w:val="18"/>
          <w:color w:val="auto"/>
        </w:rPr>
        <w:t xml:space="preserve"> as soon as practicable after they are filed with or furnished to the SEC. In addition, these documents are available at the SEC’s website (http://</w:t>
      </w:r>
      <w:r>
        <w:rPr>
          <w:rFonts w:ascii="Arial" w:cs="Arial" w:eastAsia="Arial" w:hAnsi="Arial"/>
          <w:sz w:val="18"/>
          <w:szCs w:val="18"/>
          <w:i w:val="1"/>
          <w:iCs w:val="1"/>
          <w:color w:val="auto"/>
        </w:rPr>
        <w:t>www.sec.gov</w:t>
      </w:r>
      <w:r>
        <w:rPr>
          <w:rFonts w:ascii="Arial" w:cs="Arial" w:eastAsia="Arial" w:hAnsi="Arial"/>
          <w:sz w:val="18"/>
          <w:szCs w:val="18"/>
          <w:color w:val="auto"/>
        </w:rPr>
        <w:t>) and at the SEC’s Headquarters at 100 F Street, NE, Washington, DC 20549, or by calling 1-800-SEC-0330.</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Forward-Looking Statements</w:t>
      </w:r>
    </w:p>
    <w:p>
      <w:pPr>
        <w:spacing w:after="0" w:line="96" w:lineRule="exact"/>
        <w:rPr>
          <w:sz w:val="20"/>
          <w:szCs w:val="20"/>
          <w:color w:val="auto"/>
        </w:rPr>
      </w:pPr>
    </w:p>
    <w:p>
      <w:pPr>
        <w:jc w:val="both"/>
        <w:spacing w:after="0" w:line="286" w:lineRule="auto"/>
        <w:rPr>
          <w:sz w:val="20"/>
          <w:szCs w:val="20"/>
          <w:color w:val="auto"/>
        </w:rPr>
      </w:pPr>
      <w:r>
        <w:rPr>
          <w:rFonts w:ascii="Arial" w:cs="Arial" w:eastAsia="Arial" w:hAnsi="Arial"/>
          <w:sz w:val="16"/>
          <w:szCs w:val="16"/>
          <w:i w:val="1"/>
          <w:iCs w:val="1"/>
          <w:color w:val="auto"/>
        </w:rPr>
        <w:t>This document contains forward-looking statements concerning our operations, financial performance, revenues, earnings growth, liquidity, and other items. This document reflects our current plans and expectations and is based on information currently available as of the date of this Quarterly Report on Form 10-Q. When we use the words “expect,” “intend,” “anticipate,” “believe,” “plan,” “project,” “estimate,” “future,” “objective,” “may,” “will,” “will continue,” and similar expressions, they are intended to identify forward-looking statements. Forward-looking statements rely on a number of assumptions and estimates. These assumptions and estimates could be inaccurate and cause our actual results to vary materially from expected results. Risks and uncertainties include 1) the rate and timing of customer demand for our products, 2) rescheduling or cancellations of current customer orders and commitments, 3) competition, 4) changes in estimated liabilities for product warranties and/or litigation, 5) our dependence on customers’ acceptance of new products and their performance, 6) changes in domestic and international laws and regulations, 7) future business combinations, 8) changes in estimates for stock-based compensation and pension costs, 9) changes in foreign currency exchange rates and interest rates, 10) international business risks, 11) our own and our customers’ or suppliers’ access to and cost of capital, and 12) other factors. You should not solely rely on these forward-looking statements as they are only valid as of the date of this Quarterly Report on Form 10-Q. We do not have any obligation to publicly update or revise any forward-looking statement in this document. For a more complete description of these and other risks, refer to Item 1A: “Risk Factors” included in our Annual Report on Form 10-K for the fiscal year ended December 31, 2009, which was filed with the SEC on February 25, 2010.</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6" w:lineRule="exact"/>
        <w:rPr>
          <w:sz w:val="20"/>
          <w:szCs w:val="20"/>
          <w:color w:val="auto"/>
        </w:rPr>
      </w:pPr>
    </w:p>
    <w:p>
      <w:pPr>
        <w:jc w:val="both"/>
        <w:ind w:right="20"/>
        <w:spacing w:after="0" w:line="332" w:lineRule="auto"/>
        <w:rPr>
          <w:sz w:val="20"/>
          <w:szCs w:val="20"/>
          <w:color w:val="auto"/>
        </w:rPr>
      </w:pPr>
      <w:r>
        <w:rPr>
          <w:rFonts w:ascii="Arial" w:cs="Arial" w:eastAsia="Arial" w:hAnsi="Arial"/>
          <w:sz w:val="16"/>
          <w:szCs w:val="16"/>
          <w:color w:val="auto"/>
        </w:rPr>
        <w:t>We derive the majority of our revenues from sales of products and services to utilities. Our products and services include hardware, software, managed services, and consulting. Cost of revenues includes materials, labor, overhead, warranty expense, and distribution and documentation costs for software.</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Revenues for the three and nine months ended September 30, 2010 increased 41% and 36%, compared with the same periods in 2009, primarily due to deployment of our OpenWay</w:t>
      </w:r>
      <w:r>
        <w:rPr>
          <w:rFonts w:ascii="Arial" w:cs="Arial" w:eastAsia="Arial" w:hAnsi="Arial"/>
          <w:sz w:val="11"/>
          <w:szCs w:val="11"/>
          <w:color w:val="auto"/>
        </w:rPr>
        <w:t>®</w:t>
      </w:r>
      <w:r>
        <w:rPr>
          <w:rFonts w:ascii="Arial" w:cs="Arial" w:eastAsia="Arial" w:hAnsi="Arial"/>
          <w:sz w:val="18"/>
          <w:szCs w:val="18"/>
          <w:color w:val="auto"/>
        </w:rPr>
        <w:t xml:space="preserve"> projects in Itron North America. Total backlog was $1.7 billion and twelve-month backlog was $958 million at September 30, 2010.</w:t>
      </w:r>
    </w:p>
    <w:p>
      <w:pPr>
        <w:spacing w:after="0" w:line="14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Itron North America meter volumes increased 136% and 108%, primarily driven by the OpenWay contracts, while Itron International meter volumes increased 5% and decreased 4% for the three and nine months ended September 30, 2010, compared with the same periods in 2009.</w:t>
      </w:r>
    </w:p>
    <w:p>
      <w:pPr>
        <w:spacing w:after="0" w:line="132"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Diluted earnings per share were $0.71 and $2.02 for the three and nine months ended September 30, 2010, compared with diluted loss per share of $0.07 and $0.19 for the same periods last year.</w:t>
      </w:r>
    </w:p>
    <w:p>
      <w:pPr>
        <w:spacing w:after="0" w:line="132"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Term debt repayments during the nine months ended September 30, 2010 were $106.5 million, bringing the total debt outstanding to $663.0 million at September 30, 2010.</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39</w:t>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520" w:type="dxa"/>
            <w:vAlign w:val="bottom"/>
            <w:gridSpan w:val="9"/>
          </w:tcPr>
          <w:p>
            <w:pPr>
              <w:spacing w:after="0"/>
              <w:rPr>
                <w:sz w:val="20"/>
                <w:szCs w:val="20"/>
                <w:color w:val="auto"/>
              </w:rPr>
            </w:pPr>
            <w:r>
              <w:rPr>
                <w:rFonts w:ascii="Arial" w:cs="Arial" w:eastAsia="Arial" w:hAnsi="Arial"/>
                <w:sz w:val="18"/>
                <w:szCs w:val="18"/>
                <w:b w:val="1"/>
                <w:bCs w:val="1"/>
                <w:color w:val="auto"/>
                <w:w w:val="89"/>
              </w:rPr>
              <w:t>Total Company Revenues, Gross Profit and Margin, and Unit Shipments</w:t>
            </w:r>
          </w:p>
        </w:tc>
        <w:tc>
          <w:tcPr>
            <w:tcW w:w="4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419"/>
        </w:trPr>
        <w:tc>
          <w:tcPr>
            <w:tcW w:w="2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440" w:type="dxa"/>
            <w:vAlign w:val="bottom"/>
            <w:tcBorders>
              <w:bottom w:val="single" w:sz="8" w:color="auto"/>
            </w:tcBorders>
            <w:gridSpan w:val="8"/>
          </w:tcPr>
          <w:p>
            <w:pPr>
              <w:ind w:left="400"/>
              <w:spacing w:after="0"/>
              <w:rPr>
                <w:sz w:val="20"/>
                <w:szCs w:val="20"/>
                <w:color w:val="auto"/>
              </w:rPr>
            </w:pPr>
            <w:r>
              <w:rPr>
                <w:rFonts w:ascii="Arial" w:cs="Arial" w:eastAsia="Arial" w:hAnsi="Arial"/>
                <w:sz w:val="18"/>
                <w:szCs w:val="18"/>
                <w:b w:val="1"/>
                <w:bCs w:val="1"/>
                <w:color w:val="auto"/>
                <w:w w:val="98"/>
              </w:rPr>
              <w:t>Three Months Ended September 30,</w:t>
            </w:r>
          </w:p>
        </w:tc>
        <w:tc>
          <w:tcPr>
            <w:tcW w:w="300" w:type="dxa"/>
            <w:vAlign w:val="bottom"/>
            <w:tcBorders>
              <w:bottom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000" w:type="dxa"/>
            <w:vAlign w:val="bottom"/>
            <w:tcBorders>
              <w:bottom w:val="single" w:sz="8" w:color="auto"/>
            </w:tcBorders>
            <w:gridSpan w:val="10"/>
          </w:tcPr>
          <w:p>
            <w:pPr>
              <w:jc w:val="right"/>
              <w:ind w:right="72"/>
              <w:spacing w:after="0"/>
              <w:rPr>
                <w:sz w:val="20"/>
                <w:szCs w:val="20"/>
                <w:color w:val="auto"/>
              </w:rPr>
            </w:pPr>
            <w:r>
              <w:rPr>
                <w:rFonts w:ascii="Arial" w:cs="Arial" w:eastAsia="Arial" w:hAnsi="Arial"/>
                <w:sz w:val="18"/>
                <w:szCs w:val="18"/>
                <w:b w:val="1"/>
                <w:bCs w:val="1"/>
                <w:color w:val="auto"/>
                <w:w w:val="95"/>
              </w:rPr>
              <w:t>Nine Months Ended September 30,</w:t>
            </w:r>
          </w:p>
        </w:tc>
        <w:tc>
          <w:tcPr>
            <w:tcW w:w="6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12"/>
        </w:trPr>
        <w:tc>
          <w:tcPr>
            <w:tcW w:w="2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rPr>
              <w:t>2010</w:t>
            </w:r>
          </w:p>
        </w:tc>
        <w:tc>
          <w:tcPr>
            <w:tcW w:w="4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b w:val="1"/>
                <w:bCs w:val="1"/>
                <w:color w:val="auto"/>
                <w:w w:val="89"/>
              </w:rPr>
              <w:t>2009</w:t>
            </w:r>
          </w:p>
        </w:tc>
        <w:tc>
          <w:tcPr>
            <w:tcW w:w="4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gridSpan w:val="3"/>
          </w:tcPr>
          <w:p>
            <w:pPr>
              <w:ind w:left="100"/>
              <w:spacing w:after="0"/>
              <w:rPr>
                <w:sz w:val="20"/>
                <w:szCs w:val="20"/>
                <w:color w:val="auto"/>
              </w:rPr>
            </w:pPr>
            <w:r>
              <w:rPr>
                <w:rFonts w:ascii="Arial" w:cs="Arial" w:eastAsia="Arial" w:hAnsi="Arial"/>
                <w:sz w:val="18"/>
                <w:szCs w:val="18"/>
                <w:b w:val="1"/>
                <w:bCs w:val="1"/>
                <w:color w:val="auto"/>
              </w:rPr>
              <w:t>% Change</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gridSpan w:val="3"/>
          </w:tcPr>
          <w:p>
            <w:pPr>
              <w:jc w:val="right"/>
              <w:ind w:right="292"/>
              <w:spacing w:after="0"/>
              <w:rPr>
                <w:sz w:val="20"/>
                <w:szCs w:val="20"/>
                <w:color w:val="auto"/>
              </w:rPr>
            </w:pPr>
            <w:r>
              <w:rPr>
                <w:rFonts w:ascii="Arial" w:cs="Arial" w:eastAsia="Arial" w:hAnsi="Arial"/>
                <w:sz w:val="18"/>
                <w:szCs w:val="18"/>
                <w:b w:val="1"/>
                <w:bCs w:val="1"/>
                <w:color w:val="auto"/>
              </w:rPr>
              <w:t>2010</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b w:val="1"/>
                <w:bCs w:val="1"/>
                <w:color w:val="auto"/>
              </w:rPr>
              <w:t>2009</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gridSpan w:val="2"/>
          </w:tcPr>
          <w:p>
            <w:pPr>
              <w:jc w:val="right"/>
              <w:ind w:right="92"/>
              <w:spacing w:after="0"/>
              <w:rPr>
                <w:sz w:val="20"/>
                <w:szCs w:val="20"/>
                <w:color w:val="auto"/>
              </w:rPr>
            </w:pPr>
            <w:r>
              <w:rPr>
                <w:rFonts w:ascii="Arial" w:cs="Arial" w:eastAsia="Arial" w:hAnsi="Arial"/>
                <w:sz w:val="18"/>
                <w:szCs w:val="18"/>
                <w:b w:val="1"/>
                <w:bCs w:val="1"/>
                <w:color w:val="auto"/>
                <w:w w:val="87"/>
              </w:rPr>
              <w:t>% Change</w:t>
            </w:r>
          </w:p>
        </w:tc>
        <w:tc>
          <w:tcPr>
            <w:tcW w:w="10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ind w:left="500"/>
              <w:spacing w:after="0"/>
              <w:rPr>
                <w:sz w:val="20"/>
                <w:szCs w:val="20"/>
                <w:color w:val="auto"/>
              </w:rPr>
            </w:pPr>
            <w:r>
              <w:rPr>
                <w:rFonts w:ascii="Arial" w:cs="Arial" w:eastAsia="Arial" w:hAnsi="Arial"/>
                <w:sz w:val="18"/>
                <w:szCs w:val="18"/>
                <w:b w:val="1"/>
                <w:bCs w:val="1"/>
                <w:color w:val="auto"/>
                <w:w w:val="90"/>
              </w:rPr>
              <w:t>(in</w:t>
            </w:r>
          </w:p>
        </w:tc>
        <w:tc>
          <w:tcPr>
            <w:tcW w:w="720" w:type="dxa"/>
            <w:vAlign w:val="bottom"/>
            <w:gridSpan w:val="2"/>
          </w:tcPr>
          <w:p>
            <w:pPr>
              <w:jc w:val="right"/>
              <w:spacing w:after="0"/>
              <w:rPr>
                <w:sz w:val="20"/>
                <w:szCs w:val="20"/>
                <w:color w:val="auto"/>
              </w:rPr>
            </w:pPr>
            <w:r>
              <w:rPr>
                <w:rFonts w:ascii="Arial" w:cs="Arial" w:eastAsia="Arial" w:hAnsi="Arial"/>
                <w:sz w:val="18"/>
                <w:szCs w:val="18"/>
                <w:b w:val="1"/>
                <w:bCs w:val="1"/>
                <w:color w:val="auto"/>
                <w:w w:val="89"/>
              </w:rPr>
              <w:t>millions)</w:t>
            </w:r>
          </w:p>
        </w:tc>
        <w:tc>
          <w:tcPr>
            <w:tcW w:w="7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(in</w:t>
            </w:r>
          </w:p>
        </w:tc>
        <w:tc>
          <w:tcPr>
            <w:tcW w:w="740" w:type="dxa"/>
            <w:vAlign w:val="bottom"/>
            <w:gridSpan w:val="3"/>
          </w:tcPr>
          <w:p>
            <w:pPr>
              <w:jc w:val="right"/>
              <w:spacing w:after="0"/>
              <w:rPr>
                <w:sz w:val="20"/>
                <w:szCs w:val="20"/>
                <w:color w:val="auto"/>
              </w:rPr>
            </w:pPr>
            <w:r>
              <w:rPr>
                <w:rFonts w:ascii="Arial" w:cs="Arial" w:eastAsia="Arial" w:hAnsi="Arial"/>
                <w:sz w:val="18"/>
                <w:szCs w:val="18"/>
                <w:b w:val="1"/>
                <w:bCs w:val="1"/>
                <w:color w:val="auto"/>
                <w:w w:val="89"/>
              </w:rPr>
              <w:t>millions)</w:t>
            </w: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56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3"/>
              </w:rPr>
              <w:t>576.0</w:t>
            </w: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ind w:left="260"/>
              <w:spacing w:after="0"/>
              <w:rPr>
                <w:sz w:val="20"/>
                <w:szCs w:val="20"/>
                <w:color w:val="auto"/>
              </w:rPr>
            </w:pPr>
            <w:r>
              <w:rPr>
                <w:rFonts w:ascii="Arial" w:cs="Arial" w:eastAsia="Arial" w:hAnsi="Arial"/>
                <w:sz w:val="18"/>
                <w:szCs w:val="18"/>
                <w:color w:val="auto"/>
                <w:w w:val="93"/>
              </w:rPr>
              <w:t>408.4</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center"/>
              <w:ind w:left="312"/>
              <w:spacing w:after="0"/>
              <w:rPr>
                <w:sz w:val="20"/>
                <w:szCs w:val="20"/>
                <w:color w:val="auto"/>
              </w:rPr>
            </w:pPr>
            <w:r>
              <w:rPr>
                <w:rFonts w:ascii="Arial" w:cs="Arial" w:eastAsia="Arial" w:hAnsi="Arial"/>
                <w:sz w:val="18"/>
                <w:szCs w:val="18"/>
                <w:color w:val="auto"/>
                <w:w w:val="88"/>
              </w:rPr>
              <w:t>41%</w:t>
            </w: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8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1,644.7</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1,210.6</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w w:val="88"/>
              </w:rPr>
              <w:t>36%</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560" w:type="dxa"/>
            <w:vAlign w:val="bottom"/>
          </w:tcPr>
          <w:p>
            <w:pPr>
              <w:spacing w:after="0"/>
              <w:rPr>
                <w:sz w:val="20"/>
                <w:szCs w:val="20"/>
                <w:color w:val="auto"/>
              </w:rPr>
            </w:pPr>
            <w:r>
              <w:rPr>
                <w:rFonts w:ascii="Arial" w:cs="Arial" w:eastAsia="Arial" w:hAnsi="Arial"/>
                <w:sz w:val="18"/>
                <w:szCs w:val="18"/>
                <w:color w:val="auto"/>
              </w:rPr>
              <w:t>Gross Profit</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ind w:left="280"/>
              <w:spacing w:after="0"/>
              <w:rPr>
                <w:sz w:val="20"/>
                <w:szCs w:val="20"/>
                <w:color w:val="auto"/>
              </w:rPr>
            </w:pPr>
            <w:r>
              <w:rPr>
                <w:rFonts w:ascii="Arial" w:cs="Arial" w:eastAsia="Arial" w:hAnsi="Arial"/>
                <w:sz w:val="18"/>
                <w:szCs w:val="18"/>
                <w:color w:val="auto"/>
                <w:w w:val="93"/>
              </w:rPr>
              <w:t>184.2</w:t>
            </w:r>
          </w:p>
        </w:tc>
        <w:tc>
          <w:tcPr>
            <w:tcW w:w="440" w:type="dxa"/>
            <w:vAlign w:val="bottom"/>
          </w:tcPr>
          <w:p>
            <w:pPr>
              <w:spacing w:after="0"/>
              <w:rPr>
                <w:sz w:val="18"/>
                <w:szCs w:val="18"/>
                <w:color w:val="auto"/>
              </w:rPr>
            </w:pPr>
          </w:p>
        </w:tc>
        <w:tc>
          <w:tcPr>
            <w:tcW w:w="2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700" w:type="dxa"/>
            <w:vAlign w:val="bottom"/>
          </w:tcPr>
          <w:p>
            <w:pPr>
              <w:ind w:left="260"/>
              <w:spacing w:after="0"/>
              <w:rPr>
                <w:sz w:val="20"/>
                <w:szCs w:val="20"/>
                <w:color w:val="auto"/>
              </w:rPr>
            </w:pPr>
            <w:r>
              <w:rPr>
                <w:rFonts w:ascii="Arial" w:cs="Arial" w:eastAsia="Arial" w:hAnsi="Arial"/>
                <w:sz w:val="18"/>
                <w:szCs w:val="18"/>
                <w:color w:val="auto"/>
                <w:w w:val="93"/>
              </w:rPr>
              <w:t>129.5</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center"/>
              <w:ind w:left="312"/>
              <w:spacing w:after="0"/>
              <w:rPr>
                <w:sz w:val="20"/>
                <w:szCs w:val="20"/>
                <w:color w:val="auto"/>
              </w:rPr>
            </w:pPr>
            <w:r>
              <w:rPr>
                <w:rFonts w:ascii="Arial" w:cs="Arial" w:eastAsia="Arial" w:hAnsi="Arial"/>
                <w:sz w:val="18"/>
                <w:szCs w:val="18"/>
                <w:color w:val="auto"/>
                <w:w w:val="88"/>
              </w:rPr>
              <w:t>42%</w:t>
            </w: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jc w:val="center"/>
              <w:spacing w:after="0"/>
              <w:rPr>
                <w:sz w:val="20"/>
                <w:szCs w:val="20"/>
                <w:color w:val="auto"/>
              </w:rPr>
            </w:pPr>
            <w:r>
              <w:rPr>
                <w:rFonts w:ascii="Arial" w:cs="Arial" w:eastAsia="Arial" w:hAnsi="Arial"/>
                <w:sz w:val="18"/>
                <w:szCs w:val="18"/>
                <w:color w:val="auto"/>
                <w:w w:val="79"/>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93"/>
              </w:rPr>
              <w:t>519.4</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392.2</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jc w:val="right"/>
              <w:ind w:right="232"/>
              <w:spacing w:after="0"/>
              <w:rPr>
                <w:sz w:val="20"/>
                <w:szCs w:val="20"/>
                <w:color w:val="auto"/>
              </w:rPr>
            </w:pPr>
            <w:r>
              <w:rPr>
                <w:rFonts w:ascii="Arial" w:cs="Arial" w:eastAsia="Arial" w:hAnsi="Arial"/>
                <w:sz w:val="18"/>
                <w:szCs w:val="18"/>
                <w:color w:val="auto"/>
                <w:w w:val="88"/>
              </w:rPr>
              <w:t>32%</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560" w:type="dxa"/>
            <w:vAlign w:val="bottom"/>
            <w:shd w:val="clear" w:color="auto" w:fill="CCEEFF"/>
          </w:tcPr>
          <w:p>
            <w:pPr>
              <w:spacing w:after="0"/>
              <w:rPr>
                <w:sz w:val="20"/>
                <w:szCs w:val="20"/>
                <w:color w:val="auto"/>
              </w:rPr>
            </w:pPr>
            <w:r>
              <w:rPr>
                <w:rFonts w:ascii="Arial" w:cs="Arial" w:eastAsia="Arial" w:hAnsi="Arial"/>
                <w:sz w:val="18"/>
                <w:szCs w:val="18"/>
                <w:color w:val="auto"/>
              </w:rPr>
              <w:t>Gross Margin</w:t>
            </w: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32.0%</w:t>
            </w:r>
          </w:p>
        </w:tc>
        <w:tc>
          <w:tcPr>
            <w:tcW w:w="2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31.7%</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52"/>
              <w:spacing w:after="0"/>
              <w:rPr>
                <w:sz w:val="20"/>
                <w:szCs w:val="20"/>
                <w:color w:val="auto"/>
              </w:rPr>
            </w:pPr>
            <w:r>
              <w:rPr>
                <w:rFonts w:ascii="Arial" w:cs="Arial" w:eastAsia="Arial" w:hAnsi="Arial"/>
                <w:sz w:val="18"/>
                <w:szCs w:val="18"/>
                <w:color w:val="auto"/>
                <w:w w:val="93"/>
              </w:rPr>
              <w:t>31.6%</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32.4%</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404"/>
        </w:trPr>
        <w:tc>
          <w:tcPr>
            <w:tcW w:w="2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340" w:type="dxa"/>
            <w:vAlign w:val="bottom"/>
            <w:gridSpan w:val="9"/>
          </w:tcPr>
          <w:p>
            <w:pPr>
              <w:jc w:val="center"/>
              <w:ind w:right="412"/>
              <w:spacing w:after="0"/>
              <w:rPr>
                <w:sz w:val="20"/>
                <w:szCs w:val="20"/>
                <w:color w:val="auto"/>
              </w:rPr>
            </w:pPr>
            <w:r>
              <w:rPr>
                <w:rFonts w:ascii="Arial" w:cs="Arial" w:eastAsia="Arial" w:hAnsi="Arial"/>
                <w:sz w:val="18"/>
                <w:szCs w:val="18"/>
                <w:b w:val="1"/>
                <w:bCs w:val="1"/>
                <w:color w:val="auto"/>
                <w:w w:val="89"/>
              </w:rPr>
              <w:t>Three Months Ended</w:t>
            </w: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300" w:type="dxa"/>
            <w:vAlign w:val="bottom"/>
            <w:gridSpan w:val="7"/>
          </w:tcPr>
          <w:p>
            <w:pPr>
              <w:ind w:left="240"/>
              <w:spacing w:after="0"/>
              <w:rPr>
                <w:sz w:val="20"/>
                <w:szCs w:val="20"/>
                <w:color w:val="auto"/>
              </w:rPr>
            </w:pPr>
            <w:r>
              <w:rPr>
                <w:rFonts w:ascii="Arial" w:cs="Arial" w:eastAsia="Arial" w:hAnsi="Arial"/>
                <w:sz w:val="18"/>
                <w:szCs w:val="18"/>
                <w:b w:val="1"/>
                <w:bCs w:val="1"/>
                <w:color w:val="auto"/>
              </w:rPr>
              <w:t>Nine Months Ended</w:t>
            </w:r>
          </w:p>
        </w:tc>
      </w:tr>
      <w:tr>
        <w:trPr>
          <w:trHeight w:val="229"/>
        </w:trPr>
        <w:tc>
          <w:tcPr>
            <w:tcW w:w="20" w:type="dxa"/>
            <w:vAlign w:val="bottom"/>
          </w:tcPr>
          <w:p>
            <w:pPr>
              <w:spacing w:after="0"/>
              <w:rPr>
                <w:sz w:val="19"/>
                <w:szCs w:val="19"/>
                <w:color w:val="auto"/>
              </w:rPr>
            </w:pPr>
          </w:p>
        </w:tc>
        <w:tc>
          <w:tcPr>
            <w:tcW w:w="2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40" w:type="dxa"/>
            <w:vAlign w:val="bottom"/>
            <w:gridSpan w:val="8"/>
          </w:tcPr>
          <w:p>
            <w:pPr>
              <w:jc w:val="center"/>
              <w:ind w:right="732"/>
              <w:spacing w:after="0"/>
              <w:rPr>
                <w:sz w:val="20"/>
                <w:szCs w:val="20"/>
                <w:color w:val="auto"/>
              </w:rPr>
            </w:pPr>
            <w:r>
              <w:rPr>
                <w:rFonts w:ascii="Arial" w:cs="Arial" w:eastAsia="Arial" w:hAnsi="Arial"/>
                <w:sz w:val="18"/>
                <w:szCs w:val="18"/>
                <w:b w:val="1"/>
                <w:bCs w:val="1"/>
                <w:color w:val="auto"/>
                <w:w w:val="86"/>
              </w:rPr>
              <w:t>September 30,</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40" w:type="dxa"/>
            <w:vAlign w:val="bottom"/>
            <w:gridSpan w:val="5"/>
          </w:tcPr>
          <w:p>
            <w:pPr>
              <w:jc w:val="right"/>
              <w:spacing w:after="0"/>
              <w:rPr>
                <w:sz w:val="20"/>
                <w:szCs w:val="20"/>
                <w:color w:val="auto"/>
              </w:rPr>
            </w:pPr>
            <w:r>
              <w:rPr>
                <w:rFonts w:ascii="Arial" w:cs="Arial" w:eastAsia="Arial" w:hAnsi="Arial"/>
                <w:sz w:val="18"/>
                <w:szCs w:val="18"/>
                <w:b w:val="1"/>
                <w:bCs w:val="1"/>
                <w:color w:val="auto"/>
              </w:rPr>
              <w:t>September 30,</w:t>
            </w: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1"/>
        </w:trPr>
        <w:tc>
          <w:tcPr>
            <w:tcW w:w="2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gridSpan w:val="2"/>
          </w:tcPr>
          <w:p>
            <w:pPr>
              <w:jc w:val="right"/>
              <w:ind w:right="212"/>
              <w:spacing w:after="0"/>
              <w:rPr>
                <w:sz w:val="20"/>
                <w:szCs w:val="20"/>
                <w:color w:val="auto"/>
              </w:rPr>
            </w:pPr>
            <w:r>
              <w:rPr>
                <w:rFonts w:ascii="Arial" w:cs="Arial" w:eastAsia="Arial" w:hAnsi="Arial"/>
                <w:sz w:val="18"/>
                <w:szCs w:val="18"/>
                <w:b w:val="1"/>
                <w:bCs w:val="1"/>
                <w:color w:val="auto"/>
                <w:w w:val="84"/>
              </w:rPr>
              <w:t>2010</w:t>
            </w:r>
          </w:p>
        </w:tc>
        <w:tc>
          <w:tcPr>
            <w:tcW w:w="10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2009</w:t>
            </w:r>
          </w:p>
        </w:tc>
        <w:tc>
          <w:tcPr>
            <w:tcW w:w="240" w:type="dxa"/>
            <w:vAlign w:val="bottom"/>
            <w:tcBorders>
              <w:top w:val="single" w:sz="8" w:color="auto"/>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8"/>
                <w:szCs w:val="18"/>
                <w:b w:val="1"/>
                <w:bCs w:val="1"/>
                <w:color w:val="auto"/>
              </w:rPr>
              <w:t>2010</w:t>
            </w:r>
          </w:p>
        </w:tc>
        <w:tc>
          <w:tcPr>
            <w:tcW w:w="140" w:type="dxa"/>
            <w:vAlign w:val="bottom"/>
            <w:tcBorders>
              <w:top w:val="single" w:sz="8" w:color="auto"/>
              <w:bottom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ind w:right="212"/>
              <w:spacing w:after="0"/>
              <w:rPr>
                <w:sz w:val="20"/>
                <w:szCs w:val="20"/>
                <w:color w:val="auto"/>
              </w:rPr>
            </w:pPr>
            <w:r>
              <w:rPr>
                <w:rFonts w:ascii="Arial" w:cs="Arial" w:eastAsia="Arial" w:hAnsi="Arial"/>
                <w:sz w:val="18"/>
                <w:szCs w:val="18"/>
                <w:b w:val="1"/>
                <w:bCs w:val="1"/>
                <w:color w:val="auto"/>
                <w:w w:val="84"/>
              </w:rPr>
              <w:t>2009</w:t>
            </w:r>
          </w:p>
        </w:tc>
        <w:tc>
          <w:tcPr>
            <w:tcW w:w="10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8"/>
                <w:szCs w:val="18"/>
                <w:b w:val="1"/>
                <w:bCs w:val="1"/>
                <w:color w:val="auto"/>
                <w:w w:val="99"/>
              </w:rPr>
              <w:t>(in</w:t>
            </w:r>
          </w:p>
        </w:tc>
        <w:tc>
          <w:tcPr>
            <w:tcW w:w="720" w:type="dxa"/>
            <w:vAlign w:val="bottom"/>
            <w:gridSpan w:val="3"/>
          </w:tcPr>
          <w:p>
            <w:pPr>
              <w:ind w:left="40"/>
              <w:spacing w:after="0"/>
              <w:rPr>
                <w:sz w:val="20"/>
                <w:szCs w:val="20"/>
                <w:color w:val="auto"/>
              </w:rPr>
            </w:pPr>
            <w:r>
              <w:rPr>
                <w:rFonts w:ascii="Arial" w:cs="Arial" w:eastAsia="Arial" w:hAnsi="Arial"/>
                <w:sz w:val="18"/>
                <w:szCs w:val="18"/>
                <w:b w:val="1"/>
                <w:bCs w:val="1"/>
                <w:color w:val="auto"/>
                <w:w w:val="89"/>
              </w:rPr>
              <w:t>millions)</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560" w:type="dxa"/>
            <w:vAlign w:val="bottom"/>
            <w:shd w:val="clear" w:color="auto" w:fill="CCEEFF"/>
          </w:tcPr>
          <w:p>
            <w:pPr>
              <w:spacing w:after="0"/>
              <w:rPr>
                <w:sz w:val="20"/>
                <w:szCs w:val="20"/>
                <w:color w:val="auto"/>
              </w:rPr>
            </w:pPr>
            <w:r>
              <w:rPr>
                <w:rFonts w:ascii="Arial" w:cs="Arial" w:eastAsia="Arial" w:hAnsi="Arial"/>
                <w:sz w:val="18"/>
                <w:szCs w:val="18"/>
                <w:color w:val="auto"/>
              </w:rPr>
              <w:t>Revenues by region</w:t>
            </w: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560" w:type="dxa"/>
            <w:vAlign w:val="bottom"/>
          </w:tcPr>
          <w:p>
            <w:pPr>
              <w:ind w:left="420"/>
              <w:spacing w:after="0"/>
              <w:rPr>
                <w:sz w:val="20"/>
                <w:szCs w:val="20"/>
                <w:color w:val="auto"/>
              </w:rPr>
            </w:pPr>
            <w:r>
              <w:rPr>
                <w:rFonts w:ascii="Arial" w:cs="Arial" w:eastAsia="Arial" w:hAnsi="Arial"/>
                <w:sz w:val="18"/>
                <w:szCs w:val="18"/>
                <w:color w:val="auto"/>
              </w:rPr>
              <w:t>United States and Canada</w:t>
            </w: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center"/>
              <w:ind w:left="332"/>
              <w:spacing w:after="0"/>
              <w:rPr>
                <w:sz w:val="20"/>
                <w:szCs w:val="20"/>
                <w:color w:val="auto"/>
              </w:rPr>
            </w:pPr>
            <w:r>
              <w:rPr>
                <w:rFonts w:ascii="Arial" w:cs="Arial" w:eastAsia="Arial" w:hAnsi="Arial"/>
                <w:sz w:val="18"/>
                <w:szCs w:val="18"/>
                <w:color w:val="auto"/>
                <w:w w:val="99"/>
              </w:rPr>
              <w:t>$</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312.8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132.1</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ind w:left="8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854.9</w:t>
            </w:r>
          </w:p>
        </w:tc>
        <w:tc>
          <w:tcPr>
            <w:tcW w:w="320" w:type="dxa"/>
            <w:vAlign w:val="bottom"/>
          </w:tcPr>
          <w:p>
            <w:pPr>
              <w:spacing w:after="0"/>
              <w:rPr>
                <w:sz w:val="18"/>
                <w:szCs w:val="18"/>
                <w:color w:val="auto"/>
              </w:rPr>
            </w:pPr>
          </w:p>
        </w:tc>
        <w:tc>
          <w:tcPr>
            <w:tcW w:w="480" w:type="dxa"/>
            <w:vAlign w:val="bottom"/>
            <w:gridSpan w:val="2"/>
          </w:tcPr>
          <w:p>
            <w:pPr>
              <w:jc w:val="right"/>
              <w:ind w:right="52"/>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402.8</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5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Europe</w:t>
            </w: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174.0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203.9</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562.3</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610.9</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2560" w:type="dxa"/>
            <w:vAlign w:val="bottom"/>
          </w:tcPr>
          <w:p>
            <w:pPr>
              <w:ind w:left="420"/>
              <w:spacing w:after="0"/>
              <w:rPr>
                <w:sz w:val="20"/>
                <w:szCs w:val="20"/>
                <w:color w:val="auto"/>
              </w:rPr>
            </w:pPr>
            <w:r>
              <w:rPr>
                <w:rFonts w:ascii="Arial" w:cs="Arial" w:eastAsia="Arial" w:hAnsi="Arial"/>
                <w:sz w:val="18"/>
                <w:szCs w:val="18"/>
                <w:color w:val="auto"/>
              </w:rPr>
              <w:t>Other</w:t>
            </w:r>
          </w:p>
        </w:tc>
        <w:tc>
          <w:tcPr>
            <w:tcW w:w="2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89.2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72.4</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227.5</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196.9</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256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center"/>
              <w:ind w:left="332"/>
              <w:spacing w:after="0"/>
              <w:rPr>
                <w:sz w:val="20"/>
                <w:szCs w:val="20"/>
                <w:color w:val="auto"/>
              </w:rPr>
            </w:pPr>
            <w:r>
              <w:rPr>
                <w:rFonts w:ascii="Arial" w:cs="Arial" w:eastAsia="Arial" w:hAnsi="Arial"/>
                <w:sz w:val="18"/>
                <w:szCs w:val="18"/>
                <w:color w:val="auto"/>
                <w:w w:val="99"/>
              </w:rPr>
              <w:t>$</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576.0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408.4</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1,644.7</w:t>
            </w:r>
          </w:p>
        </w:tc>
        <w:tc>
          <w:tcPr>
            <w:tcW w:w="3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1,210.6</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Revenues</w:t>
      </w:r>
    </w:p>
    <w:p>
      <w:pPr>
        <w:spacing w:after="0" w:line="9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 xml:space="preserve">Revenues increased $167.6 million and $434.1 million, or 41% and 36%, for the three and nine months ended September 30, 2010 compared with the same periods in 2009. The net translation effect of our operations denominated in foreign currencies to the U.S. dollar accounted for a 3% decrease in revenues in the third quarter and was minor for the nine months ended September 30, 2010, compared with the same period last year. A more detailed analysis of these fluctuations is provided in </w:t>
      </w:r>
      <w:r>
        <w:rPr>
          <w:rFonts w:ascii="Arial" w:cs="Arial" w:eastAsia="Arial" w:hAnsi="Arial"/>
          <w:sz w:val="18"/>
          <w:szCs w:val="18"/>
          <w:i w:val="1"/>
          <w:iCs w:val="1"/>
          <w:color w:val="auto"/>
        </w:rPr>
        <w:t>Operating Segment Results.</w:t>
      </w:r>
    </w:p>
    <w:p>
      <w:pPr>
        <w:spacing w:after="0" w:line="14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One customer, Southern California Edison, represented approximately 12% and 11% of total revenues for the three and nine months ended 2010, while no single customer represented more than 10% of total Company revenues for the same periods in 2009. Our 10 largest customers accounted for approximately 37% and 33% of total revenues for the three and nine months ended September 30, 2010, compared with 16% and 12% for the three and nine months ended September 30, 2009, respectively.</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Gross Margins</w:t>
      </w:r>
    </w:p>
    <w:p>
      <w:pPr>
        <w:spacing w:after="0" w:line="90"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 xml:space="preserve">Gross margin was 32.0% and 31.6% for the three and nine months ended September 30, 2010, compared with 31.7% and 32.4% during the same periods in 2009. For the three months ended September 30, 2010, Itron North America gross margin increased 4.5 percentage points, while Itron International gross margin decreased 4.3 percentage points, resulting in a minimal overall change. The lower gross margin for the nine months ended September 30, 2010 was due to Itron International. A more detailed analysis of these fluctuations is provided in </w:t>
      </w:r>
      <w:r>
        <w:rPr>
          <w:rFonts w:ascii="Arial" w:cs="Arial" w:eastAsia="Arial" w:hAnsi="Arial"/>
          <w:sz w:val="16"/>
          <w:szCs w:val="16"/>
          <w:i w:val="1"/>
          <w:iCs w:val="1"/>
          <w:color w:val="auto"/>
        </w:rPr>
        <w:t>Operating Segment Results.</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40</w:t>
      </w:r>
    </w:p>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Meter and Module Summary</w:t>
      </w:r>
    </w:p>
    <w:p>
      <w:pPr>
        <w:spacing w:after="0" w:line="9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Meters are sold with and without advanced functionality. In addition, smart meter modules (automatic meter reading (AMR)/AMI)) can be sold separately from the meter. Depending on customers’ preferences, we also incorporate other vendors’ technology in our meters. A summary of our meter and AMR/AMI module volumes is as follows: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820" w:type="dxa"/>
            <w:vAlign w:val="bottom"/>
          </w:tcPr>
          <w:p>
            <w:pPr>
              <w:spacing w:after="0"/>
              <w:rPr>
                <w:sz w:val="19"/>
                <w:szCs w:val="19"/>
                <w:color w:val="auto"/>
              </w:rPr>
            </w:pPr>
          </w:p>
        </w:tc>
        <w:tc>
          <w:tcPr>
            <w:tcW w:w="3020" w:type="dxa"/>
            <w:vAlign w:val="bottom"/>
            <w:gridSpan w:val="3"/>
          </w:tcPr>
          <w:p>
            <w:pPr>
              <w:jc w:val="right"/>
              <w:ind w:right="72"/>
              <w:spacing w:after="0"/>
              <w:rPr>
                <w:sz w:val="20"/>
                <w:szCs w:val="20"/>
                <w:color w:val="auto"/>
              </w:rPr>
            </w:pPr>
            <w:r>
              <w:rPr>
                <w:rFonts w:ascii="Arial" w:cs="Arial" w:eastAsia="Arial" w:hAnsi="Arial"/>
                <w:sz w:val="18"/>
                <w:szCs w:val="18"/>
                <w:b w:val="1"/>
                <w:bCs w:val="1"/>
                <w:color w:val="auto"/>
                <w:w w:val="92"/>
              </w:rPr>
              <w:t>Three Months Ended September 30,</w:t>
            </w:r>
          </w:p>
        </w:tc>
        <w:tc>
          <w:tcPr>
            <w:tcW w:w="520" w:type="dxa"/>
            <w:vAlign w:val="bottom"/>
          </w:tcPr>
          <w:p>
            <w:pPr>
              <w:spacing w:after="0"/>
              <w:rPr>
                <w:sz w:val="19"/>
                <w:szCs w:val="19"/>
                <w:color w:val="auto"/>
              </w:rPr>
            </w:pPr>
          </w:p>
        </w:tc>
        <w:tc>
          <w:tcPr>
            <w:tcW w:w="3060" w:type="dxa"/>
            <w:vAlign w:val="bottom"/>
            <w:gridSpan w:val="4"/>
          </w:tcPr>
          <w:p>
            <w:pPr>
              <w:ind w:left="180"/>
              <w:spacing w:after="0"/>
              <w:rPr>
                <w:sz w:val="20"/>
                <w:szCs w:val="20"/>
                <w:color w:val="auto"/>
              </w:rPr>
            </w:pPr>
            <w:r>
              <w:rPr>
                <w:rFonts w:ascii="Arial" w:cs="Arial" w:eastAsia="Arial" w:hAnsi="Arial"/>
                <w:sz w:val="18"/>
                <w:szCs w:val="18"/>
                <w:b w:val="1"/>
                <w:bCs w:val="1"/>
                <w:color w:val="auto"/>
                <w:w w:val="96"/>
              </w:rPr>
              <w:t>Nine Months Ended September 30,</w:t>
            </w:r>
          </w:p>
        </w:tc>
        <w:tc>
          <w:tcPr>
            <w:tcW w:w="0" w:type="dxa"/>
            <w:vAlign w:val="bottom"/>
          </w:tcPr>
          <w:p>
            <w:pPr>
              <w:spacing w:after="0"/>
              <w:rPr>
                <w:sz w:val="1"/>
                <w:szCs w:val="1"/>
                <w:color w:val="auto"/>
              </w:rPr>
            </w:pPr>
          </w:p>
        </w:tc>
      </w:tr>
      <w:tr>
        <w:trPr>
          <w:trHeight w:val="212"/>
        </w:trPr>
        <w:tc>
          <w:tcPr>
            <w:tcW w:w="4820" w:type="dxa"/>
            <w:vAlign w:val="bottom"/>
          </w:tcPr>
          <w:p>
            <w:pPr>
              <w:spacing w:after="0"/>
              <w:rPr>
                <w:sz w:val="18"/>
                <w:szCs w:val="18"/>
                <w:color w:val="auto"/>
              </w:rPr>
            </w:pPr>
          </w:p>
        </w:tc>
        <w:tc>
          <w:tcPr>
            <w:tcW w:w="1160" w:type="dxa"/>
            <w:vAlign w:val="bottom"/>
            <w:tcBorders>
              <w:top w:val="single" w:sz="8" w:color="auto"/>
              <w:bottom w:val="single" w:sz="8" w:color="auto"/>
            </w:tcBorders>
          </w:tcPr>
          <w:p>
            <w:pPr>
              <w:jc w:val="right"/>
              <w:ind w:right="312"/>
              <w:spacing w:after="0"/>
              <w:rPr>
                <w:sz w:val="20"/>
                <w:szCs w:val="20"/>
                <w:color w:val="auto"/>
              </w:rPr>
            </w:pPr>
            <w:r>
              <w:rPr>
                <w:rFonts w:ascii="Arial" w:cs="Arial" w:eastAsia="Arial" w:hAnsi="Arial"/>
                <w:sz w:val="18"/>
                <w:szCs w:val="18"/>
                <w:b w:val="1"/>
                <w:bCs w:val="1"/>
                <w:color w:val="auto"/>
              </w:rPr>
              <w:t>2010</w:t>
            </w:r>
          </w:p>
        </w:tc>
        <w:tc>
          <w:tcPr>
            <w:tcW w:w="660" w:type="dxa"/>
            <w:vAlign w:val="bottom"/>
            <w:tcBorders>
              <w:top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332"/>
              <w:spacing w:after="0"/>
              <w:rPr>
                <w:sz w:val="20"/>
                <w:szCs w:val="20"/>
                <w:color w:val="auto"/>
              </w:rPr>
            </w:pPr>
            <w:r>
              <w:rPr>
                <w:rFonts w:ascii="Arial" w:cs="Arial" w:eastAsia="Arial" w:hAnsi="Arial"/>
                <w:sz w:val="18"/>
                <w:szCs w:val="18"/>
                <w:b w:val="1"/>
                <w:bCs w:val="1"/>
                <w:color w:val="auto"/>
              </w:rPr>
              <w:t>2009</w:t>
            </w:r>
          </w:p>
        </w:tc>
        <w:tc>
          <w:tcPr>
            <w:tcW w:w="520" w:type="dxa"/>
            <w:vAlign w:val="bottom"/>
          </w:tcPr>
          <w:p>
            <w:pPr>
              <w:spacing w:after="0"/>
              <w:rPr>
                <w:sz w:val="18"/>
                <w:szCs w:val="18"/>
                <w:color w:val="auto"/>
              </w:rPr>
            </w:pPr>
          </w:p>
        </w:tc>
        <w:tc>
          <w:tcPr>
            <w:tcW w:w="1160" w:type="dxa"/>
            <w:vAlign w:val="bottom"/>
            <w:tcBorders>
              <w:top w:val="single" w:sz="8" w:color="auto"/>
              <w:bottom w:val="single" w:sz="8" w:color="auto"/>
            </w:tcBorders>
          </w:tcPr>
          <w:p>
            <w:pPr>
              <w:jc w:val="right"/>
              <w:ind w:right="312"/>
              <w:spacing w:after="0"/>
              <w:rPr>
                <w:sz w:val="20"/>
                <w:szCs w:val="20"/>
                <w:color w:val="auto"/>
              </w:rPr>
            </w:pPr>
            <w:r>
              <w:rPr>
                <w:rFonts w:ascii="Arial" w:cs="Arial" w:eastAsia="Arial" w:hAnsi="Arial"/>
                <w:sz w:val="18"/>
                <w:szCs w:val="18"/>
                <w:b w:val="1"/>
                <w:bCs w:val="1"/>
                <w:color w:val="auto"/>
              </w:rPr>
              <w:t>2010</w:t>
            </w:r>
          </w:p>
        </w:tc>
        <w:tc>
          <w:tcPr>
            <w:tcW w:w="620" w:type="dxa"/>
            <w:vAlign w:val="bottom"/>
            <w:tcBorders>
              <w:top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332"/>
              <w:spacing w:after="0"/>
              <w:rPr>
                <w:sz w:val="20"/>
                <w:szCs w:val="20"/>
                <w:color w:val="auto"/>
              </w:rPr>
            </w:pPr>
            <w:r>
              <w:rPr>
                <w:rFonts w:ascii="Arial" w:cs="Arial" w:eastAsia="Arial" w:hAnsi="Arial"/>
                <w:sz w:val="18"/>
                <w:szCs w:val="18"/>
                <w:b w:val="1"/>
                <w:bCs w:val="1"/>
                <w:color w:val="auto"/>
              </w:rPr>
              <w:t>2009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8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80" w:type="dxa"/>
            <w:vAlign w:val="bottom"/>
            <w:gridSpan w:val="3"/>
          </w:tcPr>
          <w:p>
            <w:pPr>
              <w:jc w:val="right"/>
              <w:ind w:right="612"/>
              <w:spacing w:after="0"/>
              <w:rPr>
                <w:sz w:val="20"/>
                <w:szCs w:val="20"/>
                <w:color w:val="auto"/>
              </w:rPr>
            </w:pPr>
            <w:r>
              <w:rPr>
                <w:rFonts w:ascii="Arial" w:cs="Arial" w:eastAsia="Arial" w:hAnsi="Arial"/>
                <w:sz w:val="18"/>
                <w:szCs w:val="18"/>
                <w:b w:val="1"/>
                <w:bCs w:val="1"/>
                <w:color w:val="auto"/>
              </w:rPr>
              <w:t>(units in thousands)</w:t>
            </w:r>
          </w:p>
        </w:tc>
        <w:tc>
          <w:tcPr>
            <w:tcW w:w="6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Total meters (with and without AMR/AMI)</w:t>
            </w:r>
          </w:p>
        </w:tc>
        <w:tc>
          <w:tcPr>
            <w:tcW w:w="1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tcPr>
          <w:p>
            <w:pPr>
              <w:ind w:left="440"/>
              <w:spacing w:after="0"/>
              <w:rPr>
                <w:sz w:val="20"/>
                <w:szCs w:val="20"/>
                <w:color w:val="auto"/>
              </w:rPr>
            </w:pPr>
            <w:r>
              <w:rPr>
                <w:rFonts w:ascii="Arial" w:cs="Arial" w:eastAsia="Arial" w:hAnsi="Arial"/>
                <w:sz w:val="18"/>
                <w:szCs w:val="18"/>
                <w:color w:val="auto"/>
              </w:rPr>
              <w:t>Itron North America</w:t>
            </w:r>
          </w:p>
        </w:tc>
        <w:tc>
          <w:tcPr>
            <w:tcW w:w="1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Electricity</w:t>
            </w:r>
          </w:p>
        </w:tc>
        <w:tc>
          <w:tcPr>
            <w:tcW w:w="11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1,800</w:t>
            </w: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740</w:t>
            </w:r>
          </w:p>
        </w:tc>
        <w:tc>
          <w:tcPr>
            <w:tcW w:w="168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4,990</w:t>
            </w:r>
          </w:p>
        </w:tc>
        <w:tc>
          <w:tcPr>
            <w:tcW w:w="1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2,340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820" w:type="dxa"/>
            <w:vAlign w:val="bottom"/>
          </w:tcPr>
          <w:p>
            <w:pPr>
              <w:ind w:left="880"/>
              <w:spacing w:after="0"/>
              <w:rPr>
                <w:sz w:val="20"/>
                <w:szCs w:val="20"/>
                <w:color w:val="auto"/>
              </w:rPr>
            </w:pPr>
            <w:r>
              <w:rPr>
                <w:rFonts w:ascii="Arial" w:cs="Arial" w:eastAsia="Arial" w:hAnsi="Arial"/>
                <w:sz w:val="18"/>
                <w:szCs w:val="18"/>
                <w:color w:val="auto"/>
              </w:rPr>
              <w:t>Gas</w:t>
            </w: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160</w:t>
            </w: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90</w:t>
            </w:r>
          </w:p>
        </w:tc>
        <w:tc>
          <w:tcPr>
            <w:tcW w:w="1680" w:type="dxa"/>
            <w:vAlign w:val="bottom"/>
            <w:gridSpan w:val="2"/>
          </w:tcPr>
          <w:p>
            <w:pPr>
              <w:jc w:val="right"/>
              <w:ind w:right="12"/>
              <w:spacing w:after="0"/>
              <w:rPr>
                <w:sz w:val="20"/>
                <w:szCs w:val="20"/>
                <w:color w:val="auto"/>
              </w:rPr>
            </w:pPr>
            <w:r>
              <w:rPr>
                <w:rFonts w:ascii="Arial" w:cs="Arial" w:eastAsia="Arial" w:hAnsi="Arial"/>
                <w:sz w:val="18"/>
                <w:szCs w:val="18"/>
                <w:color w:val="auto"/>
              </w:rPr>
              <w:t>420</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260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48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Itron International</w:t>
            </w:r>
          </w:p>
        </w:tc>
        <w:tc>
          <w:tcPr>
            <w:tcW w:w="1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tcPr>
          <w:p>
            <w:pPr>
              <w:ind w:left="880"/>
              <w:spacing w:after="0"/>
              <w:rPr>
                <w:sz w:val="20"/>
                <w:szCs w:val="20"/>
                <w:color w:val="auto"/>
              </w:rPr>
            </w:pPr>
            <w:r>
              <w:rPr>
                <w:rFonts w:ascii="Arial" w:cs="Arial" w:eastAsia="Arial" w:hAnsi="Arial"/>
                <w:sz w:val="18"/>
                <w:szCs w:val="18"/>
                <w:color w:val="auto"/>
              </w:rPr>
              <w:t>Electricity</w:t>
            </w: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2,020</w:t>
            </w: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1,890</w:t>
            </w:r>
          </w:p>
        </w:tc>
        <w:tc>
          <w:tcPr>
            <w:tcW w:w="1680" w:type="dxa"/>
            <w:vAlign w:val="bottom"/>
            <w:gridSpan w:val="2"/>
          </w:tcPr>
          <w:p>
            <w:pPr>
              <w:jc w:val="right"/>
              <w:ind w:right="12"/>
              <w:spacing w:after="0"/>
              <w:rPr>
                <w:sz w:val="20"/>
                <w:szCs w:val="20"/>
                <w:color w:val="auto"/>
              </w:rPr>
            </w:pPr>
            <w:r>
              <w:rPr>
                <w:rFonts w:ascii="Arial" w:cs="Arial" w:eastAsia="Arial" w:hAnsi="Arial"/>
                <w:sz w:val="18"/>
                <w:szCs w:val="18"/>
                <w:color w:val="auto"/>
              </w:rPr>
              <w:t>5,590</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5,670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Gas</w:t>
            </w:r>
          </w:p>
        </w:tc>
        <w:tc>
          <w:tcPr>
            <w:tcW w:w="11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940</w:t>
            </w: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1,160</w:t>
            </w:r>
          </w:p>
        </w:tc>
        <w:tc>
          <w:tcPr>
            <w:tcW w:w="168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2,940</w:t>
            </w:r>
          </w:p>
        </w:tc>
        <w:tc>
          <w:tcPr>
            <w:tcW w:w="1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3,880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820" w:type="dxa"/>
            <w:vAlign w:val="bottom"/>
          </w:tcPr>
          <w:p>
            <w:pPr>
              <w:ind w:left="880"/>
              <w:spacing w:after="0"/>
              <w:rPr>
                <w:sz w:val="20"/>
                <w:szCs w:val="20"/>
                <w:color w:val="auto"/>
              </w:rPr>
            </w:pPr>
            <w:r>
              <w:rPr>
                <w:rFonts w:ascii="Arial" w:cs="Arial" w:eastAsia="Arial" w:hAnsi="Arial"/>
                <w:sz w:val="18"/>
                <w:szCs w:val="18"/>
                <w:color w:val="auto"/>
              </w:rPr>
              <w:t>Water</w:t>
            </w:r>
          </w:p>
        </w:tc>
        <w:tc>
          <w:tcPr>
            <w:tcW w:w="11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2,290</w:t>
            </w:r>
          </w:p>
        </w:tc>
        <w:tc>
          <w:tcPr>
            <w:tcW w:w="660" w:type="dxa"/>
            <w:vAlign w:val="bottom"/>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1,960</w:t>
            </w:r>
          </w:p>
        </w:tc>
        <w:tc>
          <w:tcPr>
            <w:tcW w:w="520" w:type="dxa"/>
            <w:vAlign w:val="bottom"/>
          </w:tcPr>
          <w:p>
            <w:pPr>
              <w:spacing w:after="0"/>
              <w:rPr>
                <w:sz w:val="19"/>
                <w:szCs w:val="19"/>
                <w:color w:val="auto"/>
              </w:rPr>
            </w:pPr>
          </w:p>
        </w:tc>
        <w:tc>
          <w:tcPr>
            <w:tcW w:w="11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6,960</w:t>
            </w:r>
          </w:p>
        </w:tc>
        <w:tc>
          <w:tcPr>
            <w:tcW w:w="620" w:type="dxa"/>
            <w:vAlign w:val="bottom"/>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6,540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meters</w:t>
            </w:r>
          </w:p>
        </w:tc>
        <w:tc>
          <w:tcPr>
            <w:tcW w:w="11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7,210</w:t>
            </w: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5,840</w:t>
            </w:r>
          </w:p>
        </w:tc>
        <w:tc>
          <w:tcPr>
            <w:tcW w:w="168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20,900</w:t>
            </w:r>
          </w:p>
        </w:tc>
        <w:tc>
          <w:tcPr>
            <w:tcW w:w="1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18,690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20" w:type="dxa"/>
            <w:vAlign w:val="bottom"/>
            <w:vMerge w:val="restart"/>
          </w:tcPr>
          <w:p>
            <w:pPr>
              <w:spacing w:after="0"/>
              <w:rPr>
                <w:sz w:val="20"/>
                <w:szCs w:val="20"/>
                <w:color w:val="auto"/>
              </w:rPr>
            </w:pPr>
            <w:r>
              <w:rPr>
                <w:rFonts w:ascii="Arial" w:cs="Arial" w:eastAsia="Arial" w:hAnsi="Arial"/>
                <w:sz w:val="18"/>
                <w:szCs w:val="18"/>
                <w:color w:val="auto"/>
              </w:rPr>
              <w:t>Additional meter information (Total Company)</w:t>
            </w:r>
          </w:p>
        </w:tc>
        <w:tc>
          <w:tcPr>
            <w:tcW w:w="1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4820" w:type="dxa"/>
            <w:vAlign w:val="bottom"/>
            <w:vMerge w:val="continue"/>
          </w:tcPr>
          <w:p>
            <w:pPr>
              <w:spacing w:after="0"/>
              <w:rPr>
                <w:sz w:val="24"/>
                <w:szCs w:val="24"/>
                <w:color w:val="auto"/>
              </w:rPr>
            </w:pPr>
          </w:p>
        </w:tc>
        <w:tc>
          <w:tcPr>
            <w:tcW w:w="1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48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Meters with AMR</w:t>
            </w:r>
          </w:p>
        </w:tc>
        <w:tc>
          <w:tcPr>
            <w:tcW w:w="11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1,110</w:t>
            </w: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670</w:t>
            </w:r>
          </w:p>
        </w:tc>
        <w:tc>
          <w:tcPr>
            <w:tcW w:w="168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2,830</w:t>
            </w:r>
          </w:p>
        </w:tc>
        <w:tc>
          <w:tcPr>
            <w:tcW w:w="1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tcPr>
          <w:p>
            <w:pPr>
              <w:ind w:left="440"/>
              <w:spacing w:after="0"/>
              <w:rPr>
                <w:sz w:val="20"/>
                <w:szCs w:val="20"/>
                <w:color w:val="auto"/>
              </w:rPr>
            </w:pPr>
            <w:r>
              <w:rPr>
                <w:rFonts w:ascii="Arial" w:cs="Arial" w:eastAsia="Arial" w:hAnsi="Arial"/>
                <w:sz w:val="18"/>
                <w:szCs w:val="18"/>
                <w:color w:val="auto"/>
              </w:rPr>
              <w:t>Meters with AMI</w:t>
            </w: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1,130</w:t>
            </w: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120</w:t>
            </w:r>
          </w:p>
        </w:tc>
        <w:tc>
          <w:tcPr>
            <w:tcW w:w="1680" w:type="dxa"/>
            <w:vAlign w:val="bottom"/>
            <w:gridSpan w:val="2"/>
          </w:tcPr>
          <w:p>
            <w:pPr>
              <w:jc w:val="right"/>
              <w:ind w:right="12"/>
              <w:spacing w:after="0"/>
              <w:rPr>
                <w:sz w:val="20"/>
                <w:szCs w:val="20"/>
                <w:color w:val="auto"/>
              </w:rPr>
            </w:pPr>
            <w:r>
              <w:rPr>
                <w:rFonts w:ascii="Arial" w:cs="Arial" w:eastAsia="Arial" w:hAnsi="Arial"/>
                <w:sz w:val="18"/>
                <w:szCs w:val="18"/>
                <w:color w:val="auto"/>
              </w:rPr>
              <w:t>2,990</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220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Standalone AMR/AMI modules</w:t>
            </w:r>
          </w:p>
        </w:tc>
        <w:tc>
          <w:tcPr>
            <w:tcW w:w="11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1,620</w:t>
            </w:r>
          </w:p>
        </w:tc>
        <w:tc>
          <w:tcPr>
            <w:tcW w:w="660" w:type="dxa"/>
            <w:vAlign w:val="bottom"/>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850</w:t>
            </w:r>
          </w:p>
        </w:tc>
        <w:tc>
          <w:tcPr>
            <w:tcW w:w="520" w:type="dxa"/>
            <w:vAlign w:val="bottom"/>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4,410</w:t>
            </w:r>
          </w:p>
        </w:tc>
        <w:tc>
          <w:tcPr>
            <w:tcW w:w="620" w:type="dxa"/>
            <w:vAlign w:val="bottom"/>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820" w:type="dxa"/>
            <w:vAlign w:val="bottom"/>
          </w:tcPr>
          <w:p>
            <w:pPr>
              <w:ind w:left="880"/>
              <w:spacing w:after="0"/>
              <w:rPr>
                <w:sz w:val="20"/>
                <w:szCs w:val="20"/>
                <w:color w:val="auto"/>
              </w:rPr>
            </w:pPr>
            <w:r>
              <w:rPr>
                <w:rFonts w:ascii="Arial" w:cs="Arial" w:eastAsia="Arial" w:hAnsi="Arial"/>
                <w:sz w:val="18"/>
                <w:szCs w:val="18"/>
                <w:color w:val="auto"/>
              </w:rPr>
              <w:t>Meters with AMR/AMI and modules</w:t>
            </w: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3,860</w:t>
            </w: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1,640</w:t>
            </w:r>
          </w:p>
        </w:tc>
        <w:tc>
          <w:tcPr>
            <w:tcW w:w="1680" w:type="dxa"/>
            <w:vAlign w:val="bottom"/>
            <w:gridSpan w:val="2"/>
          </w:tcPr>
          <w:p>
            <w:pPr>
              <w:jc w:val="right"/>
              <w:ind w:right="12"/>
              <w:spacing w:after="0"/>
              <w:rPr>
                <w:sz w:val="20"/>
                <w:szCs w:val="20"/>
                <w:color w:val="auto"/>
              </w:rPr>
            </w:pPr>
            <w:r>
              <w:rPr>
                <w:rFonts w:ascii="Arial" w:cs="Arial" w:eastAsia="Arial" w:hAnsi="Arial"/>
                <w:sz w:val="18"/>
                <w:szCs w:val="18"/>
                <w:color w:val="auto"/>
              </w:rPr>
              <w:t>10,230</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5,280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Meters with other vendors’ AMR/AMI</w:t>
            </w:r>
          </w:p>
        </w:tc>
        <w:tc>
          <w:tcPr>
            <w:tcW w:w="11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130</w:t>
            </w: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168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390</w:t>
            </w:r>
          </w:p>
        </w:tc>
        <w:tc>
          <w:tcPr>
            <w:tcW w:w="1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Segment Results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For a description of our operating segments, refer to Item 1: “Financial Statements Note 14: Segment Information”.</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20" w:type="dxa"/>
            <w:vAlign w:val="bottom"/>
            <w:gridSpan w:val="6"/>
          </w:tcPr>
          <w:p>
            <w:pPr>
              <w:ind w:left="280"/>
              <w:spacing w:after="0"/>
              <w:rPr>
                <w:sz w:val="20"/>
                <w:szCs w:val="20"/>
                <w:color w:val="auto"/>
              </w:rPr>
            </w:pPr>
            <w:r>
              <w:rPr>
                <w:rFonts w:ascii="Arial" w:cs="Arial" w:eastAsia="Arial" w:hAnsi="Arial"/>
                <w:sz w:val="14"/>
                <w:szCs w:val="14"/>
                <w:b w:val="1"/>
                <w:bCs w:val="1"/>
                <w:color w:val="auto"/>
              </w:rPr>
              <w:t>Three Months Ended September 30,</w:t>
            </w:r>
          </w:p>
        </w:tc>
        <w:tc>
          <w:tcPr>
            <w:tcW w:w="1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320" w:type="dxa"/>
            <w:vAlign w:val="bottom"/>
            <w:gridSpan w:val="7"/>
          </w:tcPr>
          <w:p>
            <w:pPr>
              <w:ind w:left="380"/>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142"/>
        </w:trPr>
        <w:tc>
          <w:tcPr>
            <w:tcW w:w="270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rPr>
              <w:t>Segment Revenues</w:t>
            </w:r>
          </w:p>
        </w:tc>
        <w:tc>
          <w:tcPr>
            <w:tcW w:w="18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152"/>
              <w:spacing w:after="0" w:line="142" w:lineRule="exact"/>
              <w:rPr>
                <w:sz w:val="20"/>
                <w:szCs w:val="20"/>
                <w:color w:val="auto"/>
              </w:rPr>
            </w:pPr>
            <w:r>
              <w:rPr>
                <w:rFonts w:ascii="Arial" w:cs="Arial" w:eastAsia="Arial" w:hAnsi="Arial"/>
                <w:sz w:val="14"/>
                <w:szCs w:val="14"/>
                <w:b w:val="1"/>
                <w:bCs w:val="1"/>
                <w:color w:val="auto"/>
                <w:w w:val="89"/>
              </w:rPr>
              <w:t>2010</w:t>
            </w:r>
          </w:p>
        </w:tc>
        <w:tc>
          <w:tcPr>
            <w:tcW w:w="360" w:type="dxa"/>
            <w:vAlign w:val="bottom"/>
            <w:tcBorders>
              <w:top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92"/>
              <w:spacing w:after="0" w:line="142" w:lineRule="exact"/>
              <w:rPr>
                <w:sz w:val="20"/>
                <w:szCs w:val="20"/>
                <w:color w:val="auto"/>
              </w:rPr>
            </w:pPr>
            <w:r>
              <w:rPr>
                <w:rFonts w:ascii="Arial" w:cs="Arial" w:eastAsia="Arial" w:hAnsi="Arial"/>
                <w:sz w:val="14"/>
                <w:szCs w:val="14"/>
                <w:b w:val="1"/>
                <w:bCs w:val="1"/>
                <w:color w:val="auto"/>
                <w:w w:val="83"/>
              </w:rPr>
              <w:t>2009</w:t>
            </w:r>
          </w:p>
        </w:tc>
        <w:tc>
          <w:tcPr>
            <w:tcW w:w="360" w:type="dxa"/>
            <w:vAlign w:val="bottom"/>
            <w:tcBorders>
              <w:top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ind w:left="100"/>
              <w:spacing w:after="0" w:line="142" w:lineRule="exact"/>
              <w:rPr>
                <w:sz w:val="20"/>
                <w:szCs w:val="20"/>
                <w:color w:val="auto"/>
              </w:rPr>
            </w:pPr>
            <w:r>
              <w:rPr>
                <w:rFonts w:ascii="Arial" w:cs="Arial" w:eastAsia="Arial" w:hAnsi="Arial"/>
                <w:sz w:val="14"/>
                <w:szCs w:val="14"/>
                <w:b w:val="1"/>
                <w:bCs w:val="1"/>
                <w:color w:val="auto"/>
              </w:rPr>
              <w:t>% Change</w:t>
            </w:r>
          </w:p>
        </w:tc>
        <w:tc>
          <w:tcPr>
            <w:tcW w:w="1420" w:type="dxa"/>
            <w:vAlign w:val="bottom"/>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212"/>
              <w:spacing w:after="0" w:line="142" w:lineRule="exact"/>
              <w:rPr>
                <w:sz w:val="20"/>
                <w:szCs w:val="20"/>
                <w:color w:val="auto"/>
              </w:rPr>
            </w:pPr>
            <w:r>
              <w:rPr>
                <w:rFonts w:ascii="Arial" w:cs="Arial" w:eastAsia="Arial" w:hAnsi="Arial"/>
                <w:sz w:val="14"/>
                <w:szCs w:val="14"/>
                <w:b w:val="1"/>
                <w:bCs w:val="1"/>
                <w:color w:val="auto"/>
              </w:rPr>
              <w:t>2010</w:t>
            </w:r>
          </w:p>
        </w:tc>
        <w:tc>
          <w:tcPr>
            <w:tcW w:w="380" w:type="dxa"/>
            <w:vAlign w:val="bottom"/>
            <w:tcBorders>
              <w:top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92"/>
              <w:spacing w:after="0" w:line="142" w:lineRule="exact"/>
              <w:rPr>
                <w:sz w:val="20"/>
                <w:szCs w:val="20"/>
                <w:color w:val="auto"/>
              </w:rPr>
            </w:pPr>
            <w:r>
              <w:rPr>
                <w:rFonts w:ascii="Arial" w:cs="Arial" w:eastAsia="Arial" w:hAnsi="Arial"/>
                <w:sz w:val="14"/>
                <w:szCs w:val="14"/>
                <w:b w:val="1"/>
                <w:bCs w:val="1"/>
                <w:color w:val="auto"/>
                <w:w w:val="96"/>
              </w:rPr>
              <w:t>2009</w:t>
            </w:r>
          </w:p>
        </w:tc>
        <w:tc>
          <w:tcPr>
            <w:tcW w:w="360" w:type="dxa"/>
            <w:vAlign w:val="bottom"/>
            <w:tcBorders>
              <w:top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ind w:left="100"/>
              <w:spacing w:after="0" w:line="142" w:lineRule="exact"/>
              <w:rPr>
                <w:sz w:val="20"/>
                <w:szCs w:val="20"/>
                <w:color w:val="auto"/>
              </w:rPr>
            </w:pPr>
            <w:r>
              <w:rPr>
                <w:rFonts w:ascii="Arial" w:cs="Arial" w:eastAsia="Arial" w:hAnsi="Arial"/>
                <w:sz w:val="14"/>
                <w:szCs w:val="14"/>
                <w:b w:val="1"/>
                <w:bCs w:val="1"/>
                <w:color w:val="auto"/>
              </w:rPr>
              <w:t>% Change</w:t>
            </w:r>
          </w:p>
        </w:tc>
        <w:tc>
          <w:tcPr>
            <w:tcW w:w="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70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gridSpan w:val="3"/>
          </w:tcPr>
          <w:p>
            <w:pPr>
              <w:jc w:val="right"/>
              <w:ind w:right="20"/>
              <w:spacing w:after="0" w:line="142" w:lineRule="exact"/>
              <w:rPr>
                <w:sz w:val="20"/>
                <w:szCs w:val="20"/>
                <w:color w:val="auto"/>
              </w:rPr>
            </w:pPr>
            <w:r>
              <w:rPr>
                <w:rFonts w:ascii="Arial" w:cs="Arial" w:eastAsia="Arial" w:hAnsi="Arial"/>
                <w:sz w:val="14"/>
                <w:szCs w:val="14"/>
                <w:b w:val="1"/>
                <w:bCs w:val="1"/>
                <w:color w:val="auto"/>
              </w:rPr>
              <w:t>(in millions)</w:t>
            </w:r>
          </w:p>
        </w:tc>
        <w:tc>
          <w:tcPr>
            <w:tcW w:w="5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(in</w:t>
            </w:r>
          </w:p>
        </w:tc>
        <w:tc>
          <w:tcPr>
            <w:tcW w:w="580" w:type="dxa"/>
            <w:vAlign w:val="bottom"/>
            <w:gridSpan w:val="2"/>
          </w:tcPr>
          <w:p>
            <w:pPr>
              <w:jc w:val="right"/>
              <w:ind w:right="60"/>
              <w:spacing w:after="0" w:line="142" w:lineRule="exact"/>
              <w:rPr>
                <w:sz w:val="20"/>
                <w:szCs w:val="20"/>
                <w:color w:val="auto"/>
              </w:rPr>
            </w:pPr>
            <w:r>
              <w:rPr>
                <w:rFonts w:ascii="Arial" w:cs="Arial" w:eastAsia="Arial" w:hAnsi="Arial"/>
                <w:sz w:val="14"/>
                <w:szCs w:val="14"/>
                <w:b w:val="1"/>
                <w:bCs w:val="1"/>
                <w:color w:val="auto"/>
                <w:w w:val="86"/>
              </w:rPr>
              <w:t>millions)</w:t>
            </w:r>
          </w:p>
        </w:tc>
        <w:tc>
          <w:tcPr>
            <w:tcW w:w="5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70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Itron North America</w:t>
            </w:r>
          </w:p>
        </w:tc>
        <w:tc>
          <w:tcPr>
            <w:tcW w:w="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315.4</w:t>
            </w:r>
          </w:p>
        </w:tc>
        <w:tc>
          <w:tcPr>
            <w:tcW w:w="6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137.4</w:t>
            </w:r>
          </w:p>
        </w:tc>
        <w:tc>
          <w:tcPr>
            <w:tcW w:w="1160" w:type="dxa"/>
            <w:vAlign w:val="bottom"/>
            <w:gridSpan w:val="2"/>
            <w:shd w:val="clear" w:color="auto" w:fill="CCEEFF"/>
          </w:tcPr>
          <w:p>
            <w:pPr>
              <w:jc w:val="center"/>
              <w:ind w:left="492"/>
              <w:spacing w:after="0" w:line="149" w:lineRule="exact"/>
              <w:rPr>
                <w:sz w:val="20"/>
                <w:szCs w:val="20"/>
                <w:color w:val="auto"/>
              </w:rPr>
            </w:pPr>
            <w:r>
              <w:rPr>
                <w:rFonts w:ascii="Arial" w:cs="Arial" w:eastAsia="Arial" w:hAnsi="Arial"/>
                <w:sz w:val="14"/>
                <w:szCs w:val="14"/>
                <w:color w:val="auto"/>
                <w:w w:val="89"/>
              </w:rPr>
              <w:t>130%</w:t>
            </w:r>
          </w:p>
        </w:tc>
        <w:tc>
          <w:tcPr>
            <w:tcW w:w="16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861.6</w:t>
            </w:r>
          </w:p>
        </w:tc>
        <w:tc>
          <w:tcPr>
            <w:tcW w:w="5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419.7</w:t>
            </w:r>
          </w:p>
        </w:tc>
        <w:tc>
          <w:tcPr>
            <w:tcW w:w="1180" w:type="dxa"/>
            <w:vAlign w:val="bottom"/>
            <w:gridSpan w:val="2"/>
            <w:shd w:val="clear" w:color="auto" w:fill="CCEEFF"/>
          </w:tcPr>
          <w:p>
            <w:pPr>
              <w:jc w:val="center"/>
              <w:ind w:left="492"/>
              <w:spacing w:after="0" w:line="149" w:lineRule="exact"/>
              <w:rPr>
                <w:sz w:val="20"/>
                <w:szCs w:val="20"/>
                <w:color w:val="auto"/>
              </w:rPr>
            </w:pPr>
            <w:r>
              <w:rPr>
                <w:rFonts w:ascii="Arial" w:cs="Arial" w:eastAsia="Arial" w:hAnsi="Arial"/>
                <w:sz w:val="14"/>
                <w:szCs w:val="14"/>
                <w:color w:val="auto"/>
                <w:w w:val="83"/>
              </w:rPr>
              <w:t>105%</w:t>
            </w:r>
          </w:p>
        </w:tc>
        <w:tc>
          <w:tcPr>
            <w:tcW w:w="3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700" w:type="dxa"/>
            <w:vAlign w:val="bottom"/>
          </w:tcPr>
          <w:p>
            <w:pPr>
              <w:ind w:left="220"/>
              <w:spacing w:after="0" w:line="149" w:lineRule="exact"/>
              <w:rPr>
                <w:sz w:val="20"/>
                <w:szCs w:val="20"/>
                <w:color w:val="auto"/>
              </w:rPr>
            </w:pPr>
            <w:r>
              <w:rPr>
                <w:rFonts w:ascii="Arial" w:cs="Arial" w:eastAsia="Arial" w:hAnsi="Arial"/>
                <w:sz w:val="14"/>
                <w:szCs w:val="14"/>
                <w:color w:val="auto"/>
              </w:rPr>
              <w:t>Itron International</w:t>
            </w:r>
          </w:p>
        </w:tc>
        <w:tc>
          <w:tcPr>
            <w:tcW w:w="18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260.6</w:t>
            </w:r>
          </w:p>
        </w:tc>
        <w:tc>
          <w:tcPr>
            <w:tcW w:w="36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271.0</w:t>
            </w:r>
          </w:p>
        </w:tc>
        <w:tc>
          <w:tcPr>
            <w:tcW w:w="1160" w:type="dxa"/>
            <w:vAlign w:val="bottom"/>
            <w:gridSpan w:val="2"/>
          </w:tcPr>
          <w:p>
            <w:pPr>
              <w:jc w:val="center"/>
              <w:ind w:left="492"/>
              <w:spacing w:after="0" w:line="149" w:lineRule="exact"/>
              <w:rPr>
                <w:sz w:val="20"/>
                <w:szCs w:val="20"/>
                <w:color w:val="auto"/>
              </w:rPr>
            </w:pPr>
            <w:r>
              <w:rPr>
                <w:rFonts w:ascii="Arial" w:cs="Arial" w:eastAsia="Arial" w:hAnsi="Arial"/>
                <w:sz w:val="14"/>
                <w:szCs w:val="14"/>
                <w:color w:val="auto"/>
                <w:w w:val="94"/>
              </w:rPr>
              <w:t>(4%)</w:t>
            </w:r>
          </w:p>
        </w:tc>
        <w:tc>
          <w:tcPr>
            <w:tcW w:w="142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12"/>
              <w:spacing w:after="0" w:line="149" w:lineRule="exact"/>
              <w:rPr>
                <w:sz w:val="20"/>
                <w:szCs w:val="20"/>
                <w:color w:val="auto"/>
              </w:rPr>
            </w:pPr>
            <w:r>
              <w:rPr>
                <w:rFonts w:ascii="Arial" w:cs="Arial" w:eastAsia="Arial" w:hAnsi="Arial"/>
                <w:sz w:val="14"/>
                <w:szCs w:val="14"/>
                <w:color w:val="auto"/>
              </w:rPr>
              <w:t>783.1</w:t>
            </w:r>
          </w:p>
        </w:tc>
        <w:tc>
          <w:tcPr>
            <w:tcW w:w="38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12"/>
              <w:spacing w:after="0" w:line="149" w:lineRule="exact"/>
              <w:rPr>
                <w:sz w:val="20"/>
                <w:szCs w:val="20"/>
                <w:color w:val="auto"/>
              </w:rPr>
            </w:pPr>
            <w:r>
              <w:rPr>
                <w:rFonts w:ascii="Arial" w:cs="Arial" w:eastAsia="Arial" w:hAnsi="Arial"/>
                <w:sz w:val="14"/>
                <w:szCs w:val="14"/>
                <w:color w:val="auto"/>
              </w:rPr>
              <w:t>790.9</w:t>
            </w:r>
          </w:p>
        </w:tc>
        <w:tc>
          <w:tcPr>
            <w:tcW w:w="1180" w:type="dxa"/>
            <w:vAlign w:val="bottom"/>
            <w:gridSpan w:val="2"/>
          </w:tcPr>
          <w:p>
            <w:pPr>
              <w:jc w:val="center"/>
              <w:ind w:left="492"/>
              <w:spacing w:after="0" w:line="149" w:lineRule="exact"/>
              <w:rPr>
                <w:sz w:val="20"/>
                <w:szCs w:val="20"/>
                <w:color w:val="auto"/>
              </w:rPr>
            </w:pPr>
            <w:r>
              <w:rPr>
                <w:rFonts w:ascii="Arial" w:cs="Arial" w:eastAsia="Arial" w:hAnsi="Arial"/>
                <w:sz w:val="14"/>
                <w:szCs w:val="14"/>
                <w:color w:val="auto"/>
                <w:w w:val="87"/>
              </w:rPr>
              <w:t>(1%)</w:t>
            </w:r>
          </w:p>
        </w:tc>
        <w:tc>
          <w:tcPr>
            <w:tcW w:w="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70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Total revenues</w:t>
            </w:r>
          </w:p>
        </w:tc>
        <w:tc>
          <w:tcPr>
            <w:tcW w:w="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576.0</w:t>
            </w:r>
          </w:p>
        </w:tc>
        <w:tc>
          <w:tcPr>
            <w:tcW w:w="6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408.4</w:t>
            </w:r>
          </w:p>
        </w:tc>
        <w:tc>
          <w:tcPr>
            <w:tcW w:w="1160" w:type="dxa"/>
            <w:vAlign w:val="bottom"/>
            <w:gridSpan w:val="2"/>
            <w:shd w:val="clear" w:color="auto" w:fill="CCEEFF"/>
          </w:tcPr>
          <w:p>
            <w:pPr>
              <w:jc w:val="center"/>
              <w:ind w:left="492"/>
              <w:spacing w:after="0" w:line="149" w:lineRule="exact"/>
              <w:rPr>
                <w:sz w:val="20"/>
                <w:szCs w:val="20"/>
                <w:color w:val="auto"/>
              </w:rPr>
            </w:pPr>
            <w:r>
              <w:rPr>
                <w:rFonts w:ascii="Arial" w:cs="Arial" w:eastAsia="Arial" w:hAnsi="Arial"/>
                <w:sz w:val="14"/>
                <w:szCs w:val="14"/>
                <w:color w:val="auto"/>
                <w:w w:val="85"/>
              </w:rPr>
              <w:t>41%</w:t>
            </w:r>
          </w:p>
        </w:tc>
        <w:tc>
          <w:tcPr>
            <w:tcW w:w="16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1,644.7</w:t>
            </w:r>
          </w:p>
        </w:tc>
        <w:tc>
          <w:tcPr>
            <w:tcW w:w="5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1,210.6</w:t>
            </w:r>
          </w:p>
        </w:tc>
        <w:tc>
          <w:tcPr>
            <w:tcW w:w="1180" w:type="dxa"/>
            <w:vAlign w:val="bottom"/>
            <w:gridSpan w:val="2"/>
            <w:shd w:val="clear" w:color="auto" w:fill="CCEEFF"/>
          </w:tcPr>
          <w:p>
            <w:pPr>
              <w:jc w:val="center"/>
              <w:ind w:left="492"/>
              <w:spacing w:after="0" w:line="149" w:lineRule="exact"/>
              <w:rPr>
                <w:sz w:val="20"/>
                <w:szCs w:val="20"/>
                <w:color w:val="auto"/>
              </w:rPr>
            </w:pPr>
            <w:r>
              <w:rPr>
                <w:rFonts w:ascii="Arial" w:cs="Arial" w:eastAsia="Arial" w:hAnsi="Arial"/>
                <w:sz w:val="14"/>
                <w:szCs w:val="14"/>
                <w:color w:val="auto"/>
                <w:w w:val="92"/>
              </w:rPr>
              <w:t>36%</w:t>
            </w:r>
          </w:p>
        </w:tc>
        <w:tc>
          <w:tcPr>
            <w:tcW w:w="3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7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7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2660" w:type="dxa"/>
            <w:vAlign w:val="bottom"/>
            <w:tcBorders>
              <w:bottom w:val="single" w:sz="8" w:color="auto"/>
            </w:tcBorders>
            <w:gridSpan w:val="6"/>
          </w:tcPr>
          <w:p>
            <w:pPr>
              <w:jc w:val="right"/>
              <w:ind w:right="240"/>
              <w:spacing w:after="0"/>
              <w:rPr>
                <w:sz w:val="20"/>
                <w:szCs w:val="20"/>
                <w:color w:val="auto"/>
              </w:rPr>
            </w:pPr>
            <w:r>
              <w:rPr>
                <w:rFonts w:ascii="Arial" w:cs="Arial" w:eastAsia="Arial" w:hAnsi="Arial"/>
                <w:sz w:val="14"/>
                <w:szCs w:val="14"/>
                <w:b w:val="1"/>
                <w:bCs w:val="1"/>
                <w:color w:val="auto"/>
              </w:rPr>
              <w:t>Three Months Ended September 30,</w:t>
            </w:r>
          </w:p>
        </w:tc>
        <w:tc>
          <w:tcPr>
            <w:tcW w:w="78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2040" w:type="dxa"/>
            <w:vAlign w:val="bottom"/>
            <w:tcBorders>
              <w:bottom w:val="single" w:sz="8" w:color="auto"/>
            </w:tcBorders>
            <w:gridSpan w:val="6"/>
          </w:tcPr>
          <w:p>
            <w:pPr>
              <w:spacing w:after="0"/>
              <w:rPr>
                <w:sz w:val="20"/>
                <w:szCs w:val="20"/>
                <w:color w:val="auto"/>
              </w:rPr>
            </w:pPr>
            <w:r>
              <w:rPr>
                <w:rFonts w:ascii="Arial" w:cs="Arial" w:eastAsia="Arial" w:hAnsi="Arial"/>
                <w:sz w:val="14"/>
                <w:szCs w:val="14"/>
                <w:b w:val="1"/>
                <w:bCs w:val="1"/>
                <w:color w:val="auto"/>
                <w:w w:val="87"/>
              </w:rPr>
              <w:t>Nine Months Ended September 30,</w:t>
            </w:r>
          </w:p>
        </w:tc>
        <w:tc>
          <w:tcPr>
            <w:tcW w:w="3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7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b w:val="1"/>
                <w:bCs w:val="1"/>
                <w:color w:val="auto"/>
              </w:rPr>
              <w:t>2010</w:t>
            </w:r>
          </w:p>
        </w:tc>
        <w:tc>
          <w:tcPr>
            <w:tcW w:w="780" w:type="dxa"/>
            <w:vAlign w:val="bottom"/>
            <w:tcBorders>
              <w:bottom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gridSpan w:val="2"/>
          </w:tcPr>
          <w:p>
            <w:pPr>
              <w:jc w:val="right"/>
              <w:ind w:right="60"/>
              <w:spacing w:after="0" w:line="143" w:lineRule="exact"/>
              <w:rPr>
                <w:sz w:val="20"/>
                <w:szCs w:val="20"/>
                <w:color w:val="auto"/>
              </w:rPr>
            </w:pPr>
            <w:r>
              <w:rPr>
                <w:rFonts w:ascii="Arial" w:cs="Arial" w:eastAsia="Arial" w:hAnsi="Arial"/>
                <w:sz w:val="14"/>
                <w:szCs w:val="14"/>
                <w:b w:val="1"/>
                <w:bCs w:val="1"/>
                <w:color w:val="auto"/>
              </w:rPr>
              <w:t>2009</w:t>
            </w:r>
          </w:p>
        </w:tc>
        <w:tc>
          <w:tcPr>
            <w:tcW w:w="78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gridSpan w:val="2"/>
          </w:tcPr>
          <w:p>
            <w:pPr>
              <w:jc w:val="right"/>
              <w:ind w:right="20"/>
              <w:spacing w:after="0" w:line="143" w:lineRule="exact"/>
              <w:rPr>
                <w:sz w:val="20"/>
                <w:szCs w:val="20"/>
                <w:color w:val="auto"/>
              </w:rPr>
            </w:pPr>
            <w:r>
              <w:rPr>
                <w:rFonts w:ascii="Arial" w:cs="Arial" w:eastAsia="Arial" w:hAnsi="Arial"/>
                <w:sz w:val="14"/>
                <w:szCs w:val="14"/>
                <w:b w:val="1"/>
                <w:bCs w:val="1"/>
                <w:color w:val="auto"/>
              </w:rPr>
              <w:t>2010</w:t>
            </w:r>
          </w:p>
        </w:tc>
        <w:tc>
          <w:tcPr>
            <w:tcW w:w="6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b w:val="1"/>
                <w:bCs w:val="1"/>
                <w:color w:val="auto"/>
                <w:w w:val="83"/>
              </w:rPr>
              <w:t>2009</w:t>
            </w:r>
          </w:p>
        </w:tc>
        <w:tc>
          <w:tcPr>
            <w:tcW w:w="7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700" w:type="dxa"/>
            <w:vAlign w:val="bottom"/>
          </w:tcPr>
          <w:p>
            <w:pPr>
              <w:spacing w:after="0"/>
              <w:rPr>
                <w:sz w:val="14"/>
                <w:szCs w:val="14"/>
                <w:color w:val="auto"/>
              </w:rPr>
            </w:pPr>
          </w:p>
        </w:tc>
        <w:tc>
          <w:tcPr>
            <w:tcW w:w="700" w:type="dxa"/>
            <w:vAlign w:val="bottom"/>
            <w:tcBorders>
              <w:bottom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i w:val="1"/>
                <w:iCs w:val="1"/>
                <w:color w:val="auto"/>
                <w:w w:val="83"/>
              </w:rPr>
              <w:t>Gross Profit</w:t>
            </w:r>
          </w:p>
        </w:tc>
        <w:tc>
          <w:tcPr>
            <w:tcW w:w="360" w:type="dxa"/>
            <w:vAlign w:val="bottom"/>
          </w:tcPr>
          <w:p>
            <w:pPr>
              <w:spacing w:after="0"/>
              <w:rPr>
                <w:sz w:val="14"/>
                <w:szCs w:val="14"/>
                <w:color w:val="auto"/>
              </w:rPr>
            </w:pPr>
          </w:p>
        </w:tc>
        <w:tc>
          <w:tcPr>
            <w:tcW w:w="78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i w:val="1"/>
                <w:iCs w:val="1"/>
                <w:color w:val="auto"/>
                <w:w w:val="86"/>
              </w:rPr>
              <w:t>Gross Margin</w:t>
            </w:r>
          </w:p>
        </w:tc>
        <w:tc>
          <w:tcPr>
            <w:tcW w:w="360" w:type="dxa"/>
            <w:vAlign w:val="bottom"/>
          </w:tcPr>
          <w:p>
            <w:pPr>
              <w:spacing w:after="0"/>
              <w:rPr>
                <w:sz w:val="14"/>
                <w:szCs w:val="14"/>
                <w:color w:val="auto"/>
              </w:rPr>
            </w:pPr>
          </w:p>
        </w:tc>
        <w:tc>
          <w:tcPr>
            <w:tcW w:w="800" w:type="dxa"/>
            <w:vAlign w:val="bottom"/>
            <w:tcBorders>
              <w:bottom w:val="single" w:sz="8" w:color="auto"/>
            </w:tcBorders>
            <w:gridSpan w:val="2"/>
          </w:tcPr>
          <w:p>
            <w:pPr>
              <w:ind w:left="60"/>
              <w:spacing w:after="0" w:line="142" w:lineRule="exact"/>
              <w:rPr>
                <w:sz w:val="20"/>
                <w:szCs w:val="20"/>
                <w:color w:val="auto"/>
              </w:rPr>
            </w:pPr>
            <w:r>
              <w:rPr>
                <w:rFonts w:ascii="Arial" w:cs="Arial" w:eastAsia="Arial" w:hAnsi="Arial"/>
                <w:sz w:val="14"/>
                <w:szCs w:val="14"/>
                <w:b w:val="1"/>
                <w:bCs w:val="1"/>
                <w:i w:val="1"/>
                <w:iCs w:val="1"/>
                <w:color w:val="auto"/>
                <w:w w:val="88"/>
              </w:rPr>
              <w:t>Gross Profit</w:t>
            </w:r>
          </w:p>
        </w:tc>
        <w:tc>
          <w:tcPr>
            <w:tcW w:w="360" w:type="dxa"/>
            <w:vAlign w:val="bottom"/>
          </w:tcPr>
          <w:p>
            <w:pPr>
              <w:spacing w:after="0"/>
              <w:rPr>
                <w:sz w:val="14"/>
                <w:szCs w:val="14"/>
                <w:color w:val="auto"/>
              </w:rPr>
            </w:pPr>
          </w:p>
        </w:tc>
        <w:tc>
          <w:tcPr>
            <w:tcW w:w="78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i w:val="1"/>
                <w:iCs w:val="1"/>
                <w:color w:val="auto"/>
                <w:w w:val="86"/>
              </w:rPr>
              <w:t>Gross Margin</w:t>
            </w:r>
          </w:p>
        </w:tc>
        <w:tc>
          <w:tcPr>
            <w:tcW w:w="280" w:type="dxa"/>
            <w:vAlign w:val="bottom"/>
          </w:tcPr>
          <w:p>
            <w:pPr>
              <w:spacing w:after="0"/>
              <w:rPr>
                <w:sz w:val="14"/>
                <w:szCs w:val="14"/>
                <w:color w:val="auto"/>
              </w:rPr>
            </w:pPr>
          </w:p>
        </w:tc>
        <w:tc>
          <w:tcPr>
            <w:tcW w:w="820" w:type="dxa"/>
            <w:vAlign w:val="bottom"/>
            <w:tcBorders>
              <w:bottom w:val="single" w:sz="8" w:color="auto"/>
            </w:tcBorders>
            <w:gridSpan w:val="2"/>
          </w:tcPr>
          <w:p>
            <w:pPr>
              <w:ind w:left="80"/>
              <w:spacing w:after="0" w:line="142" w:lineRule="exact"/>
              <w:rPr>
                <w:sz w:val="20"/>
                <w:szCs w:val="20"/>
                <w:color w:val="auto"/>
              </w:rPr>
            </w:pPr>
            <w:r>
              <w:rPr>
                <w:rFonts w:ascii="Arial" w:cs="Arial" w:eastAsia="Arial" w:hAnsi="Arial"/>
                <w:sz w:val="14"/>
                <w:szCs w:val="14"/>
                <w:b w:val="1"/>
                <w:bCs w:val="1"/>
                <w:i w:val="1"/>
                <w:iCs w:val="1"/>
                <w:color w:val="auto"/>
                <w:w w:val="88"/>
              </w:rPr>
              <w:t>Gross Profit</w:t>
            </w: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i w:val="1"/>
                <w:iCs w:val="1"/>
                <w:color w:val="auto"/>
                <w:w w:val="86"/>
              </w:rPr>
              <w:t>Gross Margin</w:t>
            </w:r>
          </w:p>
        </w:tc>
        <w:tc>
          <w:tcPr>
            <w:tcW w:w="360" w:type="dxa"/>
            <w:vAlign w:val="bottom"/>
          </w:tcPr>
          <w:p>
            <w:pPr>
              <w:spacing w:after="0"/>
              <w:rPr>
                <w:sz w:val="14"/>
                <w:szCs w:val="14"/>
                <w:color w:val="auto"/>
              </w:rPr>
            </w:pPr>
          </w:p>
        </w:tc>
        <w:tc>
          <w:tcPr>
            <w:tcW w:w="820" w:type="dxa"/>
            <w:vAlign w:val="bottom"/>
            <w:tcBorders>
              <w:bottom w:val="single" w:sz="8" w:color="auto"/>
            </w:tcBorders>
            <w:gridSpan w:val="2"/>
          </w:tcPr>
          <w:p>
            <w:pPr>
              <w:ind w:left="60"/>
              <w:spacing w:after="0" w:line="142" w:lineRule="exact"/>
              <w:rPr>
                <w:sz w:val="20"/>
                <w:szCs w:val="20"/>
                <w:color w:val="auto"/>
              </w:rPr>
            </w:pPr>
            <w:r>
              <w:rPr>
                <w:rFonts w:ascii="Arial" w:cs="Arial" w:eastAsia="Arial" w:hAnsi="Arial"/>
                <w:sz w:val="14"/>
                <w:szCs w:val="14"/>
                <w:b w:val="1"/>
                <w:bCs w:val="1"/>
                <w:i w:val="1"/>
                <w:iCs w:val="1"/>
                <w:color w:val="auto"/>
                <w:w w:val="91"/>
              </w:rPr>
              <w:t>Gross Profit</w:t>
            </w: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i w:val="1"/>
                <w:iCs w:val="1"/>
                <w:color w:val="auto"/>
                <w:w w:val="86"/>
              </w:rPr>
              <w:t>Gross Margin</w:t>
            </w:r>
          </w:p>
        </w:tc>
        <w:tc>
          <w:tcPr>
            <w:tcW w:w="0" w:type="dxa"/>
            <w:vAlign w:val="bottom"/>
          </w:tcPr>
          <w:p>
            <w:pPr>
              <w:spacing w:after="0"/>
              <w:rPr>
                <w:sz w:val="1"/>
                <w:szCs w:val="1"/>
                <w:color w:val="auto"/>
              </w:rPr>
            </w:pPr>
          </w:p>
        </w:tc>
      </w:tr>
      <w:tr>
        <w:trPr>
          <w:trHeight w:val="149"/>
        </w:trPr>
        <w:tc>
          <w:tcPr>
            <w:tcW w:w="2700" w:type="dxa"/>
            <w:vAlign w:val="bottom"/>
          </w:tcPr>
          <w:p>
            <w:pPr>
              <w:spacing w:after="0" w:line="149" w:lineRule="exact"/>
              <w:rPr>
                <w:sz w:val="20"/>
                <w:szCs w:val="20"/>
                <w:color w:val="auto"/>
              </w:rPr>
            </w:pPr>
            <w:r>
              <w:rPr>
                <w:rFonts w:ascii="Arial" w:cs="Arial" w:eastAsia="Arial" w:hAnsi="Arial"/>
                <w:sz w:val="14"/>
                <w:szCs w:val="14"/>
                <w:b w:val="1"/>
                <w:bCs w:val="1"/>
                <w:i w:val="1"/>
                <w:iCs w:val="1"/>
                <w:color w:val="auto"/>
              </w:rPr>
              <w:t>Segment Gross Profit and Margin</w:t>
            </w:r>
          </w:p>
        </w:tc>
        <w:tc>
          <w:tcPr>
            <w:tcW w:w="700" w:type="dxa"/>
            <w:vAlign w:val="bottom"/>
            <w:gridSpan w:val="2"/>
          </w:tcPr>
          <w:p>
            <w:pPr>
              <w:jc w:val="center"/>
              <w:spacing w:after="0" w:line="149" w:lineRule="exact"/>
              <w:rPr>
                <w:sz w:val="20"/>
                <w:szCs w:val="20"/>
                <w:color w:val="auto"/>
              </w:rPr>
            </w:pPr>
            <w:r>
              <w:rPr>
                <w:rFonts w:ascii="Arial" w:cs="Arial" w:eastAsia="Arial" w:hAnsi="Arial"/>
                <w:sz w:val="14"/>
                <w:szCs w:val="14"/>
                <w:i w:val="1"/>
                <w:iCs w:val="1"/>
                <w:color w:val="auto"/>
                <w:w w:val="93"/>
              </w:rPr>
              <w:t>(in millions)</w:t>
            </w:r>
          </w:p>
        </w:tc>
        <w:tc>
          <w:tcPr>
            <w:tcW w:w="3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60" w:type="dxa"/>
            <w:vAlign w:val="bottom"/>
            <w:gridSpan w:val="3"/>
          </w:tcPr>
          <w:p>
            <w:pPr>
              <w:ind w:left="80"/>
              <w:spacing w:after="0" w:line="149" w:lineRule="exact"/>
              <w:rPr>
                <w:sz w:val="20"/>
                <w:szCs w:val="20"/>
                <w:color w:val="auto"/>
              </w:rPr>
            </w:pPr>
            <w:r>
              <w:rPr>
                <w:rFonts w:ascii="Arial" w:cs="Arial" w:eastAsia="Arial" w:hAnsi="Arial"/>
                <w:sz w:val="14"/>
                <w:szCs w:val="14"/>
                <w:i w:val="1"/>
                <w:iCs w:val="1"/>
                <w:color w:val="auto"/>
              </w:rPr>
              <w:t>(in millions)</w:t>
            </w:r>
          </w:p>
        </w:tc>
        <w:tc>
          <w:tcPr>
            <w:tcW w:w="7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40" w:type="dxa"/>
            <w:vAlign w:val="bottom"/>
            <w:gridSpan w:val="3"/>
          </w:tcPr>
          <w:p>
            <w:pPr>
              <w:ind w:left="80"/>
              <w:spacing w:after="0" w:line="149" w:lineRule="exact"/>
              <w:rPr>
                <w:sz w:val="20"/>
                <w:szCs w:val="20"/>
                <w:color w:val="auto"/>
              </w:rPr>
            </w:pPr>
            <w:r>
              <w:rPr>
                <w:rFonts w:ascii="Arial" w:cs="Arial" w:eastAsia="Arial" w:hAnsi="Arial"/>
                <w:sz w:val="14"/>
                <w:szCs w:val="14"/>
                <w:i w:val="1"/>
                <w:iCs w:val="1"/>
                <w:color w:val="auto"/>
              </w:rPr>
              <w:t>(in millions)</w:t>
            </w: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40" w:type="dxa"/>
            <w:vAlign w:val="bottom"/>
            <w:gridSpan w:val="3"/>
          </w:tcPr>
          <w:p>
            <w:pPr>
              <w:ind w:left="80"/>
              <w:spacing w:after="0" w:line="149" w:lineRule="exact"/>
              <w:rPr>
                <w:sz w:val="20"/>
                <w:szCs w:val="20"/>
                <w:color w:val="auto"/>
              </w:rPr>
            </w:pPr>
            <w:r>
              <w:rPr>
                <w:rFonts w:ascii="Arial" w:cs="Arial" w:eastAsia="Arial" w:hAnsi="Arial"/>
                <w:sz w:val="14"/>
                <w:szCs w:val="14"/>
                <w:i w:val="1"/>
                <w:iCs w:val="1"/>
                <w:color w:val="auto"/>
              </w:rPr>
              <w:t>(in millions)</w:t>
            </w:r>
          </w:p>
        </w:tc>
        <w:tc>
          <w:tcPr>
            <w:tcW w:w="3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70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Itron North America</w:t>
            </w:r>
          </w:p>
        </w:tc>
        <w:tc>
          <w:tcPr>
            <w:tcW w:w="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111.9</w:t>
            </w:r>
          </w:p>
        </w:tc>
        <w:tc>
          <w:tcPr>
            <w:tcW w:w="1140" w:type="dxa"/>
            <w:vAlign w:val="bottom"/>
            <w:gridSpan w:val="2"/>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35.5%</w:t>
            </w:r>
          </w:p>
        </w:tc>
        <w:tc>
          <w:tcPr>
            <w:tcW w:w="64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42.5</w:t>
            </w:r>
          </w:p>
        </w:tc>
        <w:tc>
          <w:tcPr>
            <w:tcW w:w="360" w:type="dxa"/>
            <w:vAlign w:val="bottom"/>
            <w:shd w:val="clear" w:color="auto" w:fill="CCEEFF"/>
          </w:tcPr>
          <w:p>
            <w:pPr>
              <w:spacing w:after="0"/>
              <w:rPr>
                <w:sz w:val="12"/>
                <w:szCs w:val="12"/>
                <w:color w:val="auto"/>
              </w:rPr>
            </w:pPr>
          </w:p>
        </w:tc>
        <w:tc>
          <w:tcPr>
            <w:tcW w:w="7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31.0%</w:t>
            </w:r>
          </w:p>
        </w:tc>
        <w:tc>
          <w:tcPr>
            <w:tcW w:w="580" w:type="dxa"/>
            <w:vAlign w:val="bottom"/>
            <w:gridSpan w:val="2"/>
            <w:shd w:val="clear" w:color="auto" w:fill="CCEEFF"/>
          </w:tcPr>
          <w:p>
            <w:pPr>
              <w:ind w:left="360"/>
              <w:spacing w:after="0" w:line="149" w:lineRule="exact"/>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294.9</w:t>
            </w:r>
          </w:p>
        </w:tc>
        <w:tc>
          <w:tcPr>
            <w:tcW w:w="3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34.2%</w:t>
            </w:r>
          </w:p>
        </w:tc>
        <w:tc>
          <w:tcPr>
            <w:tcW w:w="64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144.7</w:t>
            </w:r>
          </w:p>
        </w:tc>
        <w:tc>
          <w:tcPr>
            <w:tcW w:w="2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center"/>
              <w:ind w:left="272"/>
              <w:spacing w:after="0" w:line="149" w:lineRule="exact"/>
              <w:rPr>
                <w:sz w:val="20"/>
                <w:szCs w:val="20"/>
                <w:color w:val="auto"/>
              </w:rPr>
            </w:pPr>
            <w:r>
              <w:rPr>
                <w:rFonts w:ascii="Arial" w:cs="Arial" w:eastAsia="Arial" w:hAnsi="Arial"/>
                <w:sz w:val="14"/>
                <w:szCs w:val="14"/>
                <w:color w:val="auto"/>
                <w:w w:val="85"/>
              </w:rPr>
              <w:t>34.5%</w:t>
            </w:r>
          </w:p>
        </w:tc>
        <w:tc>
          <w:tcPr>
            <w:tcW w:w="0" w:type="dxa"/>
            <w:vAlign w:val="bottom"/>
          </w:tcPr>
          <w:p>
            <w:pPr>
              <w:spacing w:after="0"/>
              <w:rPr>
                <w:sz w:val="1"/>
                <w:szCs w:val="1"/>
                <w:color w:val="auto"/>
              </w:rPr>
            </w:pPr>
          </w:p>
        </w:tc>
      </w:tr>
      <w:tr>
        <w:trPr>
          <w:trHeight w:val="156"/>
        </w:trPr>
        <w:tc>
          <w:tcPr>
            <w:tcW w:w="2700" w:type="dxa"/>
            <w:vAlign w:val="bottom"/>
          </w:tcPr>
          <w:p>
            <w:pPr>
              <w:ind w:left="220"/>
              <w:spacing w:after="0" w:line="149" w:lineRule="exact"/>
              <w:rPr>
                <w:sz w:val="20"/>
                <w:szCs w:val="20"/>
                <w:color w:val="auto"/>
              </w:rPr>
            </w:pPr>
            <w:r>
              <w:rPr>
                <w:rFonts w:ascii="Arial" w:cs="Arial" w:eastAsia="Arial" w:hAnsi="Arial"/>
                <w:sz w:val="14"/>
                <w:szCs w:val="14"/>
                <w:color w:val="auto"/>
              </w:rPr>
              <w:t>Itron International</w:t>
            </w:r>
          </w:p>
        </w:tc>
        <w:tc>
          <w:tcPr>
            <w:tcW w:w="16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72.3</w:t>
            </w:r>
          </w:p>
        </w:tc>
        <w:tc>
          <w:tcPr>
            <w:tcW w:w="1140" w:type="dxa"/>
            <w:vAlign w:val="bottom"/>
            <w:gridSpan w:val="2"/>
          </w:tcPr>
          <w:p>
            <w:pPr>
              <w:jc w:val="right"/>
              <w:ind w:right="52"/>
              <w:spacing w:after="0" w:line="149" w:lineRule="exact"/>
              <w:rPr>
                <w:sz w:val="20"/>
                <w:szCs w:val="20"/>
                <w:color w:val="auto"/>
              </w:rPr>
            </w:pPr>
            <w:r>
              <w:rPr>
                <w:rFonts w:ascii="Arial" w:cs="Arial" w:eastAsia="Arial" w:hAnsi="Arial"/>
                <w:sz w:val="14"/>
                <w:szCs w:val="14"/>
                <w:color w:val="auto"/>
              </w:rPr>
              <w:t>27.8%</w:t>
            </w:r>
          </w:p>
        </w:tc>
        <w:tc>
          <w:tcPr>
            <w:tcW w:w="36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87.0</w:t>
            </w:r>
          </w:p>
        </w:tc>
        <w:tc>
          <w:tcPr>
            <w:tcW w:w="360" w:type="dxa"/>
            <w:vAlign w:val="bottom"/>
          </w:tcPr>
          <w:p>
            <w:pPr>
              <w:spacing w:after="0"/>
              <w:rPr>
                <w:sz w:val="13"/>
                <w:szCs w:val="13"/>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color w:val="auto"/>
                <w:w w:val="85"/>
              </w:rPr>
              <w:t>32.1%</w:t>
            </w:r>
          </w:p>
        </w:tc>
        <w:tc>
          <w:tcPr>
            <w:tcW w:w="28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ind w:right="12"/>
              <w:spacing w:after="0" w:line="149" w:lineRule="exact"/>
              <w:rPr>
                <w:sz w:val="20"/>
                <w:szCs w:val="20"/>
                <w:color w:val="auto"/>
              </w:rPr>
            </w:pPr>
            <w:r>
              <w:rPr>
                <w:rFonts w:ascii="Arial" w:cs="Arial" w:eastAsia="Arial" w:hAnsi="Arial"/>
                <w:sz w:val="14"/>
                <w:szCs w:val="14"/>
                <w:color w:val="auto"/>
              </w:rPr>
              <w:t>224.5</w:t>
            </w:r>
          </w:p>
        </w:tc>
        <w:tc>
          <w:tcPr>
            <w:tcW w:w="320" w:type="dxa"/>
            <w:vAlign w:val="bottom"/>
          </w:tcPr>
          <w:p>
            <w:pPr>
              <w:spacing w:after="0"/>
              <w:rPr>
                <w:sz w:val="13"/>
                <w:szCs w:val="13"/>
                <w:color w:val="auto"/>
              </w:rPr>
            </w:pPr>
          </w:p>
        </w:tc>
        <w:tc>
          <w:tcPr>
            <w:tcW w:w="840" w:type="dxa"/>
            <w:vAlign w:val="bottom"/>
            <w:gridSpan w:val="2"/>
          </w:tcPr>
          <w:p>
            <w:pPr>
              <w:ind w:left="240"/>
              <w:spacing w:after="0" w:line="149" w:lineRule="exact"/>
              <w:rPr>
                <w:sz w:val="20"/>
                <w:szCs w:val="20"/>
                <w:color w:val="auto"/>
              </w:rPr>
            </w:pPr>
            <w:r>
              <w:rPr>
                <w:rFonts w:ascii="Arial" w:cs="Arial" w:eastAsia="Arial" w:hAnsi="Arial"/>
                <w:sz w:val="14"/>
                <w:szCs w:val="14"/>
                <w:color w:val="auto"/>
              </w:rPr>
              <w:t>28.7%</w:t>
            </w:r>
          </w:p>
        </w:tc>
        <w:tc>
          <w:tcPr>
            <w:tcW w:w="36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12"/>
              <w:spacing w:after="0" w:line="149" w:lineRule="exact"/>
              <w:rPr>
                <w:sz w:val="20"/>
                <w:szCs w:val="20"/>
                <w:color w:val="auto"/>
              </w:rPr>
            </w:pPr>
            <w:r>
              <w:rPr>
                <w:rFonts w:ascii="Arial" w:cs="Arial" w:eastAsia="Arial" w:hAnsi="Arial"/>
                <w:sz w:val="14"/>
                <w:szCs w:val="14"/>
                <w:color w:val="auto"/>
              </w:rPr>
              <w:t>247.5</w:t>
            </w:r>
          </w:p>
        </w:tc>
        <w:tc>
          <w:tcPr>
            <w:tcW w:w="20" w:type="dxa"/>
            <w:vAlign w:val="bottom"/>
          </w:tcPr>
          <w:p>
            <w:pPr>
              <w:spacing w:after="0"/>
              <w:rPr>
                <w:sz w:val="13"/>
                <w:szCs w:val="13"/>
                <w:color w:val="auto"/>
              </w:rPr>
            </w:pPr>
          </w:p>
        </w:tc>
        <w:tc>
          <w:tcPr>
            <w:tcW w:w="1120" w:type="dxa"/>
            <w:vAlign w:val="bottom"/>
            <w:gridSpan w:val="2"/>
          </w:tcPr>
          <w:p>
            <w:pPr>
              <w:jc w:val="center"/>
              <w:ind w:left="272"/>
              <w:spacing w:after="0" w:line="149" w:lineRule="exact"/>
              <w:rPr>
                <w:sz w:val="20"/>
                <w:szCs w:val="20"/>
                <w:color w:val="auto"/>
              </w:rPr>
            </w:pPr>
            <w:r>
              <w:rPr>
                <w:rFonts w:ascii="Arial" w:cs="Arial" w:eastAsia="Arial" w:hAnsi="Arial"/>
                <w:sz w:val="14"/>
                <w:szCs w:val="14"/>
                <w:color w:val="auto"/>
                <w:w w:val="85"/>
              </w:rPr>
              <w:t>31.3%</w:t>
            </w:r>
          </w:p>
        </w:tc>
        <w:tc>
          <w:tcPr>
            <w:tcW w:w="0" w:type="dxa"/>
            <w:vAlign w:val="bottom"/>
          </w:tcPr>
          <w:p>
            <w:pPr>
              <w:spacing w:after="0"/>
              <w:rPr>
                <w:sz w:val="1"/>
                <w:szCs w:val="1"/>
                <w:color w:val="auto"/>
              </w:rPr>
            </w:pPr>
          </w:p>
        </w:tc>
      </w:tr>
      <w:tr>
        <w:trPr>
          <w:trHeight w:val="149"/>
        </w:trPr>
        <w:tc>
          <w:tcPr>
            <w:tcW w:w="2700" w:type="dxa"/>
            <w:vAlign w:val="bottom"/>
            <w:shd w:val="clear" w:color="auto" w:fill="CCEEFF"/>
          </w:tcPr>
          <w:p>
            <w:pPr>
              <w:jc w:val="center"/>
              <w:ind w:right="172"/>
              <w:spacing w:after="0" w:line="149" w:lineRule="exact"/>
              <w:rPr>
                <w:sz w:val="20"/>
                <w:szCs w:val="20"/>
                <w:color w:val="auto"/>
              </w:rPr>
            </w:pPr>
            <w:r>
              <w:rPr>
                <w:rFonts w:ascii="Arial" w:cs="Arial" w:eastAsia="Arial" w:hAnsi="Arial"/>
                <w:sz w:val="14"/>
                <w:szCs w:val="14"/>
                <w:color w:val="auto"/>
                <w:w w:val="88"/>
              </w:rPr>
              <w:t>Total gross profit and margin</w:t>
            </w:r>
          </w:p>
        </w:tc>
        <w:tc>
          <w:tcPr>
            <w:tcW w:w="1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184.2</w:t>
            </w:r>
          </w:p>
        </w:tc>
        <w:tc>
          <w:tcPr>
            <w:tcW w:w="1140" w:type="dxa"/>
            <w:vAlign w:val="bottom"/>
            <w:gridSpan w:val="2"/>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32.0%</w:t>
            </w:r>
          </w:p>
        </w:tc>
        <w:tc>
          <w:tcPr>
            <w:tcW w:w="360" w:type="dxa"/>
            <w:vAlign w:val="bottom"/>
            <w:shd w:val="clear" w:color="auto" w:fill="CCEEFF"/>
          </w:tcPr>
          <w:p>
            <w:pPr>
              <w:spacing w:after="0"/>
              <w:rPr>
                <w:sz w:val="12"/>
                <w:szCs w:val="12"/>
                <w:color w:val="auto"/>
              </w:rPr>
            </w:pPr>
          </w:p>
        </w:tc>
        <w:tc>
          <w:tcPr>
            <w:tcW w:w="280" w:type="dxa"/>
            <w:vAlign w:val="bottom"/>
            <w:tcBorders>
              <w:bottom w:val="single" w:sz="8" w:color="auto"/>
            </w:tcBorders>
            <w:shd w:val="clear" w:color="auto" w:fill="CCEEFF"/>
          </w:tcPr>
          <w:p>
            <w:pPr>
              <w:ind w:left="60"/>
              <w:spacing w:after="0" w:line="149" w:lineRule="exact"/>
              <w:rPr>
                <w:sz w:val="20"/>
                <w:szCs w:val="20"/>
                <w:color w:val="auto"/>
              </w:rPr>
            </w:pPr>
            <w:r>
              <w:rPr>
                <w:rFonts w:ascii="Arial" w:cs="Arial" w:eastAsia="Arial" w:hAnsi="Arial"/>
                <w:sz w:val="14"/>
                <w:szCs w:val="14"/>
                <w:color w:val="auto"/>
              </w:rPr>
              <w:t>$</w:t>
            </w:r>
          </w:p>
        </w:tc>
        <w:tc>
          <w:tcPr>
            <w:tcW w:w="5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129.5</w:t>
            </w:r>
          </w:p>
        </w:tc>
        <w:tc>
          <w:tcPr>
            <w:tcW w:w="360" w:type="dxa"/>
            <w:vAlign w:val="bottom"/>
            <w:shd w:val="clear" w:color="auto" w:fill="CCEEFF"/>
          </w:tcPr>
          <w:p>
            <w:pPr>
              <w:spacing w:after="0"/>
              <w:rPr>
                <w:sz w:val="12"/>
                <w:szCs w:val="12"/>
                <w:color w:val="auto"/>
              </w:rPr>
            </w:pPr>
          </w:p>
        </w:tc>
        <w:tc>
          <w:tcPr>
            <w:tcW w:w="7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31.7%</w:t>
            </w:r>
          </w:p>
        </w:tc>
        <w:tc>
          <w:tcPr>
            <w:tcW w:w="280" w:type="dxa"/>
            <w:vAlign w:val="bottom"/>
            <w:shd w:val="clear" w:color="auto" w:fill="CCEEFF"/>
          </w:tcPr>
          <w:p>
            <w:pPr>
              <w:spacing w:after="0"/>
              <w:rPr>
                <w:sz w:val="12"/>
                <w:szCs w:val="12"/>
                <w:color w:val="auto"/>
              </w:rPr>
            </w:pPr>
          </w:p>
        </w:tc>
        <w:tc>
          <w:tcPr>
            <w:tcW w:w="300" w:type="dxa"/>
            <w:vAlign w:val="bottom"/>
            <w:tcBorders>
              <w:bottom w:val="single" w:sz="8" w:color="auto"/>
            </w:tcBorders>
            <w:shd w:val="clear" w:color="auto" w:fill="CCEEFF"/>
          </w:tcPr>
          <w:p>
            <w:pPr>
              <w:ind w:left="80"/>
              <w:spacing w:after="0" w:line="149" w:lineRule="exact"/>
              <w:rPr>
                <w:sz w:val="20"/>
                <w:szCs w:val="20"/>
                <w:color w:val="auto"/>
              </w:rPr>
            </w:pPr>
            <w:r>
              <w:rPr>
                <w:rFonts w:ascii="Arial" w:cs="Arial" w:eastAsia="Arial" w:hAnsi="Arial"/>
                <w:sz w:val="14"/>
                <w:szCs w:val="14"/>
                <w:color w:val="auto"/>
              </w:rPr>
              <w:t>$</w:t>
            </w:r>
          </w:p>
        </w:tc>
        <w:tc>
          <w:tcPr>
            <w:tcW w:w="520" w:type="dxa"/>
            <w:vAlign w:val="bottom"/>
            <w:tcBorders>
              <w:bottom w:val="single" w:sz="8" w:color="auto"/>
            </w:tcBorders>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519.4</w:t>
            </w:r>
          </w:p>
        </w:tc>
        <w:tc>
          <w:tcPr>
            <w:tcW w:w="3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31.6%</w:t>
            </w:r>
          </w:p>
        </w:tc>
        <w:tc>
          <w:tcPr>
            <w:tcW w:w="360" w:type="dxa"/>
            <w:vAlign w:val="bottom"/>
            <w:shd w:val="clear" w:color="auto" w:fill="CCEEFF"/>
          </w:tcPr>
          <w:p>
            <w:pPr>
              <w:spacing w:after="0"/>
              <w:rPr>
                <w:sz w:val="12"/>
                <w:szCs w:val="12"/>
                <w:color w:val="auto"/>
              </w:rPr>
            </w:pPr>
          </w:p>
        </w:tc>
        <w:tc>
          <w:tcPr>
            <w:tcW w:w="280" w:type="dxa"/>
            <w:vAlign w:val="bottom"/>
            <w:tcBorders>
              <w:bottom w:val="single" w:sz="8" w:color="auto"/>
            </w:tcBorders>
            <w:shd w:val="clear" w:color="auto" w:fill="CCEEFF"/>
          </w:tcPr>
          <w:p>
            <w:pPr>
              <w:ind w:left="60"/>
              <w:spacing w:after="0" w:line="149" w:lineRule="exact"/>
              <w:rPr>
                <w:sz w:val="20"/>
                <w:szCs w:val="20"/>
                <w:color w:val="auto"/>
              </w:rPr>
            </w:pPr>
            <w:r>
              <w:rPr>
                <w:rFonts w:ascii="Arial" w:cs="Arial" w:eastAsia="Arial" w:hAnsi="Arial"/>
                <w:sz w:val="14"/>
                <w:szCs w:val="14"/>
                <w:color w:val="auto"/>
              </w:rPr>
              <w:t>$</w:t>
            </w:r>
          </w:p>
        </w:tc>
        <w:tc>
          <w:tcPr>
            <w:tcW w:w="540" w:type="dxa"/>
            <w:vAlign w:val="bottom"/>
            <w:tcBorders>
              <w:bottom w:val="single" w:sz="8" w:color="auto"/>
            </w:tcBorders>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392.2</w:t>
            </w:r>
          </w:p>
        </w:tc>
        <w:tc>
          <w:tcPr>
            <w:tcW w:w="2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center"/>
              <w:ind w:left="272"/>
              <w:spacing w:after="0" w:line="149" w:lineRule="exact"/>
              <w:rPr>
                <w:sz w:val="20"/>
                <w:szCs w:val="20"/>
                <w:color w:val="auto"/>
              </w:rPr>
            </w:pPr>
            <w:r>
              <w:rPr>
                <w:rFonts w:ascii="Arial" w:cs="Arial" w:eastAsia="Arial" w:hAnsi="Arial"/>
                <w:sz w:val="14"/>
                <w:szCs w:val="14"/>
                <w:color w:val="auto"/>
                <w:w w:val="85"/>
              </w:rPr>
              <w:t>32.4%</w:t>
            </w:r>
          </w:p>
        </w:tc>
        <w:tc>
          <w:tcPr>
            <w:tcW w:w="0" w:type="dxa"/>
            <w:vAlign w:val="bottom"/>
          </w:tcPr>
          <w:p>
            <w:pPr>
              <w:spacing w:after="0"/>
              <w:rPr>
                <w:sz w:val="1"/>
                <w:szCs w:val="1"/>
                <w:color w:val="auto"/>
              </w:rPr>
            </w:pPr>
          </w:p>
        </w:tc>
      </w:tr>
      <w:tr>
        <w:trPr>
          <w:trHeight w:val="20"/>
        </w:trPr>
        <w:tc>
          <w:tcPr>
            <w:tcW w:w="27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500" w:type="dxa"/>
            <w:vAlign w:val="bottom"/>
            <w:gridSpan w:val="3"/>
          </w:tcPr>
          <w:p>
            <w:pPr>
              <w:spacing w:after="0" w:line="20" w:lineRule="exact"/>
              <w:rPr>
                <w:sz w:val="1"/>
                <w:szCs w:val="1"/>
                <w:color w:val="auto"/>
              </w:rPr>
            </w:pPr>
          </w:p>
        </w:tc>
        <w:tc>
          <w:tcPr>
            <w:tcW w:w="800" w:type="dxa"/>
            <w:vAlign w:val="bottom"/>
            <w:tcBorders>
              <w:bottom w:val="single" w:sz="8" w:color="auto"/>
            </w:tcBorders>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82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7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gridSpan w:val="6"/>
          </w:tcPr>
          <w:p>
            <w:pPr>
              <w:jc w:val="right"/>
              <w:ind w:right="240"/>
              <w:spacing w:after="0"/>
              <w:rPr>
                <w:sz w:val="20"/>
                <w:szCs w:val="20"/>
                <w:color w:val="auto"/>
              </w:rPr>
            </w:pPr>
            <w:r>
              <w:rPr>
                <w:rFonts w:ascii="Arial" w:cs="Arial" w:eastAsia="Arial" w:hAnsi="Arial"/>
                <w:sz w:val="14"/>
                <w:szCs w:val="14"/>
                <w:b w:val="1"/>
                <w:bCs w:val="1"/>
                <w:color w:val="auto"/>
              </w:rPr>
              <w:t>Three Months Ended September 30,</w:t>
            </w:r>
          </w:p>
        </w:tc>
        <w:tc>
          <w:tcPr>
            <w:tcW w:w="780" w:type="dxa"/>
            <w:vAlign w:val="bottom"/>
            <w:tcBorders>
              <w:bottom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gridSpan w:val="6"/>
          </w:tcPr>
          <w:p>
            <w:pPr>
              <w:spacing w:after="0"/>
              <w:rPr>
                <w:sz w:val="20"/>
                <w:szCs w:val="20"/>
                <w:color w:val="auto"/>
              </w:rPr>
            </w:pPr>
            <w:r>
              <w:rPr>
                <w:rFonts w:ascii="Arial" w:cs="Arial" w:eastAsia="Arial" w:hAnsi="Arial"/>
                <w:sz w:val="14"/>
                <w:szCs w:val="14"/>
                <w:b w:val="1"/>
                <w:bCs w:val="1"/>
                <w:color w:val="auto"/>
                <w:w w:val="87"/>
              </w:rPr>
              <w:t>Nine Months Ended September 30,</w:t>
            </w:r>
          </w:p>
        </w:tc>
        <w:tc>
          <w:tcPr>
            <w:tcW w:w="3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7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b w:val="1"/>
                <w:bCs w:val="1"/>
                <w:color w:val="auto"/>
              </w:rPr>
              <w:t>2010</w:t>
            </w:r>
          </w:p>
        </w:tc>
        <w:tc>
          <w:tcPr>
            <w:tcW w:w="780" w:type="dxa"/>
            <w:vAlign w:val="bottom"/>
            <w:tcBorders>
              <w:bottom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gridSpan w:val="2"/>
          </w:tcPr>
          <w:p>
            <w:pPr>
              <w:jc w:val="right"/>
              <w:ind w:right="60"/>
              <w:spacing w:after="0" w:line="143" w:lineRule="exact"/>
              <w:rPr>
                <w:sz w:val="20"/>
                <w:szCs w:val="20"/>
                <w:color w:val="auto"/>
              </w:rPr>
            </w:pPr>
            <w:r>
              <w:rPr>
                <w:rFonts w:ascii="Arial" w:cs="Arial" w:eastAsia="Arial" w:hAnsi="Arial"/>
                <w:sz w:val="14"/>
                <w:szCs w:val="14"/>
                <w:b w:val="1"/>
                <w:bCs w:val="1"/>
                <w:color w:val="auto"/>
              </w:rPr>
              <w:t>2009</w:t>
            </w:r>
          </w:p>
        </w:tc>
        <w:tc>
          <w:tcPr>
            <w:tcW w:w="78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gridSpan w:val="2"/>
          </w:tcPr>
          <w:p>
            <w:pPr>
              <w:jc w:val="right"/>
              <w:ind w:right="20"/>
              <w:spacing w:after="0" w:line="143" w:lineRule="exact"/>
              <w:rPr>
                <w:sz w:val="20"/>
                <w:szCs w:val="20"/>
                <w:color w:val="auto"/>
              </w:rPr>
            </w:pPr>
            <w:r>
              <w:rPr>
                <w:rFonts w:ascii="Arial" w:cs="Arial" w:eastAsia="Arial" w:hAnsi="Arial"/>
                <w:sz w:val="14"/>
                <w:szCs w:val="14"/>
                <w:b w:val="1"/>
                <w:bCs w:val="1"/>
                <w:color w:val="auto"/>
              </w:rPr>
              <w:t>2010</w:t>
            </w:r>
          </w:p>
        </w:tc>
        <w:tc>
          <w:tcPr>
            <w:tcW w:w="6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b w:val="1"/>
                <w:bCs w:val="1"/>
                <w:color w:val="auto"/>
                <w:w w:val="83"/>
              </w:rPr>
              <w:t>2009</w:t>
            </w:r>
          </w:p>
        </w:tc>
        <w:tc>
          <w:tcPr>
            <w:tcW w:w="7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2700" w:type="dxa"/>
            <w:vAlign w:val="bottom"/>
          </w:tcPr>
          <w:p>
            <w:pPr>
              <w:spacing w:after="0"/>
              <w:rPr>
                <w:sz w:val="11"/>
                <w:szCs w:val="11"/>
                <w:color w:val="auto"/>
              </w:rPr>
            </w:pPr>
          </w:p>
        </w:tc>
        <w:tc>
          <w:tcPr>
            <w:tcW w:w="700" w:type="dxa"/>
            <w:vAlign w:val="bottom"/>
            <w:gridSpan w:val="2"/>
          </w:tcPr>
          <w:p>
            <w:pPr>
              <w:jc w:val="center"/>
              <w:spacing w:after="0" w:line="131" w:lineRule="exact"/>
              <w:rPr>
                <w:sz w:val="20"/>
                <w:szCs w:val="20"/>
                <w:color w:val="auto"/>
              </w:rPr>
            </w:pPr>
            <w:r>
              <w:rPr>
                <w:rFonts w:ascii="Arial" w:cs="Arial" w:eastAsia="Arial" w:hAnsi="Arial"/>
                <w:sz w:val="14"/>
                <w:szCs w:val="14"/>
                <w:b w:val="1"/>
                <w:bCs w:val="1"/>
                <w:i w:val="1"/>
                <w:iCs w:val="1"/>
                <w:color w:val="auto"/>
                <w:w w:val="84"/>
              </w:rPr>
              <w:t>Operating</w:t>
            </w:r>
          </w:p>
        </w:tc>
        <w:tc>
          <w:tcPr>
            <w:tcW w:w="3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700" w:type="dxa"/>
            <w:vAlign w:val="bottom"/>
          </w:tcPr>
          <w:p>
            <w:pPr>
              <w:spacing w:after="0"/>
              <w:rPr>
                <w:sz w:val="12"/>
                <w:szCs w:val="12"/>
                <w:color w:val="auto"/>
              </w:rPr>
            </w:pPr>
          </w:p>
        </w:tc>
        <w:tc>
          <w:tcPr>
            <w:tcW w:w="7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i w:val="1"/>
                <w:iCs w:val="1"/>
                <w:color w:val="auto"/>
                <w:w w:val="85"/>
              </w:rPr>
              <w:t>Income</w:t>
            </w:r>
          </w:p>
        </w:tc>
        <w:tc>
          <w:tcPr>
            <w:tcW w:w="36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i w:val="1"/>
                <w:iCs w:val="1"/>
                <w:color w:val="auto"/>
                <w:w w:val="84"/>
              </w:rPr>
              <w:t>Operating</w:t>
            </w:r>
          </w:p>
        </w:tc>
        <w:tc>
          <w:tcPr>
            <w:tcW w:w="360" w:type="dxa"/>
            <w:vAlign w:val="bottom"/>
          </w:tcPr>
          <w:p>
            <w:pPr>
              <w:spacing w:after="0"/>
              <w:rPr>
                <w:sz w:val="12"/>
                <w:szCs w:val="12"/>
                <w:color w:val="auto"/>
              </w:rPr>
            </w:pPr>
          </w:p>
        </w:tc>
        <w:tc>
          <w:tcPr>
            <w:tcW w:w="1160" w:type="dxa"/>
            <w:vAlign w:val="bottom"/>
            <w:gridSpan w:val="3"/>
          </w:tcPr>
          <w:p>
            <w:pPr>
              <w:jc w:val="center"/>
              <w:ind w:right="360"/>
              <w:spacing w:after="0" w:line="149" w:lineRule="exact"/>
              <w:rPr>
                <w:sz w:val="20"/>
                <w:szCs w:val="20"/>
                <w:color w:val="auto"/>
              </w:rPr>
            </w:pPr>
            <w:r>
              <w:rPr>
                <w:rFonts w:ascii="Arial" w:cs="Arial" w:eastAsia="Arial" w:hAnsi="Arial"/>
                <w:sz w:val="14"/>
                <w:szCs w:val="14"/>
                <w:b w:val="1"/>
                <w:bCs w:val="1"/>
                <w:i w:val="1"/>
                <w:iCs w:val="1"/>
                <w:color w:val="auto"/>
                <w:w w:val="84"/>
              </w:rPr>
              <w:t>Operating</w:t>
            </w: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i w:val="1"/>
                <w:iCs w:val="1"/>
                <w:color w:val="auto"/>
                <w:w w:val="87"/>
              </w:rPr>
              <w:t>Operating</w:t>
            </w:r>
          </w:p>
        </w:tc>
        <w:tc>
          <w:tcPr>
            <w:tcW w:w="280" w:type="dxa"/>
            <w:vAlign w:val="bottom"/>
          </w:tcPr>
          <w:p>
            <w:pPr>
              <w:spacing w:after="0"/>
              <w:rPr>
                <w:sz w:val="12"/>
                <w:szCs w:val="12"/>
                <w:color w:val="auto"/>
              </w:rPr>
            </w:pPr>
          </w:p>
        </w:tc>
        <w:tc>
          <w:tcPr>
            <w:tcW w:w="114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i w:val="1"/>
                <w:iCs w:val="1"/>
                <w:color w:val="auto"/>
                <w:w w:val="87"/>
              </w:rPr>
              <w:t>Operating</w:t>
            </w:r>
          </w:p>
        </w:tc>
        <w:tc>
          <w:tcPr>
            <w:tcW w:w="6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i w:val="1"/>
                <w:iCs w:val="1"/>
                <w:color w:val="auto"/>
                <w:w w:val="84"/>
              </w:rPr>
              <w:t>Operating</w:t>
            </w:r>
          </w:p>
        </w:tc>
        <w:tc>
          <w:tcPr>
            <w:tcW w:w="360" w:type="dxa"/>
            <w:vAlign w:val="bottom"/>
          </w:tcPr>
          <w:p>
            <w:pPr>
              <w:spacing w:after="0"/>
              <w:rPr>
                <w:sz w:val="12"/>
                <w:szCs w:val="12"/>
                <w:color w:val="auto"/>
              </w:rPr>
            </w:pPr>
          </w:p>
        </w:tc>
        <w:tc>
          <w:tcPr>
            <w:tcW w:w="840" w:type="dxa"/>
            <w:vAlign w:val="bottom"/>
            <w:gridSpan w:val="3"/>
          </w:tcPr>
          <w:p>
            <w:pPr>
              <w:ind w:left="120"/>
              <w:spacing w:after="0" w:line="149" w:lineRule="exact"/>
              <w:rPr>
                <w:sz w:val="20"/>
                <w:szCs w:val="20"/>
                <w:color w:val="auto"/>
              </w:rPr>
            </w:pPr>
            <w:r>
              <w:rPr>
                <w:rFonts w:ascii="Arial" w:cs="Arial" w:eastAsia="Arial" w:hAnsi="Arial"/>
                <w:sz w:val="14"/>
                <w:szCs w:val="14"/>
                <w:b w:val="1"/>
                <w:bCs w:val="1"/>
                <w:i w:val="1"/>
                <w:iCs w:val="1"/>
                <w:color w:val="auto"/>
              </w:rPr>
              <w:t>Operating</w:t>
            </w:r>
          </w:p>
        </w:tc>
        <w:tc>
          <w:tcPr>
            <w:tcW w:w="34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i w:val="1"/>
                <w:iCs w:val="1"/>
                <w:color w:val="auto"/>
                <w:w w:val="84"/>
              </w:rPr>
              <w:t>Operating</w:t>
            </w:r>
          </w:p>
        </w:tc>
        <w:tc>
          <w:tcPr>
            <w:tcW w:w="0" w:type="dxa"/>
            <w:vAlign w:val="bottom"/>
          </w:tcPr>
          <w:p>
            <w:pPr>
              <w:spacing w:after="0"/>
              <w:rPr>
                <w:sz w:val="1"/>
                <w:szCs w:val="1"/>
                <w:color w:val="auto"/>
              </w:rPr>
            </w:pPr>
          </w:p>
        </w:tc>
      </w:tr>
      <w:tr>
        <w:trPr>
          <w:trHeight w:val="159"/>
        </w:trPr>
        <w:tc>
          <w:tcPr>
            <w:tcW w:w="2700" w:type="dxa"/>
            <w:vAlign w:val="bottom"/>
            <w:vMerge w:val="restart"/>
          </w:tcPr>
          <w:p>
            <w:pPr>
              <w:jc w:val="center"/>
              <w:ind w:right="212"/>
              <w:spacing w:after="0"/>
              <w:rPr>
                <w:sz w:val="20"/>
                <w:szCs w:val="20"/>
                <w:color w:val="auto"/>
              </w:rPr>
            </w:pPr>
            <w:r>
              <w:rPr>
                <w:rFonts w:ascii="Arial" w:cs="Arial" w:eastAsia="Arial" w:hAnsi="Arial"/>
                <w:sz w:val="14"/>
                <w:szCs w:val="14"/>
                <w:b w:val="1"/>
                <w:bCs w:val="1"/>
                <w:i w:val="1"/>
                <w:iCs w:val="1"/>
                <w:color w:val="auto"/>
                <w:w w:val="83"/>
              </w:rPr>
              <w:t>Segment Operating Income (Loss)</w:t>
            </w:r>
          </w:p>
        </w:tc>
        <w:tc>
          <w:tcPr>
            <w:tcW w:w="160" w:type="dxa"/>
            <w:vAlign w:val="bottom"/>
          </w:tcPr>
          <w:p>
            <w:pPr>
              <w:spacing w:after="0"/>
              <w:rPr>
                <w:sz w:val="13"/>
                <w:szCs w:val="13"/>
                <w:color w:val="auto"/>
              </w:rPr>
            </w:pPr>
          </w:p>
        </w:tc>
        <w:tc>
          <w:tcPr>
            <w:tcW w:w="540" w:type="dxa"/>
            <w:vAlign w:val="bottom"/>
          </w:tcPr>
          <w:p>
            <w:pPr>
              <w:jc w:val="center"/>
              <w:ind w:right="92"/>
              <w:spacing w:after="0" w:line="159" w:lineRule="exact"/>
              <w:rPr>
                <w:sz w:val="20"/>
                <w:szCs w:val="20"/>
                <w:color w:val="auto"/>
              </w:rPr>
            </w:pPr>
            <w:r>
              <w:rPr>
                <w:rFonts w:ascii="Arial" w:cs="Arial" w:eastAsia="Arial" w:hAnsi="Arial"/>
                <w:sz w:val="14"/>
                <w:szCs w:val="14"/>
                <w:b w:val="1"/>
                <w:bCs w:val="1"/>
                <w:i w:val="1"/>
                <w:iCs w:val="1"/>
                <w:color w:val="auto"/>
                <w:w w:val="80"/>
              </w:rPr>
              <w:t>(Loss)</w:t>
            </w:r>
          </w:p>
        </w:tc>
        <w:tc>
          <w:tcPr>
            <w:tcW w:w="360" w:type="dxa"/>
            <w:vAlign w:val="bottom"/>
          </w:tcPr>
          <w:p>
            <w:pPr>
              <w:spacing w:after="0"/>
              <w:rPr>
                <w:sz w:val="13"/>
                <w:szCs w:val="13"/>
                <w:color w:val="auto"/>
              </w:rPr>
            </w:pPr>
          </w:p>
        </w:tc>
        <w:tc>
          <w:tcPr>
            <w:tcW w:w="780" w:type="dxa"/>
            <w:vAlign w:val="bottom"/>
          </w:tcPr>
          <w:p>
            <w:pPr>
              <w:jc w:val="center"/>
              <w:spacing w:after="0" w:line="159" w:lineRule="exact"/>
              <w:rPr>
                <w:sz w:val="20"/>
                <w:szCs w:val="20"/>
                <w:color w:val="auto"/>
              </w:rPr>
            </w:pPr>
            <w:r>
              <w:rPr>
                <w:rFonts w:ascii="Arial" w:cs="Arial" w:eastAsia="Arial" w:hAnsi="Arial"/>
                <w:sz w:val="14"/>
                <w:szCs w:val="14"/>
                <w:b w:val="1"/>
                <w:bCs w:val="1"/>
                <w:i w:val="1"/>
                <w:iCs w:val="1"/>
                <w:color w:val="auto"/>
                <w:w w:val="91"/>
              </w:rPr>
              <w:t>Margin</w:t>
            </w:r>
          </w:p>
        </w:tc>
        <w:tc>
          <w:tcPr>
            <w:tcW w:w="360" w:type="dxa"/>
            <w:vAlign w:val="bottom"/>
          </w:tcPr>
          <w:p>
            <w:pPr>
              <w:spacing w:after="0"/>
              <w:rPr>
                <w:sz w:val="13"/>
                <w:szCs w:val="13"/>
                <w:color w:val="auto"/>
              </w:rPr>
            </w:pPr>
          </w:p>
        </w:tc>
        <w:tc>
          <w:tcPr>
            <w:tcW w:w="1160" w:type="dxa"/>
            <w:vAlign w:val="bottom"/>
            <w:gridSpan w:val="3"/>
          </w:tcPr>
          <w:p>
            <w:pPr>
              <w:jc w:val="center"/>
              <w:ind w:right="360"/>
              <w:spacing w:after="0" w:line="159" w:lineRule="exact"/>
              <w:rPr>
                <w:sz w:val="20"/>
                <w:szCs w:val="20"/>
                <w:color w:val="auto"/>
              </w:rPr>
            </w:pPr>
            <w:r>
              <w:rPr>
                <w:rFonts w:ascii="Arial" w:cs="Arial" w:eastAsia="Arial" w:hAnsi="Arial"/>
                <w:sz w:val="14"/>
                <w:szCs w:val="14"/>
                <w:b w:val="1"/>
                <w:bCs w:val="1"/>
                <w:i w:val="1"/>
                <w:iCs w:val="1"/>
                <w:color w:val="auto"/>
                <w:w w:val="84"/>
              </w:rPr>
              <w:t>Income (Loss)</w:t>
            </w:r>
          </w:p>
        </w:tc>
        <w:tc>
          <w:tcPr>
            <w:tcW w:w="780" w:type="dxa"/>
            <w:vAlign w:val="bottom"/>
          </w:tcPr>
          <w:p>
            <w:pPr>
              <w:jc w:val="center"/>
              <w:spacing w:after="0" w:line="159" w:lineRule="exact"/>
              <w:rPr>
                <w:sz w:val="20"/>
                <w:szCs w:val="20"/>
                <w:color w:val="auto"/>
              </w:rPr>
            </w:pPr>
            <w:r>
              <w:rPr>
                <w:rFonts w:ascii="Arial" w:cs="Arial" w:eastAsia="Arial" w:hAnsi="Arial"/>
                <w:sz w:val="14"/>
                <w:szCs w:val="14"/>
                <w:b w:val="1"/>
                <w:bCs w:val="1"/>
                <w:i w:val="1"/>
                <w:iCs w:val="1"/>
                <w:color w:val="auto"/>
                <w:w w:val="91"/>
              </w:rPr>
              <w:t>Margin</w:t>
            </w:r>
          </w:p>
        </w:tc>
        <w:tc>
          <w:tcPr>
            <w:tcW w:w="280" w:type="dxa"/>
            <w:vAlign w:val="bottom"/>
          </w:tcPr>
          <w:p>
            <w:pPr>
              <w:spacing w:after="0"/>
              <w:rPr>
                <w:sz w:val="13"/>
                <w:szCs w:val="13"/>
                <w:color w:val="auto"/>
              </w:rPr>
            </w:pPr>
          </w:p>
        </w:tc>
        <w:tc>
          <w:tcPr>
            <w:tcW w:w="1140" w:type="dxa"/>
            <w:vAlign w:val="bottom"/>
            <w:gridSpan w:val="3"/>
          </w:tcPr>
          <w:p>
            <w:pPr>
              <w:jc w:val="center"/>
              <w:ind w:right="300"/>
              <w:spacing w:after="0" w:line="159" w:lineRule="exact"/>
              <w:rPr>
                <w:sz w:val="20"/>
                <w:szCs w:val="20"/>
                <w:color w:val="auto"/>
              </w:rPr>
            </w:pPr>
            <w:r>
              <w:rPr>
                <w:rFonts w:ascii="Arial" w:cs="Arial" w:eastAsia="Arial" w:hAnsi="Arial"/>
                <w:sz w:val="14"/>
                <w:szCs w:val="14"/>
                <w:b w:val="1"/>
                <w:bCs w:val="1"/>
                <w:i w:val="1"/>
                <w:iCs w:val="1"/>
                <w:color w:val="auto"/>
                <w:w w:val="84"/>
              </w:rPr>
              <w:t>Income (Loss)</w:t>
            </w:r>
          </w:p>
        </w:tc>
        <w:tc>
          <w:tcPr>
            <w:tcW w:w="60" w:type="dxa"/>
            <w:vAlign w:val="bottom"/>
          </w:tcPr>
          <w:p>
            <w:pPr>
              <w:spacing w:after="0"/>
              <w:rPr>
                <w:sz w:val="13"/>
                <w:szCs w:val="13"/>
                <w:color w:val="auto"/>
              </w:rPr>
            </w:pPr>
          </w:p>
        </w:tc>
        <w:tc>
          <w:tcPr>
            <w:tcW w:w="780" w:type="dxa"/>
            <w:vAlign w:val="bottom"/>
          </w:tcPr>
          <w:p>
            <w:pPr>
              <w:ind w:left="180"/>
              <w:spacing w:after="0" w:line="159" w:lineRule="exact"/>
              <w:rPr>
                <w:sz w:val="20"/>
                <w:szCs w:val="20"/>
                <w:color w:val="auto"/>
              </w:rPr>
            </w:pPr>
            <w:r>
              <w:rPr>
                <w:rFonts w:ascii="Arial" w:cs="Arial" w:eastAsia="Arial" w:hAnsi="Arial"/>
                <w:sz w:val="14"/>
                <w:szCs w:val="14"/>
                <w:b w:val="1"/>
                <w:bCs w:val="1"/>
                <w:i w:val="1"/>
                <w:iCs w:val="1"/>
                <w:color w:val="auto"/>
              </w:rPr>
              <w:t>Margin</w:t>
            </w:r>
          </w:p>
        </w:tc>
        <w:tc>
          <w:tcPr>
            <w:tcW w:w="360" w:type="dxa"/>
            <w:vAlign w:val="bottom"/>
          </w:tcPr>
          <w:p>
            <w:pPr>
              <w:spacing w:after="0"/>
              <w:rPr>
                <w:sz w:val="13"/>
                <w:szCs w:val="13"/>
                <w:color w:val="auto"/>
              </w:rPr>
            </w:pPr>
          </w:p>
        </w:tc>
        <w:tc>
          <w:tcPr>
            <w:tcW w:w="840" w:type="dxa"/>
            <w:vAlign w:val="bottom"/>
            <w:gridSpan w:val="3"/>
          </w:tcPr>
          <w:p>
            <w:pPr>
              <w:spacing w:after="0" w:line="159" w:lineRule="exact"/>
              <w:rPr>
                <w:sz w:val="20"/>
                <w:szCs w:val="20"/>
                <w:color w:val="auto"/>
              </w:rPr>
            </w:pPr>
            <w:r>
              <w:rPr>
                <w:rFonts w:ascii="Arial" w:cs="Arial" w:eastAsia="Arial" w:hAnsi="Arial"/>
                <w:sz w:val="14"/>
                <w:szCs w:val="14"/>
                <w:b w:val="1"/>
                <w:bCs w:val="1"/>
                <w:i w:val="1"/>
                <w:iCs w:val="1"/>
                <w:color w:val="auto"/>
                <w:w w:val="86"/>
              </w:rPr>
              <w:t>Income (Loss)</w:t>
            </w:r>
          </w:p>
        </w:tc>
        <w:tc>
          <w:tcPr>
            <w:tcW w:w="340" w:type="dxa"/>
            <w:vAlign w:val="bottom"/>
          </w:tcPr>
          <w:p>
            <w:pPr>
              <w:spacing w:after="0"/>
              <w:rPr>
                <w:sz w:val="13"/>
                <w:szCs w:val="13"/>
                <w:color w:val="auto"/>
              </w:rPr>
            </w:pPr>
          </w:p>
        </w:tc>
        <w:tc>
          <w:tcPr>
            <w:tcW w:w="780" w:type="dxa"/>
            <w:vAlign w:val="bottom"/>
          </w:tcPr>
          <w:p>
            <w:pPr>
              <w:jc w:val="center"/>
              <w:spacing w:after="0" w:line="159" w:lineRule="exact"/>
              <w:rPr>
                <w:sz w:val="20"/>
                <w:szCs w:val="20"/>
                <w:color w:val="auto"/>
              </w:rPr>
            </w:pPr>
            <w:r>
              <w:rPr>
                <w:rFonts w:ascii="Arial" w:cs="Arial" w:eastAsia="Arial" w:hAnsi="Arial"/>
                <w:sz w:val="14"/>
                <w:szCs w:val="14"/>
                <w:b w:val="1"/>
                <w:bCs w:val="1"/>
                <w:i w:val="1"/>
                <w:iCs w:val="1"/>
                <w:color w:val="auto"/>
                <w:w w:val="91"/>
              </w:rPr>
              <w:t>Margin</w:t>
            </w:r>
          </w:p>
        </w:tc>
        <w:tc>
          <w:tcPr>
            <w:tcW w:w="0" w:type="dxa"/>
            <w:vAlign w:val="bottom"/>
          </w:tcPr>
          <w:p>
            <w:pPr>
              <w:spacing w:after="0"/>
              <w:rPr>
                <w:sz w:val="1"/>
                <w:szCs w:val="1"/>
                <w:color w:val="auto"/>
              </w:rPr>
            </w:pPr>
          </w:p>
        </w:tc>
      </w:tr>
      <w:tr>
        <w:trPr>
          <w:trHeight w:val="131"/>
        </w:trPr>
        <w:tc>
          <w:tcPr>
            <w:tcW w:w="2700" w:type="dxa"/>
            <w:vAlign w:val="bottom"/>
            <w:vMerge w:val="continue"/>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vMerge w:val="restart"/>
          </w:tcPr>
          <w:p>
            <w:pPr>
              <w:jc w:val="center"/>
              <w:ind w:right="72"/>
              <w:spacing w:after="0"/>
              <w:rPr>
                <w:sz w:val="20"/>
                <w:szCs w:val="20"/>
                <w:color w:val="auto"/>
              </w:rPr>
            </w:pPr>
            <w:r>
              <w:rPr>
                <w:rFonts w:ascii="Arial" w:cs="Arial" w:eastAsia="Arial" w:hAnsi="Arial"/>
                <w:sz w:val="14"/>
                <w:szCs w:val="14"/>
                <w:b w:val="1"/>
                <w:bCs w:val="1"/>
                <w:color w:val="auto"/>
                <w:w w:val="93"/>
              </w:rPr>
              <w:t>(in</w:t>
            </w:r>
          </w:p>
        </w:tc>
        <w:tc>
          <w:tcPr>
            <w:tcW w:w="360" w:type="dxa"/>
            <w:vAlign w:val="bottom"/>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2700" w:type="dxa"/>
            <w:vAlign w:val="bottom"/>
          </w:tcPr>
          <w:p>
            <w:pPr>
              <w:jc w:val="center"/>
              <w:ind w:right="212"/>
              <w:spacing w:after="0" w:line="147" w:lineRule="exact"/>
              <w:rPr>
                <w:sz w:val="20"/>
                <w:szCs w:val="20"/>
                <w:color w:val="auto"/>
              </w:rPr>
            </w:pPr>
            <w:r>
              <w:rPr>
                <w:rFonts w:ascii="Arial" w:cs="Arial" w:eastAsia="Arial" w:hAnsi="Arial"/>
                <w:sz w:val="14"/>
                <w:szCs w:val="14"/>
                <w:b w:val="1"/>
                <w:bCs w:val="1"/>
                <w:i w:val="1"/>
                <w:iCs w:val="1"/>
                <w:color w:val="auto"/>
                <w:w w:val="86"/>
              </w:rPr>
              <w:t>and Operating</w:t>
            </w:r>
          </w:p>
        </w:tc>
        <w:tc>
          <w:tcPr>
            <w:tcW w:w="16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3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700" w:type="dxa"/>
            <w:vAlign w:val="bottom"/>
          </w:tcPr>
          <w:p>
            <w:pPr>
              <w:jc w:val="center"/>
              <w:ind w:right="212"/>
              <w:spacing w:after="0"/>
              <w:rPr>
                <w:sz w:val="20"/>
                <w:szCs w:val="20"/>
                <w:color w:val="auto"/>
              </w:rPr>
            </w:pPr>
            <w:r>
              <w:rPr>
                <w:rFonts w:ascii="Arial" w:cs="Arial" w:eastAsia="Arial" w:hAnsi="Arial"/>
                <w:sz w:val="14"/>
                <w:szCs w:val="14"/>
                <w:b w:val="1"/>
                <w:bCs w:val="1"/>
                <w:i w:val="1"/>
                <w:iCs w:val="1"/>
                <w:color w:val="auto"/>
                <w:w w:val="91"/>
              </w:rPr>
              <w:t>Margin</w:t>
            </w:r>
          </w:p>
        </w:tc>
        <w:tc>
          <w:tcPr>
            <w:tcW w:w="700" w:type="dxa"/>
            <w:vAlign w:val="bottom"/>
            <w:gridSpan w:val="2"/>
          </w:tcPr>
          <w:p>
            <w:pPr>
              <w:jc w:val="center"/>
              <w:spacing w:after="0"/>
              <w:rPr>
                <w:sz w:val="20"/>
                <w:szCs w:val="20"/>
                <w:color w:val="auto"/>
              </w:rPr>
            </w:pPr>
            <w:r>
              <w:rPr>
                <w:rFonts w:ascii="Arial" w:cs="Arial" w:eastAsia="Arial" w:hAnsi="Arial"/>
                <w:sz w:val="14"/>
                <w:szCs w:val="14"/>
                <w:b w:val="1"/>
                <w:bCs w:val="1"/>
                <w:color w:val="auto"/>
                <w:w w:val="86"/>
              </w:rPr>
              <w:t>millions)</w:t>
            </w: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gridSpan w:val="3"/>
          </w:tcPr>
          <w:p>
            <w:pPr>
              <w:ind w:left="60"/>
              <w:spacing w:after="0"/>
              <w:rPr>
                <w:sz w:val="20"/>
                <w:szCs w:val="20"/>
                <w:color w:val="auto"/>
              </w:rPr>
            </w:pPr>
            <w:r>
              <w:rPr>
                <w:rFonts w:ascii="Arial" w:cs="Arial" w:eastAsia="Arial" w:hAnsi="Arial"/>
                <w:sz w:val="14"/>
                <w:szCs w:val="14"/>
                <w:b w:val="1"/>
                <w:bCs w:val="1"/>
                <w:color w:val="auto"/>
              </w:rPr>
              <w:t>(in millions)</w:t>
            </w:r>
          </w:p>
        </w:tc>
        <w:tc>
          <w:tcPr>
            <w:tcW w:w="7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gridSpan w:val="3"/>
          </w:tcPr>
          <w:p>
            <w:pPr>
              <w:ind w:left="60"/>
              <w:spacing w:after="0"/>
              <w:rPr>
                <w:sz w:val="20"/>
                <w:szCs w:val="20"/>
                <w:color w:val="auto"/>
              </w:rPr>
            </w:pPr>
            <w:r>
              <w:rPr>
                <w:rFonts w:ascii="Arial" w:cs="Arial" w:eastAsia="Arial" w:hAnsi="Arial"/>
                <w:sz w:val="14"/>
                <w:szCs w:val="14"/>
                <w:b w:val="1"/>
                <w:bCs w:val="1"/>
                <w:color w:val="auto"/>
              </w:rPr>
              <w:t>(in millions)</w:t>
            </w: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40" w:type="dxa"/>
            <w:vAlign w:val="bottom"/>
            <w:gridSpan w:val="3"/>
          </w:tcPr>
          <w:p>
            <w:pPr>
              <w:ind w:left="60"/>
              <w:spacing w:after="0"/>
              <w:rPr>
                <w:sz w:val="20"/>
                <w:szCs w:val="20"/>
                <w:color w:val="auto"/>
              </w:rPr>
            </w:pPr>
            <w:r>
              <w:rPr>
                <w:rFonts w:ascii="Arial" w:cs="Arial" w:eastAsia="Arial" w:hAnsi="Arial"/>
                <w:sz w:val="14"/>
                <w:szCs w:val="14"/>
                <w:b w:val="1"/>
                <w:bCs w:val="1"/>
                <w:color w:val="auto"/>
                <w:w w:val="96"/>
              </w:rPr>
              <w:t>(in millions)</w:t>
            </w: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70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Itron North America</w:t>
            </w:r>
          </w:p>
        </w:tc>
        <w:tc>
          <w:tcPr>
            <w:tcW w:w="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64.6</w:t>
            </w:r>
          </w:p>
        </w:tc>
        <w:tc>
          <w:tcPr>
            <w:tcW w:w="1140" w:type="dxa"/>
            <w:vAlign w:val="bottom"/>
            <w:gridSpan w:val="2"/>
            <w:shd w:val="clear" w:color="auto" w:fill="CCEEFF"/>
          </w:tcPr>
          <w:p>
            <w:pPr>
              <w:jc w:val="center"/>
              <w:ind w:left="272"/>
              <w:spacing w:after="0" w:line="149" w:lineRule="exact"/>
              <w:rPr>
                <w:sz w:val="20"/>
                <w:szCs w:val="20"/>
                <w:color w:val="auto"/>
              </w:rPr>
            </w:pPr>
            <w:r>
              <w:rPr>
                <w:rFonts w:ascii="Arial" w:cs="Arial" w:eastAsia="Arial" w:hAnsi="Arial"/>
                <w:sz w:val="14"/>
                <w:szCs w:val="14"/>
                <w:color w:val="auto"/>
                <w:w w:val="85"/>
              </w:rPr>
              <w:t>20%</w:t>
            </w:r>
          </w:p>
        </w:tc>
        <w:tc>
          <w:tcPr>
            <w:tcW w:w="64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w:t>
            </w:r>
          </w:p>
        </w:tc>
        <w:tc>
          <w:tcPr>
            <w:tcW w:w="360" w:type="dxa"/>
            <w:vAlign w:val="bottom"/>
            <w:shd w:val="clear" w:color="auto" w:fill="CCEEFF"/>
          </w:tcPr>
          <w:p>
            <w:pPr>
              <w:spacing w:after="0"/>
              <w:rPr>
                <w:sz w:val="12"/>
                <w:szCs w:val="12"/>
                <w:color w:val="auto"/>
              </w:rPr>
            </w:pPr>
          </w:p>
        </w:tc>
        <w:tc>
          <w:tcPr>
            <w:tcW w:w="7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7"/>
              </w:rPr>
              <w:t>(1%)</w:t>
            </w:r>
          </w:p>
        </w:tc>
        <w:tc>
          <w:tcPr>
            <w:tcW w:w="580" w:type="dxa"/>
            <w:vAlign w:val="bottom"/>
            <w:gridSpan w:val="2"/>
            <w:shd w:val="clear" w:color="auto" w:fill="CCEEFF"/>
          </w:tcPr>
          <w:p>
            <w:pPr>
              <w:ind w:left="360"/>
              <w:spacing w:after="0" w:line="149" w:lineRule="exact"/>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155.9</w:t>
            </w:r>
          </w:p>
        </w:tc>
        <w:tc>
          <w:tcPr>
            <w:tcW w:w="3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center"/>
              <w:ind w:left="132"/>
              <w:spacing w:after="0" w:line="149" w:lineRule="exact"/>
              <w:rPr>
                <w:sz w:val="20"/>
                <w:szCs w:val="20"/>
                <w:color w:val="auto"/>
              </w:rPr>
            </w:pPr>
            <w:r>
              <w:rPr>
                <w:rFonts w:ascii="Arial" w:cs="Arial" w:eastAsia="Arial" w:hAnsi="Arial"/>
                <w:sz w:val="14"/>
                <w:szCs w:val="14"/>
                <w:color w:val="auto"/>
                <w:w w:val="85"/>
              </w:rPr>
              <w:t>18%</w:t>
            </w:r>
          </w:p>
        </w:tc>
        <w:tc>
          <w:tcPr>
            <w:tcW w:w="64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12.5</w:t>
            </w:r>
          </w:p>
        </w:tc>
        <w:tc>
          <w:tcPr>
            <w:tcW w:w="2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center"/>
              <w:ind w:left="272"/>
              <w:spacing w:after="0" w:line="149" w:lineRule="exact"/>
              <w:rPr>
                <w:sz w:val="20"/>
                <w:szCs w:val="20"/>
                <w:color w:val="auto"/>
              </w:rPr>
            </w:pPr>
            <w:r>
              <w:rPr>
                <w:rFonts w:ascii="Arial" w:cs="Arial" w:eastAsia="Arial" w:hAnsi="Arial"/>
                <w:sz w:val="14"/>
                <w:szCs w:val="14"/>
                <w:color w:val="auto"/>
                <w:w w:val="88"/>
              </w:rPr>
              <w:t>3%</w:t>
            </w:r>
          </w:p>
        </w:tc>
        <w:tc>
          <w:tcPr>
            <w:tcW w:w="0" w:type="dxa"/>
            <w:vAlign w:val="bottom"/>
          </w:tcPr>
          <w:p>
            <w:pPr>
              <w:spacing w:after="0"/>
              <w:rPr>
                <w:sz w:val="1"/>
                <w:szCs w:val="1"/>
                <w:color w:val="auto"/>
              </w:rPr>
            </w:pPr>
          </w:p>
        </w:tc>
      </w:tr>
      <w:tr>
        <w:trPr>
          <w:trHeight w:val="149"/>
        </w:trPr>
        <w:tc>
          <w:tcPr>
            <w:tcW w:w="2700" w:type="dxa"/>
            <w:vAlign w:val="bottom"/>
          </w:tcPr>
          <w:p>
            <w:pPr>
              <w:ind w:left="220"/>
              <w:spacing w:after="0" w:line="149" w:lineRule="exact"/>
              <w:rPr>
                <w:sz w:val="20"/>
                <w:szCs w:val="20"/>
                <w:color w:val="auto"/>
              </w:rPr>
            </w:pPr>
            <w:r>
              <w:rPr>
                <w:rFonts w:ascii="Arial" w:cs="Arial" w:eastAsia="Arial" w:hAnsi="Arial"/>
                <w:sz w:val="14"/>
                <w:szCs w:val="14"/>
                <w:color w:val="auto"/>
              </w:rPr>
              <w:t>Itron International</w:t>
            </w:r>
          </w:p>
        </w:tc>
        <w:tc>
          <w:tcPr>
            <w:tcW w:w="16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7.6</w:t>
            </w:r>
          </w:p>
        </w:tc>
        <w:tc>
          <w:tcPr>
            <w:tcW w:w="1140" w:type="dxa"/>
            <w:vAlign w:val="bottom"/>
            <w:gridSpan w:val="2"/>
          </w:tcPr>
          <w:p>
            <w:pPr>
              <w:jc w:val="center"/>
              <w:ind w:left="292"/>
              <w:spacing w:after="0" w:line="149" w:lineRule="exact"/>
              <w:rPr>
                <w:sz w:val="20"/>
                <w:szCs w:val="20"/>
                <w:color w:val="auto"/>
              </w:rPr>
            </w:pPr>
            <w:r>
              <w:rPr>
                <w:rFonts w:ascii="Arial" w:cs="Arial" w:eastAsia="Arial" w:hAnsi="Arial"/>
                <w:sz w:val="14"/>
                <w:szCs w:val="14"/>
                <w:color w:val="auto"/>
                <w:w w:val="88"/>
              </w:rPr>
              <w:t>3%</w:t>
            </w:r>
          </w:p>
        </w:tc>
        <w:tc>
          <w:tcPr>
            <w:tcW w:w="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17.3</w:t>
            </w:r>
          </w:p>
        </w:tc>
        <w:tc>
          <w:tcPr>
            <w:tcW w:w="36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color w:val="auto"/>
                <w:w w:val="88"/>
              </w:rPr>
              <w:t>6%</w:t>
            </w:r>
          </w:p>
        </w:tc>
        <w:tc>
          <w:tcPr>
            <w:tcW w:w="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20" w:type="dxa"/>
            <w:vAlign w:val="bottom"/>
          </w:tcPr>
          <w:p>
            <w:pPr>
              <w:jc w:val="right"/>
              <w:ind w:right="12"/>
              <w:spacing w:after="0" w:line="149" w:lineRule="exact"/>
              <w:rPr>
                <w:sz w:val="20"/>
                <w:szCs w:val="20"/>
                <w:color w:val="auto"/>
              </w:rPr>
            </w:pPr>
            <w:r>
              <w:rPr>
                <w:rFonts w:ascii="Arial" w:cs="Arial" w:eastAsia="Arial" w:hAnsi="Arial"/>
                <w:sz w:val="14"/>
                <w:szCs w:val="14"/>
                <w:color w:val="auto"/>
              </w:rPr>
              <w:t>23.3</w:t>
            </w:r>
          </w:p>
        </w:tc>
        <w:tc>
          <w:tcPr>
            <w:tcW w:w="320" w:type="dxa"/>
            <w:vAlign w:val="bottom"/>
          </w:tcPr>
          <w:p>
            <w:pPr>
              <w:spacing w:after="0"/>
              <w:rPr>
                <w:sz w:val="12"/>
                <w:szCs w:val="12"/>
                <w:color w:val="auto"/>
              </w:rPr>
            </w:pPr>
          </w:p>
        </w:tc>
        <w:tc>
          <w:tcPr>
            <w:tcW w:w="840" w:type="dxa"/>
            <w:vAlign w:val="bottom"/>
            <w:gridSpan w:val="2"/>
          </w:tcPr>
          <w:p>
            <w:pPr>
              <w:jc w:val="center"/>
              <w:ind w:left="112"/>
              <w:spacing w:after="0" w:line="149" w:lineRule="exact"/>
              <w:rPr>
                <w:sz w:val="20"/>
                <w:szCs w:val="20"/>
                <w:color w:val="auto"/>
              </w:rPr>
            </w:pPr>
            <w:r>
              <w:rPr>
                <w:rFonts w:ascii="Arial" w:cs="Arial" w:eastAsia="Arial" w:hAnsi="Arial"/>
                <w:sz w:val="14"/>
                <w:szCs w:val="14"/>
                <w:color w:val="auto"/>
                <w:w w:val="88"/>
              </w:rPr>
              <w:t>3%</w:t>
            </w:r>
          </w:p>
        </w:tc>
        <w:tc>
          <w:tcPr>
            <w:tcW w:w="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40" w:type="dxa"/>
            <w:vAlign w:val="bottom"/>
          </w:tcPr>
          <w:p>
            <w:pPr>
              <w:jc w:val="right"/>
              <w:ind w:right="12"/>
              <w:spacing w:after="0" w:line="149" w:lineRule="exact"/>
              <w:rPr>
                <w:sz w:val="20"/>
                <w:szCs w:val="20"/>
                <w:color w:val="auto"/>
              </w:rPr>
            </w:pPr>
            <w:r>
              <w:rPr>
                <w:rFonts w:ascii="Arial" w:cs="Arial" w:eastAsia="Arial" w:hAnsi="Arial"/>
                <w:sz w:val="14"/>
                <w:szCs w:val="14"/>
                <w:color w:val="auto"/>
              </w:rPr>
              <w:t>40.0</w:t>
            </w:r>
          </w:p>
        </w:tc>
        <w:tc>
          <w:tcPr>
            <w:tcW w:w="20" w:type="dxa"/>
            <w:vAlign w:val="bottom"/>
          </w:tcPr>
          <w:p>
            <w:pPr>
              <w:spacing w:after="0"/>
              <w:rPr>
                <w:sz w:val="12"/>
                <w:szCs w:val="12"/>
                <w:color w:val="auto"/>
              </w:rPr>
            </w:pPr>
          </w:p>
        </w:tc>
        <w:tc>
          <w:tcPr>
            <w:tcW w:w="1120" w:type="dxa"/>
            <w:vAlign w:val="bottom"/>
            <w:gridSpan w:val="2"/>
          </w:tcPr>
          <w:p>
            <w:pPr>
              <w:jc w:val="center"/>
              <w:ind w:left="272"/>
              <w:spacing w:after="0" w:line="149" w:lineRule="exact"/>
              <w:rPr>
                <w:sz w:val="20"/>
                <w:szCs w:val="20"/>
                <w:color w:val="auto"/>
              </w:rPr>
            </w:pPr>
            <w:r>
              <w:rPr>
                <w:rFonts w:ascii="Arial" w:cs="Arial" w:eastAsia="Arial" w:hAnsi="Arial"/>
                <w:sz w:val="14"/>
                <w:szCs w:val="14"/>
                <w:color w:val="auto"/>
                <w:w w:val="88"/>
              </w:rPr>
              <w:t>5%</w:t>
            </w:r>
          </w:p>
        </w:tc>
        <w:tc>
          <w:tcPr>
            <w:tcW w:w="0" w:type="dxa"/>
            <w:vAlign w:val="bottom"/>
          </w:tcPr>
          <w:p>
            <w:pPr>
              <w:spacing w:after="0"/>
              <w:rPr>
                <w:sz w:val="1"/>
                <w:szCs w:val="1"/>
                <w:color w:val="auto"/>
              </w:rPr>
            </w:pPr>
          </w:p>
        </w:tc>
      </w:tr>
      <w:tr>
        <w:trPr>
          <w:trHeight w:val="149"/>
        </w:trPr>
        <w:tc>
          <w:tcPr>
            <w:tcW w:w="270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Corporate unallocated</w:t>
            </w:r>
          </w:p>
        </w:tc>
        <w:tc>
          <w:tcPr>
            <w:tcW w:w="160" w:type="dxa"/>
            <w:vAlign w:val="bottom"/>
            <w:tcBorders>
              <w:bottom w:val="single" w:sz="8" w:color="auto"/>
            </w:tcBorders>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(10.8)</w:t>
            </w:r>
          </w:p>
        </w:tc>
        <w:tc>
          <w:tcPr>
            <w:tcW w:w="3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80" w:type="dxa"/>
            <w:vAlign w:val="bottom"/>
            <w:tcBorders>
              <w:bottom w:val="single" w:sz="8" w:color="auto"/>
            </w:tcBorders>
            <w:shd w:val="clear" w:color="auto" w:fill="CCEEFF"/>
          </w:tcPr>
          <w:p>
            <w:pPr>
              <w:spacing w:after="0"/>
              <w:rPr>
                <w:sz w:val="12"/>
                <w:szCs w:val="12"/>
                <w:color w:val="auto"/>
              </w:rPr>
            </w:pPr>
          </w:p>
        </w:tc>
        <w:tc>
          <w:tcPr>
            <w:tcW w:w="5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(7.1)</w:t>
            </w:r>
          </w:p>
        </w:tc>
        <w:tc>
          <w:tcPr>
            <w:tcW w:w="3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00" w:type="dxa"/>
            <w:vAlign w:val="bottom"/>
            <w:tcBorders>
              <w:bottom w:val="single" w:sz="8" w:color="auto"/>
            </w:tcBorders>
            <w:shd w:val="clear" w:color="auto" w:fill="CCEEFF"/>
          </w:tcPr>
          <w:p>
            <w:pPr>
              <w:spacing w:after="0"/>
              <w:rPr>
                <w:sz w:val="12"/>
                <w:szCs w:val="12"/>
                <w:color w:val="auto"/>
              </w:rPr>
            </w:pPr>
          </w:p>
        </w:tc>
        <w:tc>
          <w:tcPr>
            <w:tcW w:w="5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(32.1)</w:t>
            </w:r>
          </w:p>
        </w:tc>
        <w:tc>
          <w:tcPr>
            <w:tcW w:w="3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80" w:type="dxa"/>
            <w:vAlign w:val="bottom"/>
            <w:tcBorders>
              <w:bottom w:val="single" w:sz="8" w:color="auto"/>
            </w:tcBorders>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(22.8)</w:t>
            </w:r>
          </w:p>
        </w:tc>
        <w:tc>
          <w:tcPr>
            <w:tcW w:w="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700" w:type="dxa"/>
            <w:vAlign w:val="bottom"/>
          </w:tcPr>
          <w:p>
            <w:pPr>
              <w:ind w:left="440"/>
              <w:spacing w:after="0" w:line="155" w:lineRule="exact"/>
              <w:rPr>
                <w:sz w:val="20"/>
                <w:szCs w:val="20"/>
                <w:color w:val="auto"/>
              </w:rPr>
            </w:pPr>
            <w:r>
              <w:rPr>
                <w:rFonts w:ascii="Arial" w:cs="Arial" w:eastAsia="Arial" w:hAnsi="Arial"/>
                <w:sz w:val="14"/>
                <w:szCs w:val="14"/>
                <w:color w:val="auto"/>
              </w:rPr>
              <w:t>Total Company</w:t>
            </w:r>
          </w:p>
        </w:tc>
        <w:tc>
          <w:tcPr>
            <w:tcW w:w="16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540" w:type="dxa"/>
            <w:vAlign w:val="bottom"/>
          </w:tcPr>
          <w:p>
            <w:pPr>
              <w:jc w:val="right"/>
              <w:spacing w:after="0" w:line="155" w:lineRule="exact"/>
              <w:rPr>
                <w:sz w:val="20"/>
                <w:szCs w:val="20"/>
                <w:color w:val="auto"/>
              </w:rPr>
            </w:pPr>
            <w:r>
              <w:rPr>
                <w:rFonts w:ascii="Arial" w:cs="Arial" w:eastAsia="Arial" w:hAnsi="Arial"/>
                <w:sz w:val="14"/>
                <w:szCs w:val="14"/>
                <w:color w:val="auto"/>
              </w:rPr>
              <w:t>61.4</w:t>
            </w:r>
          </w:p>
        </w:tc>
        <w:tc>
          <w:tcPr>
            <w:tcW w:w="1140" w:type="dxa"/>
            <w:vAlign w:val="bottom"/>
            <w:gridSpan w:val="2"/>
          </w:tcPr>
          <w:p>
            <w:pPr>
              <w:jc w:val="center"/>
              <w:ind w:left="272"/>
              <w:spacing w:after="0" w:line="155" w:lineRule="exact"/>
              <w:rPr>
                <w:sz w:val="20"/>
                <w:szCs w:val="20"/>
                <w:color w:val="auto"/>
              </w:rPr>
            </w:pPr>
            <w:r>
              <w:rPr>
                <w:rFonts w:ascii="Arial" w:cs="Arial" w:eastAsia="Arial" w:hAnsi="Arial"/>
                <w:sz w:val="14"/>
                <w:szCs w:val="14"/>
                <w:color w:val="auto"/>
                <w:w w:val="85"/>
              </w:rPr>
              <w:t>11%</w:t>
            </w:r>
          </w:p>
        </w:tc>
        <w:tc>
          <w:tcPr>
            <w:tcW w:w="640" w:type="dxa"/>
            <w:vAlign w:val="bottom"/>
            <w:gridSpan w:val="2"/>
          </w:tcPr>
          <w:p>
            <w:pPr>
              <w:ind w:left="420"/>
              <w:spacing w:after="0" w:line="155" w:lineRule="exact"/>
              <w:rPr>
                <w:sz w:val="20"/>
                <w:szCs w:val="20"/>
                <w:color w:val="auto"/>
              </w:rPr>
            </w:pPr>
            <w:r>
              <w:rPr>
                <w:rFonts w:ascii="Arial" w:cs="Arial" w:eastAsia="Arial" w:hAnsi="Arial"/>
                <w:sz w:val="14"/>
                <w:szCs w:val="14"/>
                <w:color w:val="auto"/>
              </w:rPr>
              <w:t>$</w:t>
            </w:r>
          </w:p>
        </w:tc>
        <w:tc>
          <w:tcPr>
            <w:tcW w:w="520" w:type="dxa"/>
            <w:vAlign w:val="bottom"/>
          </w:tcPr>
          <w:p>
            <w:pPr>
              <w:jc w:val="right"/>
              <w:spacing w:after="0" w:line="155" w:lineRule="exact"/>
              <w:rPr>
                <w:sz w:val="20"/>
                <w:szCs w:val="20"/>
                <w:color w:val="auto"/>
              </w:rPr>
            </w:pPr>
            <w:r>
              <w:rPr>
                <w:rFonts w:ascii="Arial" w:cs="Arial" w:eastAsia="Arial" w:hAnsi="Arial"/>
                <w:sz w:val="14"/>
                <w:szCs w:val="14"/>
                <w:color w:val="auto"/>
              </w:rPr>
              <w:t>9.0</w:t>
            </w:r>
          </w:p>
        </w:tc>
        <w:tc>
          <w:tcPr>
            <w:tcW w:w="360" w:type="dxa"/>
            <w:vAlign w:val="bottom"/>
          </w:tcPr>
          <w:p>
            <w:pPr>
              <w:spacing w:after="0"/>
              <w:rPr>
                <w:sz w:val="13"/>
                <w:szCs w:val="13"/>
                <w:color w:val="auto"/>
              </w:rPr>
            </w:pPr>
          </w:p>
        </w:tc>
        <w:tc>
          <w:tcPr>
            <w:tcW w:w="780" w:type="dxa"/>
            <w:vAlign w:val="bottom"/>
          </w:tcPr>
          <w:p>
            <w:pPr>
              <w:jc w:val="center"/>
              <w:spacing w:after="0" w:line="155" w:lineRule="exact"/>
              <w:rPr>
                <w:sz w:val="20"/>
                <w:szCs w:val="20"/>
                <w:color w:val="auto"/>
              </w:rPr>
            </w:pPr>
            <w:r>
              <w:rPr>
                <w:rFonts w:ascii="Arial" w:cs="Arial" w:eastAsia="Arial" w:hAnsi="Arial"/>
                <w:sz w:val="14"/>
                <w:szCs w:val="14"/>
                <w:color w:val="auto"/>
                <w:w w:val="88"/>
              </w:rPr>
              <w:t>2%</w:t>
            </w:r>
          </w:p>
        </w:tc>
        <w:tc>
          <w:tcPr>
            <w:tcW w:w="580" w:type="dxa"/>
            <w:vAlign w:val="bottom"/>
            <w:gridSpan w:val="2"/>
          </w:tcPr>
          <w:p>
            <w:pPr>
              <w:ind w:left="360"/>
              <w:spacing w:after="0" w:line="155" w:lineRule="exact"/>
              <w:rPr>
                <w:sz w:val="20"/>
                <w:szCs w:val="20"/>
                <w:color w:val="auto"/>
              </w:rPr>
            </w:pPr>
            <w:r>
              <w:rPr>
                <w:rFonts w:ascii="Arial" w:cs="Arial" w:eastAsia="Arial" w:hAnsi="Arial"/>
                <w:sz w:val="14"/>
                <w:szCs w:val="14"/>
                <w:color w:val="auto"/>
              </w:rPr>
              <w:t>$</w:t>
            </w:r>
          </w:p>
        </w:tc>
        <w:tc>
          <w:tcPr>
            <w:tcW w:w="520" w:type="dxa"/>
            <w:vAlign w:val="bottom"/>
          </w:tcPr>
          <w:p>
            <w:pPr>
              <w:jc w:val="right"/>
              <w:ind w:right="12"/>
              <w:spacing w:after="0" w:line="155" w:lineRule="exact"/>
              <w:rPr>
                <w:sz w:val="20"/>
                <w:szCs w:val="20"/>
                <w:color w:val="auto"/>
              </w:rPr>
            </w:pPr>
            <w:r>
              <w:rPr>
                <w:rFonts w:ascii="Arial" w:cs="Arial" w:eastAsia="Arial" w:hAnsi="Arial"/>
                <w:sz w:val="14"/>
                <w:szCs w:val="14"/>
                <w:color w:val="auto"/>
              </w:rPr>
              <w:t>147.1</w:t>
            </w:r>
          </w:p>
        </w:tc>
        <w:tc>
          <w:tcPr>
            <w:tcW w:w="320" w:type="dxa"/>
            <w:vAlign w:val="bottom"/>
          </w:tcPr>
          <w:p>
            <w:pPr>
              <w:spacing w:after="0"/>
              <w:rPr>
                <w:sz w:val="13"/>
                <w:szCs w:val="13"/>
                <w:color w:val="auto"/>
              </w:rPr>
            </w:pPr>
          </w:p>
        </w:tc>
        <w:tc>
          <w:tcPr>
            <w:tcW w:w="840" w:type="dxa"/>
            <w:vAlign w:val="bottom"/>
            <w:gridSpan w:val="2"/>
          </w:tcPr>
          <w:p>
            <w:pPr>
              <w:jc w:val="center"/>
              <w:ind w:left="112"/>
              <w:spacing w:after="0" w:line="155" w:lineRule="exact"/>
              <w:rPr>
                <w:sz w:val="20"/>
                <w:szCs w:val="20"/>
                <w:color w:val="auto"/>
              </w:rPr>
            </w:pPr>
            <w:r>
              <w:rPr>
                <w:rFonts w:ascii="Arial" w:cs="Arial" w:eastAsia="Arial" w:hAnsi="Arial"/>
                <w:sz w:val="14"/>
                <w:szCs w:val="14"/>
                <w:color w:val="auto"/>
                <w:w w:val="88"/>
              </w:rPr>
              <w:t>9%</w:t>
            </w:r>
          </w:p>
        </w:tc>
        <w:tc>
          <w:tcPr>
            <w:tcW w:w="640" w:type="dxa"/>
            <w:vAlign w:val="bottom"/>
            <w:gridSpan w:val="2"/>
          </w:tcPr>
          <w:p>
            <w:pPr>
              <w:ind w:left="420"/>
              <w:spacing w:after="0" w:line="155" w:lineRule="exact"/>
              <w:rPr>
                <w:sz w:val="20"/>
                <w:szCs w:val="20"/>
                <w:color w:val="auto"/>
              </w:rPr>
            </w:pPr>
            <w:r>
              <w:rPr>
                <w:rFonts w:ascii="Arial" w:cs="Arial" w:eastAsia="Arial" w:hAnsi="Arial"/>
                <w:sz w:val="14"/>
                <w:szCs w:val="14"/>
                <w:color w:val="auto"/>
              </w:rPr>
              <w:t>$</w:t>
            </w:r>
          </w:p>
        </w:tc>
        <w:tc>
          <w:tcPr>
            <w:tcW w:w="540" w:type="dxa"/>
            <w:vAlign w:val="bottom"/>
          </w:tcPr>
          <w:p>
            <w:pPr>
              <w:jc w:val="right"/>
              <w:ind w:right="12"/>
              <w:spacing w:after="0" w:line="155" w:lineRule="exact"/>
              <w:rPr>
                <w:sz w:val="20"/>
                <w:szCs w:val="20"/>
                <w:color w:val="auto"/>
              </w:rPr>
            </w:pPr>
            <w:r>
              <w:rPr>
                <w:rFonts w:ascii="Arial" w:cs="Arial" w:eastAsia="Arial" w:hAnsi="Arial"/>
                <w:sz w:val="14"/>
                <w:szCs w:val="14"/>
                <w:color w:val="auto"/>
              </w:rPr>
              <w:t>29.7</w:t>
            </w:r>
          </w:p>
        </w:tc>
        <w:tc>
          <w:tcPr>
            <w:tcW w:w="20" w:type="dxa"/>
            <w:vAlign w:val="bottom"/>
          </w:tcPr>
          <w:p>
            <w:pPr>
              <w:spacing w:after="0"/>
              <w:rPr>
                <w:sz w:val="13"/>
                <w:szCs w:val="13"/>
                <w:color w:val="auto"/>
              </w:rPr>
            </w:pPr>
          </w:p>
        </w:tc>
        <w:tc>
          <w:tcPr>
            <w:tcW w:w="1120" w:type="dxa"/>
            <w:vAlign w:val="bottom"/>
            <w:gridSpan w:val="2"/>
          </w:tcPr>
          <w:p>
            <w:pPr>
              <w:jc w:val="center"/>
              <w:ind w:left="272"/>
              <w:spacing w:after="0" w:line="155" w:lineRule="exact"/>
              <w:rPr>
                <w:sz w:val="20"/>
                <w:szCs w:val="20"/>
                <w:color w:val="auto"/>
              </w:rPr>
            </w:pPr>
            <w:r>
              <w:rPr>
                <w:rFonts w:ascii="Arial" w:cs="Arial" w:eastAsia="Arial" w:hAnsi="Arial"/>
                <w:sz w:val="14"/>
                <w:szCs w:val="14"/>
                <w:color w:val="auto"/>
                <w:w w:val="88"/>
              </w:rPr>
              <w:t>2%</w:t>
            </w:r>
          </w:p>
        </w:tc>
        <w:tc>
          <w:tcPr>
            <w:tcW w:w="0" w:type="dxa"/>
            <w:vAlign w:val="bottom"/>
          </w:tcPr>
          <w:p>
            <w:pPr>
              <w:spacing w:after="0"/>
              <w:rPr>
                <w:sz w:val="1"/>
                <w:szCs w:val="1"/>
                <w:color w:val="auto"/>
              </w:rPr>
            </w:pPr>
          </w:p>
        </w:tc>
      </w:tr>
      <w:tr>
        <w:trPr>
          <w:trHeight w:val="20"/>
        </w:trPr>
        <w:tc>
          <w:tcPr>
            <w:tcW w:w="27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41</w:t>
      </w:r>
    </w:p>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jc w:val="both"/>
        <w:spacing w:after="0" w:line="294" w:lineRule="auto"/>
        <w:rPr>
          <w:sz w:val="20"/>
          <w:szCs w:val="20"/>
          <w:color w:val="auto"/>
        </w:rPr>
      </w:pPr>
      <w:r>
        <w:rPr>
          <w:rFonts w:ascii="Arial" w:cs="Arial" w:eastAsia="Arial" w:hAnsi="Arial"/>
          <w:sz w:val="16"/>
          <w:szCs w:val="16"/>
          <w:i w:val="1"/>
          <w:iCs w:val="1"/>
          <w:color w:val="auto"/>
        </w:rPr>
        <w:t xml:space="preserve">Itron North America: </w:t>
      </w:r>
      <w:r>
        <w:rPr>
          <w:rFonts w:ascii="Arial" w:cs="Arial" w:eastAsia="Arial" w:hAnsi="Arial"/>
          <w:sz w:val="16"/>
          <w:szCs w:val="16"/>
          <w:color w:val="auto"/>
        </w:rPr>
        <w:t>Revenues increased $178.0 million and $441.9 million, or 130% and 105%, during the three and nine months ended September 30, 2010,</w:t>
      </w:r>
      <w:r>
        <w:rPr>
          <w:rFonts w:ascii="Arial" w:cs="Arial" w:eastAsia="Arial" w:hAnsi="Arial"/>
          <w:sz w:val="16"/>
          <w:szCs w:val="16"/>
          <w:i w:val="1"/>
          <w:iCs w:val="1"/>
          <w:color w:val="auto"/>
        </w:rPr>
        <w:t xml:space="preserve"> </w:t>
      </w:r>
      <w:r>
        <w:rPr>
          <w:rFonts w:ascii="Arial" w:cs="Arial" w:eastAsia="Arial" w:hAnsi="Arial"/>
          <w:sz w:val="16"/>
          <w:szCs w:val="16"/>
          <w:color w:val="auto"/>
        </w:rPr>
        <w:t>compared with the same periods last year. The increase in revenues was primarily due to the deployment on our OpenWay projects in 2010. Our OpenWay contracts accounted for 50% and 48% of operating segment revenues for the three and nine months ended September 30, 2010, compared with 15% and 8% in the same periods last year. OpenWay meter and module volumes were 1.3 million and 3.4 million in the third quarter and nine months ended September 30, 2010. Non-OpenWay revenues increased 35% and 17% for the three and nine months ended September 30, 2010, compared with the same periods last year.</w:t>
      </w:r>
    </w:p>
    <w:p>
      <w:pPr>
        <w:spacing w:after="0" w:line="116"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Gross margin increased to 35.5% in the three months ended September 30, 2010, compared with gross margin of 31.0% in the same period in 2009, due to manufacturing efficiency improvements driven by higher volumes and cost reduction efforts. Gross margin for the nine months ended September 30, 2010 was 34.2%, compared with 34.5% in the same period in 2009, due to increased compensation costs resulting from the reinstatement of our annual incentive plans in 2010, substantially offset by manufacturing efficiency improvements due to higher volumes and cost reduction efforts.</w:t>
      </w:r>
    </w:p>
    <w:p>
      <w:pPr>
        <w:spacing w:after="0" w:line="113"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Three customers each represented more than 10% of Itron North America revenues in the three and nine months ended September 30, 2010. No customer represented more than 10% of Itron North America operating segment revenues in the three and nine months ended September 30, 2009.</w:t>
      </w:r>
    </w:p>
    <w:p>
      <w:pPr>
        <w:spacing w:after="0" w:line="85"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Itron North America operating expenses increased $3.6 million and $6.7 million, or 8% and 5%, for the three and nine months ended September 30, 2010, compared with the same periods in 2009, primarily due to increased compensation expense. These higher costs were partially offset by a scheduled decrease in amortization of intangible assets. As a result of higher revenues, operating expenses as a percentage of revenues were 15% and 16% for the three and nine months ended September 30, 2010, compared with 32% for the same periods in 2009.</w:t>
      </w:r>
    </w:p>
    <w:p>
      <w:pPr>
        <w:spacing w:after="0" w:line="11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i w:val="1"/>
          <w:iCs w:val="1"/>
          <w:color w:val="auto"/>
        </w:rPr>
        <w:t>Itron International</w:t>
      </w:r>
      <w:r>
        <w:rPr>
          <w:rFonts w:ascii="Arial" w:cs="Arial" w:eastAsia="Arial" w:hAnsi="Arial"/>
          <w:sz w:val="18"/>
          <w:szCs w:val="18"/>
          <w:color w:val="auto"/>
        </w:rPr>
        <w:t>: Revenues decreased $10.4 million, or 4%, for the three months ended September 30, 2010, and decreased $7.8 million, or 1%, for the nine</w:t>
      </w:r>
      <w:r>
        <w:rPr>
          <w:rFonts w:ascii="Arial" w:cs="Arial" w:eastAsia="Arial" w:hAnsi="Arial"/>
          <w:sz w:val="18"/>
          <w:szCs w:val="18"/>
          <w:i w:val="1"/>
          <w:iCs w:val="1"/>
          <w:color w:val="auto"/>
        </w:rPr>
        <w:t xml:space="preserve"> </w:t>
      </w:r>
      <w:r>
        <w:rPr>
          <w:rFonts w:ascii="Arial" w:cs="Arial" w:eastAsia="Arial" w:hAnsi="Arial"/>
          <w:sz w:val="18"/>
          <w:szCs w:val="18"/>
          <w:color w:val="auto"/>
        </w:rPr>
        <w:t>months ended September 30, 2010, compared with the same periods in 2009. Excluding the translation effect to the U.S. dollar, revenues increased 1% in the third quarter of 2010, compared with the same period last year. There was minimal translation impact on revenues for the nine months ended September 30, 2010, compared with the same period last year. Meter volumes were 5% higher for the third quarter of 2010 and 4% lower for the nine months ended September 30, 2010, compared with the same periods last year. Itron International experiences variability in revenues as a result of the diverse economies in which it operates and sells its products.</w:t>
      </w:r>
    </w:p>
    <w:p>
      <w:pPr>
        <w:spacing w:after="0" w:line="144"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Gross margin decreased 4.3 percentage points and 2.6 percentage points in the three and nine months ended September 30, 2010, compared with the same periods in 2009, due primarily to increased warranty expense of $4.2 million and $13.8 million recorded in those respective periods for the arbitration claims in Sweden, as discussed in Item 1: “Financial Statements Note 11: Commitments and Contingencies”. Gross margins in 2010 were also lower due to facility movement and consolidation expenses, an increase in material costs, and foreign currency translation.</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auto"/>
        </w:rPr>
        <w:t>Business line revenues as a percentage of total Itron International operating segment revenues were as follows: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400" w:type="dxa"/>
            <w:vAlign w:val="bottom"/>
          </w:tcPr>
          <w:p>
            <w:pPr>
              <w:spacing w:after="0"/>
              <w:rPr>
                <w:sz w:val="19"/>
                <w:szCs w:val="19"/>
                <w:color w:val="auto"/>
              </w:rPr>
            </w:pPr>
          </w:p>
        </w:tc>
        <w:tc>
          <w:tcPr>
            <w:tcW w:w="3040" w:type="dxa"/>
            <w:vAlign w:val="bottom"/>
            <w:tcBorders>
              <w:bottom w:val="single" w:sz="8" w:color="auto"/>
            </w:tcBorders>
            <w:gridSpan w:val="3"/>
          </w:tcPr>
          <w:p>
            <w:pPr>
              <w:ind w:left="160"/>
              <w:spacing w:after="0"/>
              <w:rPr>
                <w:sz w:val="20"/>
                <w:szCs w:val="20"/>
                <w:color w:val="auto"/>
              </w:rPr>
            </w:pPr>
            <w:r>
              <w:rPr>
                <w:rFonts w:ascii="Arial" w:cs="Arial" w:eastAsia="Arial" w:hAnsi="Arial"/>
                <w:sz w:val="18"/>
                <w:szCs w:val="18"/>
                <w:b w:val="1"/>
                <w:bCs w:val="1"/>
                <w:color w:val="auto"/>
                <w:w w:val="93"/>
              </w:rPr>
              <w:t>Three Months Ended September 30,</w:t>
            </w:r>
          </w:p>
        </w:tc>
        <w:tc>
          <w:tcPr>
            <w:tcW w:w="360" w:type="dxa"/>
            <w:vAlign w:val="bottom"/>
          </w:tcPr>
          <w:p>
            <w:pPr>
              <w:spacing w:after="0"/>
              <w:rPr>
                <w:sz w:val="19"/>
                <w:szCs w:val="19"/>
                <w:color w:val="auto"/>
              </w:rPr>
            </w:pPr>
          </w:p>
        </w:tc>
        <w:tc>
          <w:tcPr>
            <w:tcW w:w="2960" w:type="dxa"/>
            <w:vAlign w:val="bottom"/>
            <w:tcBorders>
              <w:bottom w:val="single" w:sz="8" w:color="auto"/>
            </w:tcBorders>
            <w:gridSpan w:val="3"/>
          </w:tcPr>
          <w:p>
            <w:pPr>
              <w:ind w:left="180"/>
              <w:spacing w:after="0"/>
              <w:rPr>
                <w:sz w:val="20"/>
                <w:szCs w:val="20"/>
                <w:color w:val="auto"/>
              </w:rPr>
            </w:pPr>
            <w:r>
              <w:rPr>
                <w:rFonts w:ascii="Arial" w:cs="Arial" w:eastAsia="Arial" w:hAnsi="Arial"/>
                <w:sz w:val="18"/>
                <w:szCs w:val="18"/>
                <w:b w:val="1"/>
                <w:bCs w:val="1"/>
                <w:color w:val="auto"/>
                <w:w w:val="93"/>
              </w:rPr>
              <w:t>Nine Months Ended September 30,</w:t>
            </w:r>
          </w:p>
        </w:tc>
      </w:tr>
      <w:tr>
        <w:trPr>
          <w:trHeight w:val="212"/>
        </w:trPr>
        <w:tc>
          <w:tcPr>
            <w:tcW w:w="1400" w:type="dxa"/>
            <w:vAlign w:val="bottom"/>
          </w:tcPr>
          <w:p>
            <w:pPr>
              <w:spacing w:after="0"/>
              <w:rPr>
                <w:sz w:val="18"/>
                <w:szCs w:val="18"/>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2010</w:t>
            </w:r>
          </w:p>
        </w:tc>
        <w:tc>
          <w:tcPr>
            <w:tcW w:w="360" w:type="dxa"/>
            <w:vAlign w:val="bottom"/>
          </w:tcPr>
          <w:p>
            <w:pPr>
              <w:spacing w:after="0"/>
              <w:rPr>
                <w:sz w:val="18"/>
                <w:szCs w:val="18"/>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2009</w:t>
            </w:r>
          </w:p>
        </w:tc>
        <w:tc>
          <w:tcPr>
            <w:tcW w:w="360" w:type="dxa"/>
            <w:vAlign w:val="bottom"/>
          </w:tcPr>
          <w:p>
            <w:pPr>
              <w:spacing w:after="0"/>
              <w:rPr>
                <w:sz w:val="18"/>
                <w:szCs w:val="18"/>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2010</w:t>
            </w:r>
          </w:p>
        </w:tc>
        <w:tc>
          <w:tcPr>
            <w:tcW w:w="380" w:type="dxa"/>
            <w:vAlign w:val="bottom"/>
          </w:tcPr>
          <w:p>
            <w:pPr>
              <w:spacing w:after="0"/>
              <w:rPr>
                <w:sz w:val="18"/>
                <w:szCs w:val="18"/>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4"/>
              </w:rPr>
              <w:t>2009</w:t>
            </w:r>
          </w:p>
        </w:tc>
      </w:tr>
      <w:tr>
        <w:trPr>
          <w:trHeight w:val="210"/>
        </w:trPr>
        <w:tc>
          <w:tcPr>
            <w:tcW w:w="1400" w:type="dxa"/>
            <w:vAlign w:val="bottom"/>
            <w:shd w:val="clear" w:color="auto" w:fill="CCEEFF"/>
          </w:tcPr>
          <w:p>
            <w:pPr>
              <w:spacing w:after="0"/>
              <w:rPr>
                <w:sz w:val="20"/>
                <w:szCs w:val="20"/>
                <w:color w:val="auto"/>
              </w:rPr>
            </w:pPr>
            <w:r>
              <w:rPr>
                <w:rFonts w:ascii="Arial" w:cs="Arial" w:eastAsia="Arial" w:hAnsi="Arial"/>
                <w:sz w:val="18"/>
                <w:szCs w:val="18"/>
                <w:color w:val="auto"/>
              </w:rPr>
              <w:t>Electricity</w:t>
            </w:r>
          </w:p>
        </w:tc>
        <w:tc>
          <w:tcPr>
            <w:tcW w:w="1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40%</w:t>
            </w:r>
          </w:p>
        </w:tc>
        <w:tc>
          <w:tcPr>
            <w:tcW w:w="1720" w:type="dxa"/>
            <w:vAlign w:val="bottom"/>
            <w:gridSpan w:val="2"/>
            <w:shd w:val="clear" w:color="auto" w:fill="CCEEFF"/>
          </w:tcPr>
          <w:p>
            <w:pPr>
              <w:jc w:val="center"/>
              <w:ind w:left="272"/>
              <w:spacing w:after="0"/>
              <w:rPr>
                <w:sz w:val="20"/>
                <w:szCs w:val="20"/>
                <w:color w:val="auto"/>
              </w:rPr>
            </w:pPr>
            <w:r>
              <w:rPr>
                <w:rFonts w:ascii="Arial" w:cs="Arial" w:eastAsia="Arial" w:hAnsi="Arial"/>
                <w:sz w:val="18"/>
                <w:szCs w:val="18"/>
                <w:color w:val="auto"/>
                <w:w w:val="88"/>
              </w:rPr>
              <w:t>42%</w:t>
            </w:r>
          </w:p>
        </w:tc>
        <w:tc>
          <w:tcPr>
            <w:tcW w:w="1640" w:type="dxa"/>
            <w:vAlign w:val="bottom"/>
            <w:gridSpan w:val="2"/>
            <w:shd w:val="clear" w:color="auto" w:fill="CCEEFF"/>
          </w:tcPr>
          <w:p>
            <w:pPr>
              <w:jc w:val="center"/>
              <w:ind w:left="272"/>
              <w:spacing w:after="0"/>
              <w:rPr>
                <w:sz w:val="20"/>
                <w:szCs w:val="20"/>
                <w:color w:val="auto"/>
              </w:rPr>
            </w:pPr>
            <w:r>
              <w:rPr>
                <w:rFonts w:ascii="Arial" w:cs="Arial" w:eastAsia="Arial" w:hAnsi="Arial"/>
                <w:sz w:val="18"/>
                <w:szCs w:val="18"/>
                <w:color w:val="auto"/>
                <w:w w:val="88"/>
              </w:rPr>
              <w:t>39%</w:t>
            </w:r>
          </w:p>
        </w:tc>
        <w:tc>
          <w:tcPr>
            <w:tcW w:w="1680" w:type="dxa"/>
            <w:vAlign w:val="bottom"/>
            <w:gridSpan w:val="2"/>
            <w:shd w:val="clear" w:color="auto" w:fill="CCEEFF"/>
          </w:tcPr>
          <w:p>
            <w:pPr>
              <w:jc w:val="center"/>
              <w:ind w:left="312"/>
              <w:spacing w:after="0"/>
              <w:rPr>
                <w:sz w:val="20"/>
                <w:szCs w:val="20"/>
                <w:color w:val="auto"/>
              </w:rPr>
            </w:pPr>
            <w:r>
              <w:rPr>
                <w:rFonts w:ascii="Arial" w:cs="Arial" w:eastAsia="Arial" w:hAnsi="Arial"/>
                <w:sz w:val="18"/>
                <w:szCs w:val="18"/>
                <w:color w:val="auto"/>
                <w:w w:val="88"/>
              </w:rPr>
              <w:t>40%</w:t>
            </w:r>
          </w:p>
        </w:tc>
      </w:tr>
      <w:tr>
        <w:trPr>
          <w:trHeight w:val="216"/>
        </w:trPr>
        <w:tc>
          <w:tcPr>
            <w:tcW w:w="1400" w:type="dxa"/>
            <w:vAlign w:val="bottom"/>
          </w:tcPr>
          <w:p>
            <w:pPr>
              <w:spacing w:after="0"/>
              <w:rPr>
                <w:sz w:val="20"/>
                <w:szCs w:val="20"/>
                <w:color w:val="auto"/>
              </w:rPr>
            </w:pPr>
            <w:r>
              <w:rPr>
                <w:rFonts w:ascii="Arial" w:cs="Arial" w:eastAsia="Arial" w:hAnsi="Arial"/>
                <w:sz w:val="18"/>
                <w:szCs w:val="18"/>
                <w:color w:val="auto"/>
              </w:rPr>
              <w:t>Water</w:t>
            </w:r>
          </w:p>
        </w:tc>
        <w:tc>
          <w:tcPr>
            <w:tcW w:w="1320" w:type="dxa"/>
            <w:vAlign w:val="bottom"/>
          </w:tcPr>
          <w:p>
            <w:pPr>
              <w:jc w:val="center"/>
              <w:spacing w:after="0"/>
              <w:rPr>
                <w:sz w:val="20"/>
                <w:szCs w:val="20"/>
                <w:color w:val="auto"/>
              </w:rPr>
            </w:pPr>
            <w:r>
              <w:rPr>
                <w:rFonts w:ascii="Arial" w:cs="Arial" w:eastAsia="Arial" w:hAnsi="Arial"/>
                <w:sz w:val="18"/>
                <w:szCs w:val="18"/>
                <w:color w:val="auto"/>
                <w:w w:val="88"/>
              </w:rPr>
              <w:t>30%</w:t>
            </w:r>
          </w:p>
        </w:tc>
        <w:tc>
          <w:tcPr>
            <w:tcW w:w="1720" w:type="dxa"/>
            <w:vAlign w:val="bottom"/>
            <w:gridSpan w:val="2"/>
          </w:tcPr>
          <w:p>
            <w:pPr>
              <w:jc w:val="center"/>
              <w:ind w:left="272"/>
              <w:spacing w:after="0"/>
              <w:rPr>
                <w:sz w:val="20"/>
                <w:szCs w:val="20"/>
                <w:color w:val="auto"/>
              </w:rPr>
            </w:pPr>
            <w:r>
              <w:rPr>
                <w:rFonts w:ascii="Arial" w:cs="Arial" w:eastAsia="Arial" w:hAnsi="Arial"/>
                <w:sz w:val="18"/>
                <w:szCs w:val="18"/>
                <w:color w:val="auto"/>
                <w:w w:val="88"/>
              </w:rPr>
              <w:t>28%</w:t>
            </w:r>
          </w:p>
        </w:tc>
        <w:tc>
          <w:tcPr>
            <w:tcW w:w="1640" w:type="dxa"/>
            <w:vAlign w:val="bottom"/>
            <w:gridSpan w:val="2"/>
          </w:tcPr>
          <w:p>
            <w:pPr>
              <w:jc w:val="center"/>
              <w:ind w:left="272"/>
              <w:spacing w:after="0"/>
              <w:rPr>
                <w:sz w:val="20"/>
                <w:szCs w:val="20"/>
                <w:color w:val="auto"/>
              </w:rPr>
            </w:pPr>
            <w:r>
              <w:rPr>
                <w:rFonts w:ascii="Arial" w:cs="Arial" w:eastAsia="Arial" w:hAnsi="Arial"/>
                <w:sz w:val="18"/>
                <w:szCs w:val="18"/>
                <w:color w:val="auto"/>
                <w:w w:val="88"/>
              </w:rPr>
              <w:t>32%</w:t>
            </w:r>
          </w:p>
        </w:tc>
        <w:tc>
          <w:tcPr>
            <w:tcW w:w="1680" w:type="dxa"/>
            <w:vAlign w:val="bottom"/>
            <w:gridSpan w:val="2"/>
          </w:tcPr>
          <w:p>
            <w:pPr>
              <w:jc w:val="center"/>
              <w:ind w:left="312"/>
              <w:spacing w:after="0"/>
              <w:rPr>
                <w:sz w:val="20"/>
                <w:szCs w:val="20"/>
                <w:color w:val="auto"/>
              </w:rPr>
            </w:pPr>
            <w:r>
              <w:rPr>
                <w:rFonts w:ascii="Arial" w:cs="Arial" w:eastAsia="Arial" w:hAnsi="Arial"/>
                <w:sz w:val="18"/>
                <w:szCs w:val="18"/>
                <w:color w:val="auto"/>
                <w:w w:val="88"/>
              </w:rPr>
              <w:t>31%</w:t>
            </w:r>
          </w:p>
        </w:tc>
      </w:tr>
      <w:tr>
        <w:trPr>
          <w:trHeight w:val="216"/>
        </w:trPr>
        <w:tc>
          <w:tcPr>
            <w:tcW w:w="1400" w:type="dxa"/>
            <w:vAlign w:val="bottom"/>
            <w:shd w:val="clear" w:color="auto" w:fill="CCEEFF"/>
          </w:tcPr>
          <w:p>
            <w:pPr>
              <w:spacing w:after="0"/>
              <w:rPr>
                <w:sz w:val="20"/>
                <w:szCs w:val="20"/>
                <w:color w:val="auto"/>
              </w:rPr>
            </w:pPr>
            <w:r>
              <w:rPr>
                <w:rFonts w:ascii="Arial" w:cs="Arial" w:eastAsia="Arial" w:hAnsi="Arial"/>
                <w:sz w:val="18"/>
                <w:szCs w:val="18"/>
                <w:color w:val="auto"/>
              </w:rPr>
              <w:t>Gas</w:t>
            </w:r>
          </w:p>
        </w:tc>
        <w:tc>
          <w:tcPr>
            <w:tcW w:w="1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30%</w:t>
            </w:r>
          </w:p>
        </w:tc>
        <w:tc>
          <w:tcPr>
            <w:tcW w:w="1720" w:type="dxa"/>
            <w:vAlign w:val="bottom"/>
            <w:gridSpan w:val="2"/>
            <w:shd w:val="clear" w:color="auto" w:fill="CCEEFF"/>
          </w:tcPr>
          <w:p>
            <w:pPr>
              <w:jc w:val="center"/>
              <w:ind w:left="272"/>
              <w:spacing w:after="0"/>
              <w:rPr>
                <w:sz w:val="20"/>
                <w:szCs w:val="20"/>
                <w:color w:val="auto"/>
              </w:rPr>
            </w:pPr>
            <w:r>
              <w:rPr>
                <w:rFonts w:ascii="Arial" w:cs="Arial" w:eastAsia="Arial" w:hAnsi="Arial"/>
                <w:sz w:val="18"/>
                <w:szCs w:val="18"/>
                <w:color w:val="auto"/>
                <w:w w:val="88"/>
              </w:rPr>
              <w:t>30%</w:t>
            </w:r>
          </w:p>
        </w:tc>
        <w:tc>
          <w:tcPr>
            <w:tcW w:w="1640" w:type="dxa"/>
            <w:vAlign w:val="bottom"/>
            <w:gridSpan w:val="2"/>
            <w:shd w:val="clear" w:color="auto" w:fill="CCEEFF"/>
          </w:tcPr>
          <w:p>
            <w:pPr>
              <w:jc w:val="center"/>
              <w:ind w:left="272"/>
              <w:spacing w:after="0"/>
              <w:rPr>
                <w:sz w:val="20"/>
                <w:szCs w:val="20"/>
                <w:color w:val="auto"/>
              </w:rPr>
            </w:pPr>
            <w:r>
              <w:rPr>
                <w:rFonts w:ascii="Arial" w:cs="Arial" w:eastAsia="Arial" w:hAnsi="Arial"/>
                <w:sz w:val="18"/>
                <w:szCs w:val="18"/>
                <w:color w:val="auto"/>
                <w:w w:val="88"/>
              </w:rPr>
              <w:t>29%</w:t>
            </w:r>
          </w:p>
        </w:tc>
        <w:tc>
          <w:tcPr>
            <w:tcW w:w="1680" w:type="dxa"/>
            <w:vAlign w:val="bottom"/>
            <w:gridSpan w:val="2"/>
            <w:shd w:val="clear" w:color="auto" w:fill="CCEEFF"/>
          </w:tcPr>
          <w:p>
            <w:pPr>
              <w:jc w:val="center"/>
              <w:ind w:left="312"/>
              <w:spacing w:after="0"/>
              <w:rPr>
                <w:sz w:val="20"/>
                <w:szCs w:val="20"/>
                <w:color w:val="auto"/>
              </w:rPr>
            </w:pPr>
            <w:r>
              <w:rPr>
                <w:rFonts w:ascii="Arial" w:cs="Arial" w:eastAsia="Arial" w:hAnsi="Arial"/>
                <w:sz w:val="18"/>
                <w:szCs w:val="18"/>
                <w:color w:val="auto"/>
                <w:w w:val="88"/>
              </w:rPr>
              <w:t>29%</w:t>
            </w:r>
          </w:p>
        </w:tc>
      </w:tr>
    </w:tbl>
    <w:p>
      <w:pPr>
        <w:spacing w:after="0" w:line="154"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No single customer represented more than 10% of Itron International operating segment revenues in the three and nine months ended September 30, 2010 and 2009.</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42</w:t>
      </w:r>
    </w:p>
    <w:p>
      <w:pPr>
        <w:sectPr>
          <w:pgSz w:w="11900" w:h="16838" w:orient="portrait"/>
          <w:cols w:equalWidth="0" w:num="1">
            <w:col w:w="11420"/>
          </w:cols>
          <w:pgMar w:left="240" w:top="45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Operating expenses for Itron International were $64.7 million and $69.7 million for the three months ended September 30, 2010 and 2009, or 25% and 26% of revenues for the respective periods. Operating expenses for the nine months ended September 30, 2010 and 2009 were $201.2 million and $207.5 million or 26% of revenues for the respective periods. Operating expenses, excluding amortization expense and before the impact of foreign currency exchange rate changes, increased 10% and 7% for the three and nine months ended September 30, 2010, compared with the same periods in 2009.</w:t>
      </w:r>
    </w:p>
    <w:p>
      <w:pPr>
        <w:spacing w:after="0" w:line="11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Corporate unallocated: </w:t>
      </w:r>
      <w:r>
        <w:rPr>
          <w:rFonts w:ascii="Arial" w:cs="Arial" w:eastAsia="Arial" w:hAnsi="Arial"/>
          <w:sz w:val="18"/>
          <w:szCs w:val="18"/>
          <w:color w:val="auto"/>
        </w:rPr>
        <w:t>Operating expenses not directly associated with an operating segment are classified as “Corporate unallocated.” These expenses increased</w:t>
      </w:r>
      <w:r>
        <w:rPr>
          <w:rFonts w:ascii="Arial" w:cs="Arial" w:eastAsia="Arial" w:hAnsi="Arial"/>
          <w:sz w:val="18"/>
          <w:szCs w:val="18"/>
          <w:i w:val="1"/>
          <w:iCs w:val="1"/>
          <w:color w:val="auto"/>
        </w:rPr>
        <w:t xml:space="preserve"> </w:t>
      </w:r>
      <w:r>
        <w:rPr>
          <w:rFonts w:ascii="Arial" w:cs="Arial" w:eastAsia="Arial" w:hAnsi="Arial"/>
          <w:sz w:val="18"/>
          <w:szCs w:val="18"/>
          <w:color w:val="auto"/>
        </w:rPr>
        <w:t>$3.7 million and $9.3 million in the three and nine months ended September 30, 2010, compared with the same periods last year, primarily due to compensation expense, including the reinstatement of bonus and profit sharing plans.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Bookings and Backlog of Orders</w:t>
      </w:r>
    </w:p>
    <w:p>
      <w:pPr>
        <w:spacing w:after="0" w:line="9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Bookings for a reported period represent customer contracts and purchase orders received during the period that have met certain conditions, such as regulatory and/or contractual approval. Total backlog represents committed but undelivered contracts and purchase orders at period-end. Twelve-month backlog represents the portion of total backlog that we estimate will be recognized as revenue over the next 12 months. Backlog is not a complete measure of our future business as we have significant book-and-ship orders. Bookings and backlog may fluctuate significantly due to the timing of large project awards. In addition, annual or multi-year contracts are subject to rescheduling and cancellation by customers due to the long-term nature of the contracts. Beginning total backlog, plus bookings, minus revenues, will not equal ending total backlog due to miscellaneous contract adjustments, foreign currency fluctuations, and other factors.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Information on bookings and backlog is summarized as follows: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center"/>
              <w:ind w:right="92"/>
              <w:spacing w:after="0"/>
              <w:rPr>
                <w:sz w:val="20"/>
                <w:szCs w:val="20"/>
                <w:color w:val="auto"/>
              </w:rPr>
            </w:pPr>
            <w:r>
              <w:rPr>
                <w:rFonts w:ascii="Arial" w:cs="Arial" w:eastAsia="Arial" w:hAnsi="Arial"/>
                <w:sz w:val="18"/>
                <w:szCs w:val="18"/>
                <w:b w:val="1"/>
                <w:bCs w:val="1"/>
                <w:color w:val="auto"/>
                <w:w w:val="91"/>
              </w:rPr>
              <w:t>Ending</w:t>
            </w: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1"/>
              </w:rPr>
              <w:t>Ending</w:t>
            </w:r>
          </w:p>
        </w:tc>
        <w:tc>
          <w:tcPr>
            <w:tcW w:w="0" w:type="dxa"/>
            <w:vAlign w:val="bottom"/>
          </w:tcPr>
          <w:p>
            <w:pPr>
              <w:spacing w:after="0"/>
              <w:rPr>
                <w:sz w:val="1"/>
                <w:szCs w:val="1"/>
                <w:color w:val="auto"/>
              </w:rPr>
            </w:pPr>
          </w:p>
        </w:tc>
      </w:tr>
      <w:tr>
        <w:trPr>
          <w:trHeight w:val="216"/>
        </w:trPr>
        <w:tc>
          <w:tcPr>
            <w:tcW w:w="3780" w:type="dxa"/>
            <w:vAlign w:val="bottom"/>
            <w:vMerge w:val="restart"/>
          </w:tcPr>
          <w:p>
            <w:pPr>
              <w:spacing w:after="0"/>
              <w:rPr>
                <w:sz w:val="20"/>
                <w:szCs w:val="20"/>
                <w:color w:val="auto"/>
              </w:rPr>
            </w:pPr>
            <w:r>
              <w:rPr>
                <w:rFonts w:ascii="Arial" w:cs="Arial" w:eastAsia="Arial" w:hAnsi="Arial"/>
                <w:sz w:val="18"/>
                <w:szCs w:val="18"/>
                <w:b w:val="1"/>
                <w:bCs w:val="1"/>
                <w:color w:val="auto"/>
              </w:rPr>
              <w:t>Quarter Ended</w:t>
            </w: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ind w:right="92"/>
              <w:spacing w:after="0"/>
              <w:rPr>
                <w:sz w:val="20"/>
                <w:szCs w:val="20"/>
                <w:color w:val="auto"/>
              </w:rPr>
            </w:pPr>
            <w:r>
              <w:rPr>
                <w:rFonts w:ascii="Arial" w:cs="Arial" w:eastAsia="Arial" w:hAnsi="Arial"/>
                <w:sz w:val="18"/>
                <w:szCs w:val="18"/>
                <w:b w:val="1"/>
                <w:bCs w:val="1"/>
                <w:color w:val="auto"/>
                <w:w w:val="92"/>
              </w:rPr>
              <w:t>Quarterly</w:t>
            </w: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center"/>
              <w:ind w:right="112"/>
              <w:spacing w:after="0"/>
              <w:rPr>
                <w:sz w:val="20"/>
                <w:szCs w:val="20"/>
                <w:color w:val="auto"/>
              </w:rPr>
            </w:pPr>
            <w:r>
              <w:rPr>
                <w:rFonts w:ascii="Arial" w:cs="Arial" w:eastAsia="Arial" w:hAnsi="Arial"/>
                <w:sz w:val="18"/>
                <w:szCs w:val="18"/>
                <w:b w:val="1"/>
                <w:bCs w:val="1"/>
                <w:color w:val="auto"/>
                <w:w w:val="88"/>
              </w:rPr>
              <w:t>Total</w:t>
            </w: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12-Month</w:t>
            </w:r>
          </w:p>
        </w:tc>
        <w:tc>
          <w:tcPr>
            <w:tcW w:w="0" w:type="dxa"/>
            <w:vAlign w:val="bottom"/>
          </w:tcPr>
          <w:p>
            <w:pPr>
              <w:spacing w:after="0"/>
              <w:rPr>
                <w:sz w:val="1"/>
                <w:szCs w:val="1"/>
                <w:color w:val="auto"/>
              </w:rPr>
            </w:pPr>
          </w:p>
        </w:tc>
      </w:tr>
      <w:tr>
        <w:trPr>
          <w:trHeight w:val="228"/>
        </w:trPr>
        <w:tc>
          <w:tcPr>
            <w:tcW w:w="3780" w:type="dxa"/>
            <w:vAlign w:val="bottom"/>
            <w:vMerge w:val="continue"/>
          </w:tcPr>
          <w:p>
            <w:pPr>
              <w:spacing w:after="0"/>
              <w:rPr>
                <w:sz w:val="19"/>
                <w:szCs w:val="19"/>
                <w:color w:val="auto"/>
              </w:rPr>
            </w:pPr>
          </w:p>
        </w:tc>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ind w:right="112"/>
              <w:spacing w:after="0"/>
              <w:rPr>
                <w:sz w:val="20"/>
                <w:szCs w:val="20"/>
                <w:color w:val="auto"/>
              </w:rPr>
            </w:pPr>
            <w:r>
              <w:rPr>
                <w:rFonts w:ascii="Arial" w:cs="Arial" w:eastAsia="Arial" w:hAnsi="Arial"/>
                <w:sz w:val="18"/>
                <w:szCs w:val="18"/>
                <w:b w:val="1"/>
                <w:bCs w:val="1"/>
                <w:color w:val="auto"/>
                <w:w w:val="87"/>
              </w:rPr>
              <w:t>Bookings</w:t>
            </w: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jc w:val="center"/>
              <w:ind w:right="92"/>
              <w:spacing w:after="0"/>
              <w:rPr>
                <w:sz w:val="20"/>
                <w:szCs w:val="20"/>
                <w:color w:val="auto"/>
              </w:rPr>
            </w:pPr>
            <w:r>
              <w:rPr>
                <w:rFonts w:ascii="Arial" w:cs="Arial" w:eastAsia="Arial" w:hAnsi="Arial"/>
                <w:sz w:val="18"/>
                <w:szCs w:val="18"/>
                <w:b w:val="1"/>
                <w:bCs w:val="1"/>
                <w:color w:val="auto"/>
                <w:w w:val="85"/>
              </w:rPr>
              <w:t>Backlog</w:t>
            </w: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5"/>
              </w:rPr>
              <w:t>Backlog</w:t>
            </w:r>
          </w:p>
        </w:tc>
        <w:tc>
          <w:tcPr>
            <w:tcW w:w="0" w:type="dxa"/>
            <w:vAlign w:val="bottom"/>
          </w:tcPr>
          <w:p>
            <w:pPr>
              <w:spacing w:after="0"/>
              <w:rPr>
                <w:sz w:val="1"/>
                <w:szCs w:val="1"/>
                <w:color w:val="auto"/>
              </w:rPr>
            </w:pPr>
          </w:p>
        </w:tc>
      </w:tr>
      <w:tr>
        <w:trPr>
          <w:trHeight w:val="212"/>
        </w:trPr>
        <w:tc>
          <w:tcPr>
            <w:tcW w:w="3780" w:type="dxa"/>
            <w:vAlign w:val="bottom"/>
            <w:tcBorders>
              <w:top w:val="single" w:sz="8" w:color="auto"/>
            </w:tcBorders>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880" w:type="dxa"/>
            <w:vAlign w:val="bottom"/>
          </w:tcPr>
          <w:p>
            <w:pPr>
              <w:spacing w:after="0"/>
              <w:rPr>
                <w:sz w:val="18"/>
                <w:szCs w:val="18"/>
                <w:color w:val="auto"/>
              </w:rPr>
            </w:pPr>
          </w:p>
        </w:tc>
        <w:tc>
          <w:tcPr>
            <w:tcW w:w="960" w:type="dxa"/>
            <w:vAlign w:val="bottom"/>
            <w:tcBorders>
              <w:top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9"/>
              </w:rPr>
              <w:t>(in millions)</w:t>
            </w:r>
          </w:p>
        </w:tc>
        <w:tc>
          <w:tcPr>
            <w:tcW w:w="8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September 30, 2010</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528</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1,657</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June 30, 2010</w:t>
            </w: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806</w:t>
            </w: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1,686</w:t>
            </w: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March 31, 2010</w:t>
            </w: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w:t>
            </w: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1,459</w:t>
            </w: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December 31, 2009</w:t>
            </w: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397</w:t>
            </w: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1,488</w:t>
            </w: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807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September 30, 2009</w:t>
            </w: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1,577</w:t>
            </w: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When we sign project agreements to deploy our meter and communication systems, we include these contracts in bookings and backlog when regulatory approvals are received and/or contractual conditions are satisfied. In the second quarter of 2010, contract approvals were received for our OpenWay contract with Detroit Edison. As a result, bookings and backlog included $339 million related to that contract for the quarter ended June 30, 2010.</w:t>
      </w:r>
    </w:p>
    <w:p>
      <w:pPr>
        <w:spacing w:after="0" w:line="8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43</w:t>
      </w:r>
    </w:p>
    <w:p>
      <w:pPr>
        <w:sectPr>
          <w:pgSz w:w="11900" w:h="16838" w:orient="portrait"/>
          <w:cols w:equalWidth="0" w:num="1">
            <w:col w:w="11420"/>
          </w:cols>
          <w:pgMar w:left="240" w:top="45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details our total operating expenses in dollars and as a percentage of revenues: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5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3760" w:type="dxa"/>
            <w:vAlign w:val="bottom"/>
            <w:tcBorders>
              <w:bottom w:val="single" w:sz="8" w:color="auto"/>
            </w:tcBorders>
            <w:gridSpan w:val="8"/>
          </w:tcPr>
          <w:p>
            <w:pPr>
              <w:ind w:left="420"/>
              <w:spacing w:after="0"/>
              <w:rPr>
                <w:sz w:val="20"/>
                <w:szCs w:val="20"/>
                <w:color w:val="auto"/>
              </w:rPr>
            </w:pPr>
            <w:r>
              <w:rPr>
                <w:rFonts w:ascii="Arial" w:cs="Arial" w:eastAsia="Arial" w:hAnsi="Arial"/>
                <w:sz w:val="18"/>
                <w:szCs w:val="18"/>
                <w:b w:val="1"/>
                <w:bCs w:val="1"/>
                <w:color w:val="auto"/>
              </w:rPr>
              <w:t>Three Months Ended September 30,</w:t>
            </w:r>
          </w:p>
        </w:tc>
        <w:tc>
          <w:tcPr>
            <w:tcW w:w="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3620" w:type="dxa"/>
            <w:vAlign w:val="bottom"/>
            <w:tcBorders>
              <w:bottom w:val="single" w:sz="8" w:color="auto"/>
            </w:tcBorders>
            <w:gridSpan w:val="8"/>
          </w:tcPr>
          <w:p>
            <w:pPr>
              <w:ind w:left="380"/>
              <w:spacing w:after="0"/>
              <w:rPr>
                <w:sz w:val="20"/>
                <w:szCs w:val="20"/>
                <w:color w:val="auto"/>
              </w:rPr>
            </w:pPr>
            <w:r>
              <w:rPr>
                <w:rFonts w:ascii="Arial" w:cs="Arial" w:eastAsia="Arial" w:hAnsi="Arial"/>
                <w:sz w:val="18"/>
                <w:szCs w:val="18"/>
                <w:b w:val="1"/>
                <w:bCs w:val="1"/>
                <w:color w:val="auto"/>
              </w:rPr>
              <w:t>Nine Months Ended September 30,</w:t>
            </w:r>
          </w:p>
        </w:tc>
      </w:tr>
      <w:tr>
        <w:trPr>
          <w:trHeight w:val="196"/>
        </w:trPr>
        <w:tc>
          <w:tcPr>
            <w:tcW w:w="3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jc w:val="center"/>
              <w:spacing w:after="0" w:line="196" w:lineRule="exact"/>
              <w:rPr>
                <w:sz w:val="20"/>
                <w:szCs w:val="20"/>
                <w:color w:val="auto"/>
              </w:rPr>
            </w:pPr>
            <w:r>
              <w:rPr>
                <w:rFonts w:ascii="Arial" w:cs="Arial" w:eastAsia="Arial" w:hAnsi="Arial"/>
                <w:sz w:val="18"/>
                <w:szCs w:val="18"/>
                <w:b w:val="1"/>
                <w:bCs w:val="1"/>
                <w:color w:val="auto"/>
                <w:w w:val="99"/>
              </w:rPr>
              <w:t>% of</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jc w:val="center"/>
              <w:spacing w:after="0" w:line="196" w:lineRule="exact"/>
              <w:rPr>
                <w:sz w:val="20"/>
                <w:szCs w:val="20"/>
                <w:color w:val="auto"/>
              </w:rPr>
            </w:pPr>
            <w:r>
              <w:rPr>
                <w:rFonts w:ascii="Arial" w:cs="Arial" w:eastAsia="Arial" w:hAnsi="Arial"/>
                <w:sz w:val="18"/>
                <w:szCs w:val="18"/>
                <w:b w:val="1"/>
                <w:bCs w:val="1"/>
                <w:color w:val="auto"/>
                <w:w w:val="94"/>
              </w:rPr>
              <w:t>% of</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jc w:val="center"/>
              <w:spacing w:after="0" w:line="196" w:lineRule="exact"/>
              <w:rPr>
                <w:sz w:val="20"/>
                <w:szCs w:val="20"/>
                <w:color w:val="auto"/>
              </w:rPr>
            </w:pPr>
            <w:r>
              <w:rPr>
                <w:rFonts w:ascii="Arial" w:cs="Arial" w:eastAsia="Arial" w:hAnsi="Arial"/>
                <w:sz w:val="18"/>
                <w:szCs w:val="18"/>
                <w:b w:val="1"/>
                <w:bCs w:val="1"/>
                <w:color w:val="auto"/>
                <w:w w:val="99"/>
              </w:rPr>
              <w:t>% of</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jc w:val="center"/>
              <w:spacing w:after="0" w:line="196" w:lineRule="exact"/>
              <w:rPr>
                <w:sz w:val="20"/>
                <w:szCs w:val="20"/>
                <w:color w:val="auto"/>
              </w:rPr>
            </w:pPr>
            <w:r>
              <w:rPr>
                <w:rFonts w:ascii="Arial" w:cs="Arial" w:eastAsia="Arial" w:hAnsi="Arial"/>
                <w:sz w:val="18"/>
                <w:szCs w:val="18"/>
                <w:b w:val="1"/>
                <w:bCs w:val="1"/>
                <w:color w:val="auto"/>
                <w:w w:val="99"/>
              </w:rPr>
              <w:t>% of</w:t>
            </w:r>
          </w:p>
        </w:tc>
      </w:tr>
      <w:tr>
        <w:trPr>
          <w:trHeight w:val="228"/>
        </w:trPr>
        <w:tc>
          <w:tcPr>
            <w:tcW w:w="35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b w:val="1"/>
                <w:bCs w:val="1"/>
                <w:color w:val="auto"/>
                <w:w w:val="94"/>
              </w:rPr>
              <w:t>2010</w:t>
            </w:r>
          </w:p>
        </w:tc>
        <w:tc>
          <w:tcPr>
            <w:tcW w:w="160" w:type="dxa"/>
            <w:vAlign w:val="bottom"/>
          </w:tcPr>
          <w:p>
            <w:pPr>
              <w:spacing w:after="0"/>
              <w:rPr>
                <w:sz w:val="19"/>
                <w:szCs w:val="19"/>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2"/>
              </w:rPr>
              <w:t>Revenues</w:t>
            </w:r>
          </w:p>
        </w:tc>
        <w:tc>
          <w:tcPr>
            <w:tcW w:w="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b w:val="1"/>
                <w:bCs w:val="1"/>
                <w:color w:val="auto"/>
                <w:w w:val="94"/>
              </w:rPr>
              <w:t>2009</w:t>
            </w:r>
          </w:p>
        </w:tc>
        <w:tc>
          <w:tcPr>
            <w:tcW w:w="160" w:type="dxa"/>
            <w:vAlign w:val="bottom"/>
          </w:tcPr>
          <w:p>
            <w:pPr>
              <w:spacing w:after="0"/>
              <w:rPr>
                <w:sz w:val="19"/>
                <w:szCs w:val="19"/>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4"/>
              </w:rPr>
              <w:t>Revenues</w:t>
            </w:r>
          </w:p>
        </w:tc>
        <w:tc>
          <w:tcPr>
            <w:tcW w:w="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b w:val="1"/>
                <w:bCs w:val="1"/>
                <w:color w:val="auto"/>
                <w:w w:val="94"/>
              </w:rPr>
              <w:t>2010</w:t>
            </w:r>
          </w:p>
        </w:tc>
        <w:tc>
          <w:tcPr>
            <w:tcW w:w="160" w:type="dxa"/>
            <w:vAlign w:val="bottom"/>
          </w:tcPr>
          <w:p>
            <w:pPr>
              <w:spacing w:after="0"/>
              <w:rPr>
                <w:sz w:val="19"/>
                <w:szCs w:val="19"/>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Revenue</w:t>
            </w:r>
          </w:p>
        </w:tc>
        <w:tc>
          <w:tcPr>
            <w:tcW w:w="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b w:val="1"/>
                <w:bCs w:val="1"/>
                <w:color w:val="auto"/>
                <w:w w:val="94"/>
              </w:rPr>
              <w:t>2009</w:t>
            </w:r>
          </w:p>
        </w:tc>
        <w:tc>
          <w:tcPr>
            <w:tcW w:w="160" w:type="dxa"/>
            <w:vAlign w:val="bottom"/>
          </w:tcPr>
          <w:p>
            <w:pPr>
              <w:spacing w:after="0"/>
              <w:rPr>
                <w:sz w:val="19"/>
                <w:szCs w:val="19"/>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5"/>
              </w:rPr>
              <w:t>Revenue</w:t>
            </w:r>
          </w:p>
        </w:tc>
      </w:tr>
      <w:tr>
        <w:trPr>
          <w:trHeight w:val="212"/>
        </w:trPr>
        <w:tc>
          <w:tcPr>
            <w:tcW w:w="352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b w:val="1"/>
                <w:bCs w:val="1"/>
                <w:color w:val="auto"/>
                <w:w w:val="87"/>
              </w:rPr>
              <w:t>(in millions)</w:t>
            </w: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b w:val="1"/>
                <w:bCs w:val="1"/>
                <w:color w:val="auto"/>
                <w:w w:val="87"/>
              </w:rPr>
              <w:t>(in millions)</w:t>
            </w: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b w:val="1"/>
                <w:bCs w:val="1"/>
                <w:color w:val="auto"/>
                <w:w w:val="87"/>
              </w:rPr>
              <w:t>(in millions)</w:t>
            </w: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b w:val="1"/>
                <w:bCs w:val="1"/>
                <w:color w:val="auto"/>
                <w:w w:val="89"/>
              </w:rPr>
              <w:t>(in millions)</w:t>
            </w: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16"/>
        </w:trPr>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w:t>
            </w:r>
          </w:p>
        </w:tc>
        <w:tc>
          <w:tcPr>
            <w:tcW w:w="1060" w:type="dxa"/>
            <w:vAlign w:val="bottom"/>
            <w:gridSpan w:val="2"/>
            <w:shd w:val="clear" w:color="auto" w:fill="CCEEFF"/>
          </w:tcPr>
          <w:p>
            <w:pPr>
              <w:jc w:val="center"/>
              <w:ind w:left="72"/>
              <w:spacing w:after="0"/>
              <w:rPr>
                <w:sz w:val="20"/>
                <w:szCs w:val="20"/>
                <w:color w:val="auto"/>
              </w:rPr>
            </w:pPr>
            <w:r>
              <w:rPr>
                <w:rFonts w:ascii="Arial" w:cs="Arial" w:eastAsia="Arial" w:hAnsi="Arial"/>
                <w:sz w:val="18"/>
                <w:szCs w:val="18"/>
                <w:color w:val="auto"/>
                <w:w w:val="84"/>
              </w:rPr>
              <w:t>7%</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37.7</w:t>
            </w:r>
          </w:p>
        </w:tc>
        <w:tc>
          <w:tcPr>
            <w:tcW w:w="1040" w:type="dxa"/>
            <w:vAlign w:val="bottom"/>
            <w:gridSpan w:val="2"/>
            <w:shd w:val="clear" w:color="auto" w:fill="CCEEFF"/>
          </w:tcPr>
          <w:p>
            <w:pPr>
              <w:jc w:val="center"/>
              <w:ind w:left="72"/>
              <w:spacing w:after="0"/>
              <w:rPr>
                <w:sz w:val="20"/>
                <w:szCs w:val="20"/>
                <w:color w:val="auto"/>
              </w:rPr>
            </w:pPr>
            <w:r>
              <w:rPr>
                <w:rFonts w:ascii="Arial" w:cs="Arial" w:eastAsia="Arial" w:hAnsi="Arial"/>
                <w:sz w:val="18"/>
                <w:szCs w:val="18"/>
                <w:color w:val="auto"/>
                <w:w w:val="92"/>
              </w:rPr>
              <w:t>9%</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123.7</w:t>
            </w:r>
          </w:p>
        </w:tc>
        <w:tc>
          <w:tcPr>
            <w:tcW w:w="980" w:type="dxa"/>
            <w:vAlign w:val="bottom"/>
            <w:gridSpan w:val="2"/>
            <w:shd w:val="clear" w:color="auto" w:fill="CCEEFF"/>
          </w:tcPr>
          <w:p>
            <w:pPr>
              <w:jc w:val="center"/>
              <w:ind w:left="72"/>
              <w:spacing w:after="0"/>
              <w:rPr>
                <w:sz w:val="20"/>
                <w:szCs w:val="20"/>
                <w:color w:val="auto"/>
              </w:rPr>
            </w:pPr>
            <w:r>
              <w:rPr>
                <w:rFonts w:ascii="Arial" w:cs="Arial" w:eastAsia="Arial" w:hAnsi="Arial"/>
                <w:sz w:val="18"/>
                <w:szCs w:val="18"/>
                <w:color w:val="auto"/>
                <w:w w:val="84"/>
              </w:rPr>
              <w:t>8%</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112.6</w:t>
            </w:r>
          </w:p>
        </w:tc>
        <w:tc>
          <w:tcPr>
            <w:tcW w:w="980" w:type="dxa"/>
            <w:vAlign w:val="bottom"/>
            <w:gridSpan w:val="2"/>
            <w:shd w:val="clear" w:color="auto" w:fill="CCEEFF"/>
          </w:tcPr>
          <w:p>
            <w:pPr>
              <w:jc w:val="center"/>
              <w:ind w:left="72"/>
              <w:spacing w:after="0"/>
              <w:rPr>
                <w:sz w:val="20"/>
                <w:szCs w:val="20"/>
                <w:color w:val="auto"/>
              </w:rPr>
            </w:pPr>
            <w:r>
              <w:rPr>
                <w:rFonts w:ascii="Arial" w:cs="Arial" w:eastAsia="Arial" w:hAnsi="Arial"/>
                <w:sz w:val="18"/>
                <w:szCs w:val="18"/>
                <w:color w:val="auto"/>
                <w:w w:val="84"/>
              </w:rPr>
              <w:t>9%</w:t>
            </w:r>
          </w:p>
        </w:tc>
      </w:tr>
      <w:tr>
        <w:trPr>
          <w:trHeight w:val="216"/>
        </w:trPr>
        <w:tc>
          <w:tcPr>
            <w:tcW w:w="3520" w:type="dxa"/>
            <w:vAlign w:val="bottom"/>
          </w:tcPr>
          <w:p>
            <w:pPr>
              <w:spacing w:after="0"/>
              <w:rPr>
                <w:sz w:val="20"/>
                <w:szCs w:val="20"/>
                <w:color w:val="auto"/>
              </w:rPr>
            </w:pPr>
            <w:r>
              <w:rPr>
                <w:rFonts w:ascii="Arial" w:cs="Arial" w:eastAsia="Arial" w:hAnsi="Arial"/>
                <w:sz w:val="18"/>
                <w:szCs w:val="18"/>
                <w:color w:val="auto"/>
              </w:rPr>
              <w:t>Product development</w:t>
            </w:r>
          </w:p>
        </w:tc>
        <w:tc>
          <w:tcPr>
            <w:tcW w:w="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34.0</w:t>
            </w:r>
          </w:p>
        </w:tc>
        <w:tc>
          <w:tcPr>
            <w:tcW w:w="1060" w:type="dxa"/>
            <w:vAlign w:val="bottom"/>
            <w:gridSpan w:val="2"/>
          </w:tcPr>
          <w:p>
            <w:pPr>
              <w:jc w:val="center"/>
              <w:ind w:left="72"/>
              <w:spacing w:after="0"/>
              <w:rPr>
                <w:sz w:val="20"/>
                <w:szCs w:val="20"/>
                <w:color w:val="auto"/>
              </w:rPr>
            </w:pPr>
            <w:r>
              <w:rPr>
                <w:rFonts w:ascii="Arial" w:cs="Arial" w:eastAsia="Arial" w:hAnsi="Arial"/>
                <w:sz w:val="18"/>
                <w:szCs w:val="18"/>
                <w:color w:val="auto"/>
                <w:w w:val="84"/>
              </w:rPr>
              <w:t>6%</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jc w:val="right"/>
              <w:ind w:right="12"/>
              <w:spacing w:after="0"/>
              <w:rPr>
                <w:sz w:val="20"/>
                <w:szCs w:val="20"/>
                <w:color w:val="auto"/>
              </w:rPr>
            </w:pPr>
            <w:r>
              <w:rPr>
                <w:rFonts w:ascii="Arial" w:cs="Arial" w:eastAsia="Arial" w:hAnsi="Arial"/>
                <w:sz w:val="18"/>
                <w:szCs w:val="18"/>
                <w:color w:val="auto"/>
              </w:rPr>
              <w:t>31.1</w:t>
            </w:r>
          </w:p>
        </w:tc>
        <w:tc>
          <w:tcPr>
            <w:tcW w:w="1040" w:type="dxa"/>
            <w:vAlign w:val="bottom"/>
            <w:gridSpan w:val="2"/>
          </w:tcPr>
          <w:p>
            <w:pPr>
              <w:jc w:val="center"/>
              <w:ind w:left="72"/>
              <w:spacing w:after="0"/>
              <w:rPr>
                <w:sz w:val="20"/>
                <w:szCs w:val="20"/>
                <w:color w:val="auto"/>
              </w:rPr>
            </w:pPr>
            <w:r>
              <w:rPr>
                <w:rFonts w:ascii="Arial" w:cs="Arial" w:eastAsia="Arial" w:hAnsi="Arial"/>
                <w:sz w:val="18"/>
                <w:szCs w:val="18"/>
                <w:color w:val="auto"/>
                <w:w w:val="92"/>
              </w:rPr>
              <w:t>8%</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jc w:val="right"/>
              <w:ind w:right="12"/>
              <w:spacing w:after="0"/>
              <w:rPr>
                <w:sz w:val="20"/>
                <w:szCs w:val="20"/>
                <w:color w:val="auto"/>
              </w:rPr>
            </w:pPr>
            <w:r>
              <w:rPr>
                <w:rFonts w:ascii="Arial" w:cs="Arial" w:eastAsia="Arial" w:hAnsi="Arial"/>
                <w:sz w:val="18"/>
                <w:szCs w:val="18"/>
                <w:color w:val="auto"/>
              </w:rPr>
              <w:t>100.1</w:t>
            </w:r>
          </w:p>
        </w:tc>
        <w:tc>
          <w:tcPr>
            <w:tcW w:w="980" w:type="dxa"/>
            <w:vAlign w:val="bottom"/>
            <w:gridSpan w:val="2"/>
          </w:tcPr>
          <w:p>
            <w:pPr>
              <w:jc w:val="center"/>
              <w:ind w:left="72"/>
              <w:spacing w:after="0"/>
              <w:rPr>
                <w:sz w:val="20"/>
                <w:szCs w:val="20"/>
                <w:color w:val="auto"/>
              </w:rPr>
            </w:pPr>
            <w:r>
              <w:rPr>
                <w:rFonts w:ascii="Arial" w:cs="Arial" w:eastAsia="Arial" w:hAnsi="Arial"/>
                <w:sz w:val="18"/>
                <w:szCs w:val="18"/>
                <w:color w:val="auto"/>
                <w:w w:val="84"/>
              </w:rPr>
              <w:t>6%</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jc w:val="right"/>
              <w:ind w:right="12"/>
              <w:spacing w:after="0"/>
              <w:rPr>
                <w:sz w:val="20"/>
                <w:szCs w:val="20"/>
                <w:color w:val="auto"/>
              </w:rPr>
            </w:pPr>
            <w:r>
              <w:rPr>
                <w:rFonts w:ascii="Arial" w:cs="Arial" w:eastAsia="Arial" w:hAnsi="Arial"/>
                <w:sz w:val="18"/>
                <w:szCs w:val="18"/>
                <w:color w:val="auto"/>
              </w:rPr>
              <w:t>93.0</w:t>
            </w:r>
          </w:p>
        </w:tc>
        <w:tc>
          <w:tcPr>
            <w:tcW w:w="980" w:type="dxa"/>
            <w:vAlign w:val="bottom"/>
            <w:gridSpan w:val="2"/>
          </w:tcPr>
          <w:p>
            <w:pPr>
              <w:jc w:val="center"/>
              <w:ind w:left="72"/>
              <w:spacing w:after="0"/>
              <w:rPr>
                <w:sz w:val="20"/>
                <w:szCs w:val="20"/>
                <w:color w:val="auto"/>
              </w:rPr>
            </w:pPr>
            <w:r>
              <w:rPr>
                <w:rFonts w:ascii="Arial" w:cs="Arial" w:eastAsia="Arial" w:hAnsi="Arial"/>
                <w:sz w:val="18"/>
                <w:szCs w:val="18"/>
                <w:color w:val="auto"/>
                <w:w w:val="84"/>
              </w:rPr>
              <w:t>8%</w:t>
            </w:r>
          </w:p>
        </w:tc>
      </w:tr>
      <w:tr>
        <w:trPr>
          <w:trHeight w:val="216"/>
        </w:trPr>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w:t>
            </w:r>
          </w:p>
        </w:tc>
        <w:tc>
          <w:tcPr>
            <w:tcW w:w="1060" w:type="dxa"/>
            <w:vAlign w:val="bottom"/>
            <w:gridSpan w:val="2"/>
            <w:shd w:val="clear" w:color="auto" w:fill="CCEEFF"/>
          </w:tcPr>
          <w:p>
            <w:pPr>
              <w:jc w:val="center"/>
              <w:ind w:left="72"/>
              <w:spacing w:after="0"/>
              <w:rPr>
                <w:sz w:val="20"/>
                <w:szCs w:val="20"/>
                <w:color w:val="auto"/>
              </w:rPr>
            </w:pPr>
            <w:r>
              <w:rPr>
                <w:rFonts w:ascii="Arial" w:cs="Arial" w:eastAsia="Arial" w:hAnsi="Arial"/>
                <w:sz w:val="18"/>
                <w:szCs w:val="18"/>
                <w:color w:val="auto"/>
                <w:w w:val="84"/>
              </w:rPr>
              <w:t>5%</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26.6</w:t>
            </w:r>
          </w:p>
        </w:tc>
        <w:tc>
          <w:tcPr>
            <w:tcW w:w="1040" w:type="dxa"/>
            <w:vAlign w:val="bottom"/>
            <w:gridSpan w:val="2"/>
            <w:shd w:val="clear" w:color="auto" w:fill="CCEEFF"/>
          </w:tcPr>
          <w:p>
            <w:pPr>
              <w:jc w:val="center"/>
              <w:ind w:left="72"/>
              <w:spacing w:after="0"/>
              <w:rPr>
                <w:sz w:val="20"/>
                <w:szCs w:val="20"/>
                <w:color w:val="auto"/>
              </w:rPr>
            </w:pPr>
            <w:r>
              <w:rPr>
                <w:rFonts w:ascii="Arial" w:cs="Arial" w:eastAsia="Arial" w:hAnsi="Arial"/>
                <w:sz w:val="18"/>
                <w:szCs w:val="18"/>
                <w:color w:val="auto"/>
                <w:w w:val="92"/>
              </w:rPr>
              <w:t>7%</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97.0</w:t>
            </w:r>
          </w:p>
        </w:tc>
        <w:tc>
          <w:tcPr>
            <w:tcW w:w="980" w:type="dxa"/>
            <w:vAlign w:val="bottom"/>
            <w:gridSpan w:val="2"/>
            <w:shd w:val="clear" w:color="auto" w:fill="CCEEFF"/>
          </w:tcPr>
          <w:p>
            <w:pPr>
              <w:jc w:val="center"/>
              <w:ind w:left="72"/>
              <w:spacing w:after="0"/>
              <w:rPr>
                <w:sz w:val="20"/>
                <w:szCs w:val="20"/>
                <w:color w:val="auto"/>
              </w:rPr>
            </w:pPr>
            <w:r>
              <w:rPr>
                <w:rFonts w:ascii="Arial" w:cs="Arial" w:eastAsia="Arial" w:hAnsi="Arial"/>
                <w:sz w:val="18"/>
                <w:szCs w:val="18"/>
                <w:color w:val="auto"/>
                <w:w w:val="84"/>
              </w:rPr>
              <w:t>6%</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84.1</w:t>
            </w:r>
          </w:p>
        </w:tc>
        <w:tc>
          <w:tcPr>
            <w:tcW w:w="980" w:type="dxa"/>
            <w:vAlign w:val="bottom"/>
            <w:gridSpan w:val="2"/>
            <w:shd w:val="clear" w:color="auto" w:fill="CCEEFF"/>
          </w:tcPr>
          <w:p>
            <w:pPr>
              <w:jc w:val="center"/>
              <w:ind w:left="72"/>
              <w:spacing w:after="0"/>
              <w:rPr>
                <w:sz w:val="20"/>
                <w:szCs w:val="20"/>
                <w:color w:val="auto"/>
              </w:rPr>
            </w:pPr>
            <w:r>
              <w:rPr>
                <w:rFonts w:ascii="Arial" w:cs="Arial" w:eastAsia="Arial" w:hAnsi="Arial"/>
                <w:sz w:val="18"/>
                <w:szCs w:val="18"/>
                <w:color w:val="auto"/>
                <w:w w:val="84"/>
              </w:rPr>
              <w:t>7%</w:t>
            </w:r>
          </w:p>
        </w:tc>
      </w:tr>
      <w:tr>
        <w:trPr>
          <w:trHeight w:val="223"/>
        </w:trPr>
        <w:tc>
          <w:tcPr>
            <w:tcW w:w="3520" w:type="dxa"/>
            <w:vAlign w:val="bottom"/>
          </w:tcPr>
          <w:p>
            <w:pPr>
              <w:spacing w:after="0"/>
              <w:rPr>
                <w:sz w:val="20"/>
                <w:szCs w:val="20"/>
                <w:color w:val="auto"/>
              </w:rPr>
            </w:pPr>
            <w:r>
              <w:rPr>
                <w:rFonts w:ascii="Arial" w:cs="Arial" w:eastAsia="Arial" w:hAnsi="Arial"/>
                <w:sz w:val="18"/>
                <w:szCs w:val="18"/>
                <w:color w:val="auto"/>
              </w:rPr>
              <w:t>Amortization of intangible assets</w:t>
            </w:r>
          </w:p>
        </w:tc>
        <w:tc>
          <w:tcPr>
            <w:tcW w:w="2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w:t>
            </w:r>
          </w:p>
        </w:tc>
        <w:tc>
          <w:tcPr>
            <w:tcW w:w="160" w:type="dxa"/>
            <w:vAlign w:val="bottom"/>
          </w:tcPr>
          <w:p>
            <w:pPr>
              <w:spacing w:after="0"/>
              <w:rPr>
                <w:sz w:val="19"/>
                <w:szCs w:val="19"/>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4"/>
              </w:rPr>
              <w:t>3%</w:t>
            </w:r>
          </w:p>
        </w:tc>
        <w:tc>
          <w:tcPr>
            <w:tcW w:w="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25.1</w:t>
            </w:r>
          </w:p>
        </w:tc>
        <w:tc>
          <w:tcPr>
            <w:tcW w:w="160" w:type="dxa"/>
            <w:vAlign w:val="bottom"/>
          </w:tcPr>
          <w:p>
            <w:pPr>
              <w:spacing w:after="0"/>
              <w:rPr>
                <w:sz w:val="19"/>
                <w:szCs w:val="19"/>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6%</w:t>
            </w:r>
          </w:p>
        </w:tc>
        <w:tc>
          <w:tcPr>
            <w:tcW w:w="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51.5</w:t>
            </w:r>
          </w:p>
        </w:tc>
        <w:tc>
          <w:tcPr>
            <w:tcW w:w="160" w:type="dxa"/>
            <w:vAlign w:val="bottom"/>
          </w:tcPr>
          <w:p>
            <w:pPr>
              <w:spacing w:after="0"/>
              <w:rPr>
                <w:sz w:val="19"/>
                <w:szCs w:val="19"/>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4"/>
              </w:rPr>
              <w:t>3%</w:t>
            </w:r>
          </w:p>
        </w:tc>
        <w:tc>
          <w:tcPr>
            <w:tcW w:w="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72.8</w:t>
            </w:r>
          </w:p>
        </w:tc>
        <w:tc>
          <w:tcPr>
            <w:tcW w:w="160" w:type="dxa"/>
            <w:vAlign w:val="bottom"/>
          </w:tcPr>
          <w:p>
            <w:pPr>
              <w:spacing w:after="0"/>
              <w:rPr>
                <w:sz w:val="19"/>
                <w:szCs w:val="19"/>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4"/>
              </w:rPr>
              <w:t>6%</w:t>
            </w:r>
          </w:p>
        </w:tc>
      </w:tr>
      <w:tr>
        <w:trPr>
          <w:trHeight w:val="216"/>
        </w:trPr>
        <w:tc>
          <w:tcPr>
            <w:tcW w:w="35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operating expenses</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122.8</w:t>
            </w:r>
          </w:p>
        </w:tc>
        <w:tc>
          <w:tcPr>
            <w:tcW w:w="1060" w:type="dxa"/>
            <w:vAlign w:val="bottom"/>
            <w:gridSpan w:val="2"/>
            <w:shd w:val="clear" w:color="auto" w:fill="CCEEFF"/>
          </w:tcPr>
          <w:p>
            <w:pPr>
              <w:jc w:val="center"/>
              <w:ind w:left="92"/>
              <w:spacing w:after="0"/>
              <w:rPr>
                <w:sz w:val="20"/>
                <w:szCs w:val="20"/>
                <w:color w:val="auto"/>
              </w:rPr>
            </w:pPr>
            <w:r>
              <w:rPr>
                <w:rFonts w:ascii="Arial" w:cs="Arial" w:eastAsia="Arial" w:hAnsi="Arial"/>
                <w:sz w:val="18"/>
                <w:szCs w:val="18"/>
                <w:color w:val="auto"/>
                <w:w w:val="88"/>
              </w:rPr>
              <w:t>21%</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120.5</w:t>
            </w:r>
          </w:p>
        </w:tc>
        <w:tc>
          <w:tcPr>
            <w:tcW w:w="1040" w:type="dxa"/>
            <w:vAlign w:val="bottom"/>
            <w:gridSpan w:val="2"/>
            <w:shd w:val="clear" w:color="auto" w:fill="CCEEFF"/>
          </w:tcPr>
          <w:p>
            <w:pPr>
              <w:jc w:val="center"/>
              <w:ind w:left="72"/>
              <w:spacing w:after="0"/>
              <w:rPr>
                <w:sz w:val="20"/>
                <w:szCs w:val="20"/>
                <w:color w:val="auto"/>
              </w:rPr>
            </w:pPr>
            <w:r>
              <w:rPr>
                <w:rFonts w:ascii="Arial" w:cs="Arial" w:eastAsia="Arial" w:hAnsi="Arial"/>
                <w:sz w:val="18"/>
                <w:szCs w:val="18"/>
                <w:color w:val="auto"/>
                <w:w w:val="88"/>
              </w:rPr>
              <w:t>30%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372.3</w:t>
            </w:r>
          </w:p>
        </w:tc>
        <w:tc>
          <w:tcPr>
            <w:tcW w:w="980" w:type="dxa"/>
            <w:vAlign w:val="bottom"/>
            <w:gridSpan w:val="2"/>
            <w:shd w:val="clear" w:color="auto" w:fill="CCEEFF"/>
          </w:tcPr>
          <w:p>
            <w:pPr>
              <w:jc w:val="center"/>
              <w:ind w:left="72"/>
              <w:spacing w:after="0"/>
              <w:rPr>
                <w:sz w:val="20"/>
                <w:szCs w:val="20"/>
                <w:color w:val="auto"/>
              </w:rPr>
            </w:pPr>
            <w:r>
              <w:rPr>
                <w:rFonts w:ascii="Arial" w:cs="Arial" w:eastAsia="Arial" w:hAnsi="Arial"/>
                <w:sz w:val="18"/>
                <w:szCs w:val="18"/>
                <w:color w:val="auto"/>
                <w:w w:val="94"/>
              </w:rPr>
              <w:t>23%</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362.5</w:t>
            </w:r>
          </w:p>
        </w:tc>
        <w:tc>
          <w:tcPr>
            <w:tcW w:w="980" w:type="dxa"/>
            <w:vAlign w:val="bottom"/>
            <w:gridSpan w:val="2"/>
            <w:shd w:val="clear" w:color="auto" w:fill="CCEEFF"/>
          </w:tcPr>
          <w:p>
            <w:pPr>
              <w:jc w:val="center"/>
              <w:ind w:left="52"/>
              <w:spacing w:after="0"/>
              <w:rPr>
                <w:sz w:val="20"/>
                <w:szCs w:val="20"/>
                <w:color w:val="auto"/>
              </w:rPr>
            </w:pPr>
            <w:r>
              <w:rPr>
                <w:rFonts w:ascii="Arial" w:cs="Arial" w:eastAsia="Arial" w:hAnsi="Arial"/>
                <w:sz w:val="18"/>
                <w:szCs w:val="18"/>
                <w:color w:val="auto"/>
                <w:w w:val="88"/>
              </w:rPr>
              <w:t>30%</w:t>
            </w:r>
          </w:p>
        </w:tc>
      </w:tr>
      <w:tr>
        <w:trPr>
          <w:trHeight w:val="20"/>
        </w:trPr>
        <w:tc>
          <w:tcPr>
            <w:tcW w:w="35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Operating expenses increased 2% and 3% for the three and nine months ended September 30, 2010, compared with the same periods in 2009, respectively. The translation of foreign currencies to the U.S. dollar represented a decrease of $4.8 million and $1.1 million for the three and nine months ended September 30, 2010. The net increase in operating expenses was primarily due to increased compensation expense, partially offset by lower amortization of intangible assets.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(Expense)</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the components of other income (expense):</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4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60" w:type="dxa"/>
            <w:vAlign w:val="bottom"/>
            <w:gridSpan w:val="4"/>
          </w:tcPr>
          <w:p>
            <w:pPr>
              <w:jc w:val="right"/>
              <w:ind w:right="212"/>
              <w:spacing w:after="0"/>
              <w:rPr>
                <w:sz w:val="20"/>
                <w:szCs w:val="20"/>
                <w:color w:val="auto"/>
              </w:rPr>
            </w:pPr>
            <w:r>
              <w:rPr>
                <w:rFonts w:ascii="Arial" w:cs="Arial" w:eastAsia="Arial" w:hAnsi="Arial"/>
                <w:sz w:val="18"/>
                <w:szCs w:val="18"/>
                <w:b w:val="1"/>
                <w:bCs w:val="1"/>
                <w:color w:val="auto"/>
                <w:w w:val="89"/>
              </w:rPr>
              <w:t>Three Months Ended September 30,</w:t>
            </w:r>
          </w:p>
        </w:tc>
        <w:tc>
          <w:tcPr>
            <w:tcW w:w="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020" w:type="dxa"/>
            <w:vAlign w:val="bottom"/>
            <w:gridSpan w:val="5"/>
          </w:tcPr>
          <w:p>
            <w:pPr>
              <w:ind w:left="20"/>
              <w:spacing w:after="0"/>
              <w:rPr>
                <w:sz w:val="20"/>
                <w:szCs w:val="20"/>
                <w:color w:val="auto"/>
              </w:rPr>
            </w:pPr>
            <w:r>
              <w:rPr>
                <w:rFonts w:ascii="Arial" w:cs="Arial" w:eastAsia="Arial" w:hAnsi="Arial"/>
                <w:sz w:val="18"/>
                <w:szCs w:val="18"/>
                <w:b w:val="1"/>
                <w:bCs w:val="1"/>
                <w:color w:val="auto"/>
              </w:rPr>
              <w:t>Nine Months Ended September 30,</w:t>
            </w:r>
          </w:p>
        </w:tc>
      </w:tr>
      <w:tr>
        <w:trPr>
          <w:trHeight w:val="212"/>
        </w:trPr>
        <w:tc>
          <w:tcPr>
            <w:tcW w:w="348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452"/>
              <w:spacing w:after="0"/>
              <w:rPr>
                <w:sz w:val="20"/>
                <w:szCs w:val="20"/>
                <w:color w:val="auto"/>
              </w:rPr>
            </w:pPr>
            <w:r>
              <w:rPr>
                <w:rFonts w:ascii="Arial" w:cs="Arial" w:eastAsia="Arial" w:hAnsi="Arial"/>
                <w:sz w:val="18"/>
                <w:szCs w:val="18"/>
                <w:b w:val="1"/>
                <w:bCs w:val="1"/>
                <w:color w:val="auto"/>
              </w:rPr>
              <w:t>2010</w:t>
            </w:r>
          </w:p>
        </w:tc>
        <w:tc>
          <w:tcPr>
            <w:tcW w:w="440" w:type="dxa"/>
            <w:vAlign w:val="bottom"/>
            <w:tcBorders>
              <w:top w:val="single" w:sz="8" w:color="auto"/>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452"/>
              <w:spacing w:after="0"/>
              <w:rPr>
                <w:sz w:val="20"/>
                <w:szCs w:val="20"/>
                <w:color w:val="auto"/>
              </w:rPr>
            </w:pPr>
            <w:r>
              <w:rPr>
                <w:rFonts w:ascii="Arial" w:cs="Arial" w:eastAsia="Arial" w:hAnsi="Arial"/>
                <w:sz w:val="18"/>
                <w:szCs w:val="18"/>
                <w:b w:val="1"/>
                <w:bCs w:val="1"/>
                <w:color w:val="auto"/>
              </w:rPr>
              <w:t>2009</w:t>
            </w:r>
          </w:p>
        </w:tc>
        <w:tc>
          <w:tcPr>
            <w:tcW w:w="420" w:type="dxa"/>
            <w:vAlign w:val="bottom"/>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412"/>
              <w:spacing w:after="0"/>
              <w:rPr>
                <w:sz w:val="20"/>
                <w:szCs w:val="20"/>
                <w:color w:val="auto"/>
              </w:rPr>
            </w:pPr>
            <w:r>
              <w:rPr>
                <w:rFonts w:ascii="Arial" w:cs="Arial" w:eastAsia="Arial" w:hAnsi="Arial"/>
                <w:sz w:val="18"/>
                <w:szCs w:val="18"/>
                <w:b w:val="1"/>
                <w:bCs w:val="1"/>
                <w:color w:val="auto"/>
              </w:rPr>
              <w:t>2010</w:t>
            </w:r>
          </w:p>
        </w:tc>
        <w:tc>
          <w:tcPr>
            <w:tcW w:w="440" w:type="dxa"/>
            <w:vAlign w:val="bottom"/>
            <w:tcBorders>
              <w:top w:val="single" w:sz="8" w:color="auto"/>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432"/>
              <w:spacing w:after="0"/>
              <w:rPr>
                <w:sz w:val="20"/>
                <w:szCs w:val="20"/>
                <w:color w:val="auto"/>
              </w:rPr>
            </w:pPr>
            <w:r>
              <w:rPr>
                <w:rFonts w:ascii="Arial" w:cs="Arial" w:eastAsia="Arial" w:hAnsi="Arial"/>
                <w:sz w:val="18"/>
                <w:szCs w:val="18"/>
                <w:b w:val="1"/>
                <w:bCs w:val="1"/>
                <w:color w:val="auto"/>
              </w:rPr>
              <w:t>2009</w:t>
            </w:r>
          </w:p>
        </w:tc>
        <w:tc>
          <w:tcPr>
            <w:tcW w:w="100" w:type="dxa"/>
            <w:vAlign w:val="bottom"/>
          </w:tcPr>
          <w:p>
            <w:pPr>
              <w:spacing w:after="0"/>
              <w:rPr>
                <w:sz w:val="18"/>
                <w:szCs w:val="18"/>
                <w:color w:val="auto"/>
              </w:rPr>
            </w:pPr>
          </w:p>
        </w:tc>
      </w:tr>
      <w:tr>
        <w:trPr>
          <w:trHeight w:val="210"/>
        </w:trPr>
        <w:tc>
          <w:tcPr>
            <w:tcW w:w="3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tcPr>
          <w:p>
            <w:pPr>
              <w:jc w:val="right"/>
              <w:ind w:right="72"/>
              <w:spacing w:after="0"/>
              <w:rPr>
                <w:sz w:val="20"/>
                <w:szCs w:val="20"/>
                <w:color w:val="auto"/>
              </w:rPr>
            </w:pPr>
            <w:r>
              <w:rPr>
                <w:rFonts w:ascii="Arial" w:cs="Arial" w:eastAsia="Arial" w:hAnsi="Arial"/>
                <w:sz w:val="18"/>
                <w:szCs w:val="18"/>
                <w:b w:val="1"/>
                <w:bCs w:val="1"/>
                <w:color w:val="auto"/>
              </w:rPr>
              <w:t>(in</w:t>
            </w:r>
          </w:p>
        </w:tc>
        <w:tc>
          <w:tcPr>
            <w:tcW w:w="700" w:type="dxa"/>
            <w:vAlign w:val="bottom"/>
            <w:gridSpan w:val="2"/>
          </w:tcPr>
          <w:p>
            <w:pPr>
              <w:jc w:val="right"/>
              <w:spacing w:after="0"/>
              <w:rPr>
                <w:sz w:val="20"/>
                <w:szCs w:val="20"/>
                <w:color w:val="auto"/>
              </w:rPr>
            </w:pPr>
            <w:r>
              <w:rPr>
                <w:rFonts w:ascii="Arial" w:cs="Arial" w:eastAsia="Arial" w:hAnsi="Arial"/>
                <w:sz w:val="18"/>
                <w:szCs w:val="18"/>
                <w:b w:val="1"/>
                <w:bCs w:val="1"/>
                <w:color w:val="auto"/>
                <w:w w:val="70"/>
              </w:rPr>
              <w:t>thousands)</w:t>
            </w:r>
          </w:p>
        </w:tc>
        <w:tc>
          <w:tcPr>
            <w:tcW w:w="10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166</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444</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971</w:t>
            </w:r>
          </w:p>
        </w:tc>
        <w:tc>
          <w:tcPr>
            <w:tcW w:w="100" w:type="dxa"/>
            <w:vAlign w:val="bottom"/>
            <w:shd w:val="clear" w:color="auto" w:fill="CCEEFF"/>
          </w:tcPr>
          <w:p>
            <w:pPr>
              <w:spacing w:after="0"/>
              <w:rPr>
                <w:sz w:val="18"/>
                <w:szCs w:val="18"/>
                <w:color w:val="auto"/>
              </w:rPr>
            </w:pPr>
          </w:p>
        </w:tc>
      </w:tr>
      <w:tr>
        <w:trPr>
          <w:trHeight w:val="216"/>
        </w:trPr>
        <w:tc>
          <w:tcPr>
            <w:tcW w:w="3480" w:type="dxa"/>
            <w:vAlign w:val="bottom"/>
          </w:tcPr>
          <w:p>
            <w:pPr>
              <w:spacing w:after="0"/>
              <w:rPr>
                <w:sz w:val="20"/>
                <w:szCs w:val="20"/>
                <w:color w:val="auto"/>
              </w:rPr>
            </w:pPr>
            <w:r>
              <w:rPr>
                <w:rFonts w:ascii="Arial" w:cs="Arial" w:eastAsia="Arial" w:hAnsi="Arial"/>
                <w:sz w:val="18"/>
                <w:szCs w:val="18"/>
                <w:color w:val="auto"/>
              </w:rPr>
              <w:t>Interest expense</w:t>
            </w:r>
          </w:p>
        </w:tc>
        <w:tc>
          <w:tcPr>
            <w:tcW w:w="240" w:type="dxa"/>
            <w:vAlign w:val="bottom"/>
          </w:tcPr>
          <w:p>
            <w:pPr>
              <w:spacing w:after="0"/>
              <w:rPr>
                <w:sz w:val="18"/>
                <w:szCs w:val="18"/>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(11,872)</w:t>
            </w: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(15,963)</w:t>
            </w: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(37,997)</w:t>
            </w: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(46,935)</w:t>
            </w:r>
          </w:p>
        </w:tc>
        <w:tc>
          <w:tcPr>
            <w:tcW w:w="100" w:type="dxa"/>
            <w:vAlign w:val="bottom"/>
          </w:tcPr>
          <w:p>
            <w:pPr>
              <w:spacing w:after="0"/>
              <w:rPr>
                <w:sz w:val="18"/>
                <w:szCs w:val="18"/>
                <w:color w:val="auto"/>
              </w:rPr>
            </w:pPr>
          </w:p>
        </w:tc>
      </w:tr>
      <w:tr>
        <w:trPr>
          <w:trHeight w:val="216"/>
        </w:trPr>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prepaid debt fees</w:t>
            </w: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(1,456)</w:t>
            </w:r>
          </w:p>
        </w:tc>
        <w:tc>
          <w:tcPr>
            <w:tcW w:w="4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(4,112)</w:t>
            </w: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(4,219)</w:t>
            </w:r>
          </w:p>
        </w:tc>
        <w:tc>
          <w:tcPr>
            <w:tcW w:w="4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(6,384)</w:t>
            </w:r>
          </w:p>
        </w:tc>
        <w:tc>
          <w:tcPr>
            <w:tcW w:w="100" w:type="dxa"/>
            <w:vAlign w:val="bottom"/>
            <w:shd w:val="clear" w:color="auto" w:fill="CCEEFF"/>
          </w:tcPr>
          <w:p>
            <w:pPr>
              <w:spacing w:after="0"/>
              <w:rPr>
                <w:sz w:val="18"/>
                <w:szCs w:val="18"/>
                <w:color w:val="auto"/>
              </w:rPr>
            </w:pPr>
          </w:p>
        </w:tc>
      </w:tr>
      <w:tr>
        <w:trPr>
          <w:trHeight w:val="216"/>
        </w:trPr>
        <w:tc>
          <w:tcPr>
            <w:tcW w:w="3480" w:type="dxa"/>
            <w:vAlign w:val="bottom"/>
          </w:tcPr>
          <w:p>
            <w:pPr>
              <w:spacing w:after="0"/>
              <w:rPr>
                <w:sz w:val="20"/>
                <w:szCs w:val="20"/>
                <w:color w:val="auto"/>
              </w:rPr>
            </w:pPr>
            <w:r>
              <w:rPr>
                <w:rFonts w:ascii="Arial" w:cs="Arial" w:eastAsia="Arial" w:hAnsi="Arial"/>
                <w:sz w:val="18"/>
                <w:szCs w:val="18"/>
                <w:color w:val="auto"/>
              </w:rPr>
              <w:t>Loss on extinguishment of debt, net</w:t>
            </w:r>
          </w:p>
        </w:tc>
        <w:tc>
          <w:tcPr>
            <w:tcW w:w="240" w:type="dxa"/>
            <w:vAlign w:val="bottom"/>
          </w:tcPr>
          <w:p>
            <w:pPr>
              <w:spacing w:after="0"/>
              <w:rPr>
                <w:sz w:val="18"/>
                <w:szCs w:val="18"/>
                <w:color w:val="auto"/>
              </w:rPr>
            </w:pPr>
          </w:p>
        </w:tc>
        <w:tc>
          <w:tcPr>
            <w:tcW w:w="1180" w:type="dxa"/>
            <w:vAlign w:val="bottom"/>
          </w:tcPr>
          <w:p>
            <w:pPr>
              <w:jc w:val="right"/>
              <w:ind w:right="232"/>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(2,460)</w:t>
            </w: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ind w:right="232"/>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(12,800)</w:t>
            </w:r>
          </w:p>
        </w:tc>
        <w:tc>
          <w:tcPr>
            <w:tcW w:w="100" w:type="dxa"/>
            <w:vAlign w:val="bottom"/>
          </w:tcPr>
          <w:p>
            <w:pPr>
              <w:spacing w:after="0"/>
              <w:rPr>
                <w:sz w:val="18"/>
                <w:szCs w:val="18"/>
                <w:color w:val="auto"/>
              </w:rPr>
            </w:pPr>
          </w:p>
        </w:tc>
      </w:tr>
      <w:tr>
        <w:trPr>
          <w:trHeight w:val="216"/>
        </w:trPr>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2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(4,423)</w:t>
            </w:r>
          </w:p>
        </w:tc>
        <w:tc>
          <w:tcPr>
            <w:tcW w:w="44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(4,534)</w:t>
            </w:r>
          </w:p>
        </w:tc>
        <w:tc>
          <w:tcPr>
            <w:tcW w:w="4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(5,440)</w:t>
            </w:r>
          </w:p>
        </w:tc>
        <w:tc>
          <w:tcPr>
            <w:tcW w:w="44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(9,445)</w:t>
            </w:r>
          </w:p>
        </w:tc>
        <w:tc>
          <w:tcPr>
            <w:tcW w:w="100" w:type="dxa"/>
            <w:vAlign w:val="bottom"/>
            <w:shd w:val="clear" w:color="auto" w:fill="CCEEFF"/>
          </w:tcPr>
          <w:p>
            <w:pPr>
              <w:spacing w:after="0"/>
              <w:rPr>
                <w:sz w:val="18"/>
                <w:szCs w:val="18"/>
                <w:color w:val="auto"/>
              </w:rPr>
            </w:pPr>
          </w:p>
        </w:tc>
      </w:tr>
      <w:tr>
        <w:trPr>
          <w:trHeight w:val="222"/>
        </w:trPr>
        <w:tc>
          <w:tcPr>
            <w:tcW w:w="3480" w:type="dxa"/>
            <w:vAlign w:val="bottom"/>
          </w:tcPr>
          <w:p>
            <w:pPr>
              <w:ind w:left="440"/>
              <w:spacing w:after="0"/>
              <w:rPr>
                <w:sz w:val="20"/>
                <w:szCs w:val="20"/>
                <w:color w:val="auto"/>
              </w:rPr>
            </w:pPr>
            <w:r>
              <w:rPr>
                <w:rFonts w:ascii="Arial" w:cs="Arial" w:eastAsia="Arial" w:hAnsi="Arial"/>
                <w:sz w:val="18"/>
                <w:szCs w:val="18"/>
                <w:color w:val="auto"/>
              </w:rPr>
              <w:t>Total other income (expense)</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(17,585)</w:t>
            </w: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(27,114)</w:t>
            </w: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(47,212)</w:t>
            </w: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(74,593)</w:t>
            </w:r>
          </w:p>
        </w:tc>
        <w:tc>
          <w:tcPr>
            <w:tcW w:w="100" w:type="dxa"/>
            <w:vAlign w:val="bottom"/>
          </w:tcPr>
          <w:p>
            <w:pPr>
              <w:spacing w:after="0"/>
              <w:rPr>
                <w:sz w:val="19"/>
                <w:szCs w:val="19"/>
                <w:color w:val="auto"/>
              </w:rPr>
            </w:pPr>
          </w:p>
        </w:tc>
      </w:tr>
      <w:tr>
        <w:trPr>
          <w:trHeight w:val="20"/>
        </w:trPr>
        <w:tc>
          <w:tcPr>
            <w:tcW w:w="34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i w:val="1"/>
          <w:iCs w:val="1"/>
          <w:color w:val="auto"/>
        </w:rPr>
        <w:t>Interest income</w:t>
      </w:r>
      <w:r>
        <w:rPr>
          <w:rFonts w:ascii="Arial" w:cs="Arial" w:eastAsia="Arial" w:hAnsi="Arial"/>
          <w:sz w:val="18"/>
          <w:szCs w:val="18"/>
          <w:color w:val="auto"/>
        </w:rPr>
        <w:t>: Interest income decreased in 2010, compared with 2009, primarily due to lower interest rates in 2010. Average cash and cash equivalent balances</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increased 7% and 2% in the three and nine months ended September 30, 2010, compared with the same periods in 2009.</w:t>
      </w:r>
    </w:p>
    <w:p>
      <w:pPr>
        <w:spacing w:after="0" w:line="132" w:lineRule="exact"/>
        <w:rPr>
          <w:sz w:val="20"/>
          <w:szCs w:val="20"/>
          <w:color w:val="auto"/>
        </w:rPr>
      </w:pPr>
    </w:p>
    <w:p>
      <w:pPr>
        <w:jc w:val="both"/>
        <w:spacing w:after="0" w:line="306" w:lineRule="auto"/>
        <w:rPr>
          <w:sz w:val="20"/>
          <w:szCs w:val="20"/>
          <w:color w:val="auto"/>
        </w:rPr>
      </w:pPr>
      <w:r>
        <w:rPr>
          <w:rFonts w:ascii="Arial" w:cs="Arial" w:eastAsia="Arial" w:hAnsi="Arial"/>
          <w:sz w:val="16"/>
          <w:szCs w:val="16"/>
          <w:i w:val="1"/>
          <w:iCs w:val="1"/>
          <w:color w:val="auto"/>
        </w:rPr>
        <w:t>Interest expense</w:t>
      </w:r>
      <w:r>
        <w:rPr>
          <w:rFonts w:ascii="Arial" w:cs="Arial" w:eastAsia="Arial" w:hAnsi="Arial"/>
          <w:sz w:val="16"/>
          <w:szCs w:val="16"/>
          <w:color w:val="auto"/>
        </w:rPr>
        <w:t>: Interest expense decreased 26% and 19% for the three and nine months ended September 30, 2010, compared with the same periods in 2009,</w:t>
      </w:r>
      <w:r>
        <w:rPr>
          <w:rFonts w:ascii="Arial" w:cs="Arial" w:eastAsia="Arial" w:hAnsi="Arial"/>
          <w:sz w:val="16"/>
          <w:szCs w:val="16"/>
          <w:i w:val="1"/>
          <w:iCs w:val="1"/>
          <w:color w:val="auto"/>
        </w:rPr>
        <w:t xml:space="preserve"> </w:t>
      </w:r>
      <w:r>
        <w:rPr>
          <w:rFonts w:ascii="Arial" w:cs="Arial" w:eastAsia="Arial" w:hAnsi="Arial"/>
          <w:sz w:val="16"/>
          <w:szCs w:val="16"/>
          <w:color w:val="auto"/>
        </w:rPr>
        <w:t>primarily due to the decline in the principal balance of our debt outstanding. At September 30, 2010, inclusive of our interest rate swaps, 89% of our borrowings were at fixed rates. Refer to Item 1: “Financial Statements Note 6: Debt” for additional details related to our long-term borrowings.</w:t>
      </w:r>
    </w:p>
    <w:p>
      <w:pPr>
        <w:spacing w:after="0" w:line="10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i w:val="1"/>
          <w:iCs w:val="1"/>
          <w:color w:val="auto"/>
        </w:rPr>
        <w:t>Amortization of prepaid debt fees</w:t>
      </w:r>
      <w:r>
        <w:rPr>
          <w:rFonts w:ascii="Arial" w:cs="Arial" w:eastAsia="Arial" w:hAnsi="Arial"/>
          <w:sz w:val="18"/>
          <w:szCs w:val="18"/>
          <w:color w:val="auto"/>
        </w:rPr>
        <w:t>: The decrease in amortization of prepaid debt fees for the three and nine months ended September 30, 2010 was primarily the</w:t>
      </w:r>
      <w:r>
        <w:rPr>
          <w:rFonts w:ascii="Arial" w:cs="Arial" w:eastAsia="Arial" w:hAnsi="Arial"/>
          <w:sz w:val="18"/>
          <w:szCs w:val="18"/>
          <w:i w:val="1"/>
          <w:iCs w:val="1"/>
          <w:color w:val="auto"/>
        </w:rPr>
        <w:t xml:space="preserve"> </w:t>
      </w:r>
      <w:r>
        <w:rPr>
          <w:rFonts w:ascii="Arial" w:cs="Arial" w:eastAsia="Arial" w:hAnsi="Arial"/>
          <w:sz w:val="18"/>
          <w:szCs w:val="18"/>
          <w:color w:val="auto"/>
        </w:rPr>
        <w:t>result of lower debt repayments. Repayments on our borrowings were $32.6 million and $106.5 million for the three and nine months ended September 30, 2010, compared with $166.3 million and $236.5 million for the three and nine months ended September 30, 2009. When debt is repaid early, the related portion of unamortized prepaid debt fees is written off and included in interest expense.</w:t>
      </w:r>
    </w:p>
    <w:p>
      <w:pPr>
        <w:spacing w:after="0" w:line="143" w:lineRule="exact"/>
        <w:rPr>
          <w:sz w:val="20"/>
          <w:szCs w:val="20"/>
          <w:color w:val="auto"/>
        </w:rPr>
      </w:pPr>
    </w:p>
    <w:p>
      <w:pPr>
        <w:jc w:val="both"/>
        <w:spacing w:after="0" w:line="291" w:lineRule="auto"/>
        <w:rPr>
          <w:sz w:val="20"/>
          <w:szCs w:val="20"/>
          <w:color w:val="auto"/>
        </w:rPr>
      </w:pPr>
      <w:r>
        <w:rPr>
          <w:rFonts w:ascii="Arial" w:cs="Arial" w:eastAsia="Arial" w:hAnsi="Arial"/>
          <w:sz w:val="16"/>
          <w:szCs w:val="16"/>
          <w:i w:val="1"/>
          <w:iCs w:val="1"/>
          <w:color w:val="auto"/>
        </w:rPr>
        <w:t>Loss on extinguishment of debt</w:t>
      </w:r>
      <w:r>
        <w:rPr>
          <w:rFonts w:ascii="Arial" w:cs="Arial" w:eastAsia="Arial" w:hAnsi="Arial"/>
          <w:sz w:val="16"/>
          <w:szCs w:val="16"/>
          <w:color w:val="auto"/>
        </w:rPr>
        <w:t>: During the first quarter of 2009, we entered into exchange agreements with certain holders of our convertible notes to issue, in the</w:t>
      </w:r>
      <w:r>
        <w:rPr>
          <w:rFonts w:ascii="Arial" w:cs="Arial" w:eastAsia="Arial" w:hAnsi="Arial"/>
          <w:sz w:val="16"/>
          <w:szCs w:val="16"/>
          <w:i w:val="1"/>
          <w:iCs w:val="1"/>
          <w:color w:val="auto"/>
        </w:rPr>
        <w:t xml:space="preserve"> </w:t>
      </w:r>
      <w:r>
        <w:rPr>
          <w:rFonts w:ascii="Arial" w:cs="Arial" w:eastAsia="Arial" w:hAnsi="Arial"/>
          <w:sz w:val="16"/>
          <w:szCs w:val="16"/>
          <w:color w:val="auto"/>
        </w:rPr>
        <w:t>aggregate, approximately 2.3 million shares of common stock, valued at $132.9 million, in exchange for, in the aggregate, $121.0 million principal amount of the convertible notes, representing 35% of the aggregate principal amount outstanding at the date of the exchanges. As a result, we recognized a net loss on extinguishment of debt of $10.3 million, calculated as the inducement loss, plus an allocation of advisory fees less the revaluation gain. For a description of the induced conversion of a portion of our convertible notes, refer to Item 1: “Financial Statements Note 6: Debt”. During the third quarter of 2009, we repaid the outstanding balance on our senior subordinated notes and recognized a loss on extinguishment of $2.5 million.</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44</w:t>
      </w:r>
    </w:p>
    <w:p>
      <w:pPr>
        <w:sectPr>
          <w:pgSz w:w="11900" w:h="16838" w:orient="portrait"/>
          <w:cols w:equalWidth="0" w:num="1">
            <w:col w:w="11420"/>
          </w:cols>
          <w:pgMar w:left="240" w:top="45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Other income (expense</w:t>
      </w:r>
      <w:r>
        <w:rPr>
          <w:rFonts w:ascii="Arial" w:cs="Arial" w:eastAsia="Arial" w:hAnsi="Arial"/>
          <w:sz w:val="18"/>
          <w:szCs w:val="18"/>
          <w:color w:val="auto"/>
        </w:rPr>
        <w:t>)</w:t>
      </w:r>
      <w:r>
        <w:rPr>
          <w:rFonts w:ascii="Arial" w:cs="Arial" w:eastAsia="Arial" w:hAnsi="Arial"/>
          <w:sz w:val="18"/>
          <w:szCs w:val="18"/>
          <w:i w:val="1"/>
          <w:iCs w:val="1"/>
          <w:color w:val="auto"/>
        </w:rPr>
        <w:t>, net</w:t>
      </w:r>
      <w:r>
        <w:rPr>
          <w:rFonts w:ascii="Arial" w:cs="Arial" w:eastAsia="Arial" w:hAnsi="Arial"/>
          <w:sz w:val="18"/>
          <w:szCs w:val="18"/>
          <w:color w:val="auto"/>
        </w:rPr>
        <w:t>: Other expenses, net, typically result from foreign currency fluctuations due to the revaluation of monetary asset and liability</w:t>
      </w:r>
      <w:r>
        <w:rPr>
          <w:rFonts w:ascii="Arial" w:cs="Arial" w:eastAsia="Arial" w:hAnsi="Arial"/>
          <w:sz w:val="18"/>
          <w:szCs w:val="18"/>
          <w:i w:val="1"/>
          <w:iCs w:val="1"/>
          <w:color w:val="auto"/>
        </w:rPr>
        <w:t xml:space="preserve"> </w:t>
      </w:r>
      <w:r>
        <w:rPr>
          <w:rFonts w:ascii="Arial" w:cs="Arial" w:eastAsia="Arial" w:hAnsi="Arial"/>
          <w:sz w:val="18"/>
          <w:szCs w:val="18"/>
          <w:color w:val="auto"/>
        </w:rPr>
        <w:t>balances denominated in a currency other than the reporting entity’s functional currency. During the nine months ended September 30, 2009, other expense also included $1.5 million in consulting and legal fees associated with the amendment to our credit facility.</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45</w:t>
      </w:r>
    </w:p>
    <w:p>
      <w:pPr>
        <w:sectPr>
          <w:pgSz w:w="11900" w:h="16838" w:orient="portrait"/>
          <w:cols w:equalWidth="0" w:num="1">
            <w:col w:w="11420"/>
          </w:cols>
          <w:pgMar w:left="240" w:top="45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 Information:</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74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2980" w:type="dxa"/>
            <w:vAlign w:val="bottom"/>
            <w:tcBorders>
              <w:bottom w:val="single" w:sz="8" w:color="auto"/>
            </w:tcBorders>
            <w:gridSpan w:val="3"/>
          </w:tcPr>
          <w:p>
            <w:pPr>
              <w:jc w:val="center"/>
              <w:ind w:left="112"/>
              <w:spacing w:after="0"/>
              <w:rPr>
                <w:sz w:val="20"/>
                <w:szCs w:val="20"/>
                <w:color w:val="auto"/>
              </w:rPr>
            </w:pPr>
            <w:r>
              <w:rPr>
                <w:rFonts w:ascii="Arial" w:cs="Arial" w:eastAsia="Arial" w:hAnsi="Arial"/>
                <w:sz w:val="18"/>
                <w:szCs w:val="18"/>
                <w:b w:val="1"/>
                <w:bCs w:val="1"/>
                <w:color w:val="auto"/>
                <w:w w:val="88"/>
              </w:rPr>
              <w:t>Nine Months Ended September 30,</w:t>
            </w:r>
          </w:p>
        </w:tc>
        <w:tc>
          <w:tcPr>
            <w:tcW w:w="5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1"/>
        </w:trPr>
        <w:tc>
          <w:tcPr>
            <w:tcW w:w="4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jc w:val="right"/>
              <w:ind w:right="432"/>
              <w:spacing w:after="0"/>
              <w:rPr>
                <w:sz w:val="20"/>
                <w:szCs w:val="20"/>
                <w:color w:val="auto"/>
              </w:rPr>
            </w:pPr>
            <w:r>
              <w:rPr>
                <w:rFonts w:ascii="Arial" w:cs="Arial" w:eastAsia="Arial" w:hAnsi="Arial"/>
                <w:sz w:val="18"/>
                <w:szCs w:val="18"/>
                <w:b w:val="1"/>
                <w:bCs w:val="1"/>
                <w:color w:val="auto"/>
              </w:rPr>
              <w:t>2010</w:t>
            </w:r>
          </w:p>
        </w:tc>
        <w:tc>
          <w:tcPr>
            <w:tcW w:w="1940" w:type="dxa"/>
            <w:vAlign w:val="bottom"/>
            <w:gridSpan w:val="2"/>
          </w:tcPr>
          <w:p>
            <w:pPr>
              <w:jc w:val="right"/>
              <w:spacing w:after="0"/>
              <w:rPr>
                <w:sz w:val="20"/>
                <w:szCs w:val="20"/>
                <w:color w:val="auto"/>
              </w:rPr>
            </w:pPr>
            <w:r>
              <w:rPr>
                <w:rFonts w:ascii="Arial" w:cs="Arial" w:eastAsia="Arial" w:hAnsi="Arial"/>
                <w:sz w:val="18"/>
                <w:szCs w:val="18"/>
                <w:b w:val="1"/>
                <w:bCs w:val="1"/>
                <w:color w:val="auto"/>
              </w:rPr>
              <w:t>2009</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8"/>
        </w:trPr>
        <w:tc>
          <w:tcPr>
            <w:tcW w:w="474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8"/>
                <w:szCs w:val="18"/>
                <w:b w:val="1"/>
                <w:bCs w:val="1"/>
                <w:color w:val="auto"/>
                <w:w w:val="89"/>
              </w:rPr>
              <w:t>(in millions)</w:t>
            </w:r>
          </w:p>
        </w:tc>
        <w:tc>
          <w:tcPr>
            <w:tcW w:w="88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7"/>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Operating activities</w:t>
            </w:r>
          </w:p>
        </w:tc>
        <w:tc>
          <w:tcPr>
            <w:tcW w:w="34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167.1</w:t>
            </w:r>
          </w:p>
        </w:tc>
        <w:tc>
          <w:tcPr>
            <w:tcW w:w="19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87.1</w:t>
            </w:r>
          </w:p>
        </w:tc>
        <w:tc>
          <w:tcPr>
            <w:tcW w:w="100" w:type="dxa"/>
            <w:vAlign w:val="bottom"/>
            <w:shd w:val="clear" w:color="auto" w:fill="CCEEFF"/>
          </w:tcPr>
          <w:p>
            <w:pPr>
              <w:spacing w:after="0"/>
              <w:rPr>
                <w:sz w:val="18"/>
                <w:szCs w:val="18"/>
                <w:color w:val="auto"/>
              </w:rPr>
            </w:pP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Investing activities</w:t>
            </w:r>
          </w:p>
        </w:tc>
        <w:tc>
          <w:tcPr>
            <w:tcW w:w="340" w:type="dxa"/>
            <w:vAlign w:val="bottom"/>
          </w:tcPr>
          <w:p>
            <w:pPr>
              <w:spacing w:after="0"/>
              <w:rPr>
                <w:sz w:val="18"/>
                <w:szCs w:val="18"/>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(40.1)</w:t>
            </w:r>
          </w:p>
        </w:tc>
        <w:tc>
          <w:tcPr>
            <w:tcW w:w="10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89"/>
              </w:rPr>
              <w:t>(35.2)</w:t>
            </w:r>
          </w:p>
        </w:tc>
        <w:tc>
          <w:tcPr>
            <w:tcW w:w="100" w:type="dxa"/>
            <w:vAlign w:val="bottom"/>
          </w:tcPr>
          <w:p>
            <w:pPr>
              <w:spacing w:after="0"/>
              <w:rPr>
                <w:sz w:val="18"/>
                <w:szCs w:val="18"/>
                <w:color w:val="auto"/>
              </w:rPr>
            </w:pP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Financing activities</w:t>
            </w: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(100.9)</w:t>
            </w:r>
          </w:p>
        </w:tc>
        <w:tc>
          <w:tcPr>
            <w:tcW w:w="10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(76.5)</w:t>
            </w:r>
          </w:p>
        </w:tc>
        <w:tc>
          <w:tcPr>
            <w:tcW w:w="100" w:type="dxa"/>
            <w:vAlign w:val="bottom"/>
            <w:shd w:val="clear" w:color="auto" w:fill="CCEEFF"/>
          </w:tcPr>
          <w:p>
            <w:pPr>
              <w:spacing w:after="0"/>
              <w:rPr>
                <w:sz w:val="18"/>
                <w:szCs w:val="18"/>
                <w:color w:val="auto"/>
              </w:rPr>
            </w:pPr>
          </w:p>
        </w:tc>
      </w:tr>
      <w:tr>
        <w:trPr>
          <w:trHeight w:val="223"/>
        </w:trPr>
        <w:tc>
          <w:tcPr>
            <w:tcW w:w="4740" w:type="dxa"/>
            <w:vAlign w:val="bottom"/>
          </w:tcPr>
          <w:p>
            <w:pPr>
              <w:spacing w:after="0"/>
              <w:rPr>
                <w:sz w:val="20"/>
                <w:szCs w:val="20"/>
                <w:color w:val="auto"/>
              </w:rPr>
            </w:pPr>
            <w:r>
              <w:rPr>
                <w:rFonts w:ascii="Arial" w:cs="Arial" w:eastAsia="Arial" w:hAnsi="Arial"/>
                <w:sz w:val="18"/>
                <w:szCs w:val="18"/>
                <w:color w:val="auto"/>
              </w:rPr>
              <w:t>Effect of exchange rates on cash and cash equivalents</w:t>
            </w: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0.1</w:t>
            </w:r>
          </w:p>
        </w:tc>
        <w:tc>
          <w:tcPr>
            <w:tcW w:w="1060" w:type="dxa"/>
            <w:vAlign w:val="bottom"/>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19"/>
                <w:szCs w:val="19"/>
                <w:color w:val="auto"/>
              </w:rPr>
            </w:pPr>
          </w:p>
        </w:tc>
      </w:tr>
      <w:tr>
        <w:trPr>
          <w:trHeight w:val="208"/>
        </w:trPr>
        <w:tc>
          <w:tcPr>
            <w:tcW w:w="47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Increase (decrease) in cash and cash</w:t>
            </w: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4"/>
        </w:trPr>
        <w:tc>
          <w:tcPr>
            <w:tcW w:w="4740" w:type="dxa"/>
            <w:vAlign w:val="bottom"/>
            <w:shd w:val="clear" w:color="auto" w:fill="CCEEFF"/>
          </w:tcPr>
          <w:p>
            <w:pPr>
              <w:ind w:left="660"/>
              <w:spacing w:after="0"/>
              <w:rPr>
                <w:sz w:val="20"/>
                <w:szCs w:val="20"/>
                <w:color w:val="auto"/>
              </w:rPr>
            </w:pPr>
            <w:r>
              <w:rPr>
                <w:rFonts w:ascii="Arial" w:cs="Arial" w:eastAsia="Arial" w:hAnsi="Arial"/>
                <w:sz w:val="18"/>
                <w:szCs w:val="18"/>
                <w:color w:val="auto"/>
              </w:rPr>
              <w:t>equivalents</w:t>
            </w:r>
          </w:p>
        </w:tc>
        <w:tc>
          <w:tcPr>
            <w:tcW w:w="34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26.2</w:t>
            </w:r>
          </w:p>
        </w:tc>
        <w:tc>
          <w:tcPr>
            <w:tcW w:w="19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(19.7)</w:t>
            </w:r>
          </w:p>
        </w:tc>
        <w:tc>
          <w:tcPr>
            <w:tcW w:w="100" w:type="dxa"/>
            <w:vAlign w:val="bottom"/>
            <w:shd w:val="clear" w:color="auto" w:fill="CCEEFF"/>
          </w:tcPr>
          <w:p>
            <w:pPr>
              <w:spacing w:after="0"/>
              <w:rPr>
                <w:sz w:val="19"/>
                <w:szCs w:val="19"/>
                <w:color w:val="auto"/>
              </w:rPr>
            </w:pPr>
          </w:p>
        </w:tc>
      </w:tr>
      <w:tr>
        <w:trPr>
          <w:trHeight w:val="20"/>
        </w:trPr>
        <w:tc>
          <w:tcPr>
            <w:tcW w:w="47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Cash and cash equivalents was $148.1 million at September 30, 2010, compared with $121.9 million at December 31, 2009. The increase was primarily due to increased revenues from the Itron North America operating segment, partially offset by higher net cash outflows from financing activities.</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Operating activities</w:t>
      </w:r>
    </w:p>
    <w:p>
      <w:pPr>
        <w:spacing w:after="0" w:line="9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Cash provided by operating activities during the nine months ended September 30, 2010 was $80.0 million higher, compared with the same period in 2009, primarily due to increased revenues.</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Investing activities</w:t>
      </w:r>
    </w:p>
    <w:p>
      <w:pPr>
        <w:spacing w:after="0" w:line="90"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Investing activities consist primarily of capital expenditures for machinery and equipment associated with the expansion of our manufacturing facilities for increased operating capacity.</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Financing activities</w:t>
      </w:r>
    </w:p>
    <w:p>
      <w:pPr>
        <w:spacing w:after="0" w:line="90"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During the nine months ended September 30, 2010, we repaid $106.5 million in borrowings, compared with $236.5 million during the same period in 2009. Cash generated from the exercise of stock-based awards was $7.9 million for the nine months ended September 30, 2010, compared with $5.0 million during the same period in 2009. During the nine months ended September 30, 2009, we completed an underwritten public offering of approximately 3.2 million shares of common stock for net cash proceeds of $160.4 million, which the proceeds were used to repay debt.</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Effect of exchange rates on cash and cash equivalents</w:t>
      </w:r>
    </w:p>
    <w:p>
      <w:pPr>
        <w:spacing w:after="0" w:line="9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effect of exchange rates on the cash balances of currencies held in foreign denominations for the nine months ended September 30, 2010 was an increase of $123,000, compared with an increase of $4.9 million for the same period in 2009.</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Non-cash transactions</w:t>
      </w:r>
    </w:p>
    <w:p>
      <w:pPr>
        <w:spacing w:after="0" w:line="9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nine months ended September 30, 2009, we completed exchanges with certain holders of our convertible notes in which we issued, in the aggregate, approximately 2.3 million shares of common stock valued at $132.9 million, in exchange for, in the aggregate, $121.0 million principal amount of the convertible notes. Refer to Item 1: “Financial Statements Note 6: Debt” for further discussion.</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Off-balance sheet arrangements</w:t>
      </w:r>
    </w:p>
    <w:p>
      <w:pPr>
        <w:spacing w:after="0" w:line="90" w:lineRule="exact"/>
        <w:rPr>
          <w:sz w:val="20"/>
          <w:szCs w:val="20"/>
          <w:color w:val="auto"/>
        </w:rPr>
      </w:pPr>
    </w:p>
    <w:p>
      <w:pPr>
        <w:jc w:val="both"/>
        <w:ind w:right="20"/>
        <w:spacing w:after="0" w:line="332" w:lineRule="auto"/>
        <w:rPr>
          <w:sz w:val="20"/>
          <w:szCs w:val="20"/>
          <w:color w:val="auto"/>
        </w:rPr>
      </w:pPr>
      <w:r>
        <w:rPr>
          <w:rFonts w:ascii="Arial" w:cs="Arial" w:eastAsia="Arial" w:hAnsi="Arial"/>
          <w:sz w:val="16"/>
          <w:szCs w:val="16"/>
          <w:color w:val="auto"/>
        </w:rPr>
        <w:t>We have no off-balance sheet financing agreements or guarantees as defined by Item 303 of Regulation S-K at September 30, 2010 and December 31, 2009 that we believe are reasonably likely to have a current or future effect on our financial condition, results of operations, or cash flows.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Sources and Uses of Capital:</w:t>
      </w:r>
    </w:p>
    <w:p>
      <w:pPr>
        <w:spacing w:after="0" w:line="9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Our principal sources of liquidity are cash flows from operations, borrowings, and the sale of common stock. Cash flows may fluctuate and are sensitive to many factors including changes in working capital and the timing and magnitude of capital expenditures and payments on debt.</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46</w:t>
      </w:r>
    </w:p>
    <w:p>
      <w:pPr>
        <w:sectPr>
          <w:pgSz w:w="11900" w:h="16838" w:orient="portrait"/>
          <w:cols w:equalWidth="0" w:num="1">
            <w:col w:w="11420"/>
          </w:cols>
          <w:pgMar w:left="240" w:top="45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Our credit facility contains scheduled minimum principal payments of 1% per year (.25% quarterly) and an annual excess cash flow provision payment, payable within 90 days of our fiscal year end. The amount of the excess cash flow provision payment varies according to our consolidated leverage ratio. Our yearly debt repayments have historically exceeded the annual excess cash flow provision repayment requirement and, therefore, no additional payments have been required in the following fiscal year.</w:t>
      </w:r>
    </w:p>
    <w:p>
      <w:pPr>
        <w:spacing w:after="0" w:line="14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credit facility includes a multicurrency revolving line of credit, which was increased from $115 million to $240 million on June 9, 2010. The increase was completed without amending the credit facility.</w:t>
      </w:r>
    </w:p>
    <w:p>
      <w:pPr>
        <w:spacing w:after="0" w:line="13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On July 1, 2010, we classified our convertible senior subordinated notes as current on the Consolidated Balance Sheet due to the combination of put, call, and conversion options occurring within the next nine months.</w:t>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color w:val="auto"/>
        </w:rPr>
        <w:t>For a description of the term loans under our credit facility and convertible senior subordinated notes, refer to Item 1: “Financial Statements Note 6: Debt”.</w:t>
      </w:r>
    </w:p>
    <w:p>
      <w:pPr>
        <w:spacing w:after="0" w:line="19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a description of our letters of credit and performance bonds, and the amounts available for additional borrowings or letters of credit under our lines of credit, including the multicurrency revolving line of credit that is part of our credit facility, refer to Item 1: “Financial Statements Note 11: Commitments and Contingencies”.</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For a description of our funded and unfunded non-U.S. defined benefit pension plans and our expected 2010 contributions, refer to Item 1: “Financial Statements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Note 8: Defined Benefit Pension Plans”.</w:t>
      </w:r>
    </w:p>
    <w:p>
      <w:pPr>
        <w:spacing w:after="0" w:line="16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 xml:space="preserve">For a description of our bonus and profit sharing plans, including the amounts accrued at September 30, 2010 and the expected timing of payment, refer to </w:t>
      </w:r>
      <w:r>
        <w:rPr>
          <w:rFonts w:ascii="Arial" w:cs="Arial" w:eastAsia="Arial" w:hAnsi="Arial"/>
          <w:sz w:val="18"/>
          <w:szCs w:val="18"/>
          <w:i w:val="1"/>
          <w:iCs w:val="1"/>
          <w:color w:val="auto"/>
        </w:rPr>
        <w:t>Bonus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and Profit Sharing </w:t>
      </w:r>
      <w:r>
        <w:rPr>
          <w:rFonts w:ascii="Arial" w:cs="Arial" w:eastAsia="Arial" w:hAnsi="Arial"/>
          <w:sz w:val="18"/>
          <w:szCs w:val="18"/>
          <w:color w:val="auto"/>
        </w:rPr>
        <w:t>within Critical Accounting Estimates below.</w:t>
      </w:r>
    </w:p>
    <w:p>
      <w:pPr>
        <w:spacing w:after="0" w:line="132"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Our net deferred tax assets consist primarily of accumulated net operating loss carryforwards, unrealized losses from hedging activities, and tax credits that can be carried forward, some of which are limited by Internal Revenue Code Sections 382 and 383. The limited deferred income tax assets resulted primarily from acquisitions. Based on current projections, we expect to pay $1.7 million in U.S. federal and state taxes and approximately $26 million in local and foreign taxes in 2010. See Item 1: “Financial Statements Note 10: Income Taxes” for a discussion of our tax provision (benefit) and unrecognized tax benefits.</w:t>
      </w:r>
    </w:p>
    <w:p>
      <w:pPr>
        <w:spacing w:after="0" w:line="11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Working capital, which represents current assets less current liabilities, was $148.6 million at September 30, 2010, compared with $282.5 million at December 31, 2009. The decrease is due to the classification of our convertible senior subordinated notes as current during the third quarter of 2010 due to the combination of put, call, and conversion options commencing on July 1, 2011.</w:t>
      </w:r>
    </w:p>
    <w:p>
      <w:pPr>
        <w:spacing w:after="0" w:line="140"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We expect to continue to expand our operations and grow our business through a combination of internal new product development, licensing technology from and to others, distribution agreements, partnership arrangements, and acquisitions of technology or other companies. We expect these activities to be funded with existing cash, cash flow from operations, borrowings, and the sale of common stock or other securities. We believe existing sources of liquidity will be sufficient to fund our existing operations and obligations for the next 12 months and into the foreseeable future, but offer no assurances. Our liquidity could be affected by the stability of the energy and water industries, competitive pressures, international risks, intellectual property claims, capital market fluctuations, and other factors described under “Risk Factors” within Item 1A of Part I of our Annual Report on Form 10-K for the fiscal year ended December 31, 2009, which was filed with the SEC on February 25, 2010, as well as in our “Quantitative and Qualitative Disclosures About Market Risk” within Item 3 of Part 1, included in this Quarterly Report on Form 10-Q.</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Contingencies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Refer to Item 1: “Financial Statements Note 11: Commitments and Contingencies”.</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47</w:t>
      </w:r>
    </w:p>
    <w:p>
      <w:pPr>
        <w:sectPr>
          <w:pgSz w:w="11900" w:h="16838" w:orient="portrait"/>
          <w:cols w:equalWidth="0" w:num="1">
            <w:col w:w="11420"/>
          </w:cols>
          <w:pgMar w:left="240" w:top="459"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Revenue Recognition</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On January 1, 2010, we adopted Financial Accounting Standards Board (FASB) Accounting Standards Update (ASU) No. 2009-13, </w:t>
      </w:r>
      <w:r>
        <w:rPr>
          <w:rFonts w:ascii="Arial" w:cs="Arial" w:eastAsia="Arial" w:hAnsi="Arial"/>
          <w:sz w:val="16"/>
          <w:szCs w:val="16"/>
          <w:i w:val="1"/>
          <w:iCs w:val="1"/>
          <w:color w:val="auto"/>
        </w:rPr>
        <w:t>Revenue Recognition</w:t>
      </w:r>
      <w:r>
        <w:rPr>
          <w:rFonts w:ascii="Arial" w:cs="Arial" w:eastAsia="Arial" w:hAnsi="Arial"/>
          <w:sz w:val="16"/>
          <w:szCs w:val="16"/>
          <w:color w:val="auto"/>
        </w:rPr>
        <w:t xml:space="preserve"> (Topic</w:t>
      </w:r>
    </w:p>
    <w:p>
      <w:pPr>
        <w:spacing w:after="0" w:line="38" w:lineRule="exact"/>
        <w:rPr>
          <w:sz w:val="20"/>
          <w:szCs w:val="20"/>
          <w:color w:val="auto"/>
        </w:rPr>
      </w:pPr>
    </w:p>
    <w:p>
      <w:pPr>
        <w:jc w:val="both"/>
        <w:ind w:firstLine="8"/>
        <w:spacing w:after="0" w:line="290" w:lineRule="auto"/>
        <w:tabs>
          <w:tab w:leader="none" w:pos="389" w:val="left"/>
        </w:tabs>
        <w:numPr>
          <w:ilvl w:val="0"/>
          <w:numId w:val="11"/>
        </w:numPr>
        <w:rPr>
          <w:rFonts w:ascii="Arial" w:cs="Arial" w:eastAsia="Arial" w:hAnsi="Arial"/>
          <w:sz w:val="16"/>
          <w:szCs w:val="16"/>
          <w:color w:val="auto"/>
        </w:rPr>
      </w:pPr>
      <w:r>
        <w:rPr>
          <w:rFonts w:ascii="Arial" w:cs="Arial" w:eastAsia="Arial" w:hAnsi="Arial"/>
          <w:sz w:val="16"/>
          <w:szCs w:val="16"/>
          <w:i w:val="1"/>
          <w:iCs w:val="1"/>
          <w:color w:val="auto"/>
        </w:rPr>
        <w:t>– Multiple-Deliverable Revenue Arrangements (a consensus of the FASB Emerging Issues Tax Force</w:t>
      </w:r>
      <w:r>
        <w:rPr>
          <w:rFonts w:ascii="Arial" w:cs="Arial" w:eastAsia="Arial" w:hAnsi="Arial"/>
          <w:sz w:val="16"/>
          <w:szCs w:val="16"/>
          <w:color w:val="auto"/>
        </w:rPr>
        <w:t>) (ASU 2009-13) and ASU No. 2009-14,</w:t>
      </w:r>
      <w:r>
        <w:rPr>
          <w:rFonts w:ascii="Arial" w:cs="Arial" w:eastAsia="Arial" w:hAnsi="Arial"/>
          <w:sz w:val="16"/>
          <w:szCs w:val="16"/>
          <w:i w:val="1"/>
          <w:iCs w:val="1"/>
          <w:color w:val="auto"/>
        </w:rPr>
        <w:t xml:space="preserve"> Software </w:t>
      </w:r>
      <w:r>
        <w:rPr>
          <w:rFonts w:ascii="Arial" w:cs="Arial" w:eastAsia="Arial" w:hAnsi="Arial"/>
          <w:sz w:val="16"/>
          <w:szCs w:val="16"/>
          <w:color w:val="auto"/>
        </w:rPr>
        <w:t xml:space="preserve">(Topic 985), </w:t>
      </w:r>
      <w:r>
        <w:rPr>
          <w:rFonts w:ascii="Arial" w:cs="Arial" w:eastAsia="Arial" w:hAnsi="Arial"/>
          <w:sz w:val="16"/>
          <w:szCs w:val="16"/>
          <w:i w:val="1"/>
          <w:iCs w:val="1"/>
          <w:color w:val="auto"/>
        </w:rPr>
        <w:t>Certain Revenue Arrangements That Include Software Elements (a consensus of the FASB Emerging Issues Task Force)</w:t>
      </w:r>
      <w:r>
        <w:rPr>
          <w:rFonts w:ascii="Arial" w:cs="Arial" w:eastAsia="Arial" w:hAnsi="Arial"/>
          <w:sz w:val="16"/>
          <w:szCs w:val="16"/>
          <w:color w:val="auto"/>
        </w:rPr>
        <w:t xml:space="preserve"> (ASU 2009-14) on a prospective basis for new arrangements and arrangements that are materially modified. This new guidance did not have a material impact on our financial statements for the three and nine months ended September 30, 2010, as we already had the ability to divide the deliverables within our revenue arrangements into separate units of accounting. Further, there would have been no change to the amount of revenue recognized in the year ended December 31, 2009 if arrangements prior to the adoption of ASU 2009-13 and ASU 2009-14 had been subject to the measurement requirements of this new guidance.</w:t>
      </w:r>
    </w:p>
    <w:p>
      <w:pPr>
        <w:spacing w:after="0" w:line="11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allocate consideration to each deliverable in an arrangement based on its relative selling price. We determine selling price using vendor specific objective evidence (VSOE), if it exists, otherwise third-party evidence (TPE). If neither VSOE nor TPE of selling price exists for a unit of accounting, we use estimated selling price (ESP).</w:t>
      </w:r>
    </w:p>
    <w:p>
      <w:pPr>
        <w:spacing w:after="0" w:line="14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VSOE is generally limited to the price charged when the same or similar product is sold separately or, if applicable, the stated renewal rate in the agreement. If a product or service is seldom sold separately, it is unlikely that we can determine VSOE for the product or service. We define VSOE as a median price of recent standalone transactions that are priced within a narrow range. TPE is determined based on the prices charged by our competitors for a similar deliverable when sold separately.</w:t>
      </w:r>
    </w:p>
    <w:p>
      <w:pPr>
        <w:spacing w:after="0" w:line="143"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For arrangements entered into or materially modified after January 1, 2010, if we are unable to establish selling price using VSOE or TPE, we will use ESP in the allocation of arrangement consideration. The objective of ESP is to determine the price at which we would transact if the product or service were sold by us on a standalone basis. Our determination of ESP involves a weighting of several factors based on the specific facts and circumstances of the arrangement. Specifically, we consider the cost to produce the deliverable, the anticipated margin on that deliverable, the selling price and profit margin for similar parts, our ongoing pricing strategy and policies (as evident in the price list established and updated by management on a regular basis), the value of any enhancements that have been built into the deliverable, and the characteristics of the varying markets in which the deliverable is sold.</w:t>
      </w:r>
    </w:p>
    <w:p>
      <w:pPr>
        <w:spacing w:after="0" w:line="120"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We analyze the selling prices used in our allocation of arrangement consideration on an annual basis. Selling prices are analyzed on a more frequent basis if a significant change in our business necessitates a more timely analysis or if we experience significant variances in our selling prices.</w:t>
      </w:r>
    </w:p>
    <w:p>
      <w:pPr>
        <w:spacing w:after="0" w:line="85"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The majority of our revenue arrangements involve multiple elements, which require us to determine the fair value of each element and then allocate the total arrangement consideration among the separate elements based on the relative fair value percentages. Revenues for each element are then recognized based on the type of element, such as 1) when the products are shipped, 2) services are delivered, 3) percentage-of-completion when implementation services are essential to other elements in the arrangements, 4) upon receipt of customer acceptance, or 5) transfer of title. A majority of our revenue is recognized when products are shipped to or received by a customer or when services are provided.</w:t>
      </w:r>
    </w:p>
    <w:p>
      <w:pPr>
        <w:spacing w:after="0" w:line="116"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Fair value represents the estimated price charged if an item were sold separately. If the fair value of any undelivered element included in a multiple element arrangement cannot be objectively determined, revenue is deferred until all elements are delivered and services have been performed, or until the fair value can be objectively determined for any remaining undelivered elements. We review our fair values on an annual basis or more frequently if a significant trend is noted.</w:t>
      </w:r>
    </w:p>
    <w:p>
      <w:pPr>
        <w:spacing w:after="0" w:line="107"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If implementation services are essential to a software arrangement, revenue is recognized using either the percentage-of-completion methodology if project costs can be estimated or the completed contract methodology if project costs cannot be reliably estimated. The estimation of costs through completion of a project is subject to many variables such as the length of time to complete, changes in wages, subcontractor performance, supplier information, and business volume assumptions. Changes in underlying assumptions/estimates may adversely or positively affect financial</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48</w:t>
      </w:r>
    </w:p>
    <w:p>
      <w:pPr>
        <w:sectPr>
          <w:pgSz w:w="11900" w:h="16838" w:orient="portrait"/>
          <w:cols w:equalWidth="0" w:num="1">
            <w:col w:w="11420"/>
          </w:cols>
          <w:pgMar w:left="240" w:top="459"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performance. Hardware and software post-sale maintenance support fees are recognized ratably over the performance period. Shipping and handling costs and incidental expenses billed to customers are recorded as revenue, with the associated cost charged to cost of revenues. We record sales, use, and value added taxes billed to our customers on a net basis.</w:t>
      </w:r>
    </w:p>
    <w:p>
      <w:pPr>
        <w:spacing w:after="0" w:line="140"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Unearned revenue is recorded when a customer pays for products or services, but the criteria for revenue recognition have not been met as of the balance sheet date. Unearned revenues relate primarily to professional services and software associated with our OpenWay</w:t>
      </w:r>
      <w:r>
        <w:rPr>
          <w:rFonts w:ascii="Arial" w:cs="Arial" w:eastAsia="Arial" w:hAnsi="Arial"/>
          <w:sz w:val="10"/>
          <w:szCs w:val="10"/>
          <w:color w:val="auto"/>
        </w:rPr>
        <w:t>®</w:t>
      </w:r>
      <w:r>
        <w:rPr>
          <w:rFonts w:ascii="Arial" w:cs="Arial" w:eastAsia="Arial" w:hAnsi="Arial"/>
          <w:sz w:val="16"/>
          <w:szCs w:val="16"/>
          <w:color w:val="auto"/>
        </w:rPr>
        <w:t xml:space="preserve"> contracts, extended warranty, and prepaid post contract support. Unearned revenue is recognized when the applicable revenue recognition criteria are met. Deferred cost is recorded for products or services for which ownership (typically defined as title and risk of loss) has transferred to the customer, but the criteria for revenue recognition have not been met as of the balance sheet date. Deferred costs are recognized when the applicable revenue recognition criteria are met. Refer to Item 1: “Financial Statements, Note 1: Summary of Significant Accounting Policies” for unearned revenue and deferred costs outstanding at September 30, 2010 and December 31, 2009.</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Warranty</w:t>
      </w:r>
    </w:p>
    <w:p>
      <w:pPr>
        <w:spacing w:after="0" w:line="90" w:lineRule="exact"/>
        <w:rPr>
          <w:sz w:val="20"/>
          <w:szCs w:val="20"/>
          <w:color w:val="auto"/>
        </w:rPr>
      </w:pPr>
    </w:p>
    <w:p>
      <w:pPr>
        <w:jc w:val="both"/>
        <w:spacing w:after="0" w:line="308" w:lineRule="auto"/>
        <w:rPr>
          <w:sz w:val="20"/>
          <w:szCs w:val="20"/>
          <w:color w:val="auto"/>
        </w:rPr>
      </w:pPr>
      <w:r>
        <w:rPr>
          <w:rFonts w:ascii="Arial" w:cs="Arial" w:eastAsia="Arial" w:hAnsi="Arial"/>
          <w:sz w:val="15"/>
          <w:szCs w:val="15"/>
          <w:color w:val="auto"/>
        </w:rPr>
        <w:t>We offer standard warranties on our hardware products and large application software products. We accrue the estimated cost of warranty claims based on historical and projected product performance trends and costs. Testing of new products in the development stage helps identify and correct potential warranty issues prior to manufacturing. Continuing quality control efforts during manufacturing reduce our exposure to warranty claims. If our quality control efforts fail to detect a fault in one of our products, we could experience an increase in warranty claims. We track warranty claims to identify potential warranty trends. If an unusual trend is noted, an additional warranty accrual may be assessed and recorded when a failure event is probable and the cost can be reasonably estimated. When new products are introduced, our process relies on historical averages until sufficient data are available. As actual experience becomes available, it is used to modify the historical averages to ensure the expected warranty costs are within a range of likely outcomes. Management continually evaluates the sufficiency of the warranty provisions and makes adjustments when necessary. The warranty allowances may fluctuate due to changes in estimates for material, labor, and other costs we may incur to repair or replace projected product failures, and we may incur additional warranty and related expenses in the future with respect to new or established products, which could adversely affect our gross margin. The long-term warranty balance includes estimated warranty claims beyond one year.</w:t>
      </w:r>
    </w:p>
    <w:p>
      <w:pPr>
        <w:spacing w:after="0" w:line="19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Income Taxes</w:t>
      </w:r>
    </w:p>
    <w:p>
      <w:pPr>
        <w:spacing w:after="0" w:line="90"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We estimate income taxes in each of the taxing jurisdictions in which we operate. Our effective tax rate requires significant judgment and is subject to several factors, including fluctuations in the forecasted mix of earnings in domestic and international jurisdictions, new or revised tax legislation and accounting pronouncements, tax credits, state income taxes, adjustments to valuation allowances, and interest expense and penalties related to uncertain tax positions, among other items. Changes in tax laws and unanticipated tax liabilities could significantly impact our tax rate.</w:t>
      </w:r>
    </w:p>
    <w:p>
      <w:pPr>
        <w:spacing w:after="0" w:line="11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record valuation allowances to reduce deferred tax assets to the extent we believe it is more likely than not that a portion of such assets will not be realized. In making such determinations, we consider all available positive and negative evidence, including scheduled reversals of deferred tax liabilities, projected future taxable income, tax planning strategies, and our ability to carry back losses to prior years. We are required to make assumptions and judgments about potential outcomes that lie outside management’s control. Our most sensitive and critical factor is the projection and character of future taxable income. Although realization is not assured, management believes it is more likely than not that deferred tax assets will be realized. The amount of deferred tax assets considered realizable, however, could be reduced in the near term if estimates of future taxable income during the carryforward periods are reduced or current tax planning strategies are not implemented.</w:t>
      </w:r>
    </w:p>
    <w:p>
      <w:pPr>
        <w:spacing w:after="0" w:line="14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are subject to audit in multiple taxing jurisdictions in which we operate. These audits may involve complex issues, which may require an extended period of time to resolve. We believe we have recorded adequate income tax provisions and reserves for uncertain tax positions.</w:t>
      </w:r>
    </w:p>
    <w:p>
      <w:pPr>
        <w:spacing w:after="0" w:line="13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evaluating uncertain tax positions, we consider the relative risks and merits of positions taken in tax returns filed and to be filed, considering statutory, judicial, and regulatory guidance applicable to those positions. We make assumptions and judgments about potential outcomes that lie outside management’s control. To the extent the tax authorities disagree with our conclusions and depending on the final resolution of those disagreements, our actual tax rate may be materially affected in the period of final settlement with the tax authorities.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49</w:t>
      </w:r>
    </w:p>
    <w:p>
      <w:pPr>
        <w:sectPr>
          <w:pgSz w:w="11900" w:h="16838" w:orient="portrait"/>
          <w:cols w:equalWidth="0" w:num="1">
            <w:col w:w="11420"/>
          </w:cols>
          <w:pgMar w:left="240" w:top="459"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Inventories</w:t>
      </w:r>
    </w:p>
    <w:p>
      <w:pPr>
        <w:spacing w:after="0" w:line="9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Items are removed from inventory using the first-in, first-out method. Inventories include raw materials, sub-assemblies, and finished goods. Inventory amounts include the cost to manufacture the item, such as the cost of raw materials, labor, and other applied direct and indirect costs. We also review idle facility expense, freight, handling costs, and wasted materials to determine if abnormal amounts should be recognized as current-period charges. We review our inventory for obsolescence and marketability. If the estimated market value, which is based upon assumptions about future demand and market conditions, falls below the original cost, the inventory value is reduced to the market value. If technology rapidly changes or actual market conditions are less favorable than those projected by management, inventory write-downs may be required. Our inventory levels may vary period to period as a result of our factory scheduling and timing of contract fulfillments.</w:t>
      </w:r>
    </w:p>
    <w:p>
      <w:pPr>
        <w:spacing w:after="0" w:line="22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Goodwill and Intangible Assets</w:t>
      </w:r>
    </w:p>
    <w:p>
      <w:pPr>
        <w:spacing w:after="0" w:line="90"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Goodwill and intangible assets result from our acquisitions. We use estimates, including estimates of useful lives of intangible assets, the amount and timing of related future cash flows, and fair values of the related operations, in determining the value assigned to goodwill and intangible assets. Our intangible assets have a finite life and are amortized over their estimated useful lives based on estimated discounted cash flows. Intangible assets are tested for impairment when events or changes in circumstances indicate the carrying value may not be recoverable.</w:t>
      </w:r>
    </w:p>
    <w:p>
      <w:pPr>
        <w:spacing w:after="0" w:line="11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test goodwill for impairment each year as of October 1, or more frequently should a significant impairment indicator occur. Our Itron North America operating segment represents one reporting unit, while our Itron International operating segment has three reporting units.</w:t>
      </w:r>
    </w:p>
    <w:p>
      <w:pPr>
        <w:spacing w:after="0" w:line="13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Determining the fair value of a reporting unit is judgmental in nature and involves the use of significant estimates and assumptions. We forecast discounted future cash flows at the reporting unit level using risk-adjusted discount rates and estimated future revenues and operating costs, which take into consideration factors such as existing backlog, expected future orders, supplier contracts, and expectations of competitive and economic environments. We also identify similar publicly traded companies and develop a correlation, referred to as a multiple, to apply to the operating results of the reporting units. Our 2009 annual goodwill impairment analysis did not result in an impairment charge as the fair value of each reporting unit exceeded its carrying value. The percentage by which the fair value of each reporting unit exceeded its carrying value and the amount of goodwill allocated to each reporting unit at October 1, 2009 was as follows: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1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252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b w:val="1"/>
                <w:bCs w:val="1"/>
                <w:color w:val="auto"/>
              </w:rPr>
              <w:t>October 1, 2009</w:t>
            </w:r>
          </w:p>
        </w:tc>
      </w:tr>
      <w:tr>
        <w:trPr>
          <w:trHeight w:val="196"/>
        </w:trPr>
        <w:tc>
          <w:tcPr>
            <w:tcW w:w="4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40" w:type="dxa"/>
            <w:vAlign w:val="bottom"/>
          </w:tcPr>
          <w:p>
            <w:pPr>
              <w:jc w:val="center"/>
              <w:spacing w:after="0" w:line="196" w:lineRule="exact"/>
              <w:rPr>
                <w:sz w:val="20"/>
                <w:szCs w:val="20"/>
                <w:color w:val="auto"/>
              </w:rPr>
            </w:pPr>
            <w:r>
              <w:rPr>
                <w:rFonts w:ascii="Arial" w:cs="Arial" w:eastAsia="Arial" w:hAnsi="Arial"/>
                <w:sz w:val="18"/>
                <w:szCs w:val="18"/>
                <w:b w:val="1"/>
                <w:bCs w:val="1"/>
                <w:color w:val="auto"/>
                <w:w w:val="87"/>
              </w:rPr>
              <w:t>Fair Value Exceeded</w:t>
            </w:r>
          </w:p>
        </w:tc>
      </w:tr>
      <w:tr>
        <w:trPr>
          <w:trHeight w:val="228"/>
        </w:trPr>
        <w:tc>
          <w:tcPr>
            <w:tcW w:w="4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b w:val="1"/>
                <w:bCs w:val="1"/>
                <w:color w:val="auto"/>
              </w:rPr>
              <w:t>Goodwill</w:t>
            </w:r>
          </w:p>
        </w:tc>
        <w:tc>
          <w:tcPr>
            <w:tcW w:w="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640" w:type="dxa"/>
            <w:vAlign w:val="bottom"/>
          </w:tcPr>
          <w:p>
            <w:pPr>
              <w:jc w:val="center"/>
              <w:spacing w:after="0"/>
              <w:rPr>
                <w:sz w:val="20"/>
                <w:szCs w:val="20"/>
                <w:color w:val="auto"/>
              </w:rPr>
            </w:pPr>
            <w:r>
              <w:rPr>
                <w:rFonts w:ascii="Arial" w:cs="Arial" w:eastAsia="Arial" w:hAnsi="Arial"/>
                <w:sz w:val="18"/>
                <w:szCs w:val="18"/>
                <w:b w:val="1"/>
                <w:bCs w:val="1"/>
                <w:color w:val="auto"/>
                <w:w w:val="91"/>
              </w:rPr>
              <w:t>Carrying Value</w:t>
            </w:r>
          </w:p>
        </w:tc>
      </w:tr>
      <w:tr>
        <w:trPr>
          <w:trHeight w:val="218"/>
        </w:trPr>
        <w:tc>
          <w:tcPr>
            <w:tcW w:w="41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00" w:type="dxa"/>
            <w:vAlign w:val="bottom"/>
          </w:tcPr>
          <w:p>
            <w:pPr>
              <w:spacing w:after="0"/>
              <w:rPr>
                <w:sz w:val="18"/>
                <w:szCs w:val="18"/>
                <w:color w:val="auto"/>
              </w:rPr>
            </w:pPr>
          </w:p>
        </w:tc>
        <w:tc>
          <w:tcPr>
            <w:tcW w:w="1640" w:type="dxa"/>
            <w:vAlign w:val="bottom"/>
            <w:tcBorders>
              <w:bottom w:val="single" w:sz="8" w:color="auto"/>
            </w:tcBorders>
          </w:tcPr>
          <w:p>
            <w:pPr>
              <w:spacing w:after="0"/>
              <w:rPr>
                <w:sz w:val="18"/>
                <w:szCs w:val="18"/>
                <w:color w:val="auto"/>
              </w:rPr>
            </w:pPr>
          </w:p>
        </w:tc>
      </w:tr>
      <w:tr>
        <w:trPr>
          <w:trHeight w:val="210"/>
        </w:trPr>
        <w:tc>
          <w:tcPr>
            <w:tcW w:w="4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jc w:val="right"/>
              <w:ind w:right="72"/>
              <w:spacing w:after="0"/>
              <w:rPr>
                <w:sz w:val="20"/>
                <w:szCs w:val="20"/>
                <w:color w:val="auto"/>
              </w:rPr>
            </w:pPr>
            <w:r>
              <w:rPr>
                <w:rFonts w:ascii="Arial" w:cs="Arial" w:eastAsia="Arial" w:hAnsi="Arial"/>
                <w:sz w:val="18"/>
                <w:szCs w:val="18"/>
                <w:b w:val="1"/>
                <w:bCs w:val="1"/>
                <w:color w:val="auto"/>
                <w:w w:val="91"/>
              </w:rPr>
              <w:t>(in millions)</w:t>
            </w: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40" w:type="dxa"/>
            <w:vAlign w:val="bottom"/>
          </w:tcPr>
          <w:p>
            <w:pPr>
              <w:spacing w:after="0"/>
              <w:rPr>
                <w:sz w:val="18"/>
                <w:szCs w:val="18"/>
                <w:color w:val="auto"/>
              </w:rPr>
            </w:pPr>
          </w:p>
        </w:tc>
      </w:tr>
      <w:tr>
        <w:trPr>
          <w:trHeight w:val="216"/>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Itron North America</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187.9</w:t>
            </w:r>
          </w:p>
        </w:tc>
        <w:tc>
          <w:tcPr>
            <w:tcW w:w="2520" w:type="dxa"/>
            <w:vAlign w:val="bottom"/>
            <w:gridSpan w:val="3"/>
            <w:shd w:val="clear" w:color="auto" w:fill="CCEEFF"/>
          </w:tcPr>
          <w:p>
            <w:pPr>
              <w:jc w:val="center"/>
              <w:ind w:left="792"/>
              <w:spacing w:after="0"/>
              <w:rPr>
                <w:sz w:val="20"/>
                <w:szCs w:val="20"/>
                <w:color w:val="auto"/>
              </w:rPr>
            </w:pPr>
            <w:r>
              <w:rPr>
                <w:rFonts w:ascii="Arial" w:cs="Arial" w:eastAsia="Arial" w:hAnsi="Arial"/>
                <w:sz w:val="18"/>
                <w:szCs w:val="18"/>
                <w:color w:val="auto"/>
                <w:w w:val="88"/>
              </w:rPr>
              <w:t>85%</w:t>
            </w: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Itron International - Electricity</w:t>
            </w: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379.7</w:t>
            </w:r>
          </w:p>
        </w:tc>
        <w:tc>
          <w:tcPr>
            <w:tcW w:w="2520" w:type="dxa"/>
            <w:vAlign w:val="bottom"/>
            <w:gridSpan w:val="3"/>
          </w:tcPr>
          <w:p>
            <w:pPr>
              <w:jc w:val="center"/>
              <w:ind w:left="792"/>
              <w:spacing w:after="0"/>
              <w:rPr>
                <w:sz w:val="20"/>
                <w:szCs w:val="20"/>
                <w:color w:val="auto"/>
              </w:rPr>
            </w:pPr>
            <w:r>
              <w:rPr>
                <w:rFonts w:ascii="Arial" w:cs="Arial" w:eastAsia="Arial" w:hAnsi="Arial"/>
                <w:sz w:val="18"/>
                <w:szCs w:val="18"/>
                <w:color w:val="auto"/>
                <w:w w:val="92"/>
              </w:rPr>
              <w:t>3%</w:t>
            </w:r>
          </w:p>
        </w:tc>
      </w:tr>
      <w:tr>
        <w:trPr>
          <w:trHeight w:val="216"/>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Itron International - Water</w:t>
            </w: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419.0</w:t>
            </w:r>
          </w:p>
        </w:tc>
        <w:tc>
          <w:tcPr>
            <w:tcW w:w="2520" w:type="dxa"/>
            <w:vAlign w:val="bottom"/>
            <w:gridSpan w:val="3"/>
            <w:shd w:val="clear" w:color="auto" w:fill="CCEEFF"/>
          </w:tcPr>
          <w:p>
            <w:pPr>
              <w:jc w:val="center"/>
              <w:ind w:left="792"/>
              <w:spacing w:after="0"/>
              <w:rPr>
                <w:sz w:val="20"/>
                <w:szCs w:val="20"/>
                <w:color w:val="auto"/>
              </w:rPr>
            </w:pPr>
            <w:r>
              <w:rPr>
                <w:rFonts w:ascii="Arial" w:cs="Arial" w:eastAsia="Arial" w:hAnsi="Arial"/>
                <w:sz w:val="18"/>
                <w:szCs w:val="18"/>
                <w:color w:val="auto"/>
                <w:w w:val="92"/>
              </w:rPr>
              <w:t>4%</w:t>
            </w:r>
          </w:p>
        </w:tc>
      </w:tr>
      <w:tr>
        <w:trPr>
          <w:trHeight w:val="223"/>
        </w:trPr>
        <w:tc>
          <w:tcPr>
            <w:tcW w:w="4160" w:type="dxa"/>
            <w:vAlign w:val="bottom"/>
          </w:tcPr>
          <w:p>
            <w:pPr>
              <w:spacing w:after="0"/>
              <w:rPr>
                <w:sz w:val="20"/>
                <w:szCs w:val="20"/>
                <w:color w:val="auto"/>
              </w:rPr>
            </w:pPr>
            <w:r>
              <w:rPr>
                <w:rFonts w:ascii="Arial" w:cs="Arial" w:eastAsia="Arial" w:hAnsi="Arial"/>
                <w:sz w:val="18"/>
                <w:szCs w:val="18"/>
                <w:color w:val="auto"/>
              </w:rPr>
              <w:t>Itron International - Gas</w:t>
            </w: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337.3</w:t>
            </w:r>
          </w:p>
        </w:tc>
        <w:tc>
          <w:tcPr>
            <w:tcW w:w="2520" w:type="dxa"/>
            <w:vAlign w:val="bottom"/>
            <w:gridSpan w:val="3"/>
          </w:tcPr>
          <w:p>
            <w:pPr>
              <w:jc w:val="center"/>
              <w:ind w:left="792"/>
              <w:spacing w:after="0"/>
              <w:rPr>
                <w:sz w:val="20"/>
                <w:szCs w:val="20"/>
                <w:color w:val="auto"/>
              </w:rPr>
            </w:pPr>
            <w:r>
              <w:rPr>
                <w:rFonts w:ascii="Arial" w:cs="Arial" w:eastAsia="Arial" w:hAnsi="Arial"/>
                <w:sz w:val="18"/>
                <w:szCs w:val="18"/>
                <w:color w:val="auto"/>
                <w:w w:val="88"/>
              </w:rPr>
              <w:t>24%</w:t>
            </w:r>
          </w:p>
        </w:tc>
      </w:tr>
      <w:tr>
        <w:trPr>
          <w:trHeight w:val="216"/>
        </w:trPr>
        <w:tc>
          <w:tcPr>
            <w:tcW w:w="4160" w:type="dxa"/>
            <w:vAlign w:val="bottom"/>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1,323.9</w:t>
            </w: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r>
      <w:tr>
        <w:trPr>
          <w:trHeight w:val="20"/>
        </w:trPr>
        <w:tc>
          <w:tcPr>
            <w:tcW w:w="4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Changes in market demand and the economies in which we operate across local markets, the volatility and decline in the worldwide equity markets, and the decline in our market capitalization could negatively impact our annual goodwill impairment test, which could have a significant effect on our current and future results of operations and financial condition.</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Derivative Instruments</w:t>
      </w:r>
    </w:p>
    <w:p>
      <w:pPr>
        <w:spacing w:after="0" w:line="9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All derivative instruments, whether designated in hedging relationships or not, are recorded on the Consolidated Balance Sheets at fair value as either assets or liabilities. The components and fair values of our derivative instruments, which are primarily interest rate swaps, are determined using the fair value measurements of significant other</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50</w:t>
      </w:r>
    </w:p>
    <w:p>
      <w:pPr>
        <w:sectPr>
          <w:pgSz w:w="11900" w:h="16838" w:orient="portrait"/>
          <w:cols w:equalWidth="0" w:num="1">
            <w:col w:w="11420"/>
          </w:cols>
          <w:pgMar w:left="240" w:top="459"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 xml:space="preserve">observable inputs (also known as “Level 2”), as defined by FASB Accounting Standards Codification (ASC) 820-10-20, </w:t>
      </w:r>
      <w:r>
        <w:rPr>
          <w:rFonts w:ascii="Arial" w:cs="Arial" w:eastAsia="Arial" w:hAnsi="Arial"/>
          <w:sz w:val="16"/>
          <w:szCs w:val="16"/>
          <w:i w:val="1"/>
          <w:iCs w:val="1"/>
          <w:color w:val="auto"/>
        </w:rPr>
        <w:t>Fair Value Measurements</w:t>
      </w:r>
      <w:r>
        <w:rPr>
          <w:rFonts w:ascii="Arial" w:cs="Arial" w:eastAsia="Arial" w:hAnsi="Arial"/>
          <w:sz w:val="16"/>
          <w:szCs w:val="16"/>
          <w:color w:val="auto"/>
        </w:rPr>
        <w:t>. We include the effect of our counterparty credit risk based on current published credit default swap rates when the net fair value of our derivative instruments is in a net asset position and the effect of our own nonperformance risk when the net fair value of our derivative instruments is in a net liability position. Level 2 inputs consist of quoted prices for similar assets and liabilities in active markets; quoted prices for identical or similar assets and liabilities in non-active markets; and model-derived valuations in which significant inputs are corroborated by observable market data either directly or indirectly through correlation or other means (inputs may include yield curves, volatility, credit risks, and default rates). Derivatives are not used for trading or speculative purposes. Our derivatives are with major international financial institutions, with whom we have master netting agreements; however, our derivative positions are not disclosed on a net basis. There are no credit-risk-related contingent features within our derivative instruments.</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Convertible Debt</w:t>
      </w:r>
    </w:p>
    <w:p>
      <w:pPr>
        <w:spacing w:after="0" w:line="90"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Our convertible notes are separated into their liability and equity components in a manner that reflects our non-convertible debt borrowing rate, which we determined to be 7.38% at the time of the convertible notes issuance in August 2006. Upon derecognition of the convertible notes, we are required to remeasure the fair value of the liability and equity components using a borrowing rate for similar non-convertible debt that would be applicable to Itron at the date of the derecognition. Any increase or decrease in borrowing rates from the inception of the debt to the date of derecognition could result in a gain or loss, respectively, on extinguishment. Based on market conditions and our credit rating at the date of derecognition, the borrowing rate could be materially different from the rate determined at the inception of the convertible debt. At September 30, 2010, we classified the convertible notes as current due to the combination of put, call, and conversion options commencing on July 1, 2011.</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Defined Benefit Pension Plans</w:t>
      </w:r>
    </w:p>
    <w:p>
      <w:pPr>
        <w:spacing w:after="0" w:line="90"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We sponsor both funded and unfunded non-U.S. defined benefit pension plans. We recognize a liability for the projected benefit obligation in excess of plan assets or an asset for plan assets in excess of the projected benefit obligation. We also recognize the funded status of our defined benefit pension plans on our Consolidated Balance Sheets and recognize as a component of other comprehensive income (loss) (OCI), net of tax, the actuarial gains or losses and prior service costs or credits, if any, that arise during the period but are not recognized as components of net periodic benefit cost.</w:t>
      </w:r>
    </w:p>
    <w:p>
      <w:pPr>
        <w:spacing w:after="0" w:line="11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Several economic assumptions and actuarial data are used in calculating the expense and obligations related to these plans. The assumptions are updated annually at December 31 and include the discount rate, the expected remaining service life, the expected rate of return on plan assets, and rate of future compensation increase. The discount rate is a significant assumption used to value our pension benefit obligation. We determine a discount rate for our plans based on the estimated duration of each plan’s liabilities. For our euro-denominated defined benefit pension plans, which comprise 95% of our benefit obligation, we match the plans’ expected future benefit payments against select bonds (bonds with market values that exceed €500 million, have a maturity greater than one year with no special features, and have a spread between the bid and ask prices of less than 5% of the average bid and ask prices). The yield curve derived for the euro-denominated plans was 5.5% at December 31, 2009. The weighted average discount rate used to measure the projected benefit obligation for all of the plans at December 31, 2009 was 5.6%. A change of 25 basis points in the discount rate would change our pension benefit obligation by approximately $2 million. The financial and actuarial assumptions used at December 31, 2009 may differ materially from actual results due to changing market and economic conditions and other factors. These differences could result in a significant change in the amount of pension expense recorded in future periods. Gains and losses resulting from changes in actuarial assumptions, including the discount rate, are recognized in OCI in the period in which they occur.</w:t>
      </w:r>
    </w:p>
    <w:p>
      <w:pPr>
        <w:spacing w:after="0" w:line="127"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Our general funding policy for these qualified pension plans is to contribute amounts at least sufficient to satisfy funding standards of the respective countries for each plan. Refer to Item 1: “Financial Statements Note 8: Defined Benefit Pension Plans” for our expected contributions for 2010.</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Bonus and Profit Sharing</w:t>
      </w:r>
    </w:p>
    <w:p>
      <w:pPr>
        <w:spacing w:after="0" w:line="90"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We have employee bonus and profit sharing plans, which provide award amounts for the achievement of annual financial and nonfinancial targets. If management determines it probable that the targets will be achieved and the amounts can be reasonably estimated, a compensation accrual is recorded based on the proportional achievement of the financial and nonfinancial targets. Although we monitor and accrue expenses quarterly based on our estimated progress</w:t>
      </w:r>
    </w:p>
    <w:p>
      <w:pPr>
        <w:spacing w:after="0" w:line="8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51</w:t>
      </w:r>
    </w:p>
    <w:p>
      <w:pPr>
        <w:sectPr>
          <w:pgSz w:w="11900" w:h="16838" w:orient="portrait"/>
          <w:cols w:equalWidth="0" w:num="1">
            <w:col w:w="11420"/>
          </w:cols>
          <w:pgMar w:left="240" w:top="459" w:right="2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toward the achievement of the annual targets, the actual results at the end of the year may require awards that are significantly greater or less than the estimates made in earlier quarters. For the three and nine months ended September 30, 2010, we accrued $12.1 million and $36.8 million for such awards, compared with $6.6 million and $8.7 million in the same periods in 2009. Awards are typically distributed in the first quarter of the following year.</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Stock-Based Compensation</w:t>
      </w:r>
    </w:p>
    <w:p>
      <w:pPr>
        <w:spacing w:after="0" w:line="90"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We measure and recognize compensation expense for all stock-based awards made to employees and directors, including awards of stock options, stock sold pursuant to our Amended and Restated 2002 Employee Stock Purchase Plan (ESPP), and the issuance of restricted and unrestricted stock awards and units, based on estimated fair values. The fair values of stock options and ESPP awards are estimated at the date of grant using the Black-Scholes option-pricing model, which includes assumptions for the dividend yield, expected volatility, risk-free interest rate, and expected life. In valuing our stock-based awards, significant judgment is required in determining the expected volatility of our common stock and the expected life that individuals will hold their stock-based awards prior to exercising. Expected volatility is based on the historical and implied volatility of our own common stock. The expected life of stock option grants is derived from the historical actual term of option grants and an estimate of future exercises during the remaining contractual period of the option. While volatility and estimated life are assumptions that do not bear the risk of change subsequent to the grant date of stock-based awards, these assumptions may be difficult to measure as they represent future expectations based on historical experience. Further, our expected volatility and expected life may change in the future, which could substantially change the grant-date fair value of future awards of stock options and ultimately the expense we record. For restricted and unrestricted stock awards and units, the fair value is the market close price of our common stock on the date of grant. We consider many factors when estimating expected forfeitures, including types of awards, employee class, and historical experience. Actual results and future estimates may differ substantially from our current estimates. We expense stock-based compensation, adjusted for estimated forfeitures, using the straight-line method over the required vesting period. Our excess tax benefit cannot be credited to common stock until the deduction reduces cash taxes payable. When we have tax deductions in excess of the compensation cost, they are classified as financing cash inflows in the Consolidated Statements of Cash Flows.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Refer to Item 1: “Financial Statements Note 1: Summary of Significant Accounting Policies”.</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52</w:t>
      </w:r>
    </w:p>
    <w:p>
      <w:pPr>
        <w:sectPr>
          <w:pgSz w:w="11900" w:h="16838" w:orient="portrait"/>
          <w:cols w:equalWidth="0" w:num="1">
            <w:col w:w="11420"/>
          </w:cols>
          <w:pgMar w:left="240" w:top="459" w:right="2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96"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In the normal course of business, we are exposed to interest rate and foreign currency exchange rate risks that could impact our financial position and results of operations. As part of our risk management strategy, we use derivative financial instruments to hedge certain foreign currency and interest rate exposures. Our objective is to offset gains and losses resulting from these exposures with losses and gains on the derivative contracts used to hedge them, therefore reducing the impact of volatility on earnings or protecting the fair values of assets and liabilities. We use derivative contracts only to manage existing underlying exposures. Accordingly, we do not use derivative contracts for trading or speculative purposes.</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Interest Rate Risk</w:t>
      </w:r>
    </w:p>
    <w:p>
      <w:pPr>
        <w:spacing w:after="0" w:line="9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table below provides information about our financial instruments that are sensitive to changes in interest rates and the scheduled minimum repayment of principal and estimated cash interest payments over the remaining lives of our debt at September 30, 2010. Including the effect of our interest rate swaps at September 30, 2010, 89% of our borrowings are at fixed rates. Weighted average variable rates in the table are based on implied forward rates in the Bloomberg U.S. dollar yield curve as of September 30, 2010, our estimated leverage ratio, which determines our additional interest rate margin, and a static foreign exchange rate at September 30, 2010.</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9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jc w:val="right"/>
              <w:ind w:right="92"/>
              <w:spacing w:after="0"/>
              <w:rPr>
                <w:sz w:val="20"/>
                <w:szCs w:val="20"/>
                <w:color w:val="auto"/>
              </w:rPr>
            </w:pPr>
            <w:r>
              <w:rPr>
                <w:rFonts w:ascii="Arial" w:cs="Arial" w:eastAsia="Arial" w:hAnsi="Arial"/>
                <w:sz w:val="18"/>
                <w:szCs w:val="18"/>
                <w:b w:val="1"/>
                <w:bCs w:val="1"/>
                <w:color w:val="auto"/>
                <w:w w:val="94"/>
              </w:rPr>
              <w:t>2010</w:t>
            </w:r>
          </w:p>
        </w:tc>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jc w:val="right"/>
              <w:ind w:right="92"/>
              <w:spacing w:after="0"/>
              <w:rPr>
                <w:sz w:val="20"/>
                <w:szCs w:val="20"/>
                <w:color w:val="auto"/>
              </w:rPr>
            </w:pPr>
            <w:r>
              <w:rPr>
                <w:rFonts w:ascii="Arial" w:cs="Arial" w:eastAsia="Arial" w:hAnsi="Arial"/>
                <w:sz w:val="18"/>
                <w:szCs w:val="18"/>
                <w:b w:val="1"/>
                <w:bCs w:val="1"/>
                <w:color w:val="auto"/>
                <w:w w:val="89"/>
              </w:rPr>
              <w:t>2011</w:t>
            </w: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jc w:val="right"/>
              <w:ind w:right="72"/>
              <w:spacing w:after="0"/>
              <w:rPr>
                <w:sz w:val="20"/>
                <w:szCs w:val="20"/>
                <w:color w:val="auto"/>
              </w:rPr>
            </w:pPr>
            <w:r>
              <w:rPr>
                <w:rFonts w:ascii="Arial" w:cs="Arial" w:eastAsia="Arial" w:hAnsi="Arial"/>
                <w:sz w:val="18"/>
                <w:szCs w:val="18"/>
                <w:b w:val="1"/>
                <w:bCs w:val="1"/>
                <w:color w:val="auto"/>
                <w:w w:val="94"/>
              </w:rPr>
              <w:t>2012</w:t>
            </w: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jc w:val="right"/>
              <w:ind w:right="72"/>
              <w:spacing w:after="0"/>
              <w:rPr>
                <w:sz w:val="20"/>
                <w:szCs w:val="20"/>
                <w:color w:val="auto"/>
              </w:rPr>
            </w:pPr>
            <w:r>
              <w:rPr>
                <w:rFonts w:ascii="Arial" w:cs="Arial" w:eastAsia="Arial" w:hAnsi="Arial"/>
                <w:sz w:val="18"/>
                <w:szCs w:val="18"/>
                <w:b w:val="1"/>
                <w:bCs w:val="1"/>
                <w:color w:val="auto"/>
                <w:w w:val="89"/>
              </w:rPr>
              <w:t>2013</w:t>
            </w: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jc w:val="right"/>
              <w:ind w:right="92"/>
              <w:spacing w:after="0"/>
              <w:rPr>
                <w:sz w:val="20"/>
                <w:szCs w:val="20"/>
                <w:color w:val="auto"/>
              </w:rPr>
            </w:pPr>
            <w:r>
              <w:rPr>
                <w:rFonts w:ascii="Arial" w:cs="Arial" w:eastAsia="Arial" w:hAnsi="Arial"/>
                <w:sz w:val="18"/>
                <w:szCs w:val="18"/>
                <w:b w:val="1"/>
                <w:bCs w:val="1"/>
                <w:color w:val="auto"/>
                <w:w w:val="94"/>
              </w:rPr>
              <w:t>2014</w:t>
            </w: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gridSpan w:val="2"/>
          </w:tcPr>
          <w:p>
            <w:pPr>
              <w:ind w:left="40"/>
              <w:spacing w:after="0"/>
              <w:rPr>
                <w:sz w:val="20"/>
                <w:szCs w:val="20"/>
                <w:color w:val="auto"/>
              </w:rPr>
            </w:pPr>
            <w:r>
              <w:rPr>
                <w:rFonts w:ascii="Arial" w:cs="Arial" w:eastAsia="Arial" w:hAnsi="Arial"/>
                <w:sz w:val="18"/>
                <w:szCs w:val="18"/>
                <w:b w:val="1"/>
                <w:bCs w:val="1"/>
                <w:color w:val="auto"/>
              </w:rPr>
              <w:t>Total</w:t>
            </w:r>
          </w:p>
        </w:tc>
      </w:tr>
      <w:tr>
        <w:trPr>
          <w:trHeight w:val="212"/>
        </w:trPr>
        <w:tc>
          <w:tcPr>
            <w:tcW w:w="29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(in</w:t>
            </w: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w w:val="70"/>
              </w:rPr>
              <w:t>millions)</w:t>
            </w:r>
          </w:p>
        </w:tc>
        <w:tc>
          <w:tcPr>
            <w:tcW w:w="16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06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Fixed Rate Debt</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060" w:type="dxa"/>
            <w:vAlign w:val="bottom"/>
            <w:gridSpan w:val="2"/>
          </w:tcPr>
          <w:p>
            <w:pPr>
              <w:ind w:left="440"/>
              <w:spacing w:after="0"/>
              <w:rPr>
                <w:sz w:val="20"/>
                <w:szCs w:val="20"/>
                <w:color w:val="auto"/>
              </w:rPr>
            </w:pPr>
            <w:r>
              <w:rPr>
                <w:rFonts w:ascii="Arial" w:cs="Arial" w:eastAsia="Arial" w:hAnsi="Arial"/>
                <w:sz w:val="18"/>
                <w:szCs w:val="18"/>
                <w:color w:val="auto"/>
              </w:rPr>
              <w:t xml:space="preserve">Principal: Convertible notes </w:t>
            </w:r>
            <w:r>
              <w:rPr>
                <w:rFonts w:ascii="Arial" w:cs="Arial" w:eastAsia="Arial" w:hAnsi="Arial"/>
                <w:sz w:val="11"/>
                <w:szCs w:val="11"/>
                <w:color w:val="auto"/>
              </w:rPr>
              <w:t>(1)</w:t>
            </w: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223.6</w:t>
            </w:r>
          </w:p>
        </w:tc>
        <w:tc>
          <w:tcPr>
            <w:tcW w:w="380" w:type="dxa"/>
            <w:vAlign w:val="bottom"/>
          </w:tcPr>
          <w:p>
            <w:pPr>
              <w:spacing w:after="0"/>
              <w:rPr>
                <w:sz w:val="18"/>
                <w:szCs w:val="18"/>
                <w:color w:val="auto"/>
              </w:rPr>
            </w:pPr>
          </w:p>
        </w:tc>
        <w:tc>
          <w:tcPr>
            <w:tcW w:w="3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612"/>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223.6</w:t>
            </w:r>
          </w:p>
        </w:tc>
        <w:tc>
          <w:tcPr>
            <w:tcW w:w="100" w:type="dxa"/>
            <w:vAlign w:val="bottom"/>
          </w:tcPr>
          <w:p>
            <w:pPr>
              <w:spacing w:after="0"/>
              <w:rPr>
                <w:sz w:val="18"/>
                <w:szCs w:val="18"/>
                <w:color w:val="auto"/>
              </w:rPr>
            </w:pPr>
          </w:p>
        </w:tc>
      </w:tr>
      <w:tr>
        <w:trPr>
          <w:trHeight w:val="216"/>
        </w:trPr>
        <w:tc>
          <w:tcPr>
            <w:tcW w:w="40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Interest rate</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2.50%</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2.50%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323"/>
        </w:trPr>
        <w:tc>
          <w:tcPr>
            <w:tcW w:w="4060" w:type="dxa"/>
            <w:vAlign w:val="bottom"/>
            <w:gridSpan w:val="2"/>
          </w:tcPr>
          <w:p>
            <w:pPr>
              <w:spacing w:after="0"/>
              <w:rPr>
                <w:sz w:val="20"/>
                <w:szCs w:val="20"/>
                <w:color w:val="auto"/>
              </w:rPr>
            </w:pPr>
            <w:r>
              <w:rPr>
                <w:rFonts w:ascii="Arial" w:cs="Arial" w:eastAsia="Arial" w:hAnsi="Arial"/>
                <w:sz w:val="18"/>
                <w:szCs w:val="18"/>
                <w:i w:val="1"/>
                <w:iCs w:val="1"/>
                <w:color w:val="auto"/>
              </w:rPr>
              <w:t>Variable Rate Debt</w:t>
            </w: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7"/>
        </w:trPr>
        <w:tc>
          <w:tcPr>
            <w:tcW w:w="40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Principal: U.S. dollar term loan</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1.5</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38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452"/>
              <w:spacing w:after="0"/>
              <w:rPr>
                <w:sz w:val="20"/>
                <w:szCs w:val="20"/>
                <w:color w:val="auto"/>
              </w:rPr>
            </w:pPr>
            <w:r>
              <w:rPr>
                <w:rFonts w:ascii="Arial" w:cs="Arial" w:eastAsia="Arial" w:hAnsi="Arial"/>
                <w:sz w:val="18"/>
                <w:szCs w:val="18"/>
                <w:color w:val="auto"/>
              </w:rPr>
              <w:t>6.1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6.1</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200.4</w:t>
            </w:r>
          </w:p>
        </w:tc>
        <w:tc>
          <w:tcPr>
            <w:tcW w:w="3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220.2</w:t>
            </w:r>
          </w:p>
        </w:tc>
        <w:tc>
          <w:tcPr>
            <w:tcW w:w="100" w:type="dxa"/>
            <w:vAlign w:val="bottom"/>
            <w:shd w:val="clear" w:color="auto" w:fill="CCEEFF"/>
          </w:tcPr>
          <w:p>
            <w:pPr>
              <w:spacing w:after="0"/>
              <w:rPr>
                <w:sz w:val="18"/>
                <w:szCs w:val="18"/>
                <w:color w:val="auto"/>
              </w:rPr>
            </w:pPr>
          </w:p>
        </w:tc>
      </w:tr>
      <w:tr>
        <w:trPr>
          <w:trHeight w:val="222"/>
        </w:trPr>
        <w:tc>
          <w:tcPr>
            <w:tcW w:w="4060" w:type="dxa"/>
            <w:vAlign w:val="bottom"/>
            <w:gridSpan w:val="2"/>
          </w:tcPr>
          <w:p>
            <w:pPr>
              <w:ind w:left="440"/>
              <w:spacing w:after="0"/>
              <w:rPr>
                <w:sz w:val="20"/>
                <w:szCs w:val="20"/>
                <w:color w:val="auto"/>
              </w:rPr>
            </w:pPr>
            <w:r>
              <w:rPr>
                <w:rFonts w:ascii="Arial" w:cs="Arial" w:eastAsia="Arial" w:hAnsi="Arial"/>
                <w:sz w:val="18"/>
                <w:szCs w:val="18"/>
                <w:color w:val="auto"/>
              </w:rPr>
              <w:t>Average interest rate</w:t>
            </w: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8"/>
                <w:szCs w:val="18"/>
                <w:color w:val="auto"/>
              </w:rPr>
              <w:t>3.78%</w:t>
            </w:r>
          </w:p>
        </w:tc>
        <w:tc>
          <w:tcPr>
            <w:tcW w:w="140" w:type="dxa"/>
            <w:vAlign w:val="bottom"/>
          </w:tcPr>
          <w:p>
            <w:pPr>
              <w:spacing w:after="0"/>
              <w:rPr>
                <w:sz w:val="19"/>
                <w:szCs w:val="19"/>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4.12%</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292"/>
              <w:spacing w:after="0"/>
              <w:rPr>
                <w:sz w:val="20"/>
                <w:szCs w:val="20"/>
                <w:color w:val="auto"/>
              </w:rPr>
            </w:pPr>
            <w:r>
              <w:rPr>
                <w:rFonts w:ascii="Arial" w:cs="Arial" w:eastAsia="Arial" w:hAnsi="Arial"/>
                <w:sz w:val="18"/>
                <w:szCs w:val="18"/>
                <w:color w:val="auto"/>
              </w:rPr>
              <w:t>4.09%</w:t>
            </w:r>
          </w:p>
        </w:tc>
        <w:tc>
          <w:tcPr>
            <w:tcW w:w="160" w:type="dxa"/>
            <w:vAlign w:val="bottom"/>
          </w:tcPr>
          <w:p>
            <w:pPr>
              <w:spacing w:after="0"/>
              <w:rPr>
                <w:sz w:val="19"/>
                <w:szCs w:val="19"/>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4.36%</w:t>
            </w:r>
          </w:p>
        </w:tc>
        <w:tc>
          <w:tcPr>
            <w:tcW w:w="12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4.68%</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02"/>
        </w:trPr>
        <w:tc>
          <w:tcPr>
            <w:tcW w:w="29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216"/>
        </w:trPr>
        <w:tc>
          <w:tcPr>
            <w:tcW w:w="40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Principal: Euro term loan</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1.1</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38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452"/>
              <w:spacing w:after="0"/>
              <w:rPr>
                <w:sz w:val="20"/>
                <w:szCs w:val="20"/>
                <w:color w:val="auto"/>
              </w:rPr>
            </w:pPr>
            <w:r>
              <w:rPr>
                <w:rFonts w:ascii="Arial" w:cs="Arial" w:eastAsia="Arial" w:hAnsi="Arial"/>
                <w:sz w:val="18"/>
                <w:szCs w:val="18"/>
                <w:color w:val="auto"/>
              </w:rPr>
              <w:t>4.1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4.1</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213.7</w:t>
            </w:r>
          </w:p>
        </w:tc>
        <w:tc>
          <w:tcPr>
            <w:tcW w:w="3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227.1</w:t>
            </w:r>
          </w:p>
        </w:tc>
        <w:tc>
          <w:tcPr>
            <w:tcW w:w="100" w:type="dxa"/>
            <w:vAlign w:val="bottom"/>
            <w:shd w:val="clear" w:color="auto" w:fill="CCEEFF"/>
          </w:tcPr>
          <w:p>
            <w:pPr>
              <w:spacing w:after="0"/>
              <w:rPr>
                <w:sz w:val="18"/>
                <w:szCs w:val="18"/>
                <w:color w:val="auto"/>
              </w:rPr>
            </w:pPr>
          </w:p>
        </w:tc>
      </w:tr>
      <w:tr>
        <w:trPr>
          <w:trHeight w:val="222"/>
        </w:trPr>
        <w:tc>
          <w:tcPr>
            <w:tcW w:w="4060" w:type="dxa"/>
            <w:vAlign w:val="bottom"/>
            <w:gridSpan w:val="2"/>
          </w:tcPr>
          <w:p>
            <w:pPr>
              <w:ind w:left="440"/>
              <w:spacing w:after="0"/>
              <w:rPr>
                <w:sz w:val="20"/>
                <w:szCs w:val="20"/>
                <w:color w:val="auto"/>
              </w:rPr>
            </w:pPr>
            <w:r>
              <w:rPr>
                <w:rFonts w:ascii="Arial" w:cs="Arial" w:eastAsia="Arial" w:hAnsi="Arial"/>
                <w:sz w:val="18"/>
                <w:szCs w:val="18"/>
                <w:color w:val="auto"/>
              </w:rPr>
              <w:t>Average interest rate</w:t>
            </w: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8"/>
                <w:szCs w:val="18"/>
                <w:color w:val="auto"/>
              </w:rPr>
              <w:t>4.38%</w:t>
            </w:r>
          </w:p>
        </w:tc>
        <w:tc>
          <w:tcPr>
            <w:tcW w:w="140" w:type="dxa"/>
            <w:vAlign w:val="bottom"/>
          </w:tcPr>
          <w:p>
            <w:pPr>
              <w:spacing w:after="0"/>
              <w:rPr>
                <w:sz w:val="19"/>
                <w:szCs w:val="19"/>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4.79%</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292"/>
              <w:spacing w:after="0"/>
              <w:rPr>
                <w:sz w:val="20"/>
                <w:szCs w:val="20"/>
                <w:color w:val="auto"/>
              </w:rPr>
            </w:pPr>
            <w:r>
              <w:rPr>
                <w:rFonts w:ascii="Arial" w:cs="Arial" w:eastAsia="Arial" w:hAnsi="Arial"/>
                <w:sz w:val="18"/>
                <w:szCs w:val="18"/>
                <w:color w:val="auto"/>
              </w:rPr>
              <w:t>4.99%</w:t>
            </w:r>
          </w:p>
        </w:tc>
        <w:tc>
          <w:tcPr>
            <w:tcW w:w="160" w:type="dxa"/>
            <w:vAlign w:val="bottom"/>
          </w:tcPr>
          <w:p>
            <w:pPr>
              <w:spacing w:after="0"/>
              <w:rPr>
                <w:sz w:val="19"/>
                <w:szCs w:val="19"/>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5.15%</w:t>
            </w:r>
          </w:p>
        </w:tc>
        <w:tc>
          <w:tcPr>
            <w:tcW w:w="12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5.30%</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02"/>
        </w:trPr>
        <w:tc>
          <w:tcPr>
            <w:tcW w:w="29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216"/>
        </w:trPr>
        <w:tc>
          <w:tcPr>
            <w:tcW w:w="40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w w:val="98"/>
              </w:rPr>
              <w:t xml:space="preserve">Interest rate swaps on U.S. dollar term loan </w:t>
            </w:r>
            <w:r>
              <w:rPr>
                <w:rFonts w:ascii="Arial" w:cs="Arial" w:eastAsia="Arial" w:hAnsi="Arial"/>
                <w:sz w:val="11"/>
                <w:szCs w:val="11"/>
                <w:color w:val="auto"/>
                <w:w w:val="98"/>
              </w:rPr>
              <w:t>(2)</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060" w:type="dxa"/>
            <w:vAlign w:val="bottom"/>
            <w:gridSpan w:val="2"/>
          </w:tcPr>
          <w:p>
            <w:pPr>
              <w:ind w:left="440"/>
              <w:spacing w:after="0"/>
              <w:rPr>
                <w:sz w:val="20"/>
                <w:szCs w:val="20"/>
                <w:color w:val="auto"/>
              </w:rPr>
            </w:pPr>
            <w:r>
              <w:rPr>
                <w:rFonts w:ascii="Arial" w:cs="Arial" w:eastAsia="Arial" w:hAnsi="Arial"/>
                <w:sz w:val="18"/>
                <w:szCs w:val="18"/>
                <w:color w:val="auto"/>
              </w:rPr>
              <w:t>Average interest rate (Pay)</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8"/>
                <w:szCs w:val="18"/>
                <w:color w:val="auto"/>
              </w:rPr>
              <w:t>2.13%</w:t>
            </w:r>
          </w:p>
        </w:tc>
        <w:tc>
          <w:tcPr>
            <w:tcW w:w="14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2.13%</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0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Average interest rate (Receive)</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0.28%</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0.62%</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2"/>
        </w:trPr>
        <w:tc>
          <w:tcPr>
            <w:tcW w:w="4060" w:type="dxa"/>
            <w:vAlign w:val="bottom"/>
            <w:gridSpan w:val="2"/>
          </w:tcPr>
          <w:p>
            <w:pPr>
              <w:ind w:left="440"/>
              <w:spacing w:after="0"/>
              <w:rPr>
                <w:sz w:val="20"/>
                <w:szCs w:val="20"/>
                <w:color w:val="auto"/>
              </w:rPr>
            </w:pPr>
            <w:r>
              <w:rPr>
                <w:rFonts w:ascii="Arial" w:cs="Arial" w:eastAsia="Arial" w:hAnsi="Arial"/>
                <w:sz w:val="18"/>
                <w:szCs w:val="18"/>
                <w:color w:val="auto"/>
              </w:rPr>
              <w:t>Net/Spread</w:t>
            </w: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rPr>
              <w:t>(1.85%)</w:t>
            </w:r>
          </w:p>
        </w:tc>
        <w:tc>
          <w:tcPr>
            <w:tcW w:w="14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(1.51%)</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02"/>
        </w:trPr>
        <w:tc>
          <w:tcPr>
            <w:tcW w:w="29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216"/>
        </w:trPr>
        <w:tc>
          <w:tcPr>
            <w:tcW w:w="40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 xml:space="preserve">Interest rate swap on euro term loan </w:t>
            </w:r>
            <w:r>
              <w:rPr>
                <w:rFonts w:ascii="Arial" w:cs="Arial" w:eastAsia="Arial" w:hAnsi="Arial"/>
                <w:sz w:val="11"/>
                <w:szCs w:val="11"/>
                <w:color w:val="auto"/>
              </w:rPr>
              <w:t>(3)</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060" w:type="dxa"/>
            <w:vAlign w:val="bottom"/>
            <w:gridSpan w:val="2"/>
          </w:tcPr>
          <w:p>
            <w:pPr>
              <w:ind w:left="440"/>
              <w:spacing w:after="0"/>
              <w:rPr>
                <w:sz w:val="20"/>
                <w:szCs w:val="20"/>
                <w:color w:val="auto"/>
              </w:rPr>
            </w:pPr>
            <w:r>
              <w:rPr>
                <w:rFonts w:ascii="Arial" w:cs="Arial" w:eastAsia="Arial" w:hAnsi="Arial"/>
                <w:sz w:val="18"/>
                <w:szCs w:val="18"/>
                <w:color w:val="auto"/>
              </w:rPr>
              <w:t>Average interest rate (Pay)</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8"/>
                <w:szCs w:val="18"/>
                <w:color w:val="auto"/>
              </w:rPr>
              <w:t>6.59%</w:t>
            </w:r>
          </w:p>
        </w:tc>
        <w:tc>
          <w:tcPr>
            <w:tcW w:w="14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6.59%</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292"/>
              <w:spacing w:after="0"/>
              <w:rPr>
                <w:sz w:val="20"/>
                <w:szCs w:val="20"/>
                <w:color w:val="auto"/>
              </w:rPr>
            </w:pPr>
            <w:r>
              <w:rPr>
                <w:rFonts w:ascii="Arial" w:cs="Arial" w:eastAsia="Arial" w:hAnsi="Arial"/>
                <w:sz w:val="18"/>
                <w:szCs w:val="18"/>
                <w:color w:val="auto"/>
              </w:rPr>
              <w:t>6.59%</w:t>
            </w: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0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Average interest rate (Receive)</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2.88%</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3.29%</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92"/>
              <w:spacing w:after="0"/>
              <w:rPr>
                <w:sz w:val="20"/>
                <w:szCs w:val="20"/>
                <w:color w:val="auto"/>
              </w:rPr>
            </w:pPr>
            <w:r>
              <w:rPr>
                <w:rFonts w:ascii="Arial" w:cs="Arial" w:eastAsia="Arial" w:hAnsi="Arial"/>
                <w:sz w:val="18"/>
                <w:szCs w:val="18"/>
                <w:color w:val="auto"/>
              </w:rPr>
              <w:t>3.49%</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2"/>
        </w:trPr>
        <w:tc>
          <w:tcPr>
            <w:tcW w:w="4060" w:type="dxa"/>
            <w:vAlign w:val="bottom"/>
            <w:gridSpan w:val="2"/>
          </w:tcPr>
          <w:p>
            <w:pPr>
              <w:ind w:left="440"/>
              <w:spacing w:after="0"/>
              <w:rPr>
                <w:sz w:val="20"/>
                <w:szCs w:val="20"/>
                <w:color w:val="auto"/>
              </w:rPr>
            </w:pPr>
            <w:r>
              <w:rPr>
                <w:rFonts w:ascii="Arial" w:cs="Arial" w:eastAsia="Arial" w:hAnsi="Arial"/>
                <w:sz w:val="18"/>
                <w:szCs w:val="18"/>
                <w:color w:val="auto"/>
              </w:rPr>
              <w:t>Net/Spread</w:t>
            </w: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rPr>
              <w:t>(3.71%)</w:t>
            </w:r>
          </w:p>
        </w:tc>
        <w:tc>
          <w:tcPr>
            <w:tcW w:w="14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(3.30%)</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232"/>
              <w:spacing w:after="0"/>
              <w:rPr>
                <w:sz w:val="20"/>
                <w:szCs w:val="20"/>
                <w:color w:val="auto"/>
              </w:rPr>
            </w:pPr>
            <w:r>
              <w:rPr>
                <w:rFonts w:ascii="Arial" w:cs="Arial" w:eastAsia="Arial" w:hAnsi="Arial"/>
                <w:sz w:val="18"/>
                <w:szCs w:val="18"/>
                <w:color w:val="auto"/>
              </w:rPr>
              <w:t>(3.10%)</w:t>
            </w: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02"/>
        </w:trPr>
        <w:tc>
          <w:tcPr>
            <w:tcW w:w="2980" w:type="dxa"/>
            <w:vAlign w:val="bottom"/>
            <w:tcBorders>
              <w:bottom w:val="single" w:sz="8" w:color="auto"/>
            </w:tcBorders>
          </w:tcPr>
          <w:p>
            <w:pPr>
              <w:spacing w:after="0"/>
              <w:rPr>
                <w:sz w:val="8"/>
                <w:szCs w:val="8"/>
                <w:color w:val="auto"/>
              </w:rPr>
            </w:pPr>
          </w:p>
        </w:tc>
        <w:tc>
          <w:tcPr>
            <w:tcW w:w="10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r>
    </w:tbl>
    <w:p>
      <w:pPr>
        <w:spacing w:after="0" w:line="173" w:lineRule="exact"/>
        <w:rPr>
          <w:sz w:val="20"/>
          <w:szCs w:val="20"/>
          <w:color w:val="auto"/>
        </w:rPr>
      </w:pPr>
    </w:p>
    <w:p>
      <w:pPr>
        <w:sectPr>
          <w:pgSz w:w="11900" w:h="16838" w:orient="portrait"/>
          <w:cols w:equalWidth="0" w:num="1">
            <w:col w:w="11420"/>
          </w:cols>
          <w:pgMar w:left="240" w:top="459" w:right="239" w:bottom="1440" w:gutter="0" w:footer="0" w:header="0"/>
        </w:sectPr>
      </w:pPr>
    </w:p>
    <w:p>
      <w:pPr>
        <w:spacing w:after="0"/>
        <w:rPr>
          <w:sz w:val="20"/>
          <w:szCs w:val="20"/>
          <w:color w:val="auto"/>
        </w:rPr>
      </w:pPr>
      <w:r>
        <w:rPr>
          <w:rFonts w:ascii="Arial" w:cs="Arial" w:eastAsia="Arial" w:hAnsi="Arial"/>
          <w:sz w:val="11"/>
          <w:szCs w:val="11"/>
          <w:color w:val="auto"/>
        </w:rPr>
        <w:t>(1)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11"/>
          <w:szCs w:val="11"/>
          <w:color w:val="auto"/>
        </w:rPr>
        <w:t>(3)</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The face value of our convertible notes is $223.6 million, while the carrying value is $215.7 million. (Refer to Item 1: “Financial Statements Note 6: Debt” for a summary of our convertible note terms and a reconciliation between the face and carrying values). Our convertible notes mature in August 2026. We are amortizing the remaining $7.9 million discount on the liability component of the convertible notes to interest expense over the next nine months and have reflected the principal repayment in 2011 due to the combination of put, call, and conversion options.</w:t>
      </w:r>
    </w:p>
    <w:p>
      <w:pPr>
        <w:spacing w:after="0" w:line="15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one-year interest rate swaps are used to convert $200 million of our $220.2 million U.S. dollar denominated variable rate term loan from a floating London Interbank Offered Rate interest rate, plus the applicable margin, to a fixed interest rate, plus the applicable margin (refer to Item 1: “Financial Statements Note 7: Derivative Financial Instruments and Hedging Activities”).</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amortizing euro denominated interest rate swap is used to convert $173.1 million (€128.3 million) of our $227.1 million (€168.3 million) euro denominated variable rate term loan from a floating Euro Interbank Offered Rate (EURIBOR), plus the applicable margin, to a fixed interest rate of 6.59%, through December 31, 2012, plus or minus the variance in the applicable margin from 2%. As a result of the amortization schedule, the interest rate swap will terminate before the stated maturity of the term loan (refer to Item 1: “Financial Statements Note 7: Derivative Financial Instruments and Hedging Activities”).</w:t>
      </w:r>
    </w:p>
    <w:p>
      <w:pPr>
        <w:spacing w:after="0" w:line="116" w:lineRule="exact"/>
        <w:rPr>
          <w:sz w:val="20"/>
          <w:szCs w:val="20"/>
          <w:color w:val="auto"/>
        </w:rPr>
      </w:pPr>
    </w:p>
    <w:p>
      <w:pPr>
        <w:sectPr>
          <w:pgSz w:w="11900" w:h="16838" w:orient="portrait"/>
          <w:cols w:equalWidth="0" w:num="2">
            <w:col w:w="140" w:space="320"/>
            <w:col w:w="10960"/>
          </w:cols>
          <w:pgMar w:left="240" w:top="459" w:right="239" w:bottom="1440" w:gutter="0" w:footer="0" w:header="0"/>
          <w:type w:val="continuous"/>
        </w:sectPr>
      </w:pPr>
    </w:p>
    <w:p>
      <w:pPr>
        <w:jc w:val="center"/>
        <w:spacing w:after="0"/>
        <w:rPr>
          <w:sz w:val="20"/>
          <w:szCs w:val="20"/>
          <w:color w:val="auto"/>
        </w:rPr>
      </w:pPr>
      <w:r>
        <w:rPr>
          <w:rFonts w:ascii="Arial" w:cs="Arial" w:eastAsia="Arial" w:hAnsi="Arial"/>
          <w:sz w:val="19"/>
          <w:szCs w:val="19"/>
          <w:color w:val="auto"/>
        </w:rPr>
        <w:t>53</w:t>
      </w:r>
    </w:p>
    <w:p>
      <w:pPr>
        <w:sectPr>
          <w:pgSz w:w="11900" w:h="16838" w:orient="portrait"/>
          <w:cols w:equalWidth="0" w:num="1">
            <w:col w:w="11420"/>
          </w:cols>
          <w:pgMar w:left="240" w:top="459" w:right="239" w:bottom="1440" w:gutter="0" w:footer="0" w:header="0"/>
          <w:type w:val="continuous"/>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Based on a sensitivity analysis as of September 30, 2010, we estimate that if market interest rates average one percentage point higher in 2010 than in the table above, our earnings in 2010 would not be materially impacted due to our interest rate swaps in place at September 30, 2010.</w:t>
      </w:r>
    </w:p>
    <w:p>
      <w:pPr>
        <w:spacing w:after="0" w:line="8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continually monitor and assess our interest rate risk and may institute additional interest rate swaps or other derivative instruments to manage such risk in the future.</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Foreign Currency Exchange Rate Risk</w:t>
      </w:r>
    </w:p>
    <w:p>
      <w:pPr>
        <w:spacing w:after="0" w:line="9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conduct business in a number of countries. As a result, the majority of our revenues and operating expenses are denominated in foreign currencies, which expose our account balances to movements in foreign currency exchange rates that could have a material effect on our financial results. Our primary foreign currency exposure relates to non-U.S. dollar denominated transactions in our international subsidiary operations, the most significant of which is the euro. Revenues denominated in functional currencies other than the U.S. dollar were 48% and 50% of total revenues for the three and nine months ended September 30, 2010, compared with 69% and 68% for the same periods in 2009.</w:t>
      </w:r>
    </w:p>
    <w:p>
      <w:pPr>
        <w:spacing w:after="0" w:line="143"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In conjunction with our acquisition of Actaris Metering Systems SA, we entered into a euro denominated term loan in 2007 that exposes us to fluctuations in the euro foreign exchange rate. We have designated this foreign currency denominated term loan as a hedge of our net investment in international operations. The non-functional currency term loan is revalued into U.S. dollar at each balance sheet date, and the changes in value associated with currency fluctuations are recorded as adjustments to long-term debt with offsetting gains and losses recorded in other comprehensive income (loss). We had no hedge ineffectiveness (refer to Item 1: “Financial Statements Note 7: Derivative Financial Instruments and Hedging Activities”).</w:t>
      </w:r>
    </w:p>
    <w:p>
      <w:pPr>
        <w:spacing w:after="0" w:line="116"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We are also exposed to foreign exchange risk when we enter into non-functional currency transactions, both intercompany and third-party. At each period-end, foreign currency monetary assets and liabilities are revalued with the change recorded to other income and expense. We enter into monthly foreign exchange forward contracts (170 during the nine months ended September 30, 2010), not designated for hedge accounting, with the intent to reduce earnings volatility associated with certain of these balances. The notional amounts of the contracts ranged from less than $1 million to $50 million, offsetting our exposures from the euro, British pound, Canadian dollar, Czech koruna, Hungarian forint, and various other currencies.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In future periods, we may use additional derivative contracts to protect against foreign currency exchange rate risks.</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96" w:lineRule="exact"/>
        <w:rPr>
          <w:sz w:val="20"/>
          <w:szCs w:val="20"/>
          <w:color w:val="auto"/>
        </w:rPr>
      </w:pPr>
    </w:p>
    <w:p>
      <w:pPr>
        <w:jc w:val="both"/>
        <w:ind w:left="460" w:hanging="452"/>
        <w:spacing w:after="0" w:line="287" w:lineRule="auto"/>
        <w:tabs>
          <w:tab w:leader="none" w:pos="460" w:val="left"/>
        </w:tabs>
        <w:numPr>
          <w:ilvl w:val="0"/>
          <w:numId w:val="12"/>
        </w:numPr>
        <w:rPr>
          <w:rFonts w:ascii="Arial" w:cs="Arial" w:eastAsia="Arial" w:hAnsi="Arial"/>
          <w:sz w:val="16"/>
          <w:szCs w:val="16"/>
          <w:color w:val="auto"/>
        </w:rPr>
      </w:pPr>
      <w:r>
        <w:rPr>
          <w:rFonts w:ascii="Arial" w:cs="Arial" w:eastAsia="Arial" w:hAnsi="Arial"/>
          <w:sz w:val="16"/>
          <w:szCs w:val="16"/>
          <w:i w:val="1"/>
          <w:iCs w:val="1"/>
          <w:color w:val="auto"/>
        </w:rPr>
        <w:t>Evaluation of disclosure controls and procedures</w:t>
      </w:r>
      <w:r>
        <w:rPr>
          <w:rFonts w:ascii="Arial" w:cs="Arial" w:eastAsia="Arial" w:hAnsi="Arial"/>
          <w:sz w:val="16"/>
          <w:szCs w:val="16"/>
          <w:color w:val="auto"/>
        </w:rPr>
        <w:t>. An evaluation was performed under the supervision and with the participation of our Company’s</w:t>
      </w:r>
      <w:r>
        <w:rPr>
          <w:rFonts w:ascii="Arial" w:cs="Arial" w:eastAsia="Arial" w:hAnsi="Arial"/>
          <w:sz w:val="16"/>
          <w:szCs w:val="16"/>
          <w:i w:val="1"/>
          <w:iCs w:val="1"/>
          <w:color w:val="auto"/>
        </w:rPr>
        <w:t xml:space="preserve"> </w:t>
      </w:r>
      <w:r>
        <w:rPr>
          <w:rFonts w:ascii="Arial" w:cs="Arial" w:eastAsia="Arial" w:hAnsi="Arial"/>
          <w:sz w:val="16"/>
          <w:szCs w:val="16"/>
          <w:color w:val="auto"/>
        </w:rPr>
        <w:t>management, including the Chief Executive Officer and Chief Financial Officer, of the effectiveness of the design and operation of the Company’s disclosure controls and procedures (as such term is defined in Rules 13a-15(e) and 15d-15(e)) under the Securities Exchange Act of 1934, as amended. Based on that evaluation, the Company’s management, including the Chief Executive Officer and Chief Financial Officer, concluded that as of September 30, 2010, the Company’s disclosure controls and procedures were effective to ensure the information required to be disclosed by an issuer in the reports that it files or submits under the Securities Exchange Act of 1934 is accumulated and communicated to our management, including our principal executive and principal financial officers, or persons performing similar functions, as appropriate, to allow timely decisions regarding required disclosure. There are inherent limitations to the effectiveness of any system of disclosure controls and procedures, including the possibility of human error and the circumvention or overriding of the controls and procedures. Accordingly, even effective disclosure controls and procedures can only provide reasonable assurance of achieving their control objectives.</w:t>
      </w:r>
    </w:p>
    <w:p>
      <w:pPr>
        <w:spacing w:after="0" w:line="163" w:lineRule="exact"/>
        <w:rPr>
          <w:rFonts w:ascii="Arial" w:cs="Arial" w:eastAsia="Arial" w:hAnsi="Arial"/>
          <w:sz w:val="16"/>
          <w:szCs w:val="16"/>
          <w:color w:val="auto"/>
        </w:rPr>
      </w:pPr>
    </w:p>
    <w:p>
      <w:pPr>
        <w:ind w:left="460" w:right="20" w:hanging="452"/>
        <w:spacing w:after="0" w:line="332" w:lineRule="auto"/>
        <w:tabs>
          <w:tab w:leader="none" w:pos="460" w:val="left"/>
        </w:tabs>
        <w:numPr>
          <w:ilvl w:val="0"/>
          <w:numId w:val="12"/>
        </w:numPr>
        <w:rPr>
          <w:rFonts w:ascii="Arial" w:cs="Arial" w:eastAsia="Arial" w:hAnsi="Arial"/>
          <w:sz w:val="16"/>
          <w:szCs w:val="16"/>
          <w:color w:val="auto"/>
        </w:rPr>
      </w:pPr>
      <w:r>
        <w:rPr>
          <w:rFonts w:ascii="Arial" w:cs="Arial" w:eastAsia="Arial" w:hAnsi="Arial"/>
          <w:sz w:val="16"/>
          <w:szCs w:val="16"/>
          <w:i w:val="1"/>
          <w:iCs w:val="1"/>
          <w:color w:val="auto"/>
        </w:rPr>
        <w:t xml:space="preserve">Changes in internal controls over financial reporting. </w:t>
      </w:r>
      <w:r>
        <w:rPr>
          <w:rFonts w:ascii="Arial" w:cs="Arial" w:eastAsia="Arial" w:hAnsi="Arial"/>
          <w:sz w:val="16"/>
          <w:szCs w:val="16"/>
          <w:color w:val="auto"/>
        </w:rPr>
        <w:t>There have been no changes in internal control over financial reporting during the quarter ended</w:t>
      </w:r>
      <w:r>
        <w:rPr>
          <w:rFonts w:ascii="Arial" w:cs="Arial" w:eastAsia="Arial" w:hAnsi="Arial"/>
          <w:sz w:val="16"/>
          <w:szCs w:val="16"/>
          <w:i w:val="1"/>
          <w:iCs w:val="1"/>
          <w:color w:val="auto"/>
        </w:rPr>
        <w:t xml:space="preserve"> </w:t>
      </w:r>
      <w:r>
        <w:rPr>
          <w:rFonts w:ascii="Arial" w:cs="Arial" w:eastAsia="Arial" w:hAnsi="Arial"/>
          <w:sz w:val="16"/>
          <w:szCs w:val="16"/>
          <w:color w:val="auto"/>
        </w:rPr>
        <w:t>September 30, 2010 that have materially affected, or are reasonably likely to materially affect, our internal controls over financial reporting.</w:t>
      </w:r>
    </w:p>
    <w:p>
      <w:pPr>
        <w:spacing w:after="0" w:line="5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54</w:t>
      </w:r>
    </w:p>
    <w:p>
      <w:pPr>
        <w:sectPr>
          <w:pgSz w:w="11900" w:h="16838" w:orient="portrait"/>
          <w:cols w:equalWidth="0" w:num="1">
            <w:col w:w="11420"/>
          </w:cols>
          <w:pgMar w:left="240" w:top="459" w:right="2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21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There were no material changes, as defined by Item 103 of Regulation S-K, during the third quarter of 2010.</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9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There were no material changes to risk factors during the third quarter of 2010 from those previously disclosed in Item 1A of Part I of our Annual Report on Form 10-K for the fiscal year ended December 31, 2009, which was filed with the SEC on February 25, 2010.</w:t>
      </w:r>
    </w:p>
    <w:p>
      <w:pPr>
        <w:spacing w:after="0" w:line="24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Other Information</w:t>
      </w:r>
    </w:p>
    <w:p>
      <w:pPr>
        <w:spacing w:after="0" w:line="96" w:lineRule="exact"/>
        <w:rPr>
          <w:sz w:val="20"/>
          <w:szCs w:val="20"/>
          <w:color w:val="auto"/>
        </w:rPr>
      </w:pPr>
    </w:p>
    <w:p>
      <w:pPr>
        <w:ind w:left="240" w:hanging="232"/>
        <w:spacing w:after="0"/>
        <w:tabs>
          <w:tab w:leader="none" w:pos="2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No information was required to be disclosed in a report on Form 8-K during the third quarter of 2010 that was not reported.</w:t>
      </w:r>
    </w:p>
    <w:p>
      <w:pPr>
        <w:spacing w:after="0" w:line="90" w:lineRule="exact"/>
        <w:rPr>
          <w:rFonts w:ascii="Arial" w:cs="Arial" w:eastAsia="Arial" w:hAnsi="Arial"/>
          <w:sz w:val="18"/>
          <w:szCs w:val="18"/>
          <w:color w:val="auto"/>
        </w:rPr>
      </w:pPr>
    </w:p>
    <w:p>
      <w:pPr>
        <w:ind w:left="260" w:hanging="252"/>
        <w:spacing w:after="0"/>
        <w:tabs>
          <w:tab w:leader="none" w:pos="2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900" w:type="dxa"/>
            <w:vAlign w:val="bottom"/>
            <w:gridSpan w:val="2"/>
          </w:tcPr>
          <w:p>
            <w:pPr>
              <w:spacing w:after="0"/>
              <w:rPr>
                <w:sz w:val="20"/>
                <w:szCs w:val="20"/>
                <w:color w:val="auto"/>
              </w:rPr>
            </w:pPr>
            <w:r>
              <w:rPr>
                <w:rFonts w:ascii="Arial" w:cs="Arial" w:eastAsia="Arial" w:hAnsi="Arial"/>
                <w:sz w:val="18"/>
                <w:szCs w:val="18"/>
                <w:b w:val="1"/>
                <w:bCs w:val="1"/>
                <w:color w:val="auto"/>
              </w:rPr>
              <w:t>Item 6:</w:t>
            </w:r>
          </w:p>
        </w:tc>
        <w:tc>
          <w:tcPr>
            <w:tcW w:w="10520" w:type="dxa"/>
            <w:vAlign w:val="bottom"/>
            <w:gridSpan w:val="2"/>
          </w:tcPr>
          <w:p>
            <w:pPr>
              <w:ind w:left="140"/>
              <w:spacing w:after="0"/>
              <w:rPr>
                <w:sz w:val="20"/>
                <w:szCs w:val="20"/>
                <w:color w:val="auto"/>
              </w:rPr>
            </w:pPr>
            <w:r>
              <w:rPr>
                <w:rFonts w:ascii="Arial" w:cs="Arial" w:eastAsia="Arial" w:hAnsi="Arial"/>
                <w:sz w:val="18"/>
                <w:szCs w:val="18"/>
                <w:b w:val="1"/>
                <w:bCs w:val="1"/>
                <w:color w:val="auto"/>
              </w:rPr>
              <w:t>Exhibits</w:t>
            </w:r>
          </w:p>
        </w:tc>
        <w:tc>
          <w:tcPr>
            <w:tcW w:w="0" w:type="dxa"/>
            <w:vAlign w:val="bottom"/>
          </w:tcPr>
          <w:p>
            <w:pPr>
              <w:spacing w:after="0"/>
              <w:rPr>
                <w:sz w:val="1"/>
                <w:szCs w:val="1"/>
                <w:color w:val="auto"/>
              </w:rPr>
            </w:pPr>
          </w:p>
        </w:tc>
      </w:tr>
      <w:tr>
        <w:trPr>
          <w:trHeight w:val="406"/>
        </w:trPr>
        <w:tc>
          <w:tcPr>
            <w:tcW w:w="900" w:type="dxa"/>
            <w:vAlign w:val="bottom"/>
            <w:gridSpan w:val="2"/>
          </w:tcPr>
          <w:p>
            <w:pPr>
              <w:spacing w:after="0"/>
              <w:rPr>
                <w:sz w:val="20"/>
                <w:szCs w:val="20"/>
                <w:color w:val="auto"/>
              </w:rPr>
            </w:pPr>
            <w:r>
              <w:rPr>
                <w:rFonts w:ascii="Arial" w:cs="Arial" w:eastAsia="Arial" w:hAnsi="Arial"/>
                <w:sz w:val="18"/>
                <w:szCs w:val="18"/>
                <w:b w:val="1"/>
                <w:bCs w:val="1"/>
                <w:color w:val="auto"/>
              </w:rPr>
              <w:t>Exhibit</w:t>
            </w:r>
          </w:p>
        </w:tc>
        <w:tc>
          <w:tcPr>
            <w:tcW w:w="300" w:type="dxa"/>
            <w:vAlign w:val="bottom"/>
          </w:tcPr>
          <w:p>
            <w:pPr>
              <w:spacing w:after="0"/>
              <w:rPr>
                <w:sz w:val="24"/>
                <w:szCs w:val="24"/>
                <w:color w:val="auto"/>
              </w:rPr>
            </w:pPr>
          </w:p>
        </w:tc>
        <w:tc>
          <w:tcPr>
            <w:tcW w:w="10220" w:type="dxa"/>
            <w:vAlign w:val="bottom"/>
            <w:vMerge w:val="restart"/>
          </w:tcPr>
          <w:p>
            <w:pPr>
              <w:spacing w:after="0"/>
              <w:rPr>
                <w:sz w:val="20"/>
                <w:szCs w:val="20"/>
                <w:color w:val="auto"/>
              </w:rPr>
            </w:pPr>
            <w:r>
              <w:rPr>
                <w:rFonts w:ascii="Arial" w:cs="Arial" w:eastAsia="Arial" w:hAnsi="Arial"/>
                <w:sz w:val="18"/>
                <w:szCs w:val="18"/>
                <w:b w:val="1"/>
                <w:bCs w:val="1"/>
                <w:color w:val="auto"/>
              </w:rPr>
              <w:t>Description of Exhibits</w:t>
            </w:r>
          </w:p>
        </w:tc>
        <w:tc>
          <w:tcPr>
            <w:tcW w:w="0" w:type="dxa"/>
            <w:vAlign w:val="bottom"/>
          </w:tcPr>
          <w:p>
            <w:pPr>
              <w:spacing w:after="0"/>
              <w:rPr>
                <w:sz w:val="1"/>
                <w:szCs w:val="1"/>
                <w:color w:val="auto"/>
              </w:rPr>
            </w:pPr>
          </w:p>
        </w:tc>
      </w:tr>
      <w:tr>
        <w:trPr>
          <w:trHeight w:val="229"/>
        </w:trPr>
        <w:tc>
          <w:tcPr>
            <w:tcW w:w="900" w:type="dxa"/>
            <w:vAlign w:val="bottom"/>
            <w:gridSpan w:val="2"/>
          </w:tcPr>
          <w:p>
            <w:pPr>
              <w:spacing w:after="0"/>
              <w:rPr>
                <w:sz w:val="20"/>
                <w:szCs w:val="20"/>
                <w:color w:val="auto"/>
              </w:rPr>
            </w:pPr>
            <w:r>
              <w:rPr>
                <w:rFonts w:ascii="Arial" w:cs="Arial" w:eastAsia="Arial" w:hAnsi="Arial"/>
                <w:sz w:val="18"/>
                <w:szCs w:val="18"/>
                <w:b w:val="1"/>
                <w:bCs w:val="1"/>
                <w:color w:val="auto"/>
              </w:rPr>
              <w:t>Number</w:t>
            </w:r>
          </w:p>
        </w:tc>
        <w:tc>
          <w:tcPr>
            <w:tcW w:w="300" w:type="dxa"/>
            <w:vAlign w:val="bottom"/>
          </w:tcPr>
          <w:p>
            <w:pPr>
              <w:spacing w:after="0"/>
              <w:rPr>
                <w:sz w:val="19"/>
                <w:szCs w:val="19"/>
                <w:color w:val="auto"/>
              </w:rPr>
            </w:pPr>
          </w:p>
        </w:tc>
        <w:tc>
          <w:tcPr>
            <w:tcW w:w="102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25"/>
        </w:trPr>
        <w:tc>
          <w:tcPr>
            <w:tcW w:w="64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12.1</w:t>
            </w: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Statement re Computation of Ratios</w:t>
            </w:r>
          </w:p>
        </w:tc>
        <w:tc>
          <w:tcPr>
            <w:tcW w:w="0" w:type="dxa"/>
            <w:vAlign w:val="bottom"/>
          </w:tcPr>
          <w:p>
            <w:pPr>
              <w:spacing w:after="0"/>
              <w:rPr>
                <w:sz w:val="1"/>
                <w:szCs w:val="1"/>
                <w:color w:val="auto"/>
              </w:rPr>
            </w:pPr>
          </w:p>
        </w:tc>
      </w:tr>
      <w:tr>
        <w:trPr>
          <w:trHeight w:val="432"/>
        </w:trPr>
        <w:tc>
          <w:tcPr>
            <w:tcW w:w="640" w:type="dxa"/>
            <w:vAlign w:val="bottom"/>
          </w:tcPr>
          <w:p>
            <w:pPr>
              <w:ind w:left="100"/>
              <w:spacing w:after="0"/>
              <w:rPr>
                <w:sz w:val="20"/>
                <w:szCs w:val="20"/>
                <w:color w:val="auto"/>
              </w:rPr>
            </w:pPr>
            <w:r>
              <w:rPr>
                <w:rFonts w:ascii="Arial" w:cs="Arial" w:eastAsia="Arial" w:hAnsi="Arial"/>
                <w:sz w:val="18"/>
                <w:szCs w:val="18"/>
                <w:color w:val="auto"/>
              </w:rPr>
              <w:t>31.1</w:t>
            </w: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20" w:type="dxa"/>
            <w:vAlign w:val="bottom"/>
          </w:tcPr>
          <w:p>
            <w:pPr>
              <w:spacing w:after="0"/>
              <w:rPr>
                <w:sz w:val="20"/>
                <w:szCs w:val="20"/>
                <w:color w:val="auto"/>
              </w:rPr>
            </w:pPr>
            <w:r>
              <w:rPr>
                <w:rFonts w:ascii="Arial" w:cs="Arial" w:eastAsia="Arial" w:hAnsi="Arial"/>
                <w:sz w:val="18"/>
                <w:szCs w:val="18"/>
                <w:color w:val="auto"/>
              </w:rPr>
              <w:t>Certification Pursuant to Section 302 of the Sarbanes-Oxley Act of 2002</w:t>
            </w:r>
          </w:p>
        </w:tc>
        <w:tc>
          <w:tcPr>
            <w:tcW w:w="0" w:type="dxa"/>
            <w:vAlign w:val="bottom"/>
          </w:tcPr>
          <w:p>
            <w:pPr>
              <w:spacing w:after="0"/>
              <w:rPr>
                <w:sz w:val="1"/>
                <w:szCs w:val="1"/>
                <w:color w:val="auto"/>
              </w:rPr>
            </w:pPr>
          </w:p>
        </w:tc>
      </w:tr>
      <w:tr>
        <w:trPr>
          <w:trHeight w:val="432"/>
        </w:trPr>
        <w:tc>
          <w:tcPr>
            <w:tcW w:w="640" w:type="dxa"/>
            <w:vAlign w:val="bottom"/>
          </w:tcPr>
          <w:p>
            <w:pPr>
              <w:ind w:left="100"/>
              <w:spacing w:after="0"/>
              <w:rPr>
                <w:sz w:val="20"/>
                <w:szCs w:val="20"/>
                <w:color w:val="auto"/>
              </w:rPr>
            </w:pPr>
            <w:r>
              <w:rPr>
                <w:rFonts w:ascii="Arial" w:cs="Arial" w:eastAsia="Arial" w:hAnsi="Arial"/>
                <w:sz w:val="18"/>
                <w:szCs w:val="18"/>
                <w:color w:val="auto"/>
              </w:rPr>
              <w:t>31.2</w:t>
            </w: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20" w:type="dxa"/>
            <w:vAlign w:val="bottom"/>
          </w:tcPr>
          <w:p>
            <w:pPr>
              <w:spacing w:after="0"/>
              <w:rPr>
                <w:sz w:val="20"/>
                <w:szCs w:val="20"/>
                <w:color w:val="auto"/>
              </w:rPr>
            </w:pPr>
            <w:r>
              <w:rPr>
                <w:rFonts w:ascii="Arial" w:cs="Arial" w:eastAsia="Arial" w:hAnsi="Arial"/>
                <w:sz w:val="18"/>
                <w:szCs w:val="18"/>
                <w:color w:val="auto"/>
              </w:rPr>
              <w:t>Certification Pursuant to Section 302 of the Sarbanes-Oxley Act of 2002</w:t>
            </w:r>
          </w:p>
        </w:tc>
        <w:tc>
          <w:tcPr>
            <w:tcW w:w="0" w:type="dxa"/>
            <w:vAlign w:val="bottom"/>
          </w:tcPr>
          <w:p>
            <w:pPr>
              <w:spacing w:after="0"/>
              <w:rPr>
                <w:sz w:val="1"/>
                <w:szCs w:val="1"/>
                <w:color w:val="auto"/>
              </w:rPr>
            </w:pPr>
          </w:p>
        </w:tc>
      </w:tr>
      <w:tr>
        <w:trPr>
          <w:trHeight w:val="432"/>
        </w:trPr>
        <w:tc>
          <w:tcPr>
            <w:tcW w:w="640" w:type="dxa"/>
            <w:vAlign w:val="bottom"/>
          </w:tcPr>
          <w:p>
            <w:pPr>
              <w:ind w:left="100"/>
              <w:spacing w:after="0"/>
              <w:rPr>
                <w:sz w:val="20"/>
                <w:szCs w:val="20"/>
                <w:color w:val="auto"/>
              </w:rPr>
            </w:pPr>
            <w:r>
              <w:rPr>
                <w:rFonts w:ascii="Arial" w:cs="Arial" w:eastAsia="Arial" w:hAnsi="Arial"/>
                <w:sz w:val="18"/>
                <w:szCs w:val="18"/>
                <w:color w:val="auto"/>
              </w:rPr>
              <w:t>32.1</w:t>
            </w: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20" w:type="dxa"/>
            <w:vAlign w:val="bottom"/>
          </w:tcPr>
          <w:p>
            <w:pPr>
              <w:spacing w:after="0"/>
              <w:rPr>
                <w:sz w:val="20"/>
                <w:szCs w:val="20"/>
                <w:color w:val="auto"/>
              </w:rPr>
            </w:pPr>
            <w:r>
              <w:rPr>
                <w:rFonts w:ascii="Arial" w:cs="Arial" w:eastAsia="Arial" w:hAnsi="Arial"/>
                <w:sz w:val="18"/>
                <w:szCs w:val="18"/>
                <w:color w:val="auto"/>
              </w:rPr>
              <w:t>Certification Pursuant to Section 906 of the Sarbanes-Oxley Act of 2002</w:t>
            </w:r>
          </w:p>
        </w:tc>
        <w:tc>
          <w:tcPr>
            <w:tcW w:w="0" w:type="dxa"/>
            <w:vAlign w:val="bottom"/>
          </w:tcPr>
          <w:p>
            <w:pPr>
              <w:spacing w:after="0"/>
              <w:rPr>
                <w:sz w:val="1"/>
                <w:szCs w:val="1"/>
                <w:color w:val="auto"/>
              </w:rPr>
            </w:pPr>
          </w:p>
        </w:tc>
      </w:tr>
      <w:tr>
        <w:trPr>
          <w:trHeight w:val="432"/>
        </w:trPr>
        <w:tc>
          <w:tcPr>
            <w:tcW w:w="900" w:type="dxa"/>
            <w:vAlign w:val="bottom"/>
            <w:gridSpan w:val="2"/>
          </w:tcPr>
          <w:p>
            <w:pPr>
              <w:spacing w:after="0"/>
              <w:rPr>
                <w:sz w:val="20"/>
                <w:szCs w:val="20"/>
                <w:color w:val="auto"/>
              </w:rPr>
            </w:pPr>
            <w:r>
              <w:rPr>
                <w:rFonts w:ascii="Arial" w:cs="Arial" w:eastAsia="Arial" w:hAnsi="Arial"/>
                <w:sz w:val="18"/>
                <w:szCs w:val="18"/>
                <w:color w:val="auto"/>
              </w:rPr>
              <w:t>101.INS*</w:t>
            </w:r>
          </w:p>
        </w:tc>
        <w:tc>
          <w:tcPr>
            <w:tcW w:w="300" w:type="dxa"/>
            <w:vAlign w:val="bottom"/>
          </w:tcPr>
          <w:p>
            <w:pPr>
              <w:spacing w:after="0"/>
              <w:rPr>
                <w:sz w:val="24"/>
                <w:szCs w:val="24"/>
                <w:color w:val="auto"/>
              </w:rPr>
            </w:pPr>
          </w:p>
        </w:tc>
        <w:tc>
          <w:tcPr>
            <w:tcW w:w="10220" w:type="dxa"/>
            <w:vAlign w:val="bottom"/>
          </w:tcPr>
          <w:p>
            <w:pPr>
              <w:spacing w:after="0"/>
              <w:rPr>
                <w:sz w:val="20"/>
                <w:szCs w:val="20"/>
                <w:color w:val="auto"/>
              </w:rPr>
            </w:pPr>
            <w:r>
              <w:rPr>
                <w:rFonts w:ascii="Arial" w:cs="Arial" w:eastAsia="Arial" w:hAnsi="Arial"/>
                <w:sz w:val="18"/>
                <w:szCs w:val="18"/>
                <w:color w:val="auto"/>
              </w:rPr>
              <w:t>XBRL Instance Document</w:t>
            </w:r>
          </w:p>
        </w:tc>
        <w:tc>
          <w:tcPr>
            <w:tcW w:w="0" w:type="dxa"/>
            <w:vAlign w:val="bottom"/>
          </w:tcPr>
          <w:p>
            <w:pPr>
              <w:spacing w:after="0"/>
              <w:rPr>
                <w:sz w:val="1"/>
                <w:szCs w:val="1"/>
                <w:color w:val="auto"/>
              </w:rPr>
            </w:pPr>
          </w:p>
        </w:tc>
      </w:tr>
      <w:tr>
        <w:trPr>
          <w:trHeight w:val="432"/>
        </w:trPr>
        <w:tc>
          <w:tcPr>
            <w:tcW w:w="900" w:type="dxa"/>
            <w:vAlign w:val="bottom"/>
            <w:gridSpan w:val="2"/>
          </w:tcPr>
          <w:p>
            <w:pPr>
              <w:spacing w:after="0"/>
              <w:rPr>
                <w:sz w:val="20"/>
                <w:szCs w:val="20"/>
                <w:color w:val="auto"/>
              </w:rPr>
            </w:pPr>
            <w:r>
              <w:rPr>
                <w:rFonts w:ascii="Arial" w:cs="Arial" w:eastAsia="Arial" w:hAnsi="Arial"/>
                <w:sz w:val="18"/>
                <w:szCs w:val="18"/>
                <w:color w:val="auto"/>
              </w:rPr>
              <w:t>101.SCH*</w:t>
            </w:r>
          </w:p>
        </w:tc>
        <w:tc>
          <w:tcPr>
            <w:tcW w:w="300" w:type="dxa"/>
            <w:vAlign w:val="bottom"/>
          </w:tcPr>
          <w:p>
            <w:pPr>
              <w:spacing w:after="0"/>
              <w:rPr>
                <w:sz w:val="24"/>
                <w:szCs w:val="24"/>
                <w:color w:val="auto"/>
              </w:rPr>
            </w:pPr>
          </w:p>
        </w:tc>
        <w:tc>
          <w:tcPr>
            <w:tcW w:w="10220" w:type="dxa"/>
            <w:vAlign w:val="bottom"/>
          </w:tcPr>
          <w:p>
            <w:pPr>
              <w:spacing w:after="0"/>
              <w:rPr>
                <w:sz w:val="20"/>
                <w:szCs w:val="20"/>
                <w:color w:val="auto"/>
              </w:rPr>
            </w:pPr>
            <w:r>
              <w:rPr>
                <w:rFonts w:ascii="Arial" w:cs="Arial" w:eastAsia="Arial" w:hAnsi="Arial"/>
                <w:sz w:val="18"/>
                <w:szCs w:val="18"/>
                <w:color w:val="auto"/>
              </w:rPr>
              <w:t>XBRL Taxonomy Extension Schema</w:t>
            </w:r>
          </w:p>
        </w:tc>
        <w:tc>
          <w:tcPr>
            <w:tcW w:w="0" w:type="dxa"/>
            <w:vAlign w:val="bottom"/>
          </w:tcPr>
          <w:p>
            <w:pPr>
              <w:spacing w:after="0"/>
              <w:rPr>
                <w:sz w:val="1"/>
                <w:szCs w:val="1"/>
                <w:color w:val="auto"/>
              </w:rPr>
            </w:pPr>
          </w:p>
        </w:tc>
      </w:tr>
      <w:tr>
        <w:trPr>
          <w:trHeight w:val="432"/>
        </w:trPr>
        <w:tc>
          <w:tcPr>
            <w:tcW w:w="900" w:type="dxa"/>
            <w:vAlign w:val="bottom"/>
            <w:gridSpan w:val="2"/>
          </w:tcPr>
          <w:p>
            <w:pPr>
              <w:spacing w:after="0"/>
              <w:rPr>
                <w:sz w:val="20"/>
                <w:szCs w:val="20"/>
                <w:color w:val="auto"/>
              </w:rPr>
            </w:pPr>
            <w:r>
              <w:rPr>
                <w:rFonts w:ascii="Arial" w:cs="Arial" w:eastAsia="Arial" w:hAnsi="Arial"/>
                <w:sz w:val="18"/>
                <w:szCs w:val="18"/>
                <w:color w:val="auto"/>
              </w:rPr>
              <w:t>101.CAL*</w:t>
            </w:r>
          </w:p>
        </w:tc>
        <w:tc>
          <w:tcPr>
            <w:tcW w:w="300" w:type="dxa"/>
            <w:vAlign w:val="bottom"/>
          </w:tcPr>
          <w:p>
            <w:pPr>
              <w:spacing w:after="0"/>
              <w:rPr>
                <w:sz w:val="24"/>
                <w:szCs w:val="24"/>
                <w:color w:val="auto"/>
              </w:rPr>
            </w:pPr>
          </w:p>
        </w:tc>
        <w:tc>
          <w:tcPr>
            <w:tcW w:w="10220" w:type="dxa"/>
            <w:vAlign w:val="bottom"/>
          </w:tcPr>
          <w:p>
            <w:pPr>
              <w:spacing w:after="0"/>
              <w:rPr>
                <w:sz w:val="20"/>
                <w:szCs w:val="20"/>
                <w:color w:val="auto"/>
              </w:rPr>
            </w:pPr>
            <w:r>
              <w:rPr>
                <w:rFonts w:ascii="Arial" w:cs="Arial" w:eastAsia="Arial" w:hAnsi="Arial"/>
                <w:sz w:val="18"/>
                <w:szCs w:val="18"/>
                <w:color w:val="auto"/>
              </w:rPr>
              <w:t>XBRL Taxonomy Extension Calculation Linkbase</w:t>
            </w:r>
          </w:p>
        </w:tc>
        <w:tc>
          <w:tcPr>
            <w:tcW w:w="0" w:type="dxa"/>
            <w:vAlign w:val="bottom"/>
          </w:tcPr>
          <w:p>
            <w:pPr>
              <w:spacing w:after="0"/>
              <w:rPr>
                <w:sz w:val="1"/>
                <w:szCs w:val="1"/>
                <w:color w:val="auto"/>
              </w:rPr>
            </w:pPr>
          </w:p>
        </w:tc>
      </w:tr>
      <w:tr>
        <w:trPr>
          <w:trHeight w:val="432"/>
        </w:trPr>
        <w:tc>
          <w:tcPr>
            <w:tcW w:w="900" w:type="dxa"/>
            <w:vAlign w:val="bottom"/>
            <w:gridSpan w:val="2"/>
          </w:tcPr>
          <w:p>
            <w:pPr>
              <w:spacing w:after="0"/>
              <w:rPr>
                <w:sz w:val="20"/>
                <w:szCs w:val="20"/>
                <w:color w:val="auto"/>
              </w:rPr>
            </w:pPr>
            <w:r>
              <w:rPr>
                <w:rFonts w:ascii="Arial" w:cs="Arial" w:eastAsia="Arial" w:hAnsi="Arial"/>
                <w:sz w:val="18"/>
                <w:szCs w:val="18"/>
                <w:color w:val="auto"/>
              </w:rPr>
              <w:t>101.LAB*</w:t>
            </w:r>
          </w:p>
        </w:tc>
        <w:tc>
          <w:tcPr>
            <w:tcW w:w="300" w:type="dxa"/>
            <w:vAlign w:val="bottom"/>
          </w:tcPr>
          <w:p>
            <w:pPr>
              <w:spacing w:after="0"/>
              <w:rPr>
                <w:sz w:val="24"/>
                <w:szCs w:val="24"/>
                <w:color w:val="auto"/>
              </w:rPr>
            </w:pPr>
          </w:p>
        </w:tc>
        <w:tc>
          <w:tcPr>
            <w:tcW w:w="10220" w:type="dxa"/>
            <w:vAlign w:val="bottom"/>
          </w:tcPr>
          <w:p>
            <w:pPr>
              <w:spacing w:after="0"/>
              <w:rPr>
                <w:sz w:val="20"/>
                <w:szCs w:val="20"/>
                <w:color w:val="auto"/>
              </w:rPr>
            </w:pPr>
            <w:r>
              <w:rPr>
                <w:rFonts w:ascii="Arial" w:cs="Arial" w:eastAsia="Arial" w:hAnsi="Arial"/>
                <w:sz w:val="18"/>
                <w:szCs w:val="18"/>
                <w:color w:val="auto"/>
              </w:rPr>
              <w:t>XBRL Taxonomy Extension Label Linkbase</w:t>
            </w:r>
          </w:p>
        </w:tc>
        <w:tc>
          <w:tcPr>
            <w:tcW w:w="0" w:type="dxa"/>
            <w:vAlign w:val="bottom"/>
          </w:tcPr>
          <w:p>
            <w:pPr>
              <w:spacing w:after="0"/>
              <w:rPr>
                <w:sz w:val="1"/>
                <w:szCs w:val="1"/>
                <w:color w:val="auto"/>
              </w:rPr>
            </w:pPr>
          </w:p>
        </w:tc>
      </w:tr>
      <w:tr>
        <w:trPr>
          <w:trHeight w:val="432"/>
        </w:trPr>
        <w:tc>
          <w:tcPr>
            <w:tcW w:w="900" w:type="dxa"/>
            <w:vAlign w:val="bottom"/>
            <w:gridSpan w:val="2"/>
          </w:tcPr>
          <w:p>
            <w:pPr>
              <w:spacing w:after="0"/>
              <w:rPr>
                <w:sz w:val="20"/>
                <w:szCs w:val="20"/>
                <w:color w:val="auto"/>
              </w:rPr>
            </w:pPr>
            <w:r>
              <w:rPr>
                <w:rFonts w:ascii="Arial" w:cs="Arial" w:eastAsia="Arial" w:hAnsi="Arial"/>
                <w:sz w:val="18"/>
                <w:szCs w:val="18"/>
                <w:color w:val="auto"/>
              </w:rPr>
              <w:t>101.PRE*</w:t>
            </w:r>
          </w:p>
        </w:tc>
        <w:tc>
          <w:tcPr>
            <w:tcW w:w="300" w:type="dxa"/>
            <w:vAlign w:val="bottom"/>
          </w:tcPr>
          <w:p>
            <w:pPr>
              <w:spacing w:after="0"/>
              <w:rPr>
                <w:sz w:val="24"/>
                <w:szCs w:val="24"/>
                <w:color w:val="auto"/>
              </w:rPr>
            </w:pPr>
          </w:p>
        </w:tc>
        <w:tc>
          <w:tcPr>
            <w:tcW w:w="10220" w:type="dxa"/>
            <w:vAlign w:val="bottom"/>
          </w:tcPr>
          <w:p>
            <w:pPr>
              <w:spacing w:after="0"/>
              <w:rPr>
                <w:sz w:val="20"/>
                <w:szCs w:val="20"/>
                <w:color w:val="auto"/>
              </w:rPr>
            </w:pPr>
            <w:r>
              <w:rPr>
                <w:rFonts w:ascii="Arial" w:cs="Arial" w:eastAsia="Arial" w:hAnsi="Arial"/>
                <w:sz w:val="18"/>
                <w:szCs w:val="18"/>
                <w:color w:val="auto"/>
              </w:rPr>
              <w:t>XBRL Taxonomy Extension Presentation Linkbase</w:t>
            </w:r>
          </w:p>
        </w:tc>
        <w:tc>
          <w:tcPr>
            <w:tcW w:w="0" w:type="dxa"/>
            <w:vAlign w:val="bottom"/>
          </w:tcPr>
          <w:p>
            <w:pPr>
              <w:spacing w:after="0"/>
              <w:rPr>
                <w:sz w:val="1"/>
                <w:szCs w:val="1"/>
                <w:color w:val="auto"/>
              </w:rPr>
            </w:pPr>
          </w:p>
        </w:tc>
      </w:tr>
    </w:tbl>
    <w:p>
      <w:pPr>
        <w:spacing w:after="0" w:line="196" w:lineRule="exact"/>
        <w:rPr>
          <w:sz w:val="20"/>
          <w:szCs w:val="20"/>
          <w:color w:val="auto"/>
        </w:rPr>
      </w:pPr>
    </w:p>
    <w:p>
      <w:pPr>
        <w:jc w:val="both"/>
        <w:ind w:left="220" w:hanging="212"/>
        <w:spacing w:after="0" w:line="255" w:lineRule="auto"/>
        <w:tabs>
          <w:tab w:leader="none" w:pos="2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Pursuant to applicable securities laws and regulations, we are deemed to have complied with the reporting obligation relating to the submission of interactive data files in such exhibits and are not subject to liability under any anti-fraud provisions of the federal securities laws as long as we have made a good faith attempt to comply with the submission requirements and promptly amend the interactive data files after becoming aware that the interactive data files fail to comply with the submission requirements. Users of this data are advised that, pursuant to Rule 406T, these interactive data files are deemed not filed and otherwise are not subject to liability.</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55</w:t>
      </w:r>
    </w:p>
    <w:p>
      <w:pPr>
        <w:sectPr>
          <w:pgSz w:w="11900" w:h="16838" w:orient="portrait"/>
          <w:cols w:equalWidth="0" w:num="1">
            <w:col w:w="11420"/>
          </w:cols>
          <w:pgMar w:left="240" w:top="459" w:right="2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w:t>
      </w:r>
    </w:p>
    <w:p>
      <w:pPr>
        <w:spacing w:after="0" w:line="9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44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6260" w:type="dxa"/>
            <w:vAlign w:val="bottom"/>
          </w:tcPr>
          <w:p>
            <w:pPr>
              <w:ind w:left="2300"/>
              <w:spacing w:after="0"/>
              <w:rPr>
                <w:sz w:val="20"/>
                <w:szCs w:val="20"/>
                <w:color w:val="auto"/>
              </w:rPr>
            </w:pPr>
            <w:r>
              <w:rPr>
                <w:rFonts w:ascii="Arial" w:cs="Arial" w:eastAsia="Arial" w:hAnsi="Arial"/>
                <w:sz w:val="18"/>
                <w:szCs w:val="18"/>
                <w:color w:val="auto"/>
              </w:rPr>
              <w:t>ITRON, INC.</w:t>
            </w:r>
          </w:p>
        </w:tc>
      </w:tr>
      <w:tr>
        <w:trPr>
          <w:trHeight w:val="433"/>
        </w:trPr>
        <w:tc>
          <w:tcPr>
            <w:tcW w:w="34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November 2, 2010</w:t>
            </w:r>
          </w:p>
        </w:tc>
        <w:tc>
          <w:tcPr>
            <w:tcW w:w="1720" w:type="dxa"/>
            <w:vAlign w:val="bottom"/>
          </w:tcPr>
          <w:p>
            <w:pPr>
              <w:ind w:left="1040"/>
              <w:spacing w:after="0"/>
              <w:rPr>
                <w:sz w:val="20"/>
                <w:szCs w:val="20"/>
                <w:color w:val="auto"/>
              </w:rPr>
            </w:pPr>
            <w:r>
              <w:rPr>
                <w:rFonts w:ascii="Arial" w:cs="Arial" w:eastAsia="Arial" w:hAnsi="Arial"/>
                <w:sz w:val="18"/>
                <w:szCs w:val="18"/>
                <w:color w:val="auto"/>
              </w:rPr>
              <w:t>By:</w:t>
            </w:r>
          </w:p>
        </w:tc>
        <w:tc>
          <w:tcPr>
            <w:tcW w:w="62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/s/ STEVEN M. HELMBRECHT</w:t>
            </w:r>
          </w:p>
        </w:tc>
      </w:tr>
      <w:tr>
        <w:trPr>
          <w:trHeight w:val="210"/>
        </w:trPr>
        <w:tc>
          <w:tcPr>
            <w:tcW w:w="3440" w:type="dxa"/>
            <w:vAlign w:val="bottom"/>
          </w:tcPr>
          <w:p>
            <w:pPr>
              <w:jc w:val="center"/>
              <w:spacing w:after="0"/>
              <w:rPr>
                <w:sz w:val="20"/>
                <w:szCs w:val="20"/>
                <w:color w:val="auto"/>
              </w:rPr>
            </w:pPr>
            <w:r>
              <w:rPr>
                <w:rFonts w:ascii="Arial" w:cs="Arial" w:eastAsia="Arial" w:hAnsi="Arial"/>
                <w:sz w:val="18"/>
                <w:szCs w:val="18"/>
                <w:b w:val="1"/>
                <w:bCs w:val="1"/>
                <w:color w:val="auto"/>
                <w:w w:val="92"/>
              </w:rPr>
              <w:t>Date</w:t>
            </w:r>
          </w:p>
        </w:tc>
        <w:tc>
          <w:tcPr>
            <w:tcW w:w="1720" w:type="dxa"/>
            <w:vAlign w:val="bottom"/>
          </w:tcPr>
          <w:p>
            <w:pPr>
              <w:spacing w:after="0"/>
              <w:rPr>
                <w:sz w:val="18"/>
                <w:szCs w:val="18"/>
                <w:color w:val="auto"/>
              </w:rPr>
            </w:pPr>
          </w:p>
        </w:tc>
        <w:tc>
          <w:tcPr>
            <w:tcW w:w="6260" w:type="dxa"/>
            <w:vAlign w:val="bottom"/>
          </w:tcPr>
          <w:p>
            <w:pPr>
              <w:jc w:val="center"/>
              <w:spacing w:after="0"/>
              <w:rPr>
                <w:sz w:val="20"/>
                <w:szCs w:val="20"/>
                <w:color w:val="auto"/>
              </w:rPr>
            </w:pPr>
            <w:r>
              <w:rPr>
                <w:rFonts w:ascii="Arial" w:cs="Arial" w:eastAsia="Arial" w:hAnsi="Arial"/>
                <w:sz w:val="18"/>
                <w:szCs w:val="18"/>
                <w:b w:val="1"/>
                <w:bCs w:val="1"/>
                <w:color w:val="auto"/>
                <w:w w:val="90"/>
              </w:rPr>
              <w:t>Steven M. Helmbrecht</w:t>
            </w:r>
          </w:p>
        </w:tc>
      </w:tr>
      <w:tr>
        <w:trPr>
          <w:trHeight w:val="228"/>
        </w:trPr>
        <w:tc>
          <w:tcPr>
            <w:tcW w:w="344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6260" w:type="dxa"/>
            <w:vAlign w:val="bottom"/>
          </w:tcPr>
          <w:p>
            <w:pPr>
              <w:jc w:val="center"/>
              <w:spacing w:after="0"/>
              <w:rPr>
                <w:sz w:val="20"/>
                <w:szCs w:val="20"/>
                <w:color w:val="auto"/>
              </w:rPr>
            </w:pPr>
            <w:r>
              <w:rPr>
                <w:rFonts w:ascii="Arial" w:cs="Arial" w:eastAsia="Arial" w:hAnsi="Arial"/>
                <w:sz w:val="18"/>
                <w:szCs w:val="18"/>
                <w:b w:val="1"/>
                <w:bCs w:val="1"/>
                <w:color w:val="auto"/>
                <w:w w:val="88"/>
              </w:rPr>
              <w:t>Sr. Vice President and Chief Financial Officer</w:t>
            </w:r>
          </w:p>
        </w:tc>
      </w:tr>
    </w:tbl>
    <w:p>
      <w:pPr>
        <w:spacing w:after="0" w:line="12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56</w:t>
      </w:r>
    </w:p>
    <w:p>
      <w:pPr>
        <w:sectPr>
          <w:pgSz w:w="11900" w:h="16838" w:orient="portrait"/>
          <w:cols w:equalWidth="0" w:num="1">
            <w:col w:w="11420"/>
          </w:cols>
          <w:pgMar w:left="240" w:top="459" w:right="239" w:bottom="1440" w:gutter="0" w:footer="0" w:header="0"/>
        </w:sectPr>
      </w:pPr>
    </w:p>
    <w:bookmarkStart w:id="57" w:name="page58"/>
    <w:bookmarkEnd w:id="57"/>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32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gridSpan w:val="3"/>
          </w:tcPr>
          <w:p>
            <w:pPr>
              <w:ind w:left="40"/>
              <w:spacing w:after="0"/>
              <w:rPr>
                <w:sz w:val="20"/>
                <w:szCs w:val="20"/>
                <w:color w:val="auto"/>
              </w:rPr>
            </w:pPr>
            <w:r>
              <w:rPr>
                <w:rFonts w:ascii="Arial" w:cs="Arial" w:eastAsia="Arial" w:hAnsi="Arial"/>
                <w:sz w:val="18"/>
                <w:szCs w:val="18"/>
                <w:b w:val="1"/>
                <w:bCs w:val="1"/>
                <w:color w:val="auto"/>
                <w:w w:val="87"/>
              </w:rPr>
              <w:t>Exhibit 12.1</w:t>
            </w: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4540" w:type="dxa"/>
            <w:vAlign w:val="bottom"/>
            <w:gridSpan w:val="9"/>
          </w:tcPr>
          <w:p>
            <w:pPr>
              <w:jc w:val="right"/>
              <w:ind w:right="132"/>
              <w:spacing w:after="0"/>
              <w:rPr>
                <w:sz w:val="20"/>
                <w:szCs w:val="20"/>
                <w:color w:val="auto"/>
              </w:rPr>
            </w:pPr>
            <w:r>
              <w:rPr>
                <w:rFonts w:ascii="Arial" w:cs="Arial" w:eastAsia="Arial" w:hAnsi="Arial"/>
                <w:sz w:val="18"/>
                <w:szCs w:val="18"/>
                <w:b w:val="1"/>
                <w:bCs w:val="1"/>
                <w:color w:val="auto"/>
              </w:rPr>
              <w:t>STATEMENT RE COMPUTATION OF RATIOS</w:t>
            </w: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6"/>
        </w:trPr>
        <w:tc>
          <w:tcPr>
            <w:tcW w:w="2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gridSpan w:val="2"/>
          </w:tcPr>
          <w:p>
            <w:pPr>
              <w:jc w:val="center"/>
              <w:ind w:right="500"/>
              <w:spacing w:after="0"/>
              <w:rPr>
                <w:sz w:val="20"/>
                <w:szCs w:val="20"/>
                <w:color w:val="auto"/>
              </w:rPr>
            </w:pPr>
            <w:r>
              <w:rPr>
                <w:rFonts w:ascii="Arial" w:cs="Arial" w:eastAsia="Arial" w:hAnsi="Arial"/>
                <w:sz w:val="18"/>
                <w:szCs w:val="18"/>
                <w:b w:val="1"/>
                <w:bCs w:val="1"/>
                <w:color w:val="auto"/>
                <w:w w:val="87"/>
              </w:rPr>
              <w:t>Nine</w:t>
            </w: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180" w:type="dxa"/>
            <w:vAlign w:val="bottom"/>
            <w:gridSpan w:val="3"/>
          </w:tcPr>
          <w:p>
            <w:pPr>
              <w:jc w:val="center"/>
              <w:ind w:right="320"/>
              <w:spacing w:after="0"/>
              <w:rPr>
                <w:sz w:val="20"/>
                <w:szCs w:val="20"/>
                <w:color w:val="auto"/>
              </w:rPr>
            </w:pPr>
            <w:r>
              <w:rPr>
                <w:rFonts w:ascii="Arial" w:cs="Arial" w:eastAsia="Arial" w:hAnsi="Arial"/>
                <w:sz w:val="18"/>
                <w:szCs w:val="18"/>
                <w:b w:val="1"/>
                <w:bCs w:val="1"/>
                <w:color w:val="auto"/>
                <w:w w:val="90"/>
              </w:rPr>
              <w:t>Months</w:t>
            </w: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0" w:type="dxa"/>
            <w:vAlign w:val="bottom"/>
            <w:gridSpan w:val="6"/>
            <w:vMerge w:val="restart"/>
          </w:tcPr>
          <w:p>
            <w:pPr>
              <w:jc w:val="center"/>
              <w:ind w:left="372"/>
              <w:spacing w:after="0"/>
              <w:rPr>
                <w:sz w:val="20"/>
                <w:szCs w:val="20"/>
                <w:color w:val="auto"/>
              </w:rPr>
            </w:pPr>
            <w:r>
              <w:rPr>
                <w:rFonts w:ascii="Arial" w:cs="Arial" w:eastAsia="Arial" w:hAnsi="Arial"/>
                <w:sz w:val="18"/>
                <w:szCs w:val="18"/>
                <w:b w:val="1"/>
                <w:bCs w:val="1"/>
                <w:color w:val="auto"/>
                <w:w w:val="87"/>
              </w:rPr>
              <w:t>Year Ended December 31,</w:t>
            </w: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center"/>
              <w:ind w:right="520"/>
              <w:spacing w:after="0"/>
              <w:rPr>
                <w:sz w:val="20"/>
                <w:szCs w:val="20"/>
                <w:color w:val="auto"/>
              </w:rPr>
            </w:pPr>
            <w:r>
              <w:rPr>
                <w:rFonts w:ascii="Arial" w:cs="Arial" w:eastAsia="Arial" w:hAnsi="Arial"/>
                <w:sz w:val="18"/>
                <w:szCs w:val="18"/>
                <w:b w:val="1"/>
                <w:bCs w:val="1"/>
                <w:color w:val="auto"/>
                <w:w w:val="87"/>
              </w:rPr>
              <w:t>Ended</w:t>
            </w:r>
          </w:p>
        </w:tc>
        <w:tc>
          <w:tcPr>
            <w:tcW w:w="8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400" w:type="dxa"/>
            <w:vAlign w:val="bottom"/>
            <w:tcBorders>
              <w:bottom w:val="single" w:sz="8" w:color="auto"/>
            </w:tcBorders>
            <w:gridSpan w:val="6"/>
            <w:vMerge w:val="continue"/>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2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180" w:type="dxa"/>
            <w:vAlign w:val="bottom"/>
            <w:gridSpan w:val="3"/>
          </w:tcPr>
          <w:p>
            <w:pPr>
              <w:jc w:val="center"/>
              <w:ind w:right="340"/>
              <w:spacing w:after="0" w:line="195" w:lineRule="exact"/>
              <w:rPr>
                <w:sz w:val="20"/>
                <w:szCs w:val="20"/>
                <w:color w:val="auto"/>
              </w:rPr>
            </w:pPr>
            <w:r>
              <w:rPr>
                <w:rFonts w:ascii="Arial" w:cs="Arial" w:eastAsia="Arial" w:hAnsi="Arial"/>
                <w:sz w:val="18"/>
                <w:szCs w:val="18"/>
                <w:b w:val="1"/>
                <w:bCs w:val="1"/>
                <w:color w:val="auto"/>
                <w:w w:val="86"/>
              </w:rPr>
              <w:t>Sept. 30,</w:t>
            </w: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2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center"/>
              <w:ind w:right="72"/>
              <w:spacing w:after="0"/>
              <w:rPr>
                <w:sz w:val="20"/>
                <w:szCs w:val="20"/>
                <w:color w:val="auto"/>
              </w:rPr>
            </w:pPr>
            <w:r>
              <w:rPr>
                <w:rFonts w:ascii="Arial" w:cs="Arial" w:eastAsia="Arial" w:hAnsi="Arial"/>
                <w:sz w:val="18"/>
                <w:szCs w:val="18"/>
                <w:b w:val="1"/>
                <w:bCs w:val="1"/>
                <w:color w:val="auto"/>
                <w:w w:val="84"/>
              </w:rPr>
              <w:t>2010</w:t>
            </w:r>
          </w:p>
        </w:tc>
        <w:tc>
          <w:tcPr>
            <w:tcW w:w="340" w:type="dxa"/>
            <w:vAlign w:val="bottom"/>
          </w:tcPr>
          <w:p>
            <w:pPr>
              <w:spacing w:after="0"/>
              <w:rPr>
                <w:sz w:val="19"/>
                <w:szCs w:val="19"/>
                <w:color w:val="auto"/>
              </w:rPr>
            </w:pPr>
          </w:p>
        </w:tc>
        <w:tc>
          <w:tcPr>
            <w:tcW w:w="82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b w:val="1"/>
                <w:bCs w:val="1"/>
                <w:color w:val="auto"/>
              </w:rPr>
              <w:t>2009</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b w:val="1"/>
                <w:bCs w:val="1"/>
                <w:color w:val="auto"/>
                <w:w w:val="99"/>
              </w:rPr>
              <w:t>2008</w:t>
            </w:r>
          </w:p>
        </w:tc>
        <w:tc>
          <w:tcPr>
            <w:tcW w:w="3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center"/>
              <w:ind w:right="92"/>
              <w:spacing w:after="0"/>
              <w:rPr>
                <w:sz w:val="20"/>
                <w:szCs w:val="20"/>
                <w:color w:val="auto"/>
              </w:rPr>
            </w:pPr>
            <w:r>
              <w:rPr>
                <w:rFonts w:ascii="Arial" w:cs="Arial" w:eastAsia="Arial" w:hAnsi="Arial"/>
                <w:sz w:val="18"/>
                <w:szCs w:val="18"/>
                <w:b w:val="1"/>
                <w:bCs w:val="1"/>
                <w:color w:val="auto"/>
                <w:w w:val="89"/>
              </w:rPr>
              <w:t>2007</w:t>
            </w:r>
          </w:p>
        </w:tc>
        <w:tc>
          <w:tcPr>
            <w:tcW w:w="3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b w:val="1"/>
                <w:bCs w:val="1"/>
                <w:color w:val="auto"/>
                <w:w w:val="84"/>
              </w:rPr>
              <w:t>2006</w:t>
            </w:r>
          </w:p>
        </w:tc>
        <w:tc>
          <w:tcPr>
            <w:tcW w:w="3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b w:val="1"/>
                <w:bCs w:val="1"/>
                <w:color w:val="auto"/>
                <w:w w:val="89"/>
              </w:rPr>
              <w:t>2005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6"/>
                <w:szCs w:val="16"/>
                <w:b w:val="1"/>
                <w:bCs w:val="1"/>
                <w:color w:val="auto"/>
                <w:w w:val="74"/>
              </w:rPr>
              <w:t>(in thousands,</w:t>
            </w:r>
          </w:p>
        </w:tc>
        <w:tc>
          <w:tcPr>
            <w:tcW w:w="340" w:type="dxa"/>
            <w:vAlign w:val="bottom"/>
          </w:tcPr>
          <w:p>
            <w:pPr>
              <w:spacing w:after="0"/>
              <w:rPr>
                <w:sz w:val="18"/>
                <w:szCs w:val="18"/>
                <w:color w:val="auto"/>
              </w:rPr>
            </w:pPr>
          </w:p>
        </w:tc>
        <w:tc>
          <w:tcPr>
            <w:tcW w:w="840" w:type="dxa"/>
            <w:vAlign w:val="bottom"/>
            <w:gridSpan w:val="2"/>
          </w:tcPr>
          <w:p>
            <w:pPr>
              <w:jc w:val="center"/>
              <w:spacing w:after="0"/>
              <w:rPr>
                <w:sz w:val="20"/>
                <w:szCs w:val="20"/>
                <w:color w:val="auto"/>
              </w:rPr>
            </w:pPr>
            <w:r>
              <w:rPr>
                <w:rFonts w:ascii="Arial" w:cs="Arial" w:eastAsia="Arial" w:hAnsi="Arial"/>
                <w:sz w:val="18"/>
                <w:szCs w:val="18"/>
                <w:b w:val="1"/>
                <w:bCs w:val="1"/>
                <w:color w:val="auto"/>
                <w:w w:val="71"/>
              </w:rPr>
              <w:t>except ratios)</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Earnings:</w:t>
            </w:r>
          </w:p>
        </w:tc>
        <w:tc>
          <w:tcPr>
            <w:tcW w:w="1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tcPr>
          <w:p>
            <w:pPr>
              <w:ind w:left="420"/>
              <w:spacing w:after="0"/>
              <w:rPr>
                <w:sz w:val="20"/>
                <w:szCs w:val="20"/>
                <w:color w:val="auto"/>
              </w:rPr>
            </w:pPr>
            <w:r>
              <w:rPr>
                <w:rFonts w:ascii="Arial" w:cs="Arial" w:eastAsia="Arial" w:hAnsi="Arial"/>
                <w:sz w:val="18"/>
                <w:szCs w:val="18"/>
                <w:color w:val="auto"/>
              </w:rPr>
              <w:t>Pre-tax income (loss)</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99,895</w:t>
            </w:r>
          </w:p>
        </w:tc>
        <w:tc>
          <w:tcPr>
            <w:tcW w:w="3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8"/>
              </w:rPr>
              <w:t>$(46,074)</w:t>
            </w:r>
          </w:p>
        </w:tc>
        <w:tc>
          <w:tcPr>
            <w:tcW w:w="160" w:type="dxa"/>
            <w:vAlign w:val="bottom"/>
          </w:tcPr>
          <w:p>
            <w:pPr>
              <w:spacing w:after="0"/>
              <w:rPr>
                <w:sz w:val="18"/>
                <w:szCs w:val="18"/>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18,582</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89"/>
              </w:rPr>
              <w:t>(43,550)</w:t>
            </w:r>
          </w:p>
        </w:tc>
        <w:tc>
          <w:tcPr>
            <w:tcW w:w="34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12"/>
              <w:spacing w:after="0"/>
              <w:rPr>
                <w:sz w:val="20"/>
                <w:szCs w:val="20"/>
                <w:color w:val="auto"/>
              </w:rPr>
            </w:pPr>
            <w:r>
              <w:rPr>
                <w:rFonts w:ascii="Arial" w:cs="Arial" w:eastAsia="Arial" w:hAnsi="Arial"/>
                <w:sz w:val="18"/>
                <w:szCs w:val="18"/>
                <w:color w:val="auto"/>
                <w:w w:val="90"/>
              </w:rPr>
              <w:t>52,235</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4"/>
              </w:rPr>
              <w:t>27,528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Less: income (loss) from equity</w:t>
            </w:r>
          </w:p>
        </w:tc>
        <w:tc>
          <w:tcPr>
            <w:tcW w:w="13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34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277</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3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358</w:t>
            </w:r>
          </w:p>
        </w:tc>
        <w:tc>
          <w:tcPr>
            <w:tcW w:w="3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33</w:t>
            </w:r>
          </w:p>
        </w:tc>
        <w:tc>
          <w:tcPr>
            <w:tcW w:w="3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32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99,987</w:t>
            </w:r>
          </w:p>
        </w:tc>
        <w:tc>
          <w:tcPr>
            <w:tcW w:w="3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(46,351)</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18,489</w:t>
            </w: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89"/>
              </w:rPr>
              <w:t>(43,908)</w:t>
            </w: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20" w:type="dxa"/>
            <w:vAlign w:val="bottom"/>
          </w:tcPr>
          <w:p>
            <w:pPr>
              <w:jc w:val="right"/>
              <w:ind w:right="12"/>
              <w:spacing w:after="0"/>
              <w:rPr>
                <w:sz w:val="20"/>
                <w:szCs w:val="20"/>
                <w:color w:val="auto"/>
              </w:rPr>
            </w:pPr>
            <w:r>
              <w:rPr>
                <w:rFonts w:ascii="Arial" w:cs="Arial" w:eastAsia="Arial" w:hAnsi="Arial"/>
                <w:sz w:val="18"/>
                <w:szCs w:val="18"/>
                <w:color w:val="auto"/>
                <w:w w:val="90"/>
              </w:rPr>
              <w:t>52,202</w:t>
            </w: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4"/>
              </w:rPr>
              <w:t>27,446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Fixed charges </w:t>
            </w:r>
            <w:r>
              <w:rPr>
                <w:rFonts w:ascii="Arial" w:cs="Arial" w:eastAsia="Arial" w:hAnsi="Arial"/>
                <w:sz w:val="11"/>
                <w:szCs w:val="11"/>
                <w:color w:val="auto"/>
              </w:rPr>
              <w:t>(1)</w:t>
            </w:r>
            <w:r>
              <w:rPr>
                <w:rFonts w:ascii="Arial" w:cs="Arial" w:eastAsia="Arial" w:hAnsi="Arial"/>
                <w:sz w:val="18"/>
                <w:szCs w:val="18"/>
                <w:color w:val="auto"/>
              </w:rPr>
              <w:t>:</w:t>
            </w:r>
          </w:p>
        </w:tc>
        <w:tc>
          <w:tcPr>
            <w:tcW w:w="1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tcPr>
          <w:p>
            <w:pPr>
              <w:ind w:left="420"/>
              <w:spacing w:after="0"/>
              <w:rPr>
                <w:sz w:val="20"/>
                <w:szCs w:val="20"/>
                <w:color w:val="auto"/>
              </w:rPr>
            </w:pPr>
            <w:r>
              <w:rPr>
                <w:rFonts w:ascii="Arial" w:cs="Arial" w:eastAsia="Arial" w:hAnsi="Arial"/>
                <w:sz w:val="18"/>
                <w:szCs w:val="18"/>
                <w:color w:val="auto"/>
              </w:rPr>
              <w:t xml:space="preserve">Interest expense, gross </w:t>
            </w:r>
            <w:r>
              <w:rPr>
                <w:rFonts w:ascii="Arial" w:cs="Arial" w:eastAsia="Arial" w:hAnsi="Arial"/>
                <w:sz w:val="11"/>
                <w:szCs w:val="11"/>
                <w:color w:val="auto"/>
              </w:rPr>
              <w:t>(2)</w:t>
            </w: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42,216</w:t>
            </w:r>
          </w:p>
        </w:tc>
        <w:tc>
          <w:tcPr>
            <w:tcW w:w="3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70,311</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94,177</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ind w:right="12"/>
              <w:spacing w:after="0"/>
              <w:rPr>
                <w:sz w:val="20"/>
                <w:szCs w:val="20"/>
                <w:color w:val="auto"/>
              </w:rPr>
            </w:pPr>
            <w:r>
              <w:rPr>
                <w:rFonts w:ascii="Arial" w:cs="Arial" w:eastAsia="Arial" w:hAnsi="Arial"/>
                <w:sz w:val="18"/>
                <w:szCs w:val="18"/>
                <w:color w:val="auto"/>
                <w:w w:val="82"/>
              </w:rPr>
              <w:t>100,935</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jc w:val="right"/>
              <w:ind w:right="12"/>
              <w:spacing w:after="0"/>
              <w:rPr>
                <w:sz w:val="20"/>
                <w:szCs w:val="20"/>
                <w:color w:val="auto"/>
              </w:rPr>
            </w:pPr>
            <w:r>
              <w:rPr>
                <w:rFonts w:ascii="Arial" w:cs="Arial" w:eastAsia="Arial" w:hAnsi="Arial"/>
                <w:sz w:val="18"/>
                <w:szCs w:val="18"/>
                <w:color w:val="auto"/>
                <w:w w:val="90"/>
              </w:rPr>
              <w:t>17,785</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4"/>
              </w:rPr>
              <w:t>18,944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portion of rent expense</w:t>
            </w:r>
          </w:p>
        </w:tc>
        <w:tc>
          <w:tcPr>
            <w:tcW w:w="13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3,826</w:t>
            </w:r>
          </w:p>
        </w:tc>
        <w:tc>
          <w:tcPr>
            <w:tcW w:w="34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5,241</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5,163</w:t>
            </w:r>
          </w:p>
        </w:tc>
        <w:tc>
          <w:tcPr>
            <w:tcW w:w="3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4,098</w:t>
            </w:r>
          </w:p>
        </w:tc>
        <w:tc>
          <w:tcPr>
            <w:tcW w:w="3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2,241</w:t>
            </w:r>
          </w:p>
        </w:tc>
        <w:tc>
          <w:tcPr>
            <w:tcW w:w="3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0"/>
        </w:trPr>
        <w:tc>
          <w:tcPr>
            <w:tcW w:w="3260" w:type="dxa"/>
            <w:vAlign w:val="bottom"/>
            <w:gridSpan w:val="2"/>
          </w:tcPr>
          <w:p>
            <w:pPr>
              <w:spacing w:after="0"/>
              <w:rPr>
                <w:sz w:val="20"/>
                <w:szCs w:val="20"/>
                <w:color w:val="auto"/>
              </w:rPr>
            </w:pPr>
            <w:r>
              <w:rPr>
                <w:rFonts w:ascii="Arial" w:cs="Arial" w:eastAsia="Arial" w:hAnsi="Arial"/>
                <w:sz w:val="18"/>
                <w:szCs w:val="18"/>
                <w:color w:val="auto"/>
              </w:rPr>
              <w:t>a) Fixed charges</w:t>
            </w:r>
          </w:p>
        </w:tc>
        <w:tc>
          <w:tcPr>
            <w:tcW w:w="13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46,042</w:t>
            </w:r>
          </w:p>
        </w:tc>
        <w:tc>
          <w:tcPr>
            <w:tcW w:w="340" w:type="dxa"/>
            <w:vAlign w:val="bottom"/>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75,552</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99,340</w:t>
            </w:r>
          </w:p>
        </w:tc>
        <w:tc>
          <w:tcPr>
            <w:tcW w:w="34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w w:val="82"/>
              </w:rPr>
              <w:t>105,033</w:t>
            </w:r>
          </w:p>
        </w:tc>
        <w:tc>
          <w:tcPr>
            <w:tcW w:w="3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w w:val="90"/>
              </w:rPr>
              <w:t>20,026</w:t>
            </w:r>
          </w:p>
        </w:tc>
        <w:tc>
          <w:tcPr>
            <w:tcW w:w="3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21,456</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324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b) Earnings for ratio </w:t>
            </w:r>
            <w:r>
              <w:rPr>
                <w:rFonts w:ascii="Arial" w:cs="Arial" w:eastAsia="Arial" w:hAnsi="Arial"/>
                <w:sz w:val="11"/>
                <w:szCs w:val="11"/>
                <w:color w:val="auto"/>
              </w:rPr>
              <w:t>(3)</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146,029</w:t>
            </w: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$ 29,201</w:t>
            </w:r>
          </w:p>
        </w:tc>
        <w:tc>
          <w:tcPr>
            <w:tcW w:w="16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117,829</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8"/>
              </w:rPr>
              <w:t>61,125</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0"/>
              </w:rPr>
              <w:t>72,228</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48,902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60" w:type="dxa"/>
            <w:vAlign w:val="bottom"/>
            <w:gridSpan w:val="2"/>
            <w:vMerge w:val="restart"/>
          </w:tcPr>
          <w:p>
            <w:pPr>
              <w:spacing w:after="0"/>
              <w:rPr>
                <w:sz w:val="20"/>
                <w:szCs w:val="20"/>
                <w:color w:val="auto"/>
              </w:rPr>
            </w:pPr>
            <w:r>
              <w:rPr>
                <w:rFonts w:ascii="Arial" w:cs="Arial" w:eastAsia="Arial" w:hAnsi="Arial"/>
                <w:sz w:val="18"/>
                <w:szCs w:val="18"/>
                <w:color w:val="auto"/>
              </w:rPr>
              <w:t>Ratios:</w:t>
            </w:r>
          </w:p>
        </w:tc>
        <w:tc>
          <w:tcPr>
            <w:tcW w:w="13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3260" w:type="dxa"/>
            <w:vAlign w:val="bottom"/>
            <w:gridSpan w:val="2"/>
            <w:vMerge w:val="continue"/>
          </w:tcPr>
          <w:p>
            <w:pPr>
              <w:spacing w:after="0"/>
              <w:rPr>
                <w:sz w:val="24"/>
                <w:szCs w:val="24"/>
                <w:color w:val="auto"/>
              </w:rPr>
            </w:pPr>
          </w:p>
        </w:tc>
        <w:tc>
          <w:tcPr>
            <w:tcW w:w="1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 xml:space="preserve">Earnings to fixed charges </w:t>
            </w:r>
            <w:r>
              <w:rPr>
                <w:rFonts w:ascii="Arial" w:cs="Arial" w:eastAsia="Arial" w:hAnsi="Arial"/>
                <w:sz w:val="11"/>
                <w:szCs w:val="11"/>
                <w:color w:val="auto"/>
              </w:rPr>
              <w:t>(b/a)</w:t>
            </w:r>
          </w:p>
        </w:tc>
        <w:tc>
          <w:tcPr>
            <w:tcW w:w="1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3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1"/>
                <w:szCs w:val="11"/>
                <w:color w:val="auto"/>
              </w:rPr>
              <w:t>(4)</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1"/>
                <w:szCs w:val="11"/>
                <w:color w:val="auto"/>
              </w:rPr>
              <w:t>(4)</w:t>
            </w: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3.6</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3260" w:type="dxa"/>
            <w:vAlign w:val="bottom"/>
            <w:gridSpan w:val="2"/>
          </w:tcPr>
          <w:p>
            <w:pPr>
              <w:spacing w:after="0"/>
              <w:rPr>
                <w:sz w:val="20"/>
                <w:szCs w:val="20"/>
                <w:color w:val="auto"/>
              </w:rPr>
            </w:pPr>
            <w:r>
              <w:rPr>
                <w:rFonts w:ascii="Arial" w:cs="Arial" w:eastAsia="Arial" w:hAnsi="Arial"/>
                <w:sz w:val="18"/>
                <w:szCs w:val="18"/>
                <w:color w:val="auto"/>
              </w:rPr>
              <w:t>Deficit of earnings to fixed charges</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8"/>
              </w:rPr>
              <w:t>$(46,351)</w:t>
            </w:r>
          </w:p>
        </w:tc>
        <w:tc>
          <w:tcPr>
            <w:tcW w:w="160" w:type="dxa"/>
            <w:vAlign w:val="bottom"/>
          </w:tcPr>
          <w:p>
            <w:pPr>
              <w:spacing w:after="0"/>
              <w:rPr>
                <w:sz w:val="24"/>
                <w:szCs w:val="24"/>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89"/>
              </w:rPr>
              <w:t>(43,908)</w:t>
            </w:r>
          </w:p>
        </w:tc>
        <w:tc>
          <w:tcPr>
            <w:tcW w:w="34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75" w:lineRule="exact"/>
        <w:rPr>
          <w:sz w:val="20"/>
          <w:szCs w:val="20"/>
          <w:color w:val="auto"/>
        </w:rPr>
      </w:pPr>
    </w:p>
    <w:p>
      <w:pPr>
        <w:ind w:left="900" w:right="240" w:hanging="446"/>
        <w:spacing w:after="0" w:line="228" w:lineRule="auto"/>
        <w:tabs>
          <w:tab w:leader="none" w:pos="900" w:val="left"/>
        </w:tabs>
        <w:numPr>
          <w:ilvl w:val="0"/>
          <w:numId w:val="15"/>
        </w:numPr>
        <w:rPr>
          <w:rFonts w:ascii="Arial" w:cs="Arial" w:eastAsia="Arial" w:hAnsi="Arial"/>
          <w:sz w:val="22"/>
          <w:szCs w:val="22"/>
          <w:color w:val="auto"/>
          <w:vertAlign w:val="superscript"/>
        </w:rPr>
      </w:pPr>
      <w:r>
        <w:rPr>
          <w:rFonts w:ascii="Arial" w:cs="Arial" w:eastAsia="Arial" w:hAnsi="Arial"/>
          <w:sz w:val="18"/>
          <w:szCs w:val="18"/>
          <w:color w:val="auto"/>
        </w:rPr>
        <w:t>Fixed charges consist of interest on indebtedness and amortization of debt issuance costs plus that portion of lease rental expense representative of the interest factor.</w:t>
      </w:r>
    </w:p>
    <w:p>
      <w:pPr>
        <w:spacing w:after="0" w:line="1" w:lineRule="exact"/>
        <w:rPr>
          <w:rFonts w:ascii="Arial" w:cs="Arial" w:eastAsia="Arial" w:hAnsi="Arial"/>
          <w:sz w:val="22"/>
          <w:szCs w:val="22"/>
          <w:color w:val="auto"/>
          <w:vertAlign w:val="superscript"/>
        </w:rPr>
      </w:pPr>
    </w:p>
    <w:p>
      <w:pPr>
        <w:ind w:left="900" w:hanging="446"/>
        <w:spacing w:after="0" w:line="205" w:lineRule="auto"/>
        <w:tabs>
          <w:tab w:leader="none" w:pos="900" w:val="left"/>
        </w:tabs>
        <w:numPr>
          <w:ilvl w:val="0"/>
          <w:numId w:val="15"/>
        </w:numPr>
        <w:rPr>
          <w:rFonts w:ascii="Arial" w:cs="Arial" w:eastAsia="Arial" w:hAnsi="Arial"/>
          <w:sz w:val="22"/>
          <w:szCs w:val="22"/>
          <w:color w:val="auto"/>
          <w:vertAlign w:val="superscript"/>
        </w:rPr>
      </w:pPr>
      <w:r>
        <w:rPr>
          <w:rFonts w:ascii="Arial" w:cs="Arial" w:eastAsia="Arial" w:hAnsi="Arial"/>
          <w:sz w:val="18"/>
          <w:szCs w:val="18"/>
          <w:color w:val="auto"/>
        </w:rPr>
        <w:t>Interest expense, gross, includes amortization of prepaid debt fees and discount.</w:t>
      </w:r>
    </w:p>
    <w:p>
      <w:pPr>
        <w:spacing w:after="0" w:line="7" w:lineRule="exact"/>
        <w:rPr>
          <w:rFonts w:ascii="Arial" w:cs="Arial" w:eastAsia="Arial" w:hAnsi="Arial"/>
          <w:sz w:val="22"/>
          <w:szCs w:val="22"/>
          <w:color w:val="auto"/>
          <w:vertAlign w:val="superscript"/>
        </w:rPr>
      </w:pPr>
    </w:p>
    <w:p>
      <w:pPr>
        <w:ind w:left="900" w:right="460" w:hanging="446"/>
        <w:spacing w:after="0" w:line="221" w:lineRule="auto"/>
        <w:tabs>
          <w:tab w:leader="none" w:pos="900" w:val="left"/>
        </w:tabs>
        <w:numPr>
          <w:ilvl w:val="0"/>
          <w:numId w:val="15"/>
        </w:numPr>
        <w:rPr>
          <w:rFonts w:ascii="Arial" w:cs="Arial" w:eastAsia="Arial" w:hAnsi="Arial"/>
          <w:sz w:val="22"/>
          <w:szCs w:val="22"/>
          <w:color w:val="auto"/>
          <w:vertAlign w:val="superscript"/>
        </w:rPr>
      </w:pPr>
      <w:r>
        <w:rPr>
          <w:rFonts w:ascii="Arial" w:cs="Arial" w:eastAsia="Arial" w:hAnsi="Arial"/>
          <w:sz w:val="18"/>
          <w:szCs w:val="18"/>
          <w:color w:val="auto"/>
        </w:rPr>
        <w:t>Earnings for ratio consist of income (loss) from continuing operations before income taxes, less income (loss) from equity investees, plus fixed charges.</w:t>
      </w:r>
    </w:p>
    <w:p>
      <w:pPr>
        <w:ind w:left="900" w:right="420" w:hanging="446"/>
        <w:spacing w:after="0" w:line="237" w:lineRule="auto"/>
        <w:tabs>
          <w:tab w:leader="none" w:pos="900" w:val="left"/>
        </w:tabs>
        <w:numPr>
          <w:ilvl w:val="0"/>
          <w:numId w:val="15"/>
        </w:numPr>
        <w:rPr>
          <w:rFonts w:ascii="Arial" w:cs="Arial" w:eastAsia="Arial" w:hAnsi="Arial"/>
          <w:sz w:val="21"/>
          <w:szCs w:val="21"/>
          <w:color w:val="auto"/>
          <w:vertAlign w:val="superscript"/>
        </w:rPr>
      </w:pPr>
      <w:r>
        <w:rPr>
          <w:rFonts w:ascii="Arial" w:cs="Arial" w:eastAsia="Arial" w:hAnsi="Arial"/>
          <w:sz w:val="17"/>
          <w:szCs w:val="17"/>
          <w:color w:val="auto"/>
        </w:rPr>
        <w:t>Due to Itron’s losses for the years ended December 31, 2009 and 2007, the coverage ratio was less than 1:1. Additional earnings of $46,351 and $43,908 would have been needed to achieve a coverage ratio of 1:1 in each of those respective periods.</w:t>
      </w:r>
    </w:p>
    <w:p>
      <w:pPr>
        <w:sectPr>
          <w:pgSz w:w="11900" w:h="16838" w:orient="portrait"/>
          <w:cols w:equalWidth="0" w:num="1">
            <w:col w:w="11420"/>
          </w:cols>
          <w:pgMar w:left="240" w:top="139" w:right="239" w:bottom="1440" w:gutter="0" w:footer="0" w:header="0"/>
        </w:sectPr>
      </w:pPr>
    </w:p>
    <w:bookmarkStart w:id="58" w:name="page59"/>
    <w:bookmarkEnd w:id="58"/>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SARBANES-OXLEY ACT OF 2002</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I, Malcolm Unsworth, certify that:</w:t>
      </w:r>
    </w:p>
    <w:p>
      <w:pPr>
        <w:spacing w:after="0" w:line="90" w:lineRule="exact"/>
        <w:rPr>
          <w:sz w:val="20"/>
          <w:szCs w:val="20"/>
          <w:color w:val="auto"/>
        </w:rPr>
      </w:pPr>
    </w:p>
    <w:p>
      <w:pPr>
        <w:ind w:left="900" w:hanging="446"/>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Itron, Inc.;</w:t>
      </w:r>
    </w:p>
    <w:p>
      <w:pPr>
        <w:spacing w:after="0" w:line="90" w:lineRule="exact"/>
        <w:rPr>
          <w:rFonts w:ascii="Arial" w:cs="Arial" w:eastAsia="Arial" w:hAnsi="Arial"/>
          <w:sz w:val="18"/>
          <w:szCs w:val="18"/>
          <w:color w:val="auto"/>
        </w:rPr>
      </w:pPr>
    </w:p>
    <w:p>
      <w:pPr>
        <w:jc w:val="both"/>
        <w:ind w:left="900" w:right="300" w:hanging="446"/>
        <w:spacing w:after="0" w:line="259"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9" w:lineRule="exact"/>
        <w:rPr>
          <w:rFonts w:ascii="Arial" w:cs="Arial" w:eastAsia="Arial" w:hAnsi="Arial"/>
          <w:sz w:val="18"/>
          <w:szCs w:val="18"/>
          <w:color w:val="auto"/>
        </w:rPr>
      </w:pPr>
    </w:p>
    <w:p>
      <w:pPr>
        <w:ind w:left="900" w:right="280" w:hanging="446"/>
        <w:spacing w:after="0" w:line="332" w:lineRule="auto"/>
        <w:tabs>
          <w:tab w:leader="none" w:pos="9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 w:lineRule="exact"/>
        <w:rPr>
          <w:rFonts w:ascii="Arial" w:cs="Arial" w:eastAsia="Arial" w:hAnsi="Arial"/>
          <w:sz w:val="16"/>
          <w:szCs w:val="16"/>
          <w:color w:val="auto"/>
        </w:rPr>
      </w:pPr>
    </w:p>
    <w:p>
      <w:pPr>
        <w:ind w:left="900" w:right="300" w:hanging="446"/>
        <w:spacing w:after="0" w:line="259"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1920" w:right="140" w:hanging="440"/>
        <w:spacing w:after="0" w:line="306" w:lineRule="auto"/>
        <w:tabs>
          <w:tab w:leader="none" w:pos="1920" w:val="left"/>
        </w:tabs>
        <w:numPr>
          <w:ilvl w:val="1"/>
          <w:numId w:val="16"/>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5" w:lineRule="exact"/>
        <w:rPr>
          <w:rFonts w:ascii="Arial" w:cs="Arial" w:eastAsia="Arial" w:hAnsi="Arial"/>
          <w:sz w:val="16"/>
          <w:szCs w:val="16"/>
          <w:color w:val="auto"/>
        </w:rPr>
      </w:pPr>
    </w:p>
    <w:p>
      <w:pPr>
        <w:ind w:left="1920" w:right="200" w:hanging="440"/>
        <w:spacing w:after="0" w:line="306" w:lineRule="auto"/>
        <w:tabs>
          <w:tab w:leader="none" w:pos="1920" w:val="left"/>
        </w:tabs>
        <w:numPr>
          <w:ilvl w:val="1"/>
          <w:numId w:val="16"/>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5" w:lineRule="exact"/>
        <w:rPr>
          <w:rFonts w:ascii="Arial" w:cs="Arial" w:eastAsia="Arial" w:hAnsi="Arial"/>
          <w:sz w:val="16"/>
          <w:szCs w:val="16"/>
          <w:color w:val="auto"/>
        </w:rPr>
      </w:pPr>
    </w:p>
    <w:p>
      <w:pPr>
        <w:jc w:val="both"/>
        <w:ind w:left="1920" w:hanging="440"/>
        <w:spacing w:after="0" w:line="357" w:lineRule="auto"/>
        <w:tabs>
          <w:tab w:leader="none" w:pos="1920" w:val="left"/>
        </w:tabs>
        <w:numPr>
          <w:ilvl w:val="1"/>
          <w:numId w:val="16"/>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920" w:hanging="440"/>
        <w:spacing w:after="0" w:line="306" w:lineRule="auto"/>
        <w:tabs>
          <w:tab w:leader="none" w:pos="1920" w:val="left"/>
        </w:tabs>
        <w:numPr>
          <w:ilvl w:val="1"/>
          <w:numId w:val="16"/>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5" w:lineRule="exact"/>
        <w:rPr>
          <w:rFonts w:ascii="Arial" w:cs="Arial" w:eastAsia="Arial" w:hAnsi="Arial"/>
          <w:sz w:val="16"/>
          <w:szCs w:val="16"/>
          <w:color w:val="auto"/>
        </w:rPr>
      </w:pPr>
    </w:p>
    <w:p>
      <w:pPr>
        <w:ind w:left="900" w:right="200" w:hanging="446"/>
        <w:spacing w:after="0" w:line="332" w:lineRule="auto"/>
        <w:tabs>
          <w:tab w:leader="none" w:pos="9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1920" w:right="200" w:hanging="440"/>
        <w:spacing w:after="0" w:line="332" w:lineRule="auto"/>
        <w:tabs>
          <w:tab w:leader="none" w:pos="1920" w:val="left"/>
        </w:tabs>
        <w:numPr>
          <w:ilvl w:val="1"/>
          <w:numId w:val="1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 w:lineRule="exact"/>
        <w:rPr>
          <w:rFonts w:ascii="Arial" w:cs="Arial" w:eastAsia="Arial" w:hAnsi="Arial"/>
          <w:sz w:val="16"/>
          <w:szCs w:val="16"/>
          <w:color w:val="auto"/>
        </w:rPr>
      </w:pPr>
    </w:p>
    <w:p>
      <w:pPr>
        <w:ind w:left="1920" w:right="560" w:hanging="440"/>
        <w:spacing w:after="0" w:line="268" w:lineRule="auto"/>
        <w:tabs>
          <w:tab w:leader="none" w:pos="1920" w:val="left"/>
        </w:tabs>
        <w:numPr>
          <w:ilvl w:val="1"/>
          <w:numId w:val="1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p>
      <w:pPr>
        <w:ind w:left="8840"/>
        <w:spacing w:after="0"/>
        <w:rPr>
          <w:sz w:val="20"/>
          <w:szCs w:val="20"/>
          <w:color w:val="auto"/>
        </w:rPr>
      </w:pPr>
      <w:r>
        <w:rPr>
          <w:rFonts w:ascii="Arial" w:cs="Arial" w:eastAsia="Arial" w:hAnsi="Arial"/>
          <w:sz w:val="18"/>
          <w:szCs w:val="18"/>
          <w:color w:val="auto"/>
        </w:rPr>
        <w:t>ITRON, INC.</w:t>
      </w:r>
    </w:p>
    <w:p>
      <w:pPr>
        <w:spacing w:after="0" w:line="117" w:lineRule="exact"/>
        <w:rPr>
          <w:sz w:val="20"/>
          <w:szCs w:val="20"/>
          <w:color w:val="auto"/>
        </w:rPr>
      </w:pPr>
    </w:p>
    <w:p>
      <w:pPr>
        <w:ind w:left="6860"/>
        <w:spacing w:after="0"/>
        <w:tabs>
          <w:tab w:leader="none" w:pos="82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MALCOLM UNSWORTH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10795</wp:posOffset>
            </wp:positionV>
            <wp:extent cx="265874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0" w:lineRule="exact"/>
        <w:rPr>
          <w:sz w:val="20"/>
          <w:szCs w:val="20"/>
          <w:color w:val="auto"/>
        </w:rPr>
      </w:pPr>
    </w:p>
    <w:p>
      <w:pPr>
        <w:jc w:val="center"/>
        <w:ind w:left="7240"/>
        <w:spacing w:after="0"/>
        <w:rPr>
          <w:sz w:val="20"/>
          <w:szCs w:val="20"/>
          <w:color w:val="auto"/>
        </w:rPr>
      </w:pPr>
      <w:r>
        <w:rPr>
          <w:rFonts w:ascii="Arial" w:cs="Arial" w:eastAsia="Arial" w:hAnsi="Arial"/>
          <w:sz w:val="18"/>
          <w:szCs w:val="18"/>
          <w:b w:val="1"/>
          <w:bCs w:val="1"/>
          <w:color w:val="auto"/>
        </w:rPr>
        <w:t>Malcolm Unsworth</w:t>
      </w:r>
    </w:p>
    <w:p>
      <w:pPr>
        <w:spacing w:after="0" w:line="21" w:lineRule="exact"/>
        <w:rPr>
          <w:sz w:val="20"/>
          <w:szCs w:val="20"/>
          <w:color w:val="auto"/>
        </w:rPr>
      </w:pPr>
    </w:p>
    <w:p>
      <w:pPr>
        <w:jc w:val="center"/>
        <w:ind w:left="7240"/>
        <w:spacing w:after="0"/>
        <w:rPr>
          <w:sz w:val="20"/>
          <w:szCs w:val="20"/>
          <w:color w:val="auto"/>
        </w:rPr>
      </w:pPr>
      <w:r>
        <w:rPr>
          <w:rFonts w:ascii="Arial" w:cs="Arial" w:eastAsia="Arial" w:hAnsi="Arial"/>
          <w:sz w:val="18"/>
          <w:szCs w:val="18"/>
          <w:b w:val="1"/>
          <w:bCs w:val="1"/>
          <w:color w:val="auto"/>
        </w:rPr>
        <w:t>President and Chief Executive Officer</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Date: November 2, 2010</w:t>
      </w:r>
    </w:p>
    <w:p>
      <w:pPr>
        <w:sectPr>
          <w:pgSz w:w="11900" w:h="16838" w:orient="portrait"/>
          <w:cols w:equalWidth="0" w:num="1">
            <w:col w:w="11420"/>
          </w:cols>
          <w:pgMar w:left="240" w:top="139" w:right="239" w:bottom="1440" w:gutter="0" w:footer="0" w:header="0"/>
        </w:sectPr>
      </w:pPr>
    </w:p>
    <w:bookmarkStart w:id="59" w:name="page60"/>
    <w:bookmarkEnd w:id="59"/>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SARBANES-OXLEY ACT OF 2002</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I, Steven M. Helmbrecht, certify that:</w:t>
      </w:r>
    </w:p>
    <w:p>
      <w:pPr>
        <w:spacing w:after="0" w:line="90" w:lineRule="exact"/>
        <w:rPr>
          <w:sz w:val="20"/>
          <w:szCs w:val="20"/>
          <w:color w:val="auto"/>
        </w:rPr>
      </w:pPr>
    </w:p>
    <w:p>
      <w:pPr>
        <w:ind w:left="900" w:hanging="446"/>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Itron, Inc.;</w:t>
      </w:r>
    </w:p>
    <w:p>
      <w:pPr>
        <w:spacing w:after="0" w:line="90" w:lineRule="exact"/>
        <w:rPr>
          <w:rFonts w:ascii="Arial" w:cs="Arial" w:eastAsia="Arial" w:hAnsi="Arial"/>
          <w:sz w:val="18"/>
          <w:szCs w:val="18"/>
          <w:color w:val="auto"/>
        </w:rPr>
      </w:pPr>
    </w:p>
    <w:p>
      <w:pPr>
        <w:jc w:val="both"/>
        <w:ind w:left="900" w:right="300" w:hanging="446"/>
        <w:spacing w:after="0" w:line="259"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9" w:lineRule="exact"/>
        <w:rPr>
          <w:rFonts w:ascii="Arial" w:cs="Arial" w:eastAsia="Arial" w:hAnsi="Arial"/>
          <w:sz w:val="18"/>
          <w:szCs w:val="18"/>
          <w:color w:val="auto"/>
        </w:rPr>
      </w:pPr>
    </w:p>
    <w:p>
      <w:pPr>
        <w:ind w:left="900" w:right="280" w:hanging="446"/>
        <w:spacing w:after="0" w:line="332" w:lineRule="auto"/>
        <w:tabs>
          <w:tab w:leader="none" w:pos="9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 w:lineRule="exact"/>
        <w:rPr>
          <w:rFonts w:ascii="Arial" w:cs="Arial" w:eastAsia="Arial" w:hAnsi="Arial"/>
          <w:sz w:val="16"/>
          <w:szCs w:val="16"/>
          <w:color w:val="auto"/>
        </w:rPr>
      </w:pPr>
    </w:p>
    <w:p>
      <w:pPr>
        <w:ind w:left="900" w:right="300" w:hanging="446"/>
        <w:spacing w:after="0" w:line="259"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1920" w:right="140" w:hanging="440"/>
        <w:spacing w:after="0" w:line="306" w:lineRule="auto"/>
        <w:tabs>
          <w:tab w:leader="none" w:pos="1920" w:val="left"/>
        </w:tabs>
        <w:numPr>
          <w:ilvl w:val="1"/>
          <w:numId w:val="17"/>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5" w:lineRule="exact"/>
        <w:rPr>
          <w:rFonts w:ascii="Arial" w:cs="Arial" w:eastAsia="Arial" w:hAnsi="Arial"/>
          <w:sz w:val="16"/>
          <w:szCs w:val="16"/>
          <w:color w:val="auto"/>
        </w:rPr>
      </w:pPr>
    </w:p>
    <w:p>
      <w:pPr>
        <w:ind w:left="1920" w:right="200" w:hanging="440"/>
        <w:spacing w:after="0" w:line="306" w:lineRule="auto"/>
        <w:tabs>
          <w:tab w:leader="none" w:pos="1920" w:val="left"/>
        </w:tabs>
        <w:numPr>
          <w:ilvl w:val="1"/>
          <w:numId w:val="17"/>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5" w:lineRule="exact"/>
        <w:rPr>
          <w:rFonts w:ascii="Arial" w:cs="Arial" w:eastAsia="Arial" w:hAnsi="Arial"/>
          <w:sz w:val="16"/>
          <w:szCs w:val="16"/>
          <w:color w:val="auto"/>
        </w:rPr>
      </w:pPr>
    </w:p>
    <w:p>
      <w:pPr>
        <w:jc w:val="both"/>
        <w:ind w:left="1920" w:hanging="440"/>
        <w:spacing w:after="0" w:line="357" w:lineRule="auto"/>
        <w:tabs>
          <w:tab w:leader="none" w:pos="1920" w:val="left"/>
        </w:tabs>
        <w:numPr>
          <w:ilvl w:val="1"/>
          <w:numId w:val="17"/>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920" w:hanging="440"/>
        <w:spacing w:after="0" w:line="306" w:lineRule="auto"/>
        <w:tabs>
          <w:tab w:leader="none" w:pos="1920" w:val="left"/>
        </w:tabs>
        <w:numPr>
          <w:ilvl w:val="1"/>
          <w:numId w:val="17"/>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5" w:lineRule="exact"/>
        <w:rPr>
          <w:rFonts w:ascii="Arial" w:cs="Arial" w:eastAsia="Arial" w:hAnsi="Arial"/>
          <w:sz w:val="16"/>
          <w:szCs w:val="16"/>
          <w:color w:val="auto"/>
        </w:rPr>
      </w:pPr>
    </w:p>
    <w:p>
      <w:pPr>
        <w:ind w:left="900" w:right="200" w:hanging="446"/>
        <w:spacing w:after="0" w:line="332" w:lineRule="auto"/>
        <w:tabs>
          <w:tab w:leader="none" w:pos="9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1920" w:right="200" w:hanging="440"/>
        <w:spacing w:after="0" w:line="332" w:lineRule="auto"/>
        <w:tabs>
          <w:tab w:leader="none" w:pos="1920" w:val="left"/>
        </w:tabs>
        <w:numPr>
          <w:ilvl w:val="1"/>
          <w:numId w:val="1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 w:lineRule="exact"/>
        <w:rPr>
          <w:rFonts w:ascii="Arial" w:cs="Arial" w:eastAsia="Arial" w:hAnsi="Arial"/>
          <w:sz w:val="16"/>
          <w:szCs w:val="16"/>
          <w:color w:val="auto"/>
        </w:rPr>
      </w:pPr>
    </w:p>
    <w:p>
      <w:pPr>
        <w:ind w:left="1920" w:right="560" w:hanging="440"/>
        <w:spacing w:after="0" w:line="268" w:lineRule="auto"/>
        <w:tabs>
          <w:tab w:leader="none" w:pos="1920" w:val="left"/>
        </w:tabs>
        <w:numPr>
          <w:ilvl w:val="1"/>
          <w:numId w:val="1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p>
      <w:pPr>
        <w:ind w:left="8840"/>
        <w:spacing w:after="0"/>
        <w:rPr>
          <w:sz w:val="20"/>
          <w:szCs w:val="20"/>
          <w:color w:val="auto"/>
        </w:rPr>
      </w:pPr>
      <w:r>
        <w:rPr>
          <w:rFonts w:ascii="Arial" w:cs="Arial" w:eastAsia="Arial" w:hAnsi="Arial"/>
          <w:sz w:val="18"/>
          <w:szCs w:val="18"/>
          <w:color w:val="auto"/>
        </w:rPr>
        <w:t>ITRON, INC.</w:t>
      </w:r>
    </w:p>
    <w:p>
      <w:pPr>
        <w:spacing w:after="0" w:line="117" w:lineRule="exact"/>
        <w:rPr>
          <w:sz w:val="20"/>
          <w:szCs w:val="20"/>
          <w:color w:val="auto"/>
        </w:rPr>
      </w:pPr>
    </w:p>
    <w:p>
      <w:pPr>
        <w:ind w:left="6860"/>
        <w:spacing w:after="0"/>
        <w:tabs>
          <w:tab w:leader="none" w:pos="81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STEVEN M. HELMBRECHT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10795</wp:posOffset>
            </wp:positionV>
            <wp:extent cx="265874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0" w:lineRule="exact"/>
        <w:rPr>
          <w:sz w:val="20"/>
          <w:szCs w:val="20"/>
          <w:color w:val="auto"/>
        </w:rPr>
      </w:pPr>
    </w:p>
    <w:p>
      <w:pPr>
        <w:jc w:val="center"/>
        <w:ind w:left="7240"/>
        <w:spacing w:after="0"/>
        <w:rPr>
          <w:sz w:val="20"/>
          <w:szCs w:val="20"/>
          <w:color w:val="auto"/>
        </w:rPr>
      </w:pPr>
      <w:r>
        <w:rPr>
          <w:rFonts w:ascii="Arial" w:cs="Arial" w:eastAsia="Arial" w:hAnsi="Arial"/>
          <w:sz w:val="18"/>
          <w:szCs w:val="18"/>
          <w:b w:val="1"/>
          <w:bCs w:val="1"/>
          <w:color w:val="auto"/>
        </w:rPr>
        <w:t>Steven M. Helmbrecht</w:t>
      </w:r>
    </w:p>
    <w:p>
      <w:pPr>
        <w:spacing w:after="0" w:line="21" w:lineRule="exact"/>
        <w:rPr>
          <w:sz w:val="20"/>
          <w:szCs w:val="20"/>
          <w:color w:val="auto"/>
        </w:rPr>
      </w:pPr>
    </w:p>
    <w:p>
      <w:pPr>
        <w:jc w:val="center"/>
        <w:ind w:left="7240"/>
        <w:spacing w:after="0"/>
        <w:rPr>
          <w:sz w:val="20"/>
          <w:szCs w:val="20"/>
          <w:color w:val="auto"/>
        </w:rPr>
      </w:pPr>
      <w:r>
        <w:rPr>
          <w:rFonts w:ascii="Arial" w:cs="Arial" w:eastAsia="Arial" w:hAnsi="Arial"/>
          <w:sz w:val="18"/>
          <w:szCs w:val="18"/>
          <w:b w:val="1"/>
          <w:bCs w:val="1"/>
          <w:color w:val="auto"/>
        </w:rPr>
        <w:t>Sr. Vice President and Chief Financial Officer</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Date November 2, 2010</w:t>
      </w:r>
    </w:p>
    <w:p>
      <w:pPr>
        <w:sectPr>
          <w:pgSz w:w="11900" w:h="16838" w:orient="portrait"/>
          <w:cols w:equalWidth="0" w:num="1">
            <w:col w:w="11420"/>
          </w:cols>
          <w:pgMar w:left="240" w:top="139" w:right="239" w:bottom="1440" w:gutter="0" w:footer="0" w:header="0"/>
        </w:sectPr>
      </w:pPr>
    </w:p>
    <w:bookmarkStart w:id="60" w:name="page61"/>
    <w:bookmarkEnd w:id="60"/>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SARBANES-OXLEY ACT OF 2002</w:t>
      </w:r>
    </w:p>
    <w:p>
      <w:pPr>
        <w:spacing w:after="0" w:line="165"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The certification set forth below is being submitted in connection with the Quarterly Report of Itron, Inc. (the Company) on Form 10-Q for the quarterly period ended September 30, 2010 (the Report) for the purpose of complying with Rule 13a-14(b) or Rule 15d-14(b) of the Securities Exchange Act of 1934 and Section 1350 of Chapter 63 of Title 18 of the United States Code.</w:t>
      </w:r>
    </w:p>
    <w:p>
      <w:pPr>
        <w:spacing w:after="0" w:line="140"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color w:val="auto"/>
        </w:rPr>
        <w:t>Malcolm Unsworth, the Chief Executive Officer and Steven M. Helmbrecht, the Chief Financial Officer of the Company, each certifies that to the best of his knowledge:</w:t>
      </w:r>
    </w:p>
    <w:p>
      <w:pPr>
        <w:spacing w:after="0" w:line="51" w:lineRule="exact"/>
        <w:rPr>
          <w:sz w:val="20"/>
          <w:szCs w:val="20"/>
          <w:color w:val="auto"/>
        </w:rPr>
      </w:pPr>
    </w:p>
    <w:p>
      <w:pPr>
        <w:ind w:left="900" w:hanging="44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35"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/s/ MALCOLM UNSWORTH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0" w:lineRule="exact"/>
        <w:rPr>
          <w:sz w:val="20"/>
          <w:szCs w:val="20"/>
          <w:color w:val="auto"/>
        </w:rPr>
      </w:pPr>
    </w:p>
    <w:p>
      <w:pPr>
        <w:ind w:left="1560"/>
        <w:spacing w:after="0"/>
        <w:rPr>
          <w:sz w:val="20"/>
          <w:szCs w:val="20"/>
          <w:color w:val="auto"/>
        </w:rPr>
      </w:pPr>
      <w:r>
        <w:rPr>
          <w:rFonts w:ascii="Arial" w:cs="Arial" w:eastAsia="Arial" w:hAnsi="Arial"/>
          <w:sz w:val="18"/>
          <w:szCs w:val="18"/>
          <w:b w:val="1"/>
          <w:bCs w:val="1"/>
          <w:color w:val="auto"/>
        </w:rPr>
        <w:t>Malcolm Unsworth</w:t>
      </w:r>
    </w:p>
    <w:p>
      <w:pPr>
        <w:spacing w:after="0" w:line="21" w:lineRule="exact"/>
        <w:rPr>
          <w:sz w:val="20"/>
          <w:szCs w:val="20"/>
          <w:color w:val="auto"/>
        </w:rPr>
      </w:pPr>
    </w:p>
    <w:p>
      <w:pPr>
        <w:jc w:val="center"/>
        <w:ind w:right="6840"/>
        <w:spacing w:after="0"/>
        <w:rPr>
          <w:sz w:val="20"/>
          <w:szCs w:val="20"/>
          <w:color w:val="auto"/>
        </w:rPr>
      </w:pPr>
      <w:r>
        <w:rPr>
          <w:rFonts w:ascii="Arial" w:cs="Arial" w:eastAsia="Arial" w:hAnsi="Arial"/>
          <w:sz w:val="18"/>
          <w:szCs w:val="18"/>
          <w:b w:val="1"/>
          <w:bCs w:val="1"/>
          <w:color w:val="auto"/>
        </w:rPr>
        <w:t>President and Chief Executive Officer</w:t>
      </w:r>
    </w:p>
    <w:p>
      <w:pPr>
        <w:spacing w:after="0" w:line="9" w:lineRule="exact"/>
        <w:rPr>
          <w:sz w:val="20"/>
          <w:szCs w:val="20"/>
          <w:color w:val="auto"/>
        </w:rPr>
      </w:pPr>
    </w:p>
    <w:p>
      <w:pPr>
        <w:jc w:val="center"/>
        <w:ind w:right="6840"/>
        <w:spacing w:after="0"/>
        <w:rPr>
          <w:sz w:val="20"/>
          <w:szCs w:val="20"/>
          <w:color w:val="auto"/>
        </w:rPr>
      </w:pPr>
      <w:r>
        <w:rPr>
          <w:rFonts w:ascii="Arial" w:cs="Arial" w:eastAsia="Arial" w:hAnsi="Arial"/>
          <w:sz w:val="18"/>
          <w:szCs w:val="18"/>
          <w:b w:val="1"/>
          <w:bCs w:val="1"/>
          <w:color w:val="auto"/>
        </w:rPr>
        <w:t>November 2, 2010</w:t>
      </w:r>
    </w:p>
    <w:p>
      <w:pPr>
        <w:spacing w:after="0" w:line="219"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/s/ STEVEN M. HELMBRECHT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0" w:lineRule="exact"/>
        <w:rPr>
          <w:sz w:val="20"/>
          <w:szCs w:val="20"/>
          <w:color w:val="auto"/>
        </w:rPr>
      </w:pPr>
    </w:p>
    <w:p>
      <w:pPr>
        <w:ind w:left="1440"/>
        <w:spacing w:after="0"/>
        <w:rPr>
          <w:sz w:val="20"/>
          <w:szCs w:val="20"/>
          <w:color w:val="auto"/>
        </w:rPr>
      </w:pPr>
      <w:r>
        <w:rPr>
          <w:rFonts w:ascii="Arial" w:cs="Arial" w:eastAsia="Arial" w:hAnsi="Arial"/>
          <w:sz w:val="18"/>
          <w:szCs w:val="18"/>
          <w:b w:val="1"/>
          <w:bCs w:val="1"/>
          <w:color w:val="auto"/>
        </w:rPr>
        <w:t>Steven M. Helmbrecht</w:t>
      </w:r>
    </w:p>
    <w:p>
      <w:pPr>
        <w:spacing w:after="0" w:line="21" w:lineRule="exact"/>
        <w:rPr>
          <w:sz w:val="20"/>
          <w:szCs w:val="20"/>
          <w:color w:val="auto"/>
        </w:rPr>
      </w:pPr>
    </w:p>
    <w:p>
      <w:pPr>
        <w:jc w:val="center"/>
        <w:ind w:right="6840"/>
        <w:spacing w:after="0"/>
        <w:rPr>
          <w:sz w:val="20"/>
          <w:szCs w:val="20"/>
          <w:color w:val="auto"/>
        </w:rPr>
      </w:pPr>
      <w:r>
        <w:rPr>
          <w:rFonts w:ascii="Arial" w:cs="Arial" w:eastAsia="Arial" w:hAnsi="Arial"/>
          <w:sz w:val="18"/>
          <w:szCs w:val="18"/>
          <w:b w:val="1"/>
          <w:bCs w:val="1"/>
          <w:color w:val="auto"/>
        </w:rPr>
        <w:t>Sr. Vice President and Chief Financial Officer</w:t>
      </w:r>
    </w:p>
    <w:p>
      <w:pPr>
        <w:spacing w:after="0" w:line="9" w:lineRule="exact"/>
        <w:rPr>
          <w:sz w:val="20"/>
          <w:szCs w:val="20"/>
          <w:color w:val="auto"/>
        </w:rPr>
      </w:pPr>
    </w:p>
    <w:p>
      <w:pPr>
        <w:jc w:val="center"/>
        <w:ind w:right="6840"/>
        <w:spacing w:after="0"/>
        <w:rPr>
          <w:sz w:val="20"/>
          <w:szCs w:val="20"/>
          <w:color w:val="auto"/>
        </w:rPr>
      </w:pPr>
      <w:r>
        <w:rPr>
          <w:rFonts w:ascii="Arial" w:cs="Arial" w:eastAsia="Arial" w:hAnsi="Arial"/>
          <w:sz w:val="18"/>
          <w:szCs w:val="18"/>
          <w:b w:val="1"/>
          <w:bCs w:val="1"/>
          <w:color w:val="auto"/>
        </w:rPr>
        <w:t>November 2, 2010</w:t>
      </w:r>
    </w:p>
    <w:sectPr>
      <w:pgSz w:w="11900" w:h="16838" w:orient="portrait"/>
      <w:cols w:equalWidth="0" w:num="1">
        <w:col w:w="11420"/>
      </w:cols>
      <w:pgMar w:left="240" w:top="139"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abstractNum>
  <w:abstractNum w:abstractNumId="1">
    <w:nsid w:val="4DB127F8"/>
    <w:multiLevelType w:val="hybridMultilevel"/>
    <w:lvl w:ilvl="0">
      <w:lvlJc w:val="left"/>
      <w:lvlText w:val="☐"/>
      <w:numFmt w:val="bullet"/>
      <w:start w:val="1"/>
    </w:lvl>
  </w:abstractNum>
  <w:abstractNum w:abstractNumId="2">
    <w:nsid w:val="216231B"/>
    <w:multiLevelType w:val="hybridMultilevel"/>
    <w:lvl w:ilvl="0">
      <w:lvlJc w:val="left"/>
      <w:lvlText w:val="\endash "/>
      <w:numFmt w:val="bullet"/>
      <w:start w:val="1"/>
    </w:lvl>
  </w:abstractNum>
  <w:abstractNum w:abstractNumId="3">
    <w:nsid w:val="1F16E9E8"/>
    <w:multiLevelType w:val="hybridMultilevel"/>
    <w:lvl w:ilvl="0">
      <w:lvlJc w:val="left"/>
      <w:lvlText w:val="•"/>
      <w:numFmt w:val="bullet"/>
      <w:start w:val="1"/>
    </w:lvl>
  </w:abstractNum>
  <w:abstractNum w:abstractNumId="4">
    <w:nsid w:val="1190CDE7"/>
    <w:multiLevelType w:val="hybridMultilevel"/>
    <w:lvl w:ilvl="0">
      <w:lvlJc w:val="left"/>
      <w:lvlText w:val="•"/>
      <w:numFmt w:val="bullet"/>
      <w:start w:val="1"/>
    </w:lvl>
  </w:abstractNum>
  <w:abstractNum w:abstractNumId="5">
    <w:nsid w:val="66EF438D"/>
    <w:multiLevelType w:val="hybridMultilevel"/>
    <w:lvl w:ilvl="0">
      <w:lvlJc w:val="left"/>
      <w:lvlText w:val="*"/>
      <w:numFmt w:val="bullet"/>
      <w:start w:val="1"/>
    </w:lvl>
  </w:abstractNum>
  <w:abstractNum w:abstractNumId="6">
    <w:nsid w:val="140E0F76"/>
    <w:multiLevelType w:val="hybridMultilevel"/>
    <w:lvl w:ilvl="0">
      <w:lvlJc w:val="left"/>
      <w:lvlText w:val="(%1)"/>
      <w:numFmt w:val="decimal"/>
      <w:start w:val="1"/>
    </w:lvl>
  </w:abstractNum>
  <w:abstractNum w:abstractNumId="7">
    <w:nsid w:val="3352255A"/>
    <w:multiLevelType w:val="hybridMultilevel"/>
    <w:lvl w:ilvl="0">
      <w:lvlJc w:val="left"/>
      <w:lvlText w:val="(%1)"/>
      <w:numFmt w:val="decimal"/>
      <w:start w:val="1"/>
    </w:lvl>
  </w:abstractNum>
  <w:abstractNum w:abstractNumId="8">
    <w:nsid w:val="109CF92E"/>
    <w:multiLevelType w:val="hybridMultilevel"/>
    <w:lvl w:ilvl="0">
      <w:lvlJc w:val="left"/>
      <w:lvlText w:val="(%1)"/>
      <w:numFmt w:val="decimal"/>
      <w:start w:val="1"/>
    </w:lvl>
  </w:abstractNum>
  <w:abstractNum w:abstractNumId="9">
    <w:nsid w:val="DED7263"/>
    <w:multiLevelType w:val="hybridMultilevel"/>
    <w:lvl w:ilvl="0">
      <w:lvlJc w:val="left"/>
      <w:lvlText w:val="(%1)"/>
      <w:numFmt w:val="decimal"/>
      <w:start w:val="1"/>
    </w:lvl>
  </w:abstractNum>
  <w:abstractNum w:abstractNumId="10">
    <w:nsid w:val="7FDCC233"/>
    <w:multiLevelType w:val="hybridMultilevel"/>
    <w:lvl w:ilvl="0">
      <w:lvlJc w:val="left"/>
      <w:lvlText w:val="%1)"/>
      <w:numFmt w:val="decimal"/>
      <w:start w:val="605"/>
    </w:lvl>
  </w:abstractNum>
  <w:abstractNum w:abstractNumId="11">
    <w:nsid w:val="1BEFD79F"/>
    <w:multiLevelType w:val="hybridMultilevel"/>
    <w:lvl w:ilvl="0">
      <w:lvlJc w:val="left"/>
      <w:lvlText w:val="(%1)"/>
      <w:numFmt w:val="lowerLetter"/>
      <w:start w:val="1"/>
    </w:lvl>
  </w:abstractNum>
  <w:abstractNum w:abstractNumId="12">
    <w:nsid w:val="41A7C4C9"/>
    <w:multiLevelType w:val="hybridMultilevel"/>
    <w:lvl w:ilvl="0">
      <w:lvlJc w:val="left"/>
      <w:lvlText w:val="(%1)"/>
      <w:numFmt w:val="lowerLetter"/>
      <w:start w:val="1"/>
    </w:lvl>
  </w:abstractNum>
  <w:abstractNum w:abstractNumId="13">
    <w:nsid w:val="6B68079A"/>
    <w:multiLevelType w:val="hybridMultilevel"/>
    <w:lvl w:ilvl="0">
      <w:lvlJc w:val="left"/>
      <w:lvlText w:val="*"/>
      <w:numFmt w:val="bullet"/>
      <w:start w:val="1"/>
    </w:lvl>
  </w:abstractNum>
  <w:abstractNum w:abstractNumId="14">
    <w:nsid w:val="4E6AFB66"/>
    <w:multiLevelType w:val="hybridMultilevel"/>
    <w:lvl w:ilvl="0">
      <w:lvlJc w:val="left"/>
      <w:lvlText w:val="(%1)"/>
      <w:numFmt w:val="decimal"/>
      <w:start w:val="1"/>
    </w:lvl>
  </w:abstractNum>
  <w:abstractNum w:abstractNumId="15">
    <w:nsid w:val="25E45D32"/>
    <w:multiLevelType w:val="hybridMultilevel"/>
    <w:lvl w:ilvl="0">
      <w:lvlJc w:val="left"/>
      <w:lvlText w:val="%1."/>
      <w:numFmt w:val="decimal"/>
      <w:start w:val="1"/>
    </w:lvl>
    <w:lvl w:ilvl="1">
      <w:lvlJc w:val="left"/>
      <w:lvlText w:val="%2)"/>
      <w:numFmt w:val="lowerLetter"/>
      <w:start w:val="1"/>
    </w:lvl>
  </w:abstractNum>
  <w:abstractNum w:abstractNumId="16">
    <w:nsid w:val="519B500D"/>
    <w:multiLevelType w:val="hybridMultilevel"/>
    <w:lvl w:ilvl="0">
      <w:lvlJc w:val="left"/>
      <w:lvlText w:val="%1."/>
      <w:numFmt w:val="decimal"/>
      <w:start w:val="1"/>
    </w:lvl>
    <w:lvl w:ilvl="1">
      <w:lvlJc w:val="left"/>
      <w:lvlText w:val="%2)"/>
      <w:numFmt w:val="lowerLetter"/>
      <w:start w:val="1"/>
    </w:lvl>
  </w:abstractNum>
  <w:abstractNum w:abstractNumId="17">
    <w:nsid w:val="431BD7B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2019-12-10T06:28:09Z</dcterms:created>
  <dcterms:modified xsi:type="dcterms:W3CDTF">2019-12-10T06:28:09Z</dcterms:modified>
</cp:coreProperties>
</file>