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jc w:val="center"/>
        <w:ind w:right="35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220"/>
        <w:spacing w:after="0"/>
        <w:tabs>
          <w:tab w:leader="none" w:pos="3880" w:val="left"/>
          <w:tab w:leader="none" w:pos="4200" w:val="left"/>
        </w:tabs>
        <w:rPr>
          <w:sz w:val="20"/>
          <w:szCs w:val="20"/>
          <w:color w:val="auto"/>
        </w:rPr>
      </w:pPr>
      <w:r>
        <w:rPr>
          <w:rFonts w:ascii="Courier New" w:cs="Courier New" w:eastAsia="Courier New" w:hAnsi="Courier New"/>
          <w:sz w:val="18"/>
          <w:szCs w:val="18"/>
          <w:color w:val="auto"/>
        </w:rPr>
        <w:t>(Amendment No.</w:t>
        <w:tab/>
        <w:t>3</w:t>
        <w:tab/>
        <w:t>)*</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Itron,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000"/>
        <w:spacing w:after="0"/>
        <w:tabs>
          <w:tab w:leader="none" w:pos="356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No Par Value</w:t>
      </w:r>
    </w:p>
    <w:p>
      <w:pPr>
        <w:ind w:left="1900"/>
        <w:spacing w:after="0" w:line="238" w:lineRule="auto"/>
        <w:rPr>
          <w:sz w:val="20"/>
          <w:szCs w:val="20"/>
          <w:color w:val="auto"/>
        </w:rPr>
      </w:pPr>
      <w:r>
        <w:rPr>
          <w:rFonts w:ascii="Courier New" w:cs="Courier New" w:eastAsia="Courier New" w:hAnsi="Courier New"/>
          <w:sz w:val="18"/>
          <w:szCs w:val="18"/>
          <w:color w:val="auto"/>
        </w:rPr>
        <w:t>(Title of Class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465741106</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21" w:lineRule="exact"/>
        <w:rPr>
          <w:sz w:val="24"/>
          <w:szCs w:val="24"/>
          <w:color w:val="auto"/>
        </w:rPr>
      </w:pPr>
    </w:p>
    <w:p>
      <w:pPr>
        <w:ind w:right="2839" w:firstLine="219"/>
        <w:spacing w:after="0" w:line="273"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4" w:lineRule="exact"/>
        <w:rPr>
          <w:rFonts w:ascii="Courier New" w:cs="Courier New" w:eastAsia="Courier New" w:hAnsi="Courier New"/>
          <w:sz w:val="16"/>
          <w:szCs w:val="16"/>
          <w:color w:val="auto"/>
        </w:rPr>
      </w:pPr>
    </w:p>
    <w:p>
      <w:pPr>
        <w:ind w:right="2939" w:firstLine="527"/>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9" w:lineRule="exact"/>
        <w:rPr>
          <w:sz w:val="24"/>
          <w:szCs w:val="24"/>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w:t>
      </w:r>
    </w:p>
    <w:p>
      <w:pPr>
        <w:ind w:left="148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465741106</w:t>
            </w:r>
          </w:p>
        </w:tc>
      </w:tr>
    </w:tbl>
    <w:p>
      <w:pPr>
        <w:spacing w:after="0" w:line="200" w:lineRule="exact"/>
        <w:rPr>
          <w:sz w:val="24"/>
          <w:szCs w:val="24"/>
          <w:color w:val="auto"/>
        </w:rPr>
      </w:pPr>
    </w:p>
    <w:p>
      <w:pPr>
        <w:spacing w:after="0" w:line="209" w:lineRule="exact"/>
        <w:rPr>
          <w:sz w:val="24"/>
          <w:szCs w:val="24"/>
          <w:color w:val="auto"/>
        </w:rPr>
      </w:pPr>
    </w:p>
    <w:p>
      <w:pPr>
        <w:ind w:left="860" w:right="5059" w:hanging="325"/>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Kopp Investment Advisors, Inc.</w:t>
      </w:r>
    </w:p>
    <w:p>
      <w:pPr>
        <w:ind w:left="1280"/>
        <w:spacing w:after="0" w:line="238" w:lineRule="auto"/>
        <w:rPr>
          <w:sz w:val="20"/>
          <w:szCs w:val="20"/>
          <w:color w:val="auto"/>
        </w:rPr>
      </w:pPr>
      <w:r>
        <w:rPr>
          <w:rFonts w:ascii="Courier New" w:cs="Courier New" w:eastAsia="Courier New" w:hAnsi="Courier New"/>
          <w:sz w:val="18"/>
          <w:szCs w:val="18"/>
          <w:color w:val="auto"/>
        </w:rPr>
        <w:t>I.D. No. 41-1663810</w:t>
      </w:r>
    </w:p>
    <w:p>
      <w:pPr>
        <w:spacing w:after="0" w:line="207" w:lineRule="exact"/>
        <w:rPr>
          <w:sz w:val="24"/>
          <w:szCs w:val="24"/>
          <w:color w:val="auto"/>
        </w:rPr>
      </w:pPr>
    </w:p>
    <w:p>
      <w:pPr>
        <w:ind w:left="860" w:right="4319" w:hanging="325"/>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spacing w:after="0" w:line="195"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2320" w:type="dxa"/>
            <w:vAlign w:val="bottom"/>
          </w:tcPr>
          <w:p>
            <w:pPr>
              <w:ind w:left="620"/>
              <w:spacing w:after="0"/>
              <w:rPr>
                <w:sz w:val="20"/>
                <w:szCs w:val="20"/>
                <w:color w:val="auto"/>
              </w:rPr>
            </w:pPr>
            <w:r>
              <w:rPr>
                <w:rFonts w:ascii="Courier New" w:cs="Courier New" w:eastAsia="Courier New" w:hAnsi="Courier New"/>
                <w:sz w:val="18"/>
                <w:szCs w:val="18"/>
                <w:color w:val="auto"/>
              </w:rPr>
              <w:t>Minnesota</w:t>
            </w:r>
          </w:p>
        </w:tc>
        <w:tc>
          <w:tcPr>
            <w:tcW w:w="6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608"/>
        </w:trPr>
        <w:tc>
          <w:tcPr>
            <w:tcW w:w="23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Sole Voting Power: 207,500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6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6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ectPr>
          <w:pgSz w:w="11900" w:h="16838" w:orient="portrait"/>
          <w:cols w:equalWidth="0" w:num="1">
            <w:col w:w="10219"/>
          </w:cols>
          <w:pgMar w:left="240" w:top="244" w:right="1440" w:bottom="0" w:gutter="0" w:footer="0" w:header="0"/>
        </w:sectPr>
      </w:pPr>
    </w:p>
    <w:bookmarkStart w:id="1" w:name="page2"/>
    <w:bookmarkEnd w:id="1"/>
    <w:p>
      <w:pPr>
        <w:ind w:left="3580" w:hanging="306"/>
        <w:spacing w:after="0"/>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10,000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580" w:hanging="306"/>
        <w:spacing w:after="0"/>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2,655,353</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w:t>
      </w:r>
    </w:p>
    <w:p>
      <w:pPr>
        <w:ind w:left="860"/>
        <w:spacing w:after="0" w:line="238" w:lineRule="auto"/>
        <w:rPr>
          <w:sz w:val="20"/>
          <w:szCs w:val="20"/>
          <w:color w:val="auto"/>
        </w:rPr>
      </w:pPr>
      <w:r>
        <w:rPr>
          <w:rFonts w:ascii="Courier New" w:cs="Courier New" w:eastAsia="Courier New" w:hAnsi="Courier New"/>
          <w:sz w:val="18"/>
          <w:szCs w:val="18"/>
          <w:color w:val="auto"/>
        </w:rPr>
        <w:t>Reporting Person:</w:t>
      </w:r>
    </w:p>
    <w:p>
      <w:pPr>
        <w:ind w:left="2960"/>
        <w:spacing w:after="0"/>
        <w:rPr>
          <w:sz w:val="20"/>
          <w:szCs w:val="20"/>
          <w:color w:val="auto"/>
        </w:rPr>
      </w:pPr>
      <w:r>
        <w:rPr>
          <w:rFonts w:ascii="Courier New" w:cs="Courier New" w:eastAsia="Courier New" w:hAnsi="Courier New"/>
          <w:sz w:val="18"/>
          <w:szCs w:val="18"/>
          <w:color w:val="auto"/>
        </w:rPr>
        <w:t>2,665,353</w:t>
      </w:r>
    </w:p>
    <w:p>
      <w:pPr>
        <w:spacing w:after="0" w:line="206" w:lineRule="exact"/>
        <w:rPr>
          <w:sz w:val="20"/>
          <w:szCs w:val="20"/>
          <w:color w:val="auto"/>
        </w:rPr>
      </w:pPr>
    </w:p>
    <w:p>
      <w:pPr>
        <w:ind w:left="1060" w:right="4519" w:hanging="525"/>
        <w:spacing w:after="0" w:line="290" w:lineRule="auto"/>
        <w:tabs>
          <w:tab w:leader="none" w:pos="10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366"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Approx.  19.9%</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Although Kopp Investment Advisors, Inc. exercises investment discretion as to these shares, it not the record owner of them.</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w:t>
      </w:r>
    </w:p>
    <w:p>
      <w:pPr>
        <w:ind w:left="18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0" w:lineRule="exact"/>
        <w:rPr>
          <w:sz w:val="20"/>
          <w:szCs w:val="20"/>
          <w:color w:val="auto"/>
        </w:rPr>
      </w:pPr>
    </w:p>
    <w:p>
      <w:pPr>
        <w:spacing w:after="0" w:line="209" w:lineRule="exact"/>
        <w:rPr>
          <w:sz w:val="20"/>
          <w:szCs w:val="20"/>
          <w:color w:val="auto"/>
        </w:rPr>
      </w:pPr>
    </w:p>
    <w:p>
      <w:pPr>
        <w:ind w:left="860" w:right="5059" w:hanging="325"/>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Kopp Family Foundation</w:t>
      </w:r>
    </w:p>
    <w:p>
      <w:pPr>
        <w:ind w:left="1280"/>
        <w:spacing w:after="0" w:line="238" w:lineRule="auto"/>
        <w:rPr>
          <w:sz w:val="20"/>
          <w:szCs w:val="20"/>
          <w:color w:val="auto"/>
        </w:rPr>
      </w:pPr>
      <w:r>
        <w:rPr>
          <w:rFonts w:ascii="Courier New" w:cs="Courier New" w:eastAsia="Courier New" w:hAnsi="Courier New"/>
          <w:sz w:val="18"/>
          <w:szCs w:val="18"/>
          <w:color w:val="auto"/>
        </w:rPr>
        <w:t>I.D. No. 36-3485918</w:t>
      </w:r>
    </w:p>
    <w:p>
      <w:pPr>
        <w:spacing w:after="0" w:line="207" w:lineRule="exact"/>
        <w:rPr>
          <w:sz w:val="20"/>
          <w:szCs w:val="20"/>
          <w:color w:val="auto"/>
        </w:rPr>
      </w:pPr>
    </w:p>
    <w:p>
      <w:pPr>
        <w:ind w:left="860" w:right="4319" w:hanging="325"/>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1"/>
          <w:numId w:val="8"/>
        </w:numPr>
        <w:rPr>
          <w:rFonts w:ascii="Courier New" w:cs="Courier New" w:eastAsia="Courier New" w:hAnsi="Courier New"/>
          <w:sz w:val="18"/>
          <w:szCs w:val="18"/>
          <w:color w:val="auto"/>
        </w:rPr>
      </w:pPr>
    </w:p>
    <w:p>
      <w:pPr>
        <w:spacing w:after="0" w:line="195"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Minnesota</w:t>
      </w:r>
    </w:p>
    <w:p>
      <w:pPr>
        <w:sectPr>
          <w:pgSz w:w="11900" w:h="16838" w:orient="portrait"/>
          <w:cols w:equalWidth="0" w:num="1">
            <w:col w:w="10219"/>
          </w:cols>
          <w:pgMar w:left="240" w:top="339" w:right="1440" w:bottom="537" w:gutter="0" w:footer="0" w:header="0"/>
        </w:sectPr>
      </w:pPr>
    </w:p>
    <w:p>
      <w:pPr>
        <w:spacing w:after="0" w:line="200" w:lineRule="exact"/>
        <w:rPr>
          <w:sz w:val="20"/>
          <w:szCs w:val="20"/>
          <w:color w:val="auto"/>
        </w:rPr>
      </w:pPr>
    </w:p>
    <w:p>
      <w:pPr>
        <w:spacing w:after="0" w:line="209" w:lineRule="exact"/>
        <w:rPr>
          <w:sz w:val="20"/>
          <w:szCs w:val="20"/>
          <w:color w:val="auto"/>
        </w:rPr>
      </w:pPr>
    </w:p>
    <w:p>
      <w:pPr>
        <w:ind w:left="540" w:right="120"/>
        <w:spacing w:after="0" w:line="268" w:lineRule="auto"/>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Sole Voting Power: 30,000</w:t>
      </w:r>
    </w:p>
    <w:p>
      <w:pPr>
        <w:spacing w:after="0" w:line="629" w:lineRule="exact"/>
        <w:rPr>
          <w:sz w:val="20"/>
          <w:szCs w:val="20"/>
          <w:color w:val="auto"/>
        </w:rPr>
      </w:pPr>
    </w:p>
    <w:p>
      <w:pPr>
        <w:sectPr>
          <w:pgSz w:w="11900" w:h="16838" w:orient="portrait"/>
          <w:cols w:equalWidth="0" w:num="2">
            <w:col w:w="2560" w:space="720"/>
            <w:col w:w="6939"/>
          </w:cols>
          <w:pgMar w:left="240" w:top="339" w:right="1440" w:bottom="537" w:gutter="0" w:footer="0" w:header="0"/>
          <w:type w:val="continuous"/>
        </w:sectPr>
      </w:pPr>
    </w:p>
    <w:p>
      <w:pPr>
        <w:ind w:left="3580" w:hanging="306"/>
        <w:spacing w:after="0" w:line="234" w:lineRule="auto"/>
        <w:tabs>
          <w:tab w:leader="none" w:pos="3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3580" w:hanging="306"/>
        <w:spacing w:after="0"/>
        <w:tabs>
          <w:tab w:leader="none" w:pos="35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30,000</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580" w:hanging="306"/>
        <w:spacing w:after="0"/>
        <w:tabs>
          <w:tab w:leader="none" w:pos="3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4839" w:hanging="325"/>
        <w:spacing w:after="0" w:line="235"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160"/>
        <w:spacing w:after="0"/>
        <w:rPr>
          <w:sz w:val="20"/>
          <w:szCs w:val="20"/>
          <w:color w:val="auto"/>
        </w:rPr>
      </w:pPr>
      <w:r>
        <w:rPr>
          <w:rFonts w:ascii="Courier New" w:cs="Courier New" w:eastAsia="Courier New" w:hAnsi="Courier New"/>
          <w:sz w:val="18"/>
          <w:szCs w:val="18"/>
          <w:color w:val="auto"/>
        </w:rPr>
        <w:t>10,000</w:t>
      </w:r>
    </w:p>
    <w:p>
      <w:pPr>
        <w:spacing w:after="0" w:line="207" w:lineRule="exact"/>
        <w:rPr>
          <w:sz w:val="20"/>
          <w:szCs w:val="20"/>
          <w:color w:val="auto"/>
        </w:rPr>
      </w:pPr>
    </w:p>
    <w:p>
      <w:pPr>
        <w:ind w:left="1060" w:right="4519" w:hanging="525"/>
        <w:spacing w:after="0" w:line="290" w:lineRule="auto"/>
        <w:tabs>
          <w:tab w:leader="none" w:pos="10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372" w:lineRule="exact"/>
        <w:rPr>
          <w:rFonts w:ascii="Courier New" w:cs="Courier New" w:eastAsia="Courier New" w:hAnsi="Courier New"/>
          <w:sz w:val="16"/>
          <w:szCs w:val="16"/>
          <w:color w:val="auto"/>
        </w:rPr>
      </w:pPr>
    </w:p>
    <w:p>
      <w:pPr>
        <w:jc w:val="center"/>
        <w:ind w:left="3060" w:right="4099" w:hanging="2525"/>
        <w:spacing w:after="0" w:line="470" w:lineRule="auto"/>
        <w:tabs>
          <w:tab w:leader="none" w:pos="105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Approx. .2%</w:t>
      </w:r>
    </w:p>
    <w:p>
      <w:pPr>
        <w:spacing w:after="0" w:line="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OO</w:t>
      </w:r>
    </w:p>
    <w:p>
      <w:pPr>
        <w:sectPr>
          <w:pgSz w:w="11900" w:h="16838" w:orient="portrait"/>
          <w:cols w:equalWidth="0" w:num="1">
            <w:col w:w="10219"/>
          </w:cols>
          <w:pgMar w:left="240" w:top="339" w:right="1440" w:bottom="537" w:gutter="0" w:footer="0" w:header="0"/>
          <w:type w:val="continuous"/>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(2a)</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0" w:lineRule="exact"/>
        <w:rPr>
          <w:sz w:val="20"/>
          <w:szCs w:val="20"/>
          <w:color w:val="auto"/>
        </w:rPr>
      </w:pPr>
    </w:p>
    <w:p>
      <w:pPr>
        <w:spacing w:after="0" w:line="209" w:lineRule="exact"/>
        <w:rPr>
          <w:sz w:val="20"/>
          <w:szCs w:val="20"/>
          <w:color w:val="auto"/>
        </w:rPr>
      </w:pPr>
    </w:p>
    <w:p>
      <w:pPr>
        <w:ind w:left="860" w:right="5059" w:hanging="325"/>
        <w:spacing w:after="0" w:line="290"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LeRoy C. Kopp Individual Retirement Account</w:t>
      </w:r>
    </w:p>
    <w:p>
      <w:pPr>
        <w:ind w:left="1280"/>
        <w:spacing w:after="0" w:line="238" w:lineRule="auto"/>
        <w:rPr>
          <w:sz w:val="20"/>
          <w:szCs w:val="20"/>
          <w:color w:val="auto"/>
        </w:rPr>
      </w:pPr>
      <w:r>
        <w:rPr>
          <w:rFonts w:ascii="Courier New" w:cs="Courier New" w:eastAsia="Courier New" w:hAnsi="Courier New"/>
          <w:sz w:val="18"/>
          <w:szCs w:val="18"/>
          <w:color w:val="auto"/>
        </w:rPr>
        <w:t>Social Security No. ###-##-####</w:t>
      </w:r>
    </w:p>
    <w:p>
      <w:pPr>
        <w:spacing w:after="0" w:line="207" w:lineRule="exact"/>
        <w:rPr>
          <w:sz w:val="20"/>
          <w:szCs w:val="20"/>
          <w:color w:val="auto"/>
        </w:rPr>
      </w:pPr>
    </w:p>
    <w:p>
      <w:pPr>
        <w:ind w:left="860" w:right="4319" w:hanging="325"/>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1"/>
          <w:numId w:val="13"/>
        </w:numPr>
        <w:rPr>
          <w:rFonts w:ascii="Courier New" w:cs="Courier New" w:eastAsia="Courier New" w:hAnsi="Courier New"/>
          <w:sz w:val="18"/>
          <w:szCs w:val="18"/>
          <w:color w:val="auto"/>
        </w:rPr>
      </w:pPr>
    </w:p>
    <w:p>
      <w:pPr>
        <w:spacing w:after="0" w:line="195"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38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5) Sole Voting Power: 60,000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68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68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8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608"/>
        </w:trPr>
        <w:tc>
          <w:tcPr>
            <w:tcW w:w="232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 60,000</w:t>
            </w:r>
          </w:p>
        </w:tc>
      </w:tr>
      <w:tr>
        <w:trPr>
          <w:trHeight w:val="608"/>
        </w:trPr>
        <w:tc>
          <w:tcPr>
            <w:tcW w:w="232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Courier New" w:cs="Courier New" w:eastAsia="Courier New" w:hAnsi="Courier New"/>
                <w:sz w:val="18"/>
                <w:szCs w:val="18"/>
                <w:color w:val="auto"/>
              </w:rPr>
              <w:t>8)</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r>
    </w:tbl>
    <w:p>
      <w:pPr>
        <w:spacing w:after="0" w:line="200" w:lineRule="exact"/>
        <w:rPr>
          <w:sz w:val="20"/>
          <w:szCs w:val="20"/>
          <w:color w:val="auto"/>
        </w:rPr>
      </w:pPr>
    </w:p>
    <w:p>
      <w:pPr>
        <w:spacing w:after="0" w:line="209" w:lineRule="exact"/>
        <w:rPr>
          <w:sz w:val="20"/>
          <w:szCs w:val="20"/>
          <w:color w:val="auto"/>
        </w:rPr>
      </w:pPr>
    </w:p>
    <w:p>
      <w:pPr>
        <w:ind w:left="860" w:right="4839" w:hanging="325"/>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160"/>
        <w:spacing w:after="0"/>
        <w:rPr>
          <w:sz w:val="20"/>
          <w:szCs w:val="20"/>
          <w:color w:val="auto"/>
        </w:rPr>
      </w:pPr>
      <w:r>
        <w:rPr>
          <w:rFonts w:ascii="Courier New" w:cs="Courier New" w:eastAsia="Courier New" w:hAnsi="Courier New"/>
          <w:sz w:val="18"/>
          <w:szCs w:val="18"/>
          <w:color w:val="auto"/>
        </w:rPr>
        <w:t>60,000</w:t>
      </w:r>
    </w:p>
    <w:p>
      <w:pPr>
        <w:spacing w:after="0" w:line="207" w:lineRule="exact"/>
        <w:rPr>
          <w:sz w:val="20"/>
          <w:szCs w:val="20"/>
          <w:color w:val="auto"/>
        </w:rPr>
      </w:pPr>
    </w:p>
    <w:p>
      <w:pPr>
        <w:ind w:left="1060" w:right="4519" w:hanging="525"/>
        <w:spacing w:after="0" w:line="290" w:lineRule="auto"/>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372" w:lineRule="exact"/>
        <w:rPr>
          <w:rFonts w:ascii="Courier New" w:cs="Courier New" w:eastAsia="Courier New" w:hAnsi="Courier New"/>
          <w:sz w:val="16"/>
          <w:szCs w:val="16"/>
          <w:color w:val="auto"/>
        </w:rPr>
      </w:pPr>
    </w:p>
    <w:p>
      <w:pPr>
        <w:jc w:val="center"/>
        <w:ind w:left="3060" w:right="4099" w:hanging="2525"/>
        <w:spacing w:after="0" w:line="470" w:lineRule="auto"/>
        <w:tabs>
          <w:tab w:leader="none" w:pos="105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Approx. .4%</w:t>
      </w:r>
    </w:p>
    <w:p>
      <w:pPr>
        <w:spacing w:after="0" w:line="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(2b)</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0" w:lineRule="exact"/>
        <w:rPr>
          <w:sz w:val="20"/>
          <w:szCs w:val="20"/>
          <w:color w:val="auto"/>
        </w:rPr>
      </w:pPr>
    </w:p>
    <w:p>
      <w:pPr>
        <w:spacing w:after="0" w:line="209" w:lineRule="exact"/>
        <w:rPr>
          <w:sz w:val="20"/>
          <w:szCs w:val="20"/>
          <w:color w:val="auto"/>
        </w:rPr>
      </w:pPr>
    </w:p>
    <w:p>
      <w:pPr>
        <w:ind w:left="860" w:right="5059" w:hanging="325"/>
        <w:spacing w:after="0" w:line="290"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LeRoy C. Kopp</w:t>
      </w:r>
    </w:p>
    <w:p>
      <w:pPr>
        <w:ind w:left="1280"/>
        <w:spacing w:after="0" w:line="238" w:lineRule="auto"/>
        <w:rPr>
          <w:sz w:val="20"/>
          <w:szCs w:val="20"/>
          <w:color w:val="auto"/>
        </w:rPr>
      </w:pPr>
      <w:r>
        <w:rPr>
          <w:rFonts w:ascii="Courier New" w:cs="Courier New" w:eastAsia="Courier New" w:hAnsi="Courier New"/>
          <w:sz w:val="18"/>
          <w:szCs w:val="18"/>
          <w:color w:val="auto"/>
        </w:rPr>
        <w:t>Social Security No. ###-##-####</w:t>
      </w:r>
    </w:p>
    <w:p>
      <w:pPr>
        <w:spacing w:after="0" w:line="207" w:lineRule="exact"/>
        <w:rPr>
          <w:sz w:val="20"/>
          <w:szCs w:val="20"/>
          <w:color w:val="auto"/>
        </w:rPr>
      </w:pPr>
    </w:p>
    <w:p>
      <w:pPr>
        <w:ind w:left="860" w:right="4319" w:hanging="325"/>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1"/>
          <w:numId w:val="17"/>
        </w:numPr>
        <w:rPr>
          <w:rFonts w:ascii="Courier New" w:cs="Courier New" w:eastAsia="Courier New" w:hAnsi="Courier New"/>
          <w:sz w:val="18"/>
          <w:szCs w:val="18"/>
          <w:color w:val="auto"/>
        </w:rPr>
      </w:pPr>
    </w:p>
    <w:p>
      <w:pPr>
        <w:spacing w:after="0" w:line="195"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219"/>
          </w:cols>
          <w:pgMar w:left="240" w:top="339" w:right="1440" w:bottom="0" w:gutter="0" w:footer="0" w:header="0"/>
        </w:sectPr>
      </w:pPr>
    </w:p>
    <w:bookmarkStart w:id="3" w:name="page4"/>
    <w:bookmarkEnd w:id="3"/>
    <w:p>
      <w:pPr>
        <w:ind w:left="1160" w:right="5479" w:hanging="625"/>
        <w:spacing w:after="0" w:line="470" w:lineRule="auto"/>
        <w:tabs>
          <w:tab w:leader="none" w:pos="84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ectPr>
          <w:pgSz w:w="11900" w:h="16838" w:orient="portrait"/>
          <w:cols w:equalWidth="0" w:num="1">
            <w:col w:w="10219"/>
          </w:cols>
          <w:pgMar w:left="240" w:top="142" w:right="1440" w:bottom="0" w:gutter="0" w:footer="0" w:header="0"/>
        </w:sectPr>
      </w:pPr>
    </w:p>
    <w:p>
      <w:pPr>
        <w:spacing w:after="0" w:line="214" w:lineRule="exact"/>
        <w:rPr>
          <w:sz w:val="20"/>
          <w:szCs w:val="20"/>
          <w:color w:val="auto"/>
        </w:rPr>
      </w:pPr>
    </w:p>
    <w:p>
      <w:pPr>
        <w:ind w:left="540" w:right="120"/>
        <w:spacing w:after="0" w:line="268" w:lineRule="auto"/>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Sole Voting Power: 267,500</w:t>
      </w:r>
    </w:p>
    <w:p>
      <w:pPr>
        <w:spacing w:after="0" w:line="629" w:lineRule="exact"/>
        <w:rPr>
          <w:sz w:val="20"/>
          <w:szCs w:val="20"/>
          <w:color w:val="auto"/>
        </w:rPr>
      </w:pPr>
    </w:p>
    <w:p>
      <w:pPr>
        <w:sectPr>
          <w:pgSz w:w="11900" w:h="16838" w:orient="portrait"/>
          <w:cols w:equalWidth="0" w:num="2">
            <w:col w:w="2560" w:space="720"/>
            <w:col w:w="6939"/>
          </w:cols>
          <w:pgMar w:left="240" w:top="142" w:right="1440" w:bottom="0" w:gutter="0" w:footer="0" w:header="0"/>
          <w:type w:val="continuous"/>
        </w:sectPr>
      </w:pPr>
    </w:p>
    <w:p>
      <w:pPr>
        <w:ind w:left="3580" w:hanging="306"/>
        <w:spacing w:after="0" w:line="234" w:lineRule="auto"/>
        <w:tabs>
          <w:tab w:leader="none" w:pos="35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30,000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580" w:hanging="306"/>
        <w:spacing w:after="0"/>
        <w:tabs>
          <w:tab w:leader="none" w:pos="35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70,000</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4640" w:right="3999" w:hanging="1366"/>
        <w:spacing w:after="0" w:line="290" w:lineRule="auto"/>
        <w:tabs>
          <w:tab w:leader="none" w:pos="3587"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 2,685,353</w:t>
      </w:r>
    </w:p>
    <w:p>
      <w:pPr>
        <w:spacing w:after="0" w:line="169" w:lineRule="exact"/>
        <w:rPr>
          <w:rFonts w:ascii="Courier New" w:cs="Courier New" w:eastAsia="Courier New" w:hAnsi="Courier New"/>
          <w:sz w:val="16"/>
          <w:szCs w:val="16"/>
          <w:color w:val="auto"/>
        </w:rPr>
      </w:pPr>
    </w:p>
    <w:p>
      <w:pPr>
        <w:ind w:left="860" w:right="4839" w:hanging="325"/>
        <w:spacing w:after="0" w:line="235"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3160"/>
        <w:spacing w:after="0"/>
        <w:rPr>
          <w:sz w:val="20"/>
          <w:szCs w:val="20"/>
          <w:color w:val="auto"/>
        </w:rPr>
      </w:pPr>
      <w:r>
        <w:rPr>
          <w:rFonts w:ascii="Courier New" w:cs="Courier New" w:eastAsia="Courier New" w:hAnsi="Courier New"/>
          <w:sz w:val="18"/>
          <w:szCs w:val="18"/>
          <w:color w:val="auto"/>
        </w:rPr>
        <w:t>2,755,353</w:t>
      </w:r>
    </w:p>
    <w:p>
      <w:pPr>
        <w:spacing w:after="0" w:line="207" w:lineRule="exact"/>
        <w:rPr>
          <w:sz w:val="20"/>
          <w:szCs w:val="20"/>
          <w:color w:val="auto"/>
        </w:rPr>
      </w:pPr>
    </w:p>
    <w:p>
      <w:pPr>
        <w:ind w:left="1060" w:right="4519" w:hanging="525"/>
        <w:spacing w:after="0" w:line="290" w:lineRule="auto"/>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(See Instructions)</w:t>
      </w:r>
    </w:p>
    <w:p>
      <w:pPr>
        <w:spacing w:after="0" w:line="372" w:lineRule="exact"/>
        <w:rPr>
          <w:rFonts w:ascii="Courier New" w:cs="Courier New" w:eastAsia="Courier New" w:hAnsi="Courier New"/>
          <w:sz w:val="16"/>
          <w:szCs w:val="16"/>
          <w:color w:val="auto"/>
        </w:rPr>
      </w:pPr>
    </w:p>
    <w:p>
      <w:pPr>
        <w:ind w:left="3060" w:right="4099" w:hanging="2525"/>
        <w:spacing w:after="0" w:line="470" w:lineRule="auto"/>
        <w:tabs>
          <w:tab w:leader="none" w:pos="105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Approx. 20.5%</w:t>
      </w:r>
    </w:p>
    <w:p>
      <w:pPr>
        <w:spacing w:after="0" w:line="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OO</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*Although Kopp Investment Advisors, Inc. ("KIA") exercises investment discretion as to 2,655,353 of these shares, neither KIA nor LeRoy C. Kopp (100% owner of KIA) vote the vast majority of these shares and neither is the record owner of them.</w:t>
      </w:r>
    </w:p>
    <w:p>
      <w:pPr>
        <w:spacing w:after="0" w:line="20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(2c)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40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w:t>
      </w:r>
    </w:p>
    <w:p>
      <w:pPr>
        <w:ind w:left="1900"/>
        <w:spacing w:after="0" w:line="238" w:lineRule="auto"/>
        <w:rPr>
          <w:sz w:val="20"/>
          <w:szCs w:val="20"/>
          <w:color w:val="auto"/>
        </w:rPr>
      </w:pPr>
      <w:r>
        <w:rPr>
          <w:rFonts w:ascii="Courier New" w:cs="Courier New" w:eastAsia="Courier New" w:hAnsi="Courier New"/>
          <w:sz w:val="18"/>
          <w:szCs w:val="18"/>
          <w:color w:val="auto"/>
        </w:rPr>
        <w:t>Offices.</w:t>
      </w:r>
    </w:p>
    <w:p>
      <w:pPr>
        <w:ind w:left="3380"/>
        <w:spacing w:after="0"/>
        <w:rPr>
          <w:sz w:val="20"/>
          <w:szCs w:val="20"/>
          <w:color w:val="auto"/>
        </w:rPr>
      </w:pPr>
      <w:r>
        <w:rPr>
          <w:rFonts w:ascii="Courier New" w:cs="Courier New" w:eastAsia="Courier New" w:hAnsi="Courier New"/>
          <w:sz w:val="18"/>
          <w:szCs w:val="18"/>
          <w:color w:val="auto"/>
        </w:rPr>
        <w:t>2818 North Sullivan Road</w:t>
      </w:r>
    </w:p>
    <w:p>
      <w:pPr>
        <w:ind w:left="3380"/>
        <w:spacing w:after="0" w:line="237" w:lineRule="auto"/>
        <w:rPr>
          <w:sz w:val="20"/>
          <w:szCs w:val="20"/>
          <w:color w:val="auto"/>
        </w:rPr>
      </w:pPr>
      <w:r>
        <w:rPr>
          <w:rFonts w:ascii="Courier New" w:cs="Courier New" w:eastAsia="Courier New" w:hAnsi="Courier New"/>
          <w:sz w:val="18"/>
          <w:szCs w:val="18"/>
          <w:color w:val="auto"/>
        </w:rPr>
        <w:t>Spokane, WA 99216</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580" w:hanging="308"/>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Kopp Investment Advisors, Inc.</w:t>
      </w:r>
    </w:p>
    <w:p>
      <w:pPr>
        <w:ind w:left="1580" w:hanging="308"/>
        <w:spacing w:after="0" w:line="238"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Kopp Family Foundation</w:t>
      </w:r>
    </w:p>
    <w:p>
      <w:pPr>
        <w:ind w:left="1580" w:hanging="308"/>
        <w:spacing w:after="0" w:line="238"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LeRoy C. Kopp Individual Retirement Account</w:t>
      </w:r>
    </w:p>
    <w:p>
      <w:pPr>
        <w:ind w:left="1580" w:hanging="308"/>
        <w:spacing w:after="0" w:line="238"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LeRoy C. Kopp</w:t>
      </w:r>
    </w:p>
    <w:p>
      <w:pPr>
        <w:spacing w:after="0" w:line="207" w:lineRule="exact"/>
        <w:rPr>
          <w:sz w:val="20"/>
          <w:szCs w:val="20"/>
          <w:color w:val="auto"/>
        </w:rPr>
      </w:pPr>
    </w:p>
    <w:p>
      <w:pPr>
        <w:ind w:left="1280" w:right="3259"/>
        <w:spacing w:after="0" w:line="271" w:lineRule="auto"/>
        <w:rPr>
          <w:sz w:val="20"/>
          <w:szCs w:val="20"/>
          <w:color w:val="auto"/>
        </w:rPr>
      </w:pPr>
      <w:r>
        <w:rPr>
          <w:rFonts w:ascii="Courier New" w:cs="Courier New" w:eastAsia="Courier New" w:hAnsi="Courier New"/>
          <w:sz w:val="16"/>
          <w:szCs w:val="16"/>
          <w:color w:val="auto"/>
        </w:rPr>
        <w:t>This Statement is filed by Kopp Investment Advisors, Inc., ("KIA") on behalf of all of the above persons pursuant to Rule 13d-1(f). Attached is an agreement in writing among the above persons that this Statement be so filed on behalf of each of them. KIA is an investment adviser registered under the Investment Advisers Act of 1940. LeRoy C. Kopp controls the Kopp Family Foundation, a family foundation; KIA; and his individual retirement account.</w:t>
      </w:r>
    </w:p>
    <w:p>
      <w:pPr>
        <w:spacing w:after="0" w:line="388"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Item 2(b),2(c),2(d), and 2(e). Address of Principal Business Office; Citizenship; Title of Class of Securities; CUSIP Number.</w:t>
      </w:r>
    </w:p>
    <w:p>
      <w:pPr>
        <w:spacing w:after="0" w:line="200" w:lineRule="exact"/>
        <w:rPr>
          <w:sz w:val="20"/>
          <w:szCs w:val="20"/>
          <w:color w:val="auto"/>
        </w:rPr>
      </w:pPr>
    </w:p>
    <w:p>
      <w:pPr>
        <w:spacing w:after="0" w:line="211" w:lineRule="exact"/>
        <w:rPr>
          <w:sz w:val="20"/>
          <w:szCs w:val="20"/>
          <w:color w:val="auto"/>
        </w:rPr>
      </w:pPr>
    </w:p>
    <w:p>
      <w:pPr>
        <w:ind w:left="1280" w:right="3359"/>
        <w:spacing w:after="0" w:line="268" w:lineRule="auto"/>
        <w:rPr>
          <w:sz w:val="20"/>
          <w:szCs w:val="20"/>
          <w:color w:val="auto"/>
        </w:rPr>
      </w:pPr>
      <w:r>
        <w:rPr>
          <w:rFonts w:ascii="Courier New" w:cs="Courier New" w:eastAsia="Courier New" w:hAnsi="Courier New"/>
          <w:sz w:val="16"/>
          <w:szCs w:val="16"/>
          <w:color w:val="auto"/>
        </w:rPr>
        <w:t>All reporting persons may be contacted at 6600 France Avenue South, Suite 672, Edina, MN 55435. Kopp Investment Advisors, Inc. is a Minnesota corporation. Kopp Family Foundation is domiciled in Minnesota.</w:t>
      </w:r>
    </w:p>
    <w:p>
      <w:pPr>
        <w:spacing w:after="0" w:line="1" w:lineRule="exact"/>
        <w:rPr>
          <w:sz w:val="20"/>
          <w:szCs w:val="20"/>
          <w:color w:val="auto"/>
        </w:rPr>
      </w:pPr>
    </w:p>
    <w:p>
      <w:pPr>
        <w:ind w:left="1280" w:right="3259"/>
        <w:spacing w:after="0" w:line="236" w:lineRule="auto"/>
        <w:rPr>
          <w:sz w:val="20"/>
          <w:szCs w:val="20"/>
          <w:color w:val="auto"/>
        </w:rPr>
      </w:pPr>
      <w:r>
        <w:rPr>
          <w:rFonts w:ascii="Courier New" w:cs="Courier New" w:eastAsia="Courier New" w:hAnsi="Courier New"/>
          <w:sz w:val="18"/>
          <w:szCs w:val="18"/>
          <w:color w:val="auto"/>
        </w:rPr>
        <w:t>Mr. Kopp is a United States citizen. This report pertains to the Common Shares, no par value, of Itron, Inc., CUSIP #465741106.</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1580" w:right="4519" w:hanging="1579"/>
        <w:spacing w:after="0" w:line="268" w:lineRule="auto"/>
        <w:tabs>
          <w:tab w:leader="none" w:pos="15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This statement is filed pursuant to Rule 13d-1(b), or 13d-2(b). The persons</w:t>
      </w:r>
    </w:p>
    <w:p>
      <w:pPr>
        <w:ind w:left="1580"/>
        <w:spacing w:after="0" w:line="233" w:lineRule="auto"/>
        <w:rPr>
          <w:sz w:val="20"/>
          <w:szCs w:val="20"/>
          <w:color w:val="auto"/>
        </w:rPr>
      </w:pPr>
      <w:r>
        <w:rPr>
          <w:rFonts w:ascii="Courier New" w:cs="Courier New" w:eastAsia="Courier New" w:hAnsi="Courier New"/>
          <w:sz w:val="18"/>
          <w:szCs w:val="18"/>
          <w:color w:val="auto"/>
        </w:rPr>
        <w:t>filing include an investment adviser registered</w:t>
      </w:r>
    </w:p>
    <w:p>
      <w:pPr>
        <w:ind w:left="1580"/>
        <w:spacing w:after="0"/>
        <w:rPr>
          <w:sz w:val="20"/>
          <w:szCs w:val="20"/>
          <w:color w:val="auto"/>
        </w:rPr>
      </w:pPr>
      <w:r>
        <w:rPr>
          <w:rFonts w:ascii="Courier New" w:cs="Courier New" w:eastAsia="Courier New" w:hAnsi="Courier New"/>
          <w:sz w:val="18"/>
          <w:szCs w:val="18"/>
          <w:color w:val="auto"/>
        </w:rPr>
        <w:t>under Section 203 of the Investment Advisors Act</w:t>
      </w:r>
    </w:p>
    <w:p>
      <w:pPr>
        <w:ind w:left="1580"/>
        <w:spacing w:after="0" w:line="237" w:lineRule="auto"/>
        <w:rPr>
          <w:sz w:val="20"/>
          <w:szCs w:val="20"/>
          <w:color w:val="auto"/>
        </w:rPr>
      </w:pPr>
      <w:r>
        <w:rPr>
          <w:rFonts w:ascii="Courier New" w:cs="Courier New" w:eastAsia="Courier New" w:hAnsi="Courier New"/>
          <w:sz w:val="18"/>
          <w:szCs w:val="18"/>
          <w:color w:val="auto"/>
        </w:rPr>
        <w:t>of 1940. The other reporting persons are filing</w:t>
      </w:r>
    </w:p>
    <w:p>
      <w:pPr>
        <w:ind w:left="1580"/>
        <w:spacing w:after="0"/>
        <w:rPr>
          <w:sz w:val="20"/>
          <w:szCs w:val="20"/>
          <w:color w:val="auto"/>
        </w:rPr>
      </w:pPr>
      <w:r>
        <w:rPr>
          <w:rFonts w:ascii="Courier New" w:cs="Courier New" w:eastAsia="Courier New" w:hAnsi="Courier New"/>
          <w:sz w:val="18"/>
          <w:szCs w:val="18"/>
          <w:color w:val="auto"/>
        </w:rPr>
        <w:t>under Rule 13d-1(b)(ii)(G) and/or certain SEC</w:t>
      </w:r>
    </w:p>
    <w:p>
      <w:pPr>
        <w:ind w:left="1580"/>
        <w:spacing w:after="0" w:line="237" w:lineRule="auto"/>
        <w:rPr>
          <w:sz w:val="20"/>
          <w:szCs w:val="20"/>
          <w:color w:val="auto"/>
        </w:rPr>
      </w:pPr>
      <w:r>
        <w:rPr>
          <w:rFonts w:ascii="Courier New" w:cs="Courier New" w:eastAsia="Courier New" w:hAnsi="Courier New"/>
          <w:sz w:val="18"/>
          <w:szCs w:val="18"/>
          <w:color w:val="auto"/>
        </w:rPr>
        <w:t>no-action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5/31/97 :</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information contained in Items 5 - 11 on the</w:t>
      </w:r>
    </w:p>
    <w:p>
      <w:pPr>
        <w:ind w:left="1380"/>
        <w:spacing w:after="0" w:line="238" w:lineRule="auto"/>
        <w:rPr>
          <w:sz w:val="20"/>
          <w:szCs w:val="20"/>
          <w:color w:val="auto"/>
        </w:rPr>
      </w:pPr>
      <w:r>
        <w:rPr>
          <w:rFonts w:ascii="Courier New" w:cs="Courier New" w:eastAsia="Courier New" w:hAnsi="Courier New"/>
          <w:sz w:val="18"/>
          <w:szCs w:val="18"/>
          <w:color w:val="auto"/>
        </w:rPr>
        <w:t>cover pages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3359"/>
        <w:spacing w:after="0" w:line="273" w:lineRule="auto"/>
        <w:rPr>
          <w:sz w:val="20"/>
          <w:szCs w:val="20"/>
          <w:color w:val="auto"/>
        </w:rPr>
      </w:pPr>
      <w:r>
        <w:rPr>
          <w:rFonts w:ascii="Courier New" w:cs="Courier New" w:eastAsia="Courier New" w:hAnsi="Courier New"/>
          <w:sz w:val="16"/>
          <w:szCs w:val="16"/>
          <w:color w:val="auto"/>
        </w:rPr>
        <w:t>The filing of this Statement shall not be construed as an admission that the persons filing are beneficial owners of the shares covered by this Statement for any purpose, including purposes of Sections 13, 14 or 16 of the Securities Exchange Act of 1934, as amended.</w:t>
      </w:r>
    </w:p>
    <w:p>
      <w:pPr>
        <w:spacing w:after="0" w:line="200" w:lineRule="exact"/>
        <w:rPr>
          <w:sz w:val="20"/>
          <w:szCs w:val="20"/>
          <w:color w:val="auto"/>
        </w:rPr>
      </w:pPr>
    </w:p>
    <w:p>
      <w:pPr>
        <w:spacing w:after="0" w:line="390" w:lineRule="exact"/>
        <w:rPr>
          <w:sz w:val="20"/>
          <w:szCs w:val="20"/>
          <w:color w:val="auto"/>
        </w:rPr>
      </w:pPr>
    </w:p>
    <w:p>
      <w:pPr>
        <w:ind w:left="1900" w:right="43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9" w:lineRule="exact"/>
        <w:rPr>
          <w:sz w:val="20"/>
          <w:szCs w:val="20"/>
          <w:color w:val="auto"/>
        </w:rPr>
      </w:pPr>
    </w:p>
    <w:p>
      <w:pPr>
        <w:ind w:left="1900" w:right="43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Of the shares covered by this Statement, 2,685,353 are held in</w:t>
      </w:r>
    </w:p>
    <w:p>
      <w:pPr>
        <w:spacing w:after="0" w:line="4" w:lineRule="exact"/>
        <w:rPr>
          <w:sz w:val="20"/>
          <w:szCs w:val="20"/>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a fiduciary or representative capacity. Accordingly, persons other than the reporting persons have the right to receive, or the power to direct the receipt of, dividends from, or the proceeds from the sale of, such sales. No person individually has an interest that relates to more than five percent of the class.</w:t>
      </w:r>
    </w:p>
    <w:p>
      <w:pPr>
        <w:spacing w:after="0" w:line="200" w:lineRule="exact"/>
        <w:rPr>
          <w:sz w:val="20"/>
          <w:szCs w:val="20"/>
          <w:color w:val="auto"/>
        </w:rPr>
      </w:pPr>
    </w:p>
    <w:p>
      <w:pPr>
        <w:spacing w:after="0" w:line="38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w:t>
      </w:r>
    </w:p>
    <w:p>
      <w:pPr>
        <w:ind w:left="1900"/>
        <w:spacing w:after="0" w:line="238" w:lineRule="auto"/>
        <w:rPr>
          <w:sz w:val="20"/>
          <w:szCs w:val="20"/>
          <w:color w:val="auto"/>
        </w:rPr>
      </w:pPr>
      <w:r>
        <w:rPr>
          <w:rFonts w:ascii="Courier New" w:cs="Courier New" w:eastAsia="Courier New" w:hAnsi="Courier New"/>
          <w:sz w:val="18"/>
          <w:szCs w:val="18"/>
          <w:color w:val="auto"/>
        </w:rPr>
        <w:t>Subsidiary which Acquired the Security</w:t>
      </w:r>
    </w:p>
    <w:p>
      <w:pPr>
        <w:ind w:left="1900"/>
        <w:spacing w:after="0"/>
        <w:rPr>
          <w:sz w:val="20"/>
          <w:szCs w:val="20"/>
          <w:color w:val="auto"/>
        </w:rPr>
      </w:pPr>
      <w:r>
        <w:rPr>
          <w:rFonts w:ascii="Courier New" w:cs="Courier New" w:eastAsia="Courier New" w:hAnsi="Courier New"/>
          <w:sz w:val="18"/>
          <w:szCs w:val="18"/>
          <w:color w:val="auto"/>
        </w:rPr>
        <w:t>Being Reported on By the Parent Holding</w:t>
      </w:r>
    </w:p>
    <w:p>
      <w:pPr>
        <w:ind w:left="190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9" w:lineRule="exact"/>
        <w:rPr>
          <w:sz w:val="20"/>
          <w:szCs w:val="20"/>
          <w:color w:val="auto"/>
        </w:rPr>
      </w:pPr>
    </w:p>
    <w:p>
      <w:pPr>
        <w:ind w:left="1900" w:right="451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4199" w:firstLine="527"/>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w:t>
      </w:r>
    </w:p>
    <w:p>
      <w:pPr>
        <w:sectPr>
          <w:pgSz w:w="11900" w:h="16838" w:orient="portrait"/>
          <w:cols w:equalWidth="0" w:num="1">
            <w:col w:w="10219"/>
          </w:cols>
          <w:pgMar w:left="240" w:top="547" w:right="1440" w:bottom="0" w:gutter="0" w:footer="0" w:header="0"/>
        </w:sectPr>
      </w:pPr>
    </w:p>
    <w:bookmarkStart w:id="5" w:name="page6"/>
    <w:bookmarkEnd w:id="5"/>
    <w:p>
      <w:pPr>
        <w:ind w:right="4519"/>
        <w:spacing w:after="0" w:line="236" w:lineRule="auto"/>
        <w:rPr>
          <w:sz w:val="20"/>
          <w:szCs w:val="20"/>
          <w:color w:val="auto"/>
        </w:rPr>
      </w:pPr>
      <w:r>
        <w:rPr>
          <w:rFonts w:ascii="Courier New" w:cs="Courier New" w:eastAsia="Courier New" w:hAnsi="Courier New"/>
          <w:sz w:val="18"/>
          <w:szCs w:val="18"/>
          <w:color w:val="auto"/>
        </w:rPr>
        <w:t>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31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6/9/97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INVESTMENT ADVISORS,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Donald B. Cornelius, Secretary/Treasurer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The undersigned hereby agrees that the Statement on Schedule 13G to which this Agreement is attached be filed on behalf of Kopp Investment Advisors, Inc., a Minnesota corporation; LeRoy C. Kopp, who holds 100% of the outstanding capital stock of Kopp Investment Advisors, Inc., the Leroy C. Kopp Individual Retirement Account; and Kopp Family Foundation, by LeRoy C. Kopp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6/9/97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INVESTMENT ADVISORS,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1160"/>
        <w:spacing w:after="0" w:line="238" w:lineRule="auto"/>
        <w:rPr>
          <w:sz w:val="20"/>
          <w:szCs w:val="20"/>
          <w:color w:val="auto"/>
        </w:rPr>
      </w:pPr>
      <w:r>
        <w:rPr>
          <w:rFonts w:ascii="Courier New" w:cs="Courier New" w:eastAsia="Courier New" w:hAnsi="Courier New"/>
          <w:sz w:val="18"/>
          <w:szCs w:val="18"/>
          <w:color w:val="auto"/>
        </w:rPr>
        <w:t>LeRoy C. Kopp</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p>
      <w:pPr>
        <w:sectPr>
          <w:pgSz w:w="11900" w:h="16838" w:orient="portrait"/>
          <w:cols w:equalWidth="0" w:num="1">
            <w:col w:w="10219"/>
          </w:cols>
          <w:pgMar w:left="240" w:top="142" w:right="1440" w:bottom="537" w:gutter="0" w:footer="0" w:header="0"/>
        </w:sectPr>
      </w:pPr>
    </w:p>
    <w:bookmarkStart w:id="6" w:name="page7"/>
    <w:bookmarkEnd w:id="6"/>
    <w:p>
      <w:pPr>
        <w:ind w:left="220"/>
        <w:spacing w:after="0"/>
        <w:rPr>
          <w:sz w:val="20"/>
          <w:szCs w:val="20"/>
          <w:color w:val="auto"/>
        </w:rPr>
      </w:pPr>
      <w:r>
        <w:rPr>
          <w:rFonts w:ascii="Courier New" w:cs="Courier New" w:eastAsia="Courier New" w:hAnsi="Courier New"/>
          <w:sz w:val="16"/>
          <w:szCs w:val="16"/>
          <w:color w:val="auto"/>
        </w:rPr>
        <w:t>LeRoy C. Kopp for himself and his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individual retirement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KOPP FAMILY FOUNDATION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LeRoy C. Kopp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1"/>
      <w:numFmt w:val="decimal"/>
      <w:start w:val="1"/>
    </w:lvl>
    <w:lvl w:ilvl="1">
      <w:lvlJc w:val="left"/>
      <w:lvlText w:val="%2)"/>
      <w:numFmt w:val="decimal"/>
      <w:start w:val="7"/>
    </w:lvl>
    <w:lvl w:ilvl="2">
      <w:lvlJc w:val="left"/>
      <w:lvlText w:val="*"/>
      <w:numFmt w:val="bullet"/>
      <w:start w:val="1"/>
    </w:lvl>
  </w:abstractNum>
  <w:abstractNum w:abstractNumId="4">
    <w:nsid w:val="109CF92E"/>
    <w:multiLevelType w:val="hybridMultilevel"/>
    <w:lvl w:ilvl="0">
      <w:lvlJc w:val="left"/>
      <w:lvlText w:val="%1)"/>
      <w:numFmt w:val="decimal"/>
      <w:start w:val="9"/>
    </w:lvl>
    <w:lvl w:ilvl="1">
      <w:lvlJc w:val="left"/>
      <w:lvlText w:val="%2"/>
      <w:numFmt w:val="decimal"/>
      <w:start w:val="1"/>
    </w:lvl>
    <w:lvl w:ilvl="2">
      <w:lvlJc w:val="left"/>
      <w:lvlText w:val="*"/>
      <w:numFmt w:val="bullet"/>
      <w:start w:val="1"/>
    </w:lvl>
  </w:abstractNum>
  <w:abstractNum w:abstractNumId="5">
    <w:nsid w:val="DED7263"/>
    <w:multiLevelType w:val="hybridMultilevel"/>
    <w:lvl w:ilvl="0">
      <w:lvlJc w:val="left"/>
      <w:lvlText w:val="*"/>
      <w:numFmt w:val="bullet"/>
      <w:start w:val="1"/>
    </w:lvl>
    <w:lvl w:ilvl="1">
      <w:lvlJc w:val="left"/>
      <w:lvlText w:val="%2)"/>
      <w:numFmt w:val="decimal"/>
      <w:start w:val="10"/>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2"/>
    </w:lvl>
    <w:lvl w:ilvl="1">
      <w:lvlJc w:val="left"/>
      <w:lvlText w:val="(%2)"/>
      <w:numFmt w:val="lowerLetter"/>
      <w:start w:val="1"/>
    </w:lvl>
  </w:abstractNum>
  <w:abstractNum w:abstractNumId="8">
    <w:nsid w:val="41A7C4C9"/>
    <w:multiLevelType w:val="hybridMultilevel"/>
    <w:lvl w:ilvl="0">
      <w:lvlJc w:val="left"/>
      <w:lvlText w:val="%1"/>
      <w:numFmt w:val="decimal"/>
      <w:start w:val="1"/>
    </w:lvl>
    <w:lvl w:ilvl="1">
      <w:lvlJc w:val="left"/>
      <w:lvlText w:val="%2)"/>
      <w:numFmt w:val="decimal"/>
      <w:start w:val="6"/>
    </w:lvl>
  </w:abstractNum>
  <w:abstractNum w:abstractNumId="9">
    <w:nsid w:val="6B68079A"/>
    <w:multiLevelType w:val="hybridMultilevel"/>
    <w:lvl w:ilvl="0">
      <w:lvlJc w:val="left"/>
      <w:lvlText w:val="%1)"/>
      <w:numFmt w:val="decimal"/>
      <w:start w:val="9"/>
    </w:lvl>
    <w:lvl w:ilvl="1">
      <w:lvlJc w:val="left"/>
      <w:lvlText w:val="%2"/>
      <w:numFmt w:val="decimal"/>
      <w:start w:val="1"/>
    </w:lvl>
  </w:abstractNum>
  <w:abstractNum w:abstractNumId="10">
    <w:nsid w:val="4E6AFB66"/>
    <w:multiLevelType w:val="hybridMultilevel"/>
    <w:lvl w:ilvl="0">
      <w:lvlJc w:val="left"/>
      <w:lvlText w:val="%1)"/>
      <w:numFmt w:val="decimal"/>
      <w:start w:val="10"/>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2"/>
    </w:lvl>
    <w:lvl w:ilvl="1">
      <w:lvlJc w:val="left"/>
      <w:lvlText w:val="(%2)"/>
      <w:numFmt w:val="lowerLetter"/>
      <w:start w:val="1"/>
    </w:lvl>
  </w:abstractNum>
  <w:abstractNum w:abstractNumId="13">
    <w:nsid w:val="431BD7B7"/>
    <w:multiLevelType w:val="hybridMultilevel"/>
    <w:lvl w:ilvl="0">
      <w:lvlJc w:val="left"/>
      <w:lvlText w:val="%1)"/>
      <w:numFmt w:val="decimal"/>
      <w:start w:val="9"/>
    </w:lvl>
  </w:abstractNum>
  <w:abstractNum w:abstractNumId="14">
    <w:nsid w:val="3F2DBA31"/>
    <w:multiLevelType w:val="hybridMultilevel"/>
    <w:lvl w:ilvl="0">
      <w:lvlJc w:val="left"/>
      <w:lvlText w:val="%1)"/>
      <w:numFmt w:val="decimal"/>
      <w:start w:val="10"/>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2"/>
    </w:lvl>
    <w:lvl w:ilvl="1">
      <w:lvlJc w:val="left"/>
      <w:lvlText w:val="(%2)"/>
      <w:numFmt w:val="lowerLetter"/>
      <w:start w:val="1"/>
    </w:lvl>
  </w:abstractNum>
  <w:abstractNum w:abstractNumId="17">
    <w:nsid w:val="62BBD95A"/>
    <w:multiLevelType w:val="hybridMultilevel"/>
    <w:lvl w:ilvl="0">
      <w:lvlJc w:val="left"/>
      <w:lvlText w:val="%1)"/>
      <w:numFmt w:val="decimal"/>
      <w:start w:val="4"/>
    </w:lvl>
  </w:abstractNum>
  <w:abstractNum w:abstractNumId="18">
    <w:nsid w:val="436C6125"/>
    <w:multiLevelType w:val="hybridMultilevel"/>
    <w:lvl w:ilvl="0">
      <w:lvlJc w:val="left"/>
      <w:lvlText w:val="%1"/>
      <w:numFmt w:val="decimal"/>
      <w:start w:val="1"/>
    </w:lvl>
    <w:lvl w:ilvl="1">
      <w:lvlJc w:val="left"/>
      <w:lvlText w:val="%2)"/>
      <w:numFmt w:val="decimal"/>
      <w:start w:val="6"/>
    </w:lvl>
    <w:lvl w:ilvl="2">
      <w:lvlJc w:val="left"/>
      <w:lvlText w:val="*"/>
      <w:numFmt w:val="bullet"/>
      <w:start w:val="1"/>
    </w:lvl>
  </w:abstractNum>
  <w:abstractNum w:abstractNumId="19">
    <w:nsid w:val="628C895D"/>
    <w:multiLevelType w:val="hybridMultilevel"/>
    <w:lvl w:ilvl="0">
      <w:lvlJc w:val="left"/>
      <w:lvlText w:val="%1)"/>
      <w:numFmt w:val="decimal"/>
      <w:start w:val="9"/>
    </w:lvl>
    <w:lvl w:ilvl="1">
      <w:lvlJc w:val="left"/>
      <w:lvlText w:val="%2"/>
      <w:numFmt w:val="decimal"/>
      <w:start w:val="1"/>
    </w:lvl>
    <w:lvl w:ilvl="2">
      <w:lvlJc w:val="left"/>
      <w:lvlText w:val="*"/>
      <w:numFmt w:val="bullet"/>
      <w:start w:val="1"/>
    </w:lvl>
  </w:abstractNum>
  <w:abstractNum w:abstractNumId="20">
    <w:nsid w:val="333AB105"/>
    <w:multiLevelType w:val="hybridMultilevel"/>
    <w:lvl w:ilvl="0">
      <w:lvlJc w:val="left"/>
      <w:lvlText w:val="%1)"/>
      <w:numFmt w:val="decimal"/>
      <w:start w:val="10"/>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2019-12-13T15:42:40Z</dcterms:created>
  <dcterms:modified xsi:type="dcterms:W3CDTF">2019-12-13T15:42:40Z</dcterms:modified>
</cp:coreProperties>
</file>