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8" w:lineRule="exact"/>
        <w:rPr>
          <w:sz w:val="24"/>
          <w:szCs w:val="24"/>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304800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295910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ind w:left="200"/>
        <w:spacing w:after="0" w:line="207" w:lineRule="exact"/>
        <w:tabs>
          <w:tab w:leader="none" w:pos="34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20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640" w:hanging="436"/>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40" w:hanging="436"/>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200" w:lineRule="exact"/>
        <w:rPr>
          <w:sz w:val="24"/>
          <w:szCs w:val="24"/>
          <w:color w:val="auto"/>
        </w:rPr>
      </w:pPr>
    </w:p>
    <w:p>
      <w:pPr>
        <w:spacing w:after="0" w:line="208" w:lineRule="exact"/>
        <w:rPr>
          <w:sz w:val="24"/>
          <w:szCs w:val="24"/>
          <w:color w:val="auto"/>
        </w:rPr>
      </w:pPr>
    </w:p>
    <w:p>
      <w:pPr>
        <w:jc w:val="center"/>
        <w:ind w:right="-239"/>
        <w:spacing w:after="0"/>
        <w:rPr>
          <w:sz w:val="20"/>
          <w:szCs w:val="20"/>
          <w:color w:val="auto"/>
        </w:rPr>
      </w:pPr>
      <w:r>
        <w:rPr>
          <w:rFonts w:ascii="Arial" w:cs="Arial" w:eastAsia="Arial" w:hAnsi="Arial"/>
          <w:sz w:val="40"/>
          <w:szCs w:val="40"/>
          <w:b w:val="1"/>
          <w:bCs w:val="1"/>
          <w:color w:val="auto"/>
        </w:rPr>
        <w:t>ITRON, INC.</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84"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8" w:lineRule="exact"/>
        <w:rPr>
          <w:sz w:val="24"/>
          <w:szCs w:val="24"/>
          <w:color w:val="auto"/>
        </w:rPr>
      </w:pPr>
    </w:p>
    <w:p>
      <w:pPr>
        <w:ind w:left="20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456"/>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60" w:hanging="456"/>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1100" w:right="280" w:hanging="437"/>
        <w:spacing w:after="0" w:line="277"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2" w:lineRule="exact"/>
        <w:rPr>
          <w:rFonts w:ascii="Arial" w:cs="Arial" w:eastAsia="Arial" w:hAnsi="Arial"/>
          <w:sz w:val="18"/>
          <w:szCs w:val="18"/>
          <w:color w:val="auto"/>
        </w:rPr>
      </w:pPr>
    </w:p>
    <w:p>
      <w:pPr>
        <w:ind w:left="660" w:hanging="456"/>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660" w:hanging="456"/>
        <w:spacing w:after="0" w:line="308" w:lineRule="auto"/>
        <w:tabs>
          <w:tab w:leader="none" w:pos="6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-3241675</wp:posOffset>
            </wp:positionV>
            <wp:extent cx="643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-2641600</wp:posOffset>
            </wp:positionV>
            <wp:extent cx="6431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-1903730</wp:posOffset>
            </wp:positionV>
            <wp:extent cx="64319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-1303655</wp:posOffset>
            </wp:positionV>
            <wp:extent cx="6431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-875030</wp:posOffset>
            </wp:positionV>
            <wp:extent cx="64319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ectPr>
          <w:pgSz w:w="11900" w:h="16966" w:orient="portrait"/>
          <w:cols w:equalWidth="0" w:num="1">
            <w:col w:w="11180"/>
          </w:cols>
          <w:pgMar w:left="240" w:top="230" w:right="479" w:bottom="0" w:gutter="0" w:footer="0" w:header="0"/>
        </w:sectPr>
      </w:pPr>
    </w:p>
    <w:bookmarkStart w:id="1" w:name="page2"/>
    <w:bookmarkEnd w:id="1"/>
    <w:p>
      <w:pPr>
        <w:ind w:left="437" w:hanging="437"/>
        <w:spacing w:after="0"/>
        <w:tabs>
          <w:tab w:leader="none" w:pos="437"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437" w:hanging="437"/>
        <w:spacing w:after="0"/>
        <w:tabs>
          <w:tab w:leader="none" w:pos="437"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61" w:lineRule="exact"/>
        <w:rPr>
          <w:rFonts w:ascii="Arial" w:cs="Arial" w:eastAsia="Arial" w:hAnsi="Arial"/>
          <w:sz w:val="16"/>
          <w:szCs w:val="16"/>
          <w:color w:val="auto"/>
        </w:rPr>
      </w:pPr>
    </w:p>
    <w:p>
      <w:pPr>
        <w:ind w:left="437" w:hanging="437"/>
        <w:spacing w:after="0"/>
        <w:tabs>
          <w:tab w:leader="none" w:pos="437"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437" w:hanging="437"/>
        <w:spacing w:after="0"/>
        <w:tabs>
          <w:tab w:leader="none" w:pos="437"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-1339215</wp:posOffset>
            </wp:positionV>
            <wp:extent cx="64319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-739140</wp:posOffset>
            </wp:positionV>
            <wp:extent cx="64319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-139065</wp:posOffset>
            </wp:positionV>
            <wp:extent cx="64319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461010</wp:posOffset>
            </wp:positionV>
            <wp:extent cx="64319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640715</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683895</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9556"/>
          </w:cols>
          <w:pgMar w:left="903" w:top="44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ITRON, INC.</w:t>
      </w:r>
    </w:p>
    <w:p>
      <w:pPr>
        <w:spacing w:after="0" w:line="1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2111 N. Molter Road</w:t>
      </w:r>
    </w:p>
    <w:p>
      <w:pPr>
        <w:jc w:val="center"/>
        <w:ind w:right="-199"/>
        <w:spacing w:after="0"/>
        <w:rPr>
          <w:sz w:val="20"/>
          <w:szCs w:val="20"/>
          <w:color w:val="auto"/>
        </w:rPr>
      </w:pPr>
      <w:r>
        <w:rPr>
          <w:rFonts w:ascii="Arial" w:cs="Arial" w:eastAsia="Arial" w:hAnsi="Arial"/>
          <w:sz w:val="18"/>
          <w:szCs w:val="18"/>
          <w:b w:val="1"/>
          <w:bCs w:val="1"/>
          <w:color w:val="auto"/>
        </w:rPr>
        <w:t>Liberty Lake, Washington 99019</w:t>
      </w:r>
    </w:p>
    <w:p>
      <w:pPr>
        <w:spacing w:after="0" w:line="163"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Notice of 2019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293370</wp:posOffset>
            </wp:positionV>
            <wp:extent cx="699770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559435</wp:posOffset>
            </wp:positionV>
            <wp:extent cx="600075" cy="6000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0075" cy="600075"/>
                    </a:xfrm>
                    <a:prstGeom prst="rect">
                      <a:avLst/>
                    </a:prstGeom>
                    <a:noFill/>
                  </pic:spPr>
                </pic:pic>
              </a:graphicData>
            </a:graphic>
          </wp:anchor>
        </w:drawing>
        <w:drawing>
          <wp:anchor simplePos="0" relativeHeight="251657728" behindDoc="1" locked="0" layoutInCell="0" allowOverlap="1">
            <wp:simplePos x="0" y="0"/>
            <wp:positionH relativeFrom="column">
              <wp:posOffset>2346325</wp:posOffset>
            </wp:positionH>
            <wp:positionV relativeFrom="paragraph">
              <wp:posOffset>584835</wp:posOffset>
            </wp:positionV>
            <wp:extent cx="702945" cy="5746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2945" cy="574675"/>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696595</wp:posOffset>
            </wp:positionV>
            <wp:extent cx="737235" cy="4629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7235" cy="46291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773430</wp:posOffset>
            </wp:positionV>
            <wp:extent cx="771525" cy="3860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1525" cy="38608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200" w:type="dxa"/>
        <w:tblCellMar>
          <w:top w:w="0" w:type="dxa"/>
          <w:left w:w="0" w:type="dxa"/>
          <w:bottom w:w="0" w:type="dxa"/>
          <w:right w:w="0" w:type="dxa"/>
        </w:tblCellMar>
      </w:tblPr>
      <w:tr>
        <w:trPr>
          <w:trHeight w:val="225"/>
        </w:trPr>
        <w:tc>
          <w:tcPr>
            <w:tcW w:w="2560" w:type="dxa"/>
            <w:vAlign w:val="bottom"/>
          </w:tcPr>
          <w:p>
            <w:pPr>
              <w:spacing w:after="0"/>
              <w:rPr>
                <w:sz w:val="20"/>
                <w:szCs w:val="20"/>
                <w:color w:val="auto"/>
              </w:rPr>
            </w:pPr>
            <w:r>
              <w:rPr>
                <w:rFonts w:ascii="Arial" w:cs="Arial" w:eastAsia="Arial" w:hAnsi="Arial"/>
                <w:sz w:val="18"/>
                <w:szCs w:val="18"/>
                <w:b w:val="1"/>
                <w:bCs w:val="1"/>
                <w:color w:val="auto"/>
              </w:rPr>
              <w:t>When</w:t>
            </w:r>
            <w:r>
              <w:rPr>
                <w:rFonts w:ascii="Arial" w:cs="Arial" w:eastAsia="Arial" w:hAnsi="Arial"/>
                <w:sz w:val="18"/>
                <w:szCs w:val="18"/>
                <w:color w:val="auto"/>
              </w:rPr>
              <w:t>:</w:t>
            </w:r>
          </w:p>
        </w:tc>
        <w:tc>
          <w:tcPr>
            <w:tcW w:w="2560" w:type="dxa"/>
            <w:vAlign w:val="bottom"/>
          </w:tcPr>
          <w:p>
            <w:pPr>
              <w:ind w:left="100"/>
              <w:spacing w:after="0"/>
              <w:rPr>
                <w:sz w:val="20"/>
                <w:szCs w:val="20"/>
                <w:color w:val="auto"/>
              </w:rPr>
            </w:pPr>
            <w:r>
              <w:rPr>
                <w:rFonts w:ascii="Arial" w:cs="Arial" w:eastAsia="Arial" w:hAnsi="Arial"/>
                <w:sz w:val="18"/>
                <w:szCs w:val="18"/>
                <w:b w:val="1"/>
                <w:bCs w:val="1"/>
                <w:color w:val="auto"/>
              </w:rPr>
              <w:t>Where</w:t>
            </w:r>
            <w:r>
              <w:rPr>
                <w:rFonts w:ascii="Arial" w:cs="Arial" w:eastAsia="Arial" w:hAnsi="Arial"/>
                <w:sz w:val="18"/>
                <w:szCs w:val="18"/>
                <w:color w:val="auto"/>
              </w:rPr>
              <w:t>:</w:t>
            </w:r>
          </w:p>
        </w:tc>
        <w:tc>
          <w:tcPr>
            <w:tcW w:w="2960" w:type="dxa"/>
            <w:vAlign w:val="bottom"/>
          </w:tcPr>
          <w:p>
            <w:pPr>
              <w:ind w:left="400"/>
              <w:spacing w:after="0"/>
              <w:rPr>
                <w:sz w:val="20"/>
                <w:szCs w:val="20"/>
                <w:color w:val="auto"/>
              </w:rPr>
            </w:pPr>
            <w:r>
              <w:rPr>
                <w:rFonts w:ascii="Arial" w:cs="Arial" w:eastAsia="Arial" w:hAnsi="Arial"/>
                <w:sz w:val="18"/>
                <w:szCs w:val="18"/>
                <w:b w:val="1"/>
                <w:bCs w:val="1"/>
                <w:color w:val="auto"/>
              </w:rPr>
              <w:t>Who Can Vote</w:t>
            </w:r>
            <w:r>
              <w:rPr>
                <w:rFonts w:ascii="Arial" w:cs="Arial" w:eastAsia="Arial" w:hAnsi="Arial"/>
                <w:sz w:val="18"/>
                <w:szCs w:val="18"/>
                <w:color w:val="auto"/>
              </w:rPr>
              <w:t>:</w:t>
            </w:r>
          </w:p>
        </w:tc>
      </w:tr>
      <w:tr>
        <w:trPr>
          <w:trHeight w:val="203"/>
        </w:trPr>
        <w:tc>
          <w:tcPr>
            <w:tcW w:w="2560" w:type="dxa"/>
            <w:vAlign w:val="bottom"/>
          </w:tcPr>
          <w:p>
            <w:pPr>
              <w:spacing w:after="0" w:line="202" w:lineRule="exact"/>
              <w:rPr>
                <w:sz w:val="20"/>
                <w:szCs w:val="20"/>
                <w:color w:val="auto"/>
              </w:rPr>
            </w:pPr>
            <w:r>
              <w:rPr>
                <w:rFonts w:ascii="Arial" w:cs="Arial" w:eastAsia="Arial" w:hAnsi="Arial"/>
                <w:sz w:val="18"/>
                <w:szCs w:val="18"/>
                <w:color w:val="auto"/>
              </w:rPr>
              <w:t>May 9, 2019 at 4:00 p.m., local</w:t>
            </w:r>
          </w:p>
        </w:tc>
        <w:tc>
          <w:tcPr>
            <w:tcW w:w="2560" w:type="dxa"/>
            <w:vAlign w:val="bottom"/>
          </w:tcPr>
          <w:p>
            <w:pPr>
              <w:ind w:left="100"/>
              <w:spacing w:after="0" w:line="202" w:lineRule="exact"/>
              <w:rPr>
                <w:sz w:val="20"/>
                <w:szCs w:val="20"/>
                <w:color w:val="auto"/>
              </w:rPr>
            </w:pPr>
            <w:r>
              <w:rPr>
                <w:rFonts w:ascii="Arial" w:cs="Arial" w:eastAsia="Arial" w:hAnsi="Arial"/>
                <w:sz w:val="18"/>
                <w:szCs w:val="18"/>
                <w:color w:val="auto"/>
              </w:rPr>
              <w:t>The Houstonian Hotel</w:t>
            </w:r>
          </w:p>
        </w:tc>
        <w:tc>
          <w:tcPr>
            <w:tcW w:w="2960" w:type="dxa"/>
            <w:vAlign w:val="bottom"/>
          </w:tcPr>
          <w:p>
            <w:pPr>
              <w:ind w:left="400"/>
              <w:spacing w:after="0" w:line="202" w:lineRule="exact"/>
              <w:rPr>
                <w:sz w:val="20"/>
                <w:szCs w:val="20"/>
                <w:color w:val="auto"/>
              </w:rPr>
            </w:pPr>
            <w:r>
              <w:rPr>
                <w:rFonts w:ascii="Arial" w:cs="Arial" w:eastAsia="Arial" w:hAnsi="Arial"/>
                <w:sz w:val="18"/>
                <w:szCs w:val="18"/>
                <w:color w:val="auto"/>
                <w:w w:val="99"/>
              </w:rPr>
              <w:t>Shareholders of Itron’s common</w:t>
            </w:r>
          </w:p>
        </w:tc>
      </w:tr>
      <w:tr>
        <w:trPr>
          <w:trHeight w:val="203"/>
        </w:trPr>
        <w:tc>
          <w:tcPr>
            <w:tcW w:w="2560" w:type="dxa"/>
            <w:vAlign w:val="bottom"/>
          </w:tcPr>
          <w:p>
            <w:pPr>
              <w:spacing w:after="0" w:line="202" w:lineRule="exact"/>
              <w:rPr>
                <w:sz w:val="20"/>
                <w:szCs w:val="20"/>
                <w:color w:val="auto"/>
              </w:rPr>
            </w:pPr>
            <w:r>
              <w:rPr>
                <w:rFonts w:ascii="Arial" w:cs="Arial" w:eastAsia="Arial" w:hAnsi="Arial"/>
                <w:sz w:val="18"/>
                <w:szCs w:val="18"/>
                <w:color w:val="auto"/>
              </w:rPr>
              <w:t>time.</w:t>
            </w:r>
          </w:p>
        </w:tc>
        <w:tc>
          <w:tcPr>
            <w:tcW w:w="2560" w:type="dxa"/>
            <w:vAlign w:val="bottom"/>
          </w:tcPr>
          <w:p>
            <w:pPr>
              <w:ind w:left="100"/>
              <w:spacing w:after="0" w:line="202" w:lineRule="exact"/>
              <w:rPr>
                <w:sz w:val="20"/>
                <w:szCs w:val="20"/>
                <w:color w:val="auto"/>
              </w:rPr>
            </w:pPr>
            <w:r>
              <w:rPr>
                <w:rFonts w:ascii="Arial" w:cs="Arial" w:eastAsia="Arial" w:hAnsi="Arial"/>
                <w:sz w:val="18"/>
                <w:szCs w:val="18"/>
                <w:color w:val="auto"/>
              </w:rPr>
              <w:t>Linden Room</w:t>
            </w:r>
          </w:p>
        </w:tc>
        <w:tc>
          <w:tcPr>
            <w:tcW w:w="2960" w:type="dxa"/>
            <w:vAlign w:val="bottom"/>
          </w:tcPr>
          <w:p>
            <w:pPr>
              <w:ind w:left="400"/>
              <w:spacing w:after="0" w:line="202" w:lineRule="exact"/>
              <w:rPr>
                <w:sz w:val="20"/>
                <w:szCs w:val="20"/>
                <w:color w:val="auto"/>
              </w:rPr>
            </w:pPr>
            <w:r>
              <w:rPr>
                <w:rFonts w:ascii="Arial" w:cs="Arial" w:eastAsia="Arial" w:hAnsi="Arial"/>
                <w:sz w:val="18"/>
                <w:szCs w:val="18"/>
                <w:color w:val="auto"/>
              </w:rPr>
              <w:t>stock as of the record date,</w:t>
            </w:r>
          </w:p>
        </w:tc>
      </w:tr>
      <w:tr>
        <w:trPr>
          <w:trHeight w:val="203"/>
        </w:trPr>
        <w:tc>
          <w:tcPr>
            <w:tcW w:w="2560" w:type="dxa"/>
            <w:vAlign w:val="bottom"/>
          </w:tcPr>
          <w:p>
            <w:pPr>
              <w:spacing w:after="0"/>
              <w:rPr>
                <w:sz w:val="17"/>
                <w:szCs w:val="17"/>
                <w:color w:val="auto"/>
              </w:rPr>
            </w:pPr>
          </w:p>
        </w:tc>
        <w:tc>
          <w:tcPr>
            <w:tcW w:w="2560" w:type="dxa"/>
            <w:vAlign w:val="bottom"/>
          </w:tcPr>
          <w:p>
            <w:pPr>
              <w:ind w:left="100"/>
              <w:spacing w:after="0" w:line="202" w:lineRule="exact"/>
              <w:rPr>
                <w:sz w:val="20"/>
                <w:szCs w:val="20"/>
                <w:color w:val="auto"/>
              </w:rPr>
            </w:pPr>
            <w:r>
              <w:rPr>
                <w:rFonts w:ascii="Arial" w:cs="Arial" w:eastAsia="Arial" w:hAnsi="Arial"/>
                <w:sz w:val="18"/>
                <w:szCs w:val="18"/>
                <w:color w:val="auto"/>
              </w:rPr>
              <w:t>111 North Post Oak Lane</w:t>
            </w:r>
          </w:p>
        </w:tc>
        <w:tc>
          <w:tcPr>
            <w:tcW w:w="2960" w:type="dxa"/>
            <w:vAlign w:val="bottom"/>
          </w:tcPr>
          <w:p>
            <w:pPr>
              <w:ind w:left="400"/>
              <w:spacing w:after="0" w:line="202" w:lineRule="exact"/>
              <w:rPr>
                <w:sz w:val="20"/>
                <w:szCs w:val="20"/>
                <w:color w:val="auto"/>
              </w:rPr>
            </w:pPr>
            <w:r>
              <w:rPr>
                <w:rFonts w:ascii="Arial" w:cs="Arial" w:eastAsia="Arial" w:hAnsi="Arial"/>
                <w:sz w:val="18"/>
                <w:szCs w:val="18"/>
                <w:color w:val="auto"/>
              </w:rPr>
              <w:t>March 1, 2019</w:t>
            </w:r>
          </w:p>
        </w:tc>
      </w:tr>
      <w:tr>
        <w:trPr>
          <w:trHeight w:val="217"/>
        </w:trPr>
        <w:tc>
          <w:tcPr>
            <w:tcW w:w="2560" w:type="dxa"/>
            <w:vAlign w:val="bottom"/>
          </w:tcPr>
          <w:p>
            <w:pPr>
              <w:spacing w:after="0"/>
              <w:rPr>
                <w:sz w:val="18"/>
                <w:szCs w:val="18"/>
                <w:color w:val="auto"/>
              </w:rPr>
            </w:pPr>
          </w:p>
        </w:tc>
        <w:tc>
          <w:tcPr>
            <w:tcW w:w="2560" w:type="dxa"/>
            <w:vAlign w:val="bottom"/>
          </w:tcPr>
          <w:p>
            <w:pPr>
              <w:ind w:left="100"/>
              <w:spacing w:after="0"/>
              <w:rPr>
                <w:sz w:val="20"/>
                <w:szCs w:val="20"/>
                <w:color w:val="auto"/>
              </w:rPr>
            </w:pPr>
            <w:r>
              <w:rPr>
                <w:rFonts w:ascii="Arial" w:cs="Arial" w:eastAsia="Arial" w:hAnsi="Arial"/>
                <w:sz w:val="18"/>
                <w:szCs w:val="18"/>
                <w:color w:val="auto"/>
              </w:rPr>
              <w:t>Houston, Texas 77024</w:t>
            </w:r>
          </w:p>
        </w:tc>
        <w:tc>
          <w:tcPr>
            <w:tcW w:w="29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41" w:lineRule="auto"/>
        <w:rPr>
          <w:sz w:val="20"/>
          <w:szCs w:val="20"/>
          <w:color w:val="auto"/>
        </w:rPr>
      </w:pPr>
      <w:r>
        <w:rPr>
          <w:rFonts w:ascii="Arial" w:cs="Arial" w:eastAsia="Arial" w:hAnsi="Arial"/>
          <w:sz w:val="18"/>
          <w:szCs w:val="18"/>
          <w:b w:val="1"/>
          <w:bCs w:val="1"/>
          <w:color w:val="auto"/>
        </w:rPr>
        <w:t xml:space="preserve">Attending the Meeting: </w:t>
      </w:r>
      <w:r>
        <w:rPr>
          <w:rFonts w:ascii="Arial" w:cs="Arial" w:eastAsia="Arial" w:hAnsi="Arial"/>
          <w:sz w:val="18"/>
          <w:szCs w:val="18"/>
          <w:color w:val="auto"/>
        </w:rPr>
        <w:t>Shareholders who wish to attend the meeting in person should review the directions set forth in the attached proxy statement under “Directions to 2019 Annual Meeting.”</w:t>
      </w:r>
    </w:p>
    <w:p>
      <w:pPr>
        <w:spacing w:after="0" w:line="200" w:lineRule="exact"/>
        <w:rPr>
          <w:sz w:val="20"/>
          <w:szCs w:val="20"/>
          <w:color w:val="auto"/>
        </w:rPr>
      </w:pPr>
    </w:p>
    <w:p>
      <w:pPr>
        <w:sectPr>
          <w:pgSz w:w="11900" w:h="16838" w:orient="portrait"/>
          <w:cols w:equalWidth="0" w:num="2">
            <w:col w:w="8280" w:space="320"/>
            <w:col w:w="2620"/>
          </w:cols>
          <w:pgMar w:left="240" w:top="459" w:right="439" w:bottom="1440" w:gutter="0" w:footer="0" w:header="0"/>
          <w:type w:val="continuous"/>
        </w:sectPr>
      </w:pPr>
    </w:p>
    <w:p>
      <w:pPr>
        <w:spacing w:after="0" w:line="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Items of Business:</w:t>
      </w:r>
    </w:p>
    <w:p>
      <w:pPr>
        <w:spacing w:after="0" w:line="234" w:lineRule="exact"/>
        <w:rPr>
          <w:sz w:val="20"/>
          <w:szCs w:val="20"/>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three directors to the Company’s Board of Directors.</w:t>
      </w:r>
    </w:p>
    <w:p>
      <w:pPr>
        <w:spacing w:after="0" w:line="211" w:lineRule="exact"/>
        <w:rPr>
          <w:rFonts w:ascii="Arial" w:cs="Arial" w:eastAsia="Arial" w:hAnsi="Arial"/>
          <w:sz w:val="18"/>
          <w:szCs w:val="18"/>
          <w:color w:val="auto"/>
        </w:rPr>
      </w:pPr>
    </w:p>
    <w:p>
      <w:pPr>
        <w:ind w:left="1060" w:right="580" w:hanging="424"/>
        <w:spacing w:after="0" w:line="246"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of our named executive officers for the fiscal year ended December 31, 2018.</w:t>
      </w:r>
    </w:p>
    <w:p>
      <w:pPr>
        <w:spacing w:after="0" w:line="196" w:lineRule="exact"/>
        <w:rPr>
          <w:rFonts w:ascii="Arial" w:cs="Arial" w:eastAsia="Arial" w:hAnsi="Arial"/>
          <w:sz w:val="18"/>
          <w:szCs w:val="18"/>
          <w:color w:val="auto"/>
        </w:rPr>
      </w:pPr>
    </w:p>
    <w:p>
      <w:pPr>
        <w:ind w:left="1060" w:right="300" w:hanging="424"/>
        <w:spacing w:after="0" w:line="246"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the Company’s independent registered public accountant for the 2019 fiscal year.</w:t>
      </w:r>
    </w:p>
    <w:p>
      <w:pPr>
        <w:spacing w:after="0" w:line="196"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any other business that may properly come before the annual meeting.</w:t>
      </w:r>
    </w:p>
    <w:p>
      <w:pPr>
        <w:spacing w:after="0" w:line="171" w:lineRule="exact"/>
        <w:rPr>
          <w:sz w:val="20"/>
          <w:szCs w:val="20"/>
          <w:color w:val="auto"/>
        </w:rPr>
      </w:pPr>
    </w:p>
    <w:p>
      <w:pPr>
        <w:jc w:val="both"/>
        <w:ind w:left="200" w:right="440"/>
        <w:spacing w:after="0"/>
        <w:rPr>
          <w:sz w:val="20"/>
          <w:szCs w:val="20"/>
          <w:color w:val="auto"/>
        </w:rPr>
      </w:pPr>
      <w:r>
        <w:rPr>
          <w:rFonts w:ascii="Arial" w:cs="Arial" w:eastAsia="Arial" w:hAnsi="Arial"/>
          <w:sz w:val="18"/>
          <w:szCs w:val="18"/>
          <w:color w:val="auto"/>
        </w:rPr>
        <w:t>Members of the Company’s management will not make any formal presentation as part of the annual meeting, but will be available to address questions from shareholders, as appropriate. In addition, we expect all of our director nominees together with those directors continuing in office will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127000</wp:posOffset>
            </wp:positionV>
            <wp:extent cx="7002145" cy="5956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02145" cy="595630"/>
                    </a:xfrm>
                    <a:prstGeom prst="rect">
                      <a:avLst/>
                    </a:prstGeom>
                    <a:noFill/>
                  </pic:spPr>
                </pic:pic>
              </a:graphicData>
            </a:graphic>
          </wp:anchor>
        </w:drawing>
      </w:r>
    </w:p>
    <w:p>
      <w:pPr>
        <w:spacing w:after="0" w:line="215" w:lineRule="exact"/>
        <w:rPr>
          <w:sz w:val="20"/>
          <w:szCs w:val="20"/>
          <w:color w:val="auto"/>
        </w:rPr>
      </w:pPr>
    </w:p>
    <w:p>
      <w:pPr>
        <w:ind w:left="320" w:right="180"/>
        <w:spacing w:after="0" w:line="247" w:lineRule="auto"/>
        <w:rPr>
          <w:sz w:val="20"/>
          <w:szCs w:val="20"/>
          <w:color w:val="auto"/>
        </w:rPr>
      </w:pPr>
      <w:r>
        <w:rPr>
          <w:rFonts w:ascii="Arial" w:cs="Arial" w:eastAsia="Arial" w:hAnsi="Arial"/>
          <w:sz w:val="18"/>
          <w:szCs w:val="18"/>
          <w:b w:val="1"/>
          <w:bCs w:val="1"/>
          <w:color w:val="auto"/>
        </w:rPr>
        <w:t>Important notice regarding the availability of proxy materials for the shareholder annual meeting to be held on May 9, 2019</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Our 2019 proxy statement is attached and, along with the Annual Report, is available for all shareholders at </w:t>
      </w:r>
      <w:r>
        <w:rPr>
          <w:rFonts w:ascii="Arial" w:cs="Arial" w:eastAsia="Arial" w:hAnsi="Arial"/>
          <w:sz w:val="18"/>
          <w:szCs w:val="18"/>
          <w:b w:val="1"/>
          <w:bCs w:val="1"/>
          <w:u w:val="single" w:color="auto"/>
          <w:color w:val="auto"/>
        </w:rPr>
        <w:t>www.edocumentview.com/ITRI</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and other information concerning Itron is contained in our Annual Report for the 2018 fiscal</w:t>
      </w:r>
      <w:r>
        <w:rPr>
          <w:rFonts w:ascii="Arial" w:cs="Arial" w:eastAsia="Arial" w:hAnsi="Arial"/>
          <w:sz w:val="18"/>
          <w:szCs w:val="18"/>
          <w:b w:val="1"/>
          <w:bCs w:val="1"/>
          <w:color w:val="auto"/>
        </w:rPr>
        <w:t xml:space="preserve"> </w:t>
      </w:r>
      <w:r>
        <w:rPr>
          <w:rFonts w:ascii="Arial" w:cs="Arial" w:eastAsia="Arial" w:hAnsi="Arial"/>
          <w:sz w:val="18"/>
          <w:szCs w:val="18"/>
          <w:color w:val="auto"/>
        </w:rPr>
        <w:t>year.</w:t>
      </w:r>
    </w:p>
    <w:p>
      <w:pPr>
        <w:spacing w:after="0" w:line="201" w:lineRule="exact"/>
        <w:rPr>
          <w:sz w:val="20"/>
          <w:szCs w:val="20"/>
          <w:color w:val="auto"/>
        </w:rPr>
      </w:pPr>
    </w:p>
    <w:p>
      <w:pPr>
        <w:ind w:left="200" w:right="60"/>
        <w:spacing w:after="0" w:line="275" w:lineRule="auto"/>
        <w:rPr>
          <w:sz w:val="20"/>
          <w:szCs w:val="20"/>
          <w:color w:val="auto"/>
        </w:rPr>
      </w:pPr>
      <w:r>
        <w:rPr>
          <w:rFonts w:ascii="Arial" w:cs="Arial" w:eastAsia="Arial" w:hAnsi="Arial"/>
          <w:sz w:val="17"/>
          <w:szCs w:val="17"/>
          <w:b w:val="1"/>
          <w:bCs w:val="1"/>
          <w:u w:val="single" w:color="auto"/>
          <w:color w:val="auto"/>
        </w:rPr>
        <w:t>Your vote is very important</w:t>
      </w:r>
      <w:r>
        <w:rPr>
          <w:rFonts w:ascii="Arial" w:cs="Arial" w:eastAsia="Arial" w:hAnsi="Arial"/>
          <w:sz w:val="17"/>
          <w:szCs w:val="17"/>
          <w:b w:val="1"/>
          <w:bCs w:val="1"/>
          <w:color w:val="auto"/>
        </w:rPr>
        <w:t xml:space="preserve">. </w:t>
      </w:r>
      <w:r>
        <w:rPr>
          <w:rFonts w:ascii="Arial" w:cs="Arial" w:eastAsia="Arial" w:hAnsi="Arial"/>
          <w:sz w:val="17"/>
          <w:szCs w:val="17"/>
          <w:color w:val="auto"/>
        </w:rPr>
        <w:t>To ensure representation at the annual meeting, shareholders are urged to vote as promptly as possible. To</w:t>
      </w:r>
      <w:r>
        <w:rPr>
          <w:rFonts w:ascii="Arial" w:cs="Arial" w:eastAsia="Arial" w:hAnsi="Arial"/>
          <w:sz w:val="17"/>
          <w:szCs w:val="17"/>
          <w:b w:val="1"/>
          <w:bCs w:val="1"/>
          <w:color w:val="auto"/>
        </w:rPr>
        <w:t xml:space="preserve"> </w:t>
      </w:r>
      <w:r>
        <w:rPr>
          <w:rFonts w:ascii="Arial" w:cs="Arial" w:eastAsia="Arial" w:hAnsi="Arial"/>
          <w:sz w:val="17"/>
          <w:szCs w:val="17"/>
          <w:color w:val="auto"/>
        </w:rPr>
        <w:t>vote your shares, please refer to the voting instruction form on the website noted above, or review the section titled “Quorum and Voting” in the proxy statement. Any shareholder attending the annual meeting may vote in person even if that shareholder has returned a proxy.</w:t>
      </w:r>
    </w:p>
    <w:p>
      <w:pPr>
        <w:spacing w:after="0" w:line="20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66040</wp:posOffset>
            </wp:positionV>
            <wp:extent cx="1946910" cy="651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4691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Sarah E. Hlavinka</w:t>
      </w:r>
    </w:p>
    <w:p>
      <w:pPr>
        <w:ind w:left="6820"/>
        <w:spacing w:after="0"/>
        <w:rPr>
          <w:sz w:val="20"/>
          <w:szCs w:val="20"/>
          <w:color w:val="auto"/>
        </w:rPr>
      </w:pPr>
      <w:r>
        <w:rPr>
          <w:rFonts w:ascii="Arial" w:cs="Arial" w:eastAsia="Arial" w:hAnsi="Arial"/>
          <w:sz w:val="18"/>
          <w:szCs w:val="18"/>
          <w:i w:val="1"/>
          <w:iCs w:val="1"/>
          <w:color w:val="auto"/>
        </w:rPr>
        <w:t>Corporate Secretary</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Liberty Lake, Washington</w:t>
      </w:r>
    </w:p>
    <w:p>
      <w:pPr>
        <w:ind w:left="200"/>
        <w:spacing w:after="0"/>
        <w:rPr>
          <w:sz w:val="20"/>
          <w:szCs w:val="20"/>
          <w:color w:val="auto"/>
        </w:rPr>
      </w:pPr>
      <w:r>
        <w:rPr>
          <w:rFonts w:ascii="Arial" w:cs="Arial" w:eastAsia="Arial" w:hAnsi="Arial"/>
          <w:sz w:val="18"/>
          <w:szCs w:val="18"/>
          <w:color w:val="auto"/>
        </w:rPr>
        <w:t>March 22, 2019</w:t>
      </w:r>
    </w:p>
    <w:p>
      <w:pPr>
        <w:sectPr>
          <w:pgSz w:w="11900" w:h="16838" w:orient="portrait"/>
          <w:cols w:equalWidth="0" w:num="1">
            <w:col w:w="11220"/>
          </w:cols>
          <w:pgMar w:left="240" w:top="459" w:right="4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260" w:type="dxa"/>
            <w:vAlign w:val="bottom"/>
            <w:gridSpan w:val="4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92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40" w:type="dxa"/>
            <w:vAlign w:val="bottom"/>
            <w:gridSpan w:val="9"/>
          </w:tcPr>
          <w:p>
            <w:pPr>
              <w:ind w:left="40"/>
              <w:spacing w:after="0"/>
              <w:rPr>
                <w:sz w:val="20"/>
                <w:szCs w:val="20"/>
                <w:color w:val="auto"/>
              </w:rPr>
            </w:pPr>
            <w:r>
              <w:rPr>
                <w:rFonts w:ascii="Arial" w:cs="Arial" w:eastAsia="Arial" w:hAnsi="Arial"/>
                <w:sz w:val="18"/>
                <w:szCs w:val="18"/>
                <w:b w:val="1"/>
                <w:bCs w:val="1"/>
                <w:color w:val="auto"/>
              </w:rPr>
              <w:t>TABLE OF CONTENTS</w:t>
            </w:r>
          </w:p>
        </w:tc>
        <w:tc>
          <w:tcPr>
            <w:tcW w:w="1920" w:type="dxa"/>
            <w:vAlign w:val="bottom"/>
          </w:tcPr>
          <w:p>
            <w:pPr>
              <w:spacing w:after="0"/>
              <w:rPr>
                <w:sz w:val="24"/>
                <w:szCs w:val="24"/>
                <w:color w:val="auto"/>
              </w:rPr>
            </w:pPr>
          </w:p>
        </w:tc>
      </w:tr>
      <w:tr>
        <w:trPr>
          <w:trHeight w:val="378"/>
        </w:trPr>
        <w:tc>
          <w:tcPr>
            <w:tcW w:w="200" w:type="dxa"/>
            <w:vAlign w:val="bottom"/>
          </w:tcPr>
          <w:p>
            <w:pPr>
              <w:spacing w:after="0"/>
              <w:rPr>
                <w:sz w:val="24"/>
                <w:szCs w:val="24"/>
                <w:color w:val="auto"/>
              </w:rPr>
            </w:pPr>
          </w:p>
        </w:tc>
        <w:tc>
          <w:tcPr>
            <w:tcW w:w="1760" w:type="dxa"/>
            <w:vAlign w:val="bottom"/>
            <w:tcBorders>
              <w:bottom w:val="single" w:sz="8" w:color="0000EE"/>
            </w:tcBorders>
            <w:gridSpan w:val="5"/>
          </w:tcPr>
          <w:p>
            <w:pPr>
              <w:spacing w:after="0"/>
              <w:rPr>
                <w:rFonts w:ascii="Arial" w:cs="Arial" w:eastAsia="Arial" w:hAnsi="Arial"/>
                <w:sz w:val="18"/>
                <w:szCs w:val="18"/>
                <w:b w:val="1"/>
                <w:bCs w:val="1"/>
                <w:color w:val="0000EE"/>
                <w:w w:val="97"/>
              </w:rPr>
            </w:pPr>
            <w:hyperlink w:anchor="page6">
              <w:r>
                <w:rPr>
                  <w:rFonts w:ascii="Arial" w:cs="Arial" w:eastAsia="Arial" w:hAnsi="Arial"/>
                  <w:sz w:val="18"/>
                  <w:szCs w:val="18"/>
                  <w:b w:val="1"/>
                  <w:bCs w:val="1"/>
                  <w:color w:val="0000EE"/>
                  <w:w w:val="97"/>
                </w:rPr>
                <w:t>PROXY STATEMENT</w:t>
              </w:r>
            </w:hyperlink>
          </w:p>
        </w:tc>
        <w:tc>
          <w:tcPr>
            <w:tcW w:w="7300" w:type="dxa"/>
            <w:vAlign w:val="bottom"/>
            <w:gridSpan w:val="36"/>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91"/>
        </w:trPr>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20" w:type="dxa"/>
            <w:vAlign w:val="bottom"/>
            <w:gridSpan w:val="4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Internet Availability of Annual Meeting Materials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20" w:type="dxa"/>
            <w:vAlign w:val="bottom"/>
            <w:gridSpan w:val="40"/>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Proposals to Be Voted On at the Annual Meeting</w:t>
              </w:r>
            </w:hyperlink>
          </w:p>
        </w:tc>
        <w:tc>
          <w:tcPr>
            <w:tcW w:w="192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0" w:type="dxa"/>
            <w:vAlign w:val="bottom"/>
            <w:tcBorders>
              <w:top w:val="single" w:sz="8" w:color="0000EE"/>
              <w:bottom w:val="single" w:sz="8" w:color="0000EE"/>
            </w:tcBorders>
            <w:gridSpan w:val="21"/>
          </w:tcPr>
          <w:p>
            <w:pPr>
              <w:spacing w:after="0" w:line="18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Record Date and Outstanding Shares</w:t>
              </w:r>
            </w:hyperlink>
          </w:p>
        </w:tc>
        <w:tc>
          <w:tcPr>
            <w:tcW w:w="860" w:type="dxa"/>
            <w:vAlign w:val="bottom"/>
            <w:tcBorders>
              <w:top w:val="single" w:sz="8" w:color="0000EE"/>
            </w:tcBorders>
            <w:gridSpan w:val="9"/>
          </w:tcPr>
          <w:p>
            <w:pPr>
              <w:spacing w:after="0"/>
              <w:rPr>
                <w:sz w:val="15"/>
                <w:szCs w:val="15"/>
                <w:color w:val="auto"/>
              </w:rPr>
            </w:pPr>
          </w:p>
        </w:tc>
        <w:tc>
          <w:tcPr>
            <w:tcW w:w="4760" w:type="dxa"/>
            <w:vAlign w:val="bottom"/>
            <w:gridSpan w:val="10"/>
          </w:tcPr>
          <w:p>
            <w:pPr>
              <w:spacing w:after="0"/>
              <w:rPr>
                <w:sz w:val="15"/>
                <w:szCs w:val="15"/>
                <w:color w:val="auto"/>
              </w:rPr>
            </w:pPr>
          </w:p>
        </w:tc>
        <w:tc>
          <w:tcPr>
            <w:tcW w:w="192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20" w:type="dxa"/>
            <w:vAlign w:val="bottom"/>
            <w:gridSpan w:val="40"/>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Quorum and Voting</w:t>
              </w:r>
            </w:hyperlink>
          </w:p>
        </w:tc>
        <w:tc>
          <w:tcPr>
            <w:tcW w:w="192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20" w:type="dxa"/>
            <w:vAlign w:val="bottom"/>
            <w:tcBorders>
              <w:bottom w:val="single" w:sz="8" w:color="0000EE"/>
            </w:tcBorders>
            <w:gridSpan w:val="8"/>
          </w:tcPr>
          <w:p>
            <w:pPr>
              <w:spacing w:after="0" w:line="182" w:lineRule="exact"/>
              <w:rPr>
                <w:rFonts w:ascii="Arial" w:cs="Arial" w:eastAsia="Arial" w:hAnsi="Arial"/>
                <w:sz w:val="18"/>
                <w:szCs w:val="18"/>
                <w:color w:val="0000EE"/>
                <w:w w:val="98"/>
              </w:rPr>
            </w:pPr>
            <w:hyperlink w:anchor="page8">
              <w:r>
                <w:rPr>
                  <w:rFonts w:ascii="Arial" w:cs="Arial" w:eastAsia="Arial" w:hAnsi="Arial"/>
                  <w:sz w:val="18"/>
                  <w:szCs w:val="18"/>
                  <w:color w:val="0000EE"/>
                  <w:w w:val="98"/>
                </w:rPr>
                <w:t>Revocability of Proxies</w:t>
              </w:r>
            </w:hyperlink>
          </w:p>
        </w:tc>
        <w:tc>
          <w:tcPr>
            <w:tcW w:w="6800" w:type="dxa"/>
            <w:vAlign w:val="bottom"/>
            <w:gridSpan w:val="32"/>
          </w:tcPr>
          <w:p>
            <w:pPr>
              <w:spacing w:after="0"/>
              <w:rPr>
                <w:sz w:val="15"/>
                <w:szCs w:val="15"/>
                <w:color w:val="auto"/>
              </w:rPr>
            </w:pPr>
          </w:p>
        </w:tc>
        <w:tc>
          <w:tcPr>
            <w:tcW w:w="192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Borders>
              <w:bottom w:val="single" w:sz="8" w:color="0000EE"/>
            </w:tcBorders>
            <w:gridSpan w:val="6"/>
          </w:tcPr>
          <w:p>
            <w:pPr>
              <w:spacing w:after="0" w:line="182" w:lineRule="exact"/>
              <w:rPr>
                <w:rFonts w:ascii="Arial" w:cs="Arial" w:eastAsia="Arial" w:hAnsi="Arial"/>
                <w:sz w:val="18"/>
                <w:szCs w:val="18"/>
                <w:color w:val="0000EE"/>
                <w:w w:val="98"/>
              </w:rPr>
            </w:pPr>
            <w:hyperlink w:anchor="page8">
              <w:r>
                <w:rPr>
                  <w:rFonts w:ascii="Arial" w:cs="Arial" w:eastAsia="Arial" w:hAnsi="Arial"/>
                  <w:sz w:val="18"/>
                  <w:szCs w:val="18"/>
                  <w:color w:val="0000EE"/>
                  <w:w w:val="98"/>
                </w:rPr>
                <w:t>Proxy Solicitation</w:t>
              </w:r>
            </w:hyperlink>
          </w:p>
        </w:tc>
        <w:tc>
          <w:tcPr>
            <w:tcW w:w="7240" w:type="dxa"/>
            <w:vAlign w:val="bottom"/>
            <w:gridSpan w:val="34"/>
          </w:tcPr>
          <w:p>
            <w:pPr>
              <w:spacing w:after="0"/>
              <w:rPr>
                <w:sz w:val="15"/>
                <w:szCs w:val="15"/>
                <w:color w:val="auto"/>
              </w:rPr>
            </w:pPr>
          </w:p>
        </w:tc>
        <w:tc>
          <w:tcPr>
            <w:tcW w:w="192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291"/>
        </w:trPr>
        <w:tc>
          <w:tcPr>
            <w:tcW w:w="200" w:type="dxa"/>
            <w:vAlign w:val="bottom"/>
          </w:tcPr>
          <w:p>
            <w:pPr>
              <w:spacing w:after="0"/>
              <w:rPr>
                <w:sz w:val="24"/>
                <w:szCs w:val="24"/>
                <w:color w:val="auto"/>
              </w:rPr>
            </w:pPr>
          </w:p>
        </w:tc>
        <w:tc>
          <w:tcPr>
            <w:tcW w:w="9060" w:type="dxa"/>
            <w:vAlign w:val="bottom"/>
            <w:gridSpan w:val="41"/>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PROPOSAL 1 – ELECTION OF DIRECTORS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58"/>
        </w:trPr>
        <w:tc>
          <w:tcPr>
            <w:tcW w:w="200" w:type="dxa"/>
            <w:vAlign w:val="bottom"/>
          </w:tcPr>
          <w:p>
            <w:pPr>
              <w:spacing w:after="0"/>
              <w:rPr>
                <w:sz w:val="24"/>
                <w:szCs w:val="24"/>
                <w:color w:val="auto"/>
              </w:rPr>
            </w:pPr>
          </w:p>
        </w:tc>
        <w:tc>
          <w:tcPr>
            <w:tcW w:w="4100" w:type="dxa"/>
            <w:vAlign w:val="bottom"/>
            <w:tcBorders>
              <w:bottom w:val="single" w:sz="8" w:color="0000EE"/>
            </w:tcBorders>
            <w:gridSpan w:val="28"/>
          </w:tcPr>
          <w:p>
            <w:pPr>
              <w:spacing w:after="0"/>
              <w:rPr>
                <w:rFonts w:ascii="Arial" w:cs="Arial" w:eastAsia="Arial" w:hAnsi="Arial"/>
                <w:sz w:val="18"/>
                <w:szCs w:val="18"/>
                <w:b w:val="1"/>
                <w:bCs w:val="1"/>
                <w:color w:val="0000EE"/>
                <w:w w:val="99"/>
              </w:rPr>
            </w:pPr>
            <w:hyperlink w:anchor="page9">
              <w:r>
                <w:rPr>
                  <w:rFonts w:ascii="Arial" w:cs="Arial" w:eastAsia="Arial" w:hAnsi="Arial"/>
                  <w:sz w:val="18"/>
                  <w:szCs w:val="18"/>
                  <w:b w:val="1"/>
                  <w:bCs w:val="1"/>
                  <w:color w:val="0000EE"/>
                  <w:w w:val="99"/>
                </w:rPr>
                <w:t>MORE INFORMATION ABOUT OUR DIRECTORS</w:t>
              </w:r>
            </w:hyperlink>
          </w:p>
        </w:tc>
        <w:tc>
          <w:tcPr>
            <w:tcW w:w="4960" w:type="dxa"/>
            <w:vAlign w:val="bottom"/>
            <w:gridSpan w:val="13"/>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91"/>
        </w:trPr>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20" w:type="dxa"/>
            <w:vAlign w:val="bottom"/>
            <w:gridSpan w:val="40"/>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Compensation of Directors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58"/>
        </w:trPr>
        <w:tc>
          <w:tcPr>
            <w:tcW w:w="200" w:type="dxa"/>
            <w:vAlign w:val="bottom"/>
          </w:tcPr>
          <w:p>
            <w:pPr>
              <w:spacing w:after="0"/>
              <w:rPr>
                <w:sz w:val="24"/>
                <w:szCs w:val="24"/>
                <w:color w:val="auto"/>
              </w:rPr>
            </w:pPr>
          </w:p>
        </w:tc>
        <w:tc>
          <w:tcPr>
            <w:tcW w:w="9060" w:type="dxa"/>
            <w:vAlign w:val="bottom"/>
            <w:gridSpan w:val="41"/>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CORPORATE GOVERNANCE</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91"/>
        </w:trPr>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20" w:type="dxa"/>
            <w:vAlign w:val="bottom"/>
            <w:gridSpan w:val="4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Leadership Structure of the Board of Directors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6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Corporate Governance Guiding Principles</w:t>
              </w:r>
            </w:hyperlink>
          </w:p>
        </w:tc>
        <w:tc>
          <w:tcPr>
            <w:tcW w:w="4960" w:type="dxa"/>
            <w:vAlign w:val="bottom"/>
            <w:gridSpan w:val="13"/>
          </w:tcPr>
          <w:p>
            <w:pPr>
              <w:spacing w:after="0"/>
              <w:rPr>
                <w:sz w:val="15"/>
                <w:szCs w:val="15"/>
                <w:color w:val="auto"/>
              </w:rPr>
            </w:pPr>
          </w:p>
        </w:tc>
        <w:tc>
          <w:tcPr>
            <w:tcW w:w="192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32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Board Matters – Meeting Attendance</w:t>
              </w:r>
            </w:hyperlink>
          </w:p>
        </w:tc>
        <w:tc>
          <w:tcPr>
            <w:tcW w:w="5300" w:type="dxa"/>
            <w:vAlign w:val="bottom"/>
            <w:gridSpan w:val="15"/>
          </w:tcPr>
          <w:p>
            <w:pPr>
              <w:spacing w:after="0"/>
              <w:rPr>
                <w:sz w:val="15"/>
                <w:szCs w:val="15"/>
                <w:color w:val="auto"/>
              </w:rPr>
            </w:pPr>
          </w:p>
        </w:tc>
        <w:tc>
          <w:tcPr>
            <w:tcW w:w="192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2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8"/>
              </w:rPr>
            </w:pPr>
            <w:hyperlink w:anchor="page19">
              <w:r>
                <w:rPr>
                  <w:rFonts w:ascii="Arial" w:cs="Arial" w:eastAsia="Arial" w:hAnsi="Arial"/>
                  <w:sz w:val="18"/>
                  <w:szCs w:val="18"/>
                  <w:color w:val="0000EE"/>
                  <w:w w:val="98"/>
                </w:rPr>
                <w:t>Director Independence</w:t>
              </w:r>
            </w:hyperlink>
          </w:p>
        </w:tc>
        <w:tc>
          <w:tcPr>
            <w:tcW w:w="1100" w:type="dxa"/>
            <w:vAlign w:val="bottom"/>
            <w:tcBorders>
              <w:top w:val="single" w:sz="8" w:color="0000EE"/>
            </w:tcBorders>
            <w:gridSpan w:val="11"/>
          </w:tcPr>
          <w:p>
            <w:pPr>
              <w:spacing w:after="0"/>
              <w:rPr>
                <w:sz w:val="15"/>
                <w:szCs w:val="15"/>
                <w:color w:val="auto"/>
              </w:rPr>
            </w:pPr>
          </w:p>
        </w:tc>
        <w:tc>
          <w:tcPr>
            <w:tcW w:w="5700" w:type="dxa"/>
            <w:vAlign w:val="bottom"/>
            <w:gridSpan w:val="21"/>
          </w:tcPr>
          <w:p>
            <w:pPr>
              <w:spacing w:after="0"/>
              <w:rPr>
                <w:sz w:val="15"/>
                <w:szCs w:val="15"/>
                <w:color w:val="auto"/>
              </w:rPr>
            </w:pPr>
          </w:p>
        </w:tc>
        <w:tc>
          <w:tcPr>
            <w:tcW w:w="192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20" w:type="dxa"/>
            <w:vAlign w:val="bottom"/>
            <w:gridSpan w:val="40"/>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Committees of the Board</w:t>
              </w:r>
            </w:hyperlink>
          </w:p>
        </w:tc>
        <w:tc>
          <w:tcPr>
            <w:tcW w:w="192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180" w:type="dxa"/>
            <w:vAlign w:val="bottom"/>
            <w:gridSpan w:val="39"/>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Nominating and Corporate Governance Committee</w:t>
              </w:r>
            </w:hyperlink>
          </w:p>
        </w:tc>
        <w:tc>
          <w:tcPr>
            <w:tcW w:w="192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60" w:type="dxa"/>
            <w:vAlign w:val="bottom"/>
            <w:tcBorders>
              <w:top w:val="single" w:sz="8" w:color="0000EE"/>
            </w:tcBorders>
            <w:gridSpan w:val="32"/>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Audit/Finance Committee</w:t>
              </w:r>
            </w:hyperlink>
          </w:p>
        </w:tc>
        <w:tc>
          <w:tcPr>
            <w:tcW w:w="4120" w:type="dxa"/>
            <w:vAlign w:val="bottom"/>
            <w:gridSpan w:val="7"/>
          </w:tcPr>
          <w:p>
            <w:pPr>
              <w:spacing w:after="0"/>
              <w:rPr>
                <w:sz w:val="15"/>
                <w:szCs w:val="15"/>
                <w:color w:val="auto"/>
              </w:rPr>
            </w:pPr>
          </w:p>
        </w:tc>
        <w:tc>
          <w:tcPr>
            <w:tcW w:w="192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180" w:type="dxa"/>
            <w:vAlign w:val="bottom"/>
            <w:gridSpan w:val="39"/>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Compensation Committee</w:t>
              </w:r>
            </w:hyperlink>
          </w:p>
        </w:tc>
        <w:tc>
          <w:tcPr>
            <w:tcW w:w="192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80" w:type="dxa"/>
            <w:vAlign w:val="bottom"/>
            <w:tcBorders>
              <w:bottom w:val="single" w:sz="8" w:color="0000EE"/>
            </w:tcBorders>
            <w:gridSpan w:val="36"/>
          </w:tcPr>
          <w:p>
            <w:pPr>
              <w:spacing w:after="0" w:line="182"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Compensation Committee Interlocks and Insider Participation</w:t>
              </w:r>
            </w:hyperlink>
          </w:p>
        </w:tc>
        <w:tc>
          <w:tcPr>
            <w:tcW w:w="3740" w:type="dxa"/>
            <w:vAlign w:val="bottom"/>
            <w:gridSpan w:val="4"/>
          </w:tcPr>
          <w:p>
            <w:pPr>
              <w:spacing w:after="0"/>
              <w:rPr>
                <w:sz w:val="15"/>
                <w:szCs w:val="15"/>
                <w:color w:val="auto"/>
              </w:rPr>
            </w:pPr>
          </w:p>
        </w:tc>
        <w:tc>
          <w:tcPr>
            <w:tcW w:w="192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78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Transactions with Related Persons</w:t>
              </w:r>
            </w:hyperlink>
          </w:p>
        </w:tc>
        <w:tc>
          <w:tcPr>
            <w:tcW w:w="5840" w:type="dxa"/>
            <w:vAlign w:val="bottom"/>
            <w:gridSpan w:val="23"/>
          </w:tcPr>
          <w:p>
            <w:pPr>
              <w:spacing w:after="0"/>
              <w:rPr>
                <w:sz w:val="15"/>
                <w:szCs w:val="15"/>
                <w:color w:val="auto"/>
              </w:rPr>
            </w:pPr>
          </w:p>
        </w:tc>
        <w:tc>
          <w:tcPr>
            <w:tcW w:w="192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20" w:type="dxa"/>
            <w:vAlign w:val="bottom"/>
            <w:gridSpan w:val="40"/>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Our Board’s Role in Risk Oversight</w:t>
              </w:r>
            </w:hyperlink>
          </w:p>
        </w:tc>
        <w:tc>
          <w:tcPr>
            <w:tcW w:w="192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78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Code of Conduct</w:t>
              </w:r>
            </w:hyperlink>
          </w:p>
        </w:tc>
        <w:tc>
          <w:tcPr>
            <w:tcW w:w="5840" w:type="dxa"/>
            <w:vAlign w:val="bottom"/>
            <w:gridSpan w:val="23"/>
          </w:tcPr>
          <w:p>
            <w:pPr>
              <w:spacing w:after="0"/>
              <w:rPr>
                <w:sz w:val="15"/>
                <w:szCs w:val="15"/>
                <w:color w:val="auto"/>
              </w:rPr>
            </w:pPr>
          </w:p>
        </w:tc>
        <w:tc>
          <w:tcPr>
            <w:tcW w:w="192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20" w:type="dxa"/>
            <w:vAlign w:val="bottom"/>
            <w:gridSpan w:val="40"/>
          </w:tcPr>
          <w:p>
            <w:pPr>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Anti-Hedging Policy</w:t>
              </w:r>
            </w:hyperlink>
          </w:p>
        </w:tc>
        <w:tc>
          <w:tcPr>
            <w:tcW w:w="192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660" w:type="dxa"/>
            <w:vAlign w:val="bottom"/>
            <w:tcBorders>
              <w:right w:val="single" w:sz="8" w:color="0000EE"/>
            </w:tcBorders>
            <w:gridSpan w:val="4"/>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20" w:type="dxa"/>
            <w:vAlign w:val="bottom"/>
            <w:gridSpan w:val="40"/>
          </w:tcPr>
          <w:p>
            <w:pPr>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Incentive Repayment (Clawback) Policy</w:t>
              </w:r>
            </w:hyperlink>
          </w:p>
        </w:tc>
        <w:tc>
          <w:tcPr>
            <w:tcW w:w="192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40" w:type="dxa"/>
            <w:vAlign w:val="bottom"/>
            <w:tcBorders>
              <w:top w:val="single" w:sz="8" w:color="0000EE"/>
              <w:bottom w:val="single" w:sz="8" w:color="0000EE"/>
            </w:tcBorders>
            <w:gridSpan w:val="22"/>
          </w:tcPr>
          <w:p>
            <w:pPr>
              <w:spacing w:after="0" w:line="182" w:lineRule="exact"/>
              <w:rPr>
                <w:rFonts w:ascii="Arial" w:cs="Arial" w:eastAsia="Arial" w:hAnsi="Arial"/>
                <w:sz w:val="18"/>
                <w:szCs w:val="18"/>
                <w:color w:val="0000EE"/>
                <w:w w:val="99"/>
              </w:rPr>
            </w:pPr>
            <w:hyperlink w:anchor="page23">
              <w:r>
                <w:rPr>
                  <w:rFonts w:ascii="Arial" w:cs="Arial" w:eastAsia="Arial" w:hAnsi="Arial"/>
                  <w:sz w:val="18"/>
                  <w:szCs w:val="18"/>
                  <w:color w:val="0000EE"/>
                  <w:w w:val="99"/>
                </w:rPr>
                <w:t>Director Nominations by Shareholders</w:t>
              </w:r>
            </w:hyperlink>
          </w:p>
        </w:tc>
        <w:tc>
          <w:tcPr>
            <w:tcW w:w="120" w:type="dxa"/>
            <w:vAlign w:val="bottom"/>
            <w:tcBorders>
              <w:top w:val="single" w:sz="8" w:color="0000EE"/>
            </w:tcBorders>
          </w:tcPr>
          <w:p>
            <w:pPr>
              <w:spacing w:after="0"/>
              <w:rPr>
                <w:sz w:val="15"/>
                <w:szCs w:val="15"/>
                <w:color w:val="auto"/>
              </w:rPr>
            </w:pPr>
          </w:p>
        </w:tc>
        <w:tc>
          <w:tcPr>
            <w:tcW w:w="5460" w:type="dxa"/>
            <w:vAlign w:val="bottom"/>
            <w:gridSpan w:val="17"/>
          </w:tcPr>
          <w:p>
            <w:pPr>
              <w:spacing w:after="0"/>
              <w:rPr>
                <w:sz w:val="15"/>
                <w:szCs w:val="15"/>
                <w:color w:val="auto"/>
              </w:rPr>
            </w:pPr>
          </w:p>
        </w:tc>
        <w:tc>
          <w:tcPr>
            <w:tcW w:w="192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20" w:type="dxa"/>
            <w:vAlign w:val="bottom"/>
            <w:gridSpan w:val="40"/>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Shareholder Communications with the Board</w:t>
              </w:r>
            </w:hyperlink>
          </w:p>
        </w:tc>
        <w:tc>
          <w:tcPr>
            <w:tcW w:w="192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660" w:type="dxa"/>
            <w:vAlign w:val="bottom"/>
            <w:tcBorders>
              <w:right w:val="single" w:sz="8" w:color="0000EE"/>
            </w:tcBorders>
            <w:gridSpan w:val="4"/>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91"/>
        </w:trPr>
        <w:tc>
          <w:tcPr>
            <w:tcW w:w="200" w:type="dxa"/>
            <w:vAlign w:val="bottom"/>
          </w:tcPr>
          <w:p>
            <w:pPr>
              <w:spacing w:after="0"/>
              <w:rPr>
                <w:sz w:val="24"/>
                <w:szCs w:val="24"/>
                <w:color w:val="auto"/>
              </w:rPr>
            </w:pPr>
          </w:p>
        </w:tc>
        <w:tc>
          <w:tcPr>
            <w:tcW w:w="9060" w:type="dxa"/>
            <w:vAlign w:val="bottom"/>
            <w:gridSpan w:val="41"/>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PROPOSAL 2 – ADVISORY APPROVAL OF EXECUTIVE COMPENSATION (Say-on-Pay)</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58"/>
        </w:trPr>
        <w:tc>
          <w:tcPr>
            <w:tcW w:w="200" w:type="dxa"/>
            <w:vAlign w:val="bottom"/>
          </w:tcPr>
          <w:p>
            <w:pPr>
              <w:spacing w:after="0"/>
              <w:rPr>
                <w:sz w:val="24"/>
                <w:szCs w:val="24"/>
                <w:color w:val="auto"/>
              </w:rPr>
            </w:pPr>
          </w:p>
        </w:tc>
        <w:tc>
          <w:tcPr>
            <w:tcW w:w="2560" w:type="dxa"/>
            <w:vAlign w:val="bottom"/>
            <w:tcBorders>
              <w:top w:val="single" w:sz="8" w:color="0000EE"/>
              <w:bottom w:val="single" w:sz="8" w:color="0000EE"/>
            </w:tcBorders>
            <w:gridSpan w:val="12"/>
          </w:tcPr>
          <w:p>
            <w:pPr>
              <w:spacing w:after="0"/>
              <w:rPr>
                <w:rFonts w:ascii="Arial" w:cs="Arial" w:eastAsia="Arial" w:hAnsi="Arial"/>
                <w:sz w:val="18"/>
                <w:szCs w:val="18"/>
                <w:b w:val="1"/>
                <w:bCs w:val="1"/>
                <w:color w:val="0000EE"/>
                <w:w w:val="99"/>
              </w:rPr>
            </w:pPr>
            <w:hyperlink w:anchor="page26">
              <w:r>
                <w:rPr>
                  <w:rFonts w:ascii="Arial" w:cs="Arial" w:eastAsia="Arial" w:hAnsi="Arial"/>
                  <w:sz w:val="18"/>
                  <w:szCs w:val="18"/>
                  <w:b w:val="1"/>
                  <w:bCs w:val="1"/>
                  <w:color w:val="0000EE"/>
                  <w:w w:val="99"/>
                </w:rPr>
                <w:t>EXECUTIVE COMPENSATION</w:t>
              </w:r>
            </w:hyperlink>
          </w:p>
        </w:tc>
        <w:tc>
          <w:tcPr>
            <w:tcW w:w="4800" w:type="dxa"/>
            <w:vAlign w:val="bottom"/>
            <w:tcBorders>
              <w:top w:val="single" w:sz="8" w:color="0000EE"/>
            </w:tcBorders>
            <w:gridSpan w:val="28"/>
          </w:tcPr>
          <w:p>
            <w:pPr>
              <w:spacing w:after="0"/>
              <w:rPr>
                <w:sz w:val="24"/>
                <w:szCs w:val="24"/>
                <w:color w:val="auto"/>
              </w:rPr>
            </w:pPr>
          </w:p>
        </w:tc>
        <w:tc>
          <w:tcPr>
            <w:tcW w:w="17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58"/>
        </w:trPr>
        <w:tc>
          <w:tcPr>
            <w:tcW w:w="200" w:type="dxa"/>
            <w:vAlign w:val="bottom"/>
          </w:tcPr>
          <w:p>
            <w:pPr>
              <w:spacing w:after="0"/>
              <w:rPr>
                <w:sz w:val="24"/>
                <w:szCs w:val="24"/>
                <w:color w:val="auto"/>
              </w:rPr>
            </w:pPr>
          </w:p>
        </w:tc>
        <w:tc>
          <w:tcPr>
            <w:tcW w:w="9060" w:type="dxa"/>
            <w:vAlign w:val="bottom"/>
            <w:gridSpan w:val="41"/>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Compensation Discussion and Analysis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91"/>
        </w:trPr>
        <w:tc>
          <w:tcPr>
            <w:tcW w:w="20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540" w:type="dxa"/>
            <w:vAlign w:val="bottom"/>
            <w:tcBorders>
              <w:top w:val="single" w:sz="8" w:color="0000EE"/>
            </w:tcBorders>
            <w:gridSpan w:val="1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Executive Summary</w:t>
              </w:r>
            </w:hyperlink>
          </w:p>
        </w:tc>
        <w:tc>
          <w:tcPr>
            <w:tcW w:w="5640" w:type="dxa"/>
            <w:vAlign w:val="bottom"/>
            <w:gridSpan w:val="20"/>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gridSpan w:val="4"/>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740" w:type="dxa"/>
            <w:vAlign w:val="bottom"/>
            <w:gridSpan w:val="37"/>
          </w:tcPr>
          <w:p>
            <w:pPr>
              <w:spacing w:after="0" w:line="182" w:lineRule="exact"/>
              <w:rPr>
                <w:rFonts w:ascii="Arial" w:cs="Arial" w:eastAsia="Arial" w:hAnsi="Arial"/>
                <w:sz w:val="18"/>
                <w:szCs w:val="18"/>
                <w:color w:val="0000EE"/>
              </w:rPr>
            </w:pPr>
            <w:hyperlink w:anchor="page27">
              <w:r>
                <w:rPr>
                  <w:rFonts w:ascii="Arial" w:cs="Arial" w:eastAsia="Arial" w:hAnsi="Arial"/>
                  <w:sz w:val="18"/>
                  <w:szCs w:val="18"/>
                  <w:color w:val="0000EE"/>
                </w:rPr>
                <w:t>Business Performance</w:t>
              </w:r>
            </w:hyperlink>
          </w:p>
        </w:tc>
        <w:tc>
          <w:tcPr>
            <w:tcW w:w="192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right w:val="single" w:sz="8" w:color="0000EE"/>
            </w:tcBorders>
            <w:gridSpan w:val="4"/>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tcBorders>
              <w:bottom w:val="single" w:sz="8" w:color="0000EE"/>
            </w:tcBorders>
            <w:gridSpan w:val="15"/>
          </w:tcPr>
          <w:p>
            <w:pPr>
              <w:spacing w:after="0" w:line="182" w:lineRule="exact"/>
              <w:rPr>
                <w:rFonts w:ascii="Arial" w:cs="Arial" w:eastAsia="Arial" w:hAnsi="Arial"/>
                <w:sz w:val="18"/>
                <w:szCs w:val="18"/>
                <w:color w:val="0000EE"/>
                <w:w w:val="98"/>
              </w:rPr>
            </w:pPr>
            <w:hyperlink w:anchor="page27">
              <w:r>
                <w:rPr>
                  <w:rFonts w:ascii="Arial" w:cs="Arial" w:eastAsia="Arial" w:hAnsi="Arial"/>
                  <w:sz w:val="18"/>
                  <w:szCs w:val="18"/>
                  <w:color w:val="0000EE"/>
                  <w:w w:val="98"/>
                </w:rPr>
                <w:t>Compensation Highlights</w:t>
              </w:r>
            </w:hyperlink>
          </w:p>
        </w:tc>
        <w:tc>
          <w:tcPr>
            <w:tcW w:w="5740" w:type="dxa"/>
            <w:vAlign w:val="bottom"/>
            <w:gridSpan w:val="22"/>
          </w:tcPr>
          <w:p>
            <w:pPr>
              <w:spacing w:after="0"/>
              <w:rPr>
                <w:sz w:val="15"/>
                <w:szCs w:val="15"/>
                <w:color w:val="auto"/>
              </w:rPr>
            </w:pPr>
          </w:p>
        </w:tc>
        <w:tc>
          <w:tcPr>
            <w:tcW w:w="192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0" w:type="dxa"/>
            <w:vAlign w:val="bottom"/>
            <w:tcBorders>
              <w:bottom w:val="single" w:sz="8" w:color="0000EE"/>
            </w:tcBorders>
            <w:gridSpan w:val="25"/>
          </w:tcPr>
          <w:p>
            <w:pPr>
              <w:spacing w:after="0" w:line="182" w:lineRule="exact"/>
              <w:rPr>
                <w:rFonts w:ascii="Arial" w:cs="Arial" w:eastAsia="Arial" w:hAnsi="Arial"/>
                <w:sz w:val="18"/>
                <w:szCs w:val="18"/>
                <w:color w:val="0000EE"/>
                <w:w w:val="99"/>
              </w:rPr>
            </w:pPr>
            <w:hyperlink w:anchor="page28">
              <w:r>
                <w:rPr>
                  <w:rFonts w:ascii="Arial" w:cs="Arial" w:eastAsia="Arial" w:hAnsi="Arial"/>
                  <w:sz w:val="18"/>
                  <w:szCs w:val="18"/>
                  <w:color w:val="0000EE"/>
                  <w:w w:val="99"/>
                </w:rPr>
                <w:t>Linking CEO Pay and Performance</w:t>
              </w:r>
            </w:hyperlink>
          </w:p>
        </w:tc>
        <w:tc>
          <w:tcPr>
            <w:tcW w:w="4940" w:type="dxa"/>
            <w:vAlign w:val="bottom"/>
            <w:gridSpan w:val="12"/>
          </w:tcPr>
          <w:p>
            <w:pPr>
              <w:spacing w:after="0"/>
              <w:rPr>
                <w:sz w:val="15"/>
                <w:szCs w:val="15"/>
                <w:color w:val="auto"/>
              </w:rPr>
            </w:pPr>
          </w:p>
        </w:tc>
        <w:tc>
          <w:tcPr>
            <w:tcW w:w="192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0" w:type="dxa"/>
            <w:vAlign w:val="bottom"/>
            <w:tcBorders>
              <w:bottom w:val="single" w:sz="8" w:color="0000EE"/>
            </w:tcBorders>
            <w:gridSpan w:val="28"/>
          </w:tcPr>
          <w:p>
            <w:pPr>
              <w:spacing w:after="0" w:line="182" w:lineRule="exact"/>
              <w:rPr>
                <w:rFonts w:ascii="Arial" w:cs="Arial" w:eastAsia="Arial" w:hAnsi="Arial"/>
                <w:sz w:val="18"/>
                <w:szCs w:val="18"/>
                <w:color w:val="0000EE"/>
                <w:w w:val="99"/>
              </w:rPr>
            </w:pPr>
            <w:hyperlink w:anchor="page30">
              <w:r>
                <w:rPr>
                  <w:rFonts w:ascii="Arial" w:cs="Arial" w:eastAsia="Arial" w:hAnsi="Arial"/>
                  <w:sz w:val="18"/>
                  <w:szCs w:val="18"/>
                  <w:color w:val="0000EE"/>
                  <w:w w:val="99"/>
                </w:rPr>
                <w:t>Best Compensation Practices &amp; Policies</w:t>
              </w:r>
            </w:hyperlink>
          </w:p>
        </w:tc>
        <w:tc>
          <w:tcPr>
            <w:tcW w:w="4540" w:type="dxa"/>
            <w:vAlign w:val="bottom"/>
            <w:gridSpan w:val="9"/>
          </w:tcPr>
          <w:p>
            <w:pPr>
              <w:spacing w:after="0"/>
              <w:rPr>
                <w:sz w:val="15"/>
                <w:szCs w:val="15"/>
                <w:color w:val="auto"/>
              </w:rPr>
            </w:pPr>
          </w:p>
        </w:tc>
        <w:tc>
          <w:tcPr>
            <w:tcW w:w="192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740" w:type="dxa"/>
            <w:vAlign w:val="bottom"/>
            <w:gridSpan w:val="37"/>
          </w:tcPr>
          <w:p>
            <w:pPr>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2018 Say-on-Pay &amp; Shareholder Engagement</w:t>
              </w:r>
            </w:hyperlink>
          </w:p>
        </w:tc>
        <w:tc>
          <w:tcPr>
            <w:tcW w:w="192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tcBorders>
              <w:right w:val="single" w:sz="8" w:color="0000EE"/>
            </w:tcBorders>
            <w:gridSpan w:val="4"/>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9"/>
            <w:shd w:val="clear" w:color="auto" w:fill="0000EE"/>
          </w:tcPr>
          <w:p>
            <w:pPr>
              <w:spacing w:after="0" w:line="20" w:lineRule="exact"/>
              <w:rPr>
                <w:sz w:val="1"/>
                <w:szCs w:val="1"/>
                <w:color w:val="auto"/>
              </w:rPr>
            </w:pPr>
          </w:p>
        </w:tc>
        <w:tc>
          <w:tcPr>
            <w:tcW w:w="1140" w:type="dxa"/>
            <w:vAlign w:val="bottom"/>
            <w:gridSpan w:val="8"/>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14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31">
              <w:r>
                <w:rPr>
                  <w:rFonts w:ascii="Arial" w:cs="Arial" w:eastAsia="Arial" w:hAnsi="Arial"/>
                  <w:sz w:val="18"/>
                  <w:szCs w:val="18"/>
                  <w:color w:val="0000EE"/>
                  <w:w w:val="99"/>
                </w:rPr>
                <w:t>What Guides Our Program</w:t>
              </w:r>
            </w:hyperlink>
          </w:p>
        </w:tc>
        <w:tc>
          <w:tcPr>
            <w:tcW w:w="6040" w:type="dxa"/>
            <w:vAlign w:val="bottom"/>
            <w:gridSpan w:val="26"/>
          </w:tcPr>
          <w:p>
            <w:pPr>
              <w:spacing w:after="0"/>
              <w:rPr>
                <w:sz w:val="15"/>
                <w:szCs w:val="15"/>
                <w:color w:val="auto"/>
              </w:rPr>
            </w:pPr>
          </w:p>
        </w:tc>
        <w:tc>
          <w:tcPr>
            <w:tcW w:w="192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00" w:type="dxa"/>
            <w:vAlign w:val="bottom"/>
            <w:tcBorders>
              <w:bottom w:val="single" w:sz="8" w:color="0000EE"/>
            </w:tcBorders>
            <w:gridSpan w:val="29"/>
          </w:tcPr>
          <w:p>
            <w:pPr>
              <w:spacing w:after="0" w:line="182" w:lineRule="exact"/>
              <w:rPr>
                <w:rFonts w:ascii="Arial" w:cs="Arial" w:eastAsia="Arial" w:hAnsi="Arial"/>
                <w:sz w:val="18"/>
                <w:szCs w:val="18"/>
                <w:color w:val="0000EE"/>
                <w:w w:val="99"/>
              </w:rPr>
            </w:pPr>
            <w:hyperlink w:anchor="page31">
              <w:r>
                <w:rPr>
                  <w:rFonts w:ascii="Arial" w:cs="Arial" w:eastAsia="Arial" w:hAnsi="Arial"/>
                  <w:sz w:val="18"/>
                  <w:szCs w:val="18"/>
                  <w:color w:val="0000EE"/>
                  <w:w w:val="99"/>
                </w:rPr>
                <w:t>Our Compensation Philosophy &amp; Objectives</w:t>
              </w:r>
            </w:hyperlink>
          </w:p>
        </w:tc>
        <w:tc>
          <w:tcPr>
            <w:tcW w:w="4240" w:type="dxa"/>
            <w:vAlign w:val="bottom"/>
            <w:gridSpan w:val="8"/>
          </w:tcPr>
          <w:p>
            <w:pPr>
              <w:spacing w:after="0"/>
              <w:rPr>
                <w:sz w:val="15"/>
                <w:szCs w:val="15"/>
                <w:color w:val="auto"/>
              </w:rPr>
            </w:pPr>
          </w:p>
        </w:tc>
        <w:tc>
          <w:tcPr>
            <w:tcW w:w="192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740" w:type="dxa"/>
            <w:vAlign w:val="bottom"/>
            <w:gridSpan w:val="37"/>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The Principal Elements of Pay: Total Direct Compensation (TDC)</w:t>
              </w:r>
            </w:hyperlink>
          </w:p>
        </w:tc>
        <w:tc>
          <w:tcPr>
            <w:tcW w:w="192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6"/>
              </w:rPr>
            </w:pPr>
            <w:hyperlink w:anchor="page33">
              <w:r>
                <w:rPr>
                  <w:rFonts w:ascii="Arial" w:cs="Arial" w:eastAsia="Arial" w:hAnsi="Arial"/>
                  <w:sz w:val="18"/>
                  <w:szCs w:val="18"/>
                  <w:color w:val="0000EE"/>
                  <w:w w:val="96"/>
                </w:rPr>
                <w:t>Pay Mix</w:t>
              </w:r>
            </w:hyperlink>
          </w:p>
        </w:tc>
        <w:tc>
          <w:tcPr>
            <w:tcW w:w="4500" w:type="dxa"/>
            <w:vAlign w:val="bottom"/>
            <w:tcBorders>
              <w:top w:val="single" w:sz="8" w:color="0000EE"/>
            </w:tcBorders>
            <w:gridSpan w:val="30"/>
          </w:tcPr>
          <w:p>
            <w:pPr>
              <w:spacing w:after="0"/>
              <w:rPr>
                <w:sz w:val="15"/>
                <w:szCs w:val="15"/>
                <w:color w:val="auto"/>
              </w:rPr>
            </w:pPr>
          </w:p>
        </w:tc>
        <w:tc>
          <w:tcPr>
            <w:tcW w:w="2580" w:type="dxa"/>
            <w:vAlign w:val="bottom"/>
            <w:gridSpan w:val="3"/>
          </w:tcPr>
          <w:p>
            <w:pPr>
              <w:spacing w:after="0"/>
              <w:rPr>
                <w:sz w:val="15"/>
                <w:szCs w:val="15"/>
                <w:color w:val="auto"/>
              </w:rPr>
            </w:pPr>
          </w:p>
        </w:tc>
        <w:tc>
          <w:tcPr>
            <w:tcW w:w="192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740" w:type="dxa"/>
            <w:vAlign w:val="bottom"/>
            <w:gridSpan w:val="37"/>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Our Decision Making Process</w:t>
              </w:r>
            </w:hyperlink>
          </w:p>
        </w:tc>
        <w:tc>
          <w:tcPr>
            <w:tcW w:w="192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640" w:type="dxa"/>
            <w:vAlign w:val="bottom"/>
            <w:gridSpan w:val="9"/>
            <w:shd w:val="clear" w:color="auto" w:fill="0000EE"/>
          </w:tcPr>
          <w:p>
            <w:pPr>
              <w:spacing w:after="0" w:line="20" w:lineRule="exact"/>
              <w:rPr>
                <w:sz w:val="1"/>
                <w:szCs w:val="1"/>
                <w:color w:val="auto"/>
              </w:rPr>
            </w:pPr>
          </w:p>
        </w:tc>
        <w:tc>
          <w:tcPr>
            <w:tcW w:w="1440" w:type="dxa"/>
            <w:vAlign w:val="bottom"/>
            <w:gridSpan w:val="11"/>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180" w:type="dxa"/>
            <w:vAlign w:val="bottom"/>
            <w:gridSpan w:val="39"/>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The 2018 Executive Compensation Program in Detail</w:t>
              </w:r>
            </w:hyperlink>
          </w:p>
        </w:tc>
        <w:tc>
          <w:tcPr>
            <w:tcW w:w="192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800" w:type="dxa"/>
            <w:vAlign w:val="bottom"/>
            <w:tcBorders>
              <w:top w:val="single" w:sz="8" w:color="0000EE"/>
            </w:tcBorders>
            <w:gridSpan w:val="32"/>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Base Salary</w:t>
              </w:r>
            </w:hyperlink>
          </w:p>
        </w:tc>
        <w:tc>
          <w:tcPr>
            <w:tcW w:w="3940" w:type="dxa"/>
            <w:vAlign w:val="bottom"/>
            <w:gridSpan w:val="5"/>
          </w:tcPr>
          <w:p>
            <w:pPr>
              <w:spacing w:after="0"/>
              <w:rPr>
                <w:sz w:val="15"/>
                <w:szCs w:val="15"/>
                <w:color w:val="auto"/>
              </w:rPr>
            </w:pPr>
          </w:p>
        </w:tc>
        <w:tc>
          <w:tcPr>
            <w:tcW w:w="192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4300" w:type="dxa"/>
            <w:vAlign w:val="bottom"/>
            <w:gridSpan w:val="2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740" w:type="dxa"/>
            <w:vAlign w:val="bottom"/>
            <w:gridSpan w:val="37"/>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Annual Cash Incentives: The Executive Management Incentive Plan (EMIP)</w:t>
              </w:r>
            </w:hyperlink>
          </w:p>
        </w:tc>
        <w:tc>
          <w:tcPr>
            <w:tcW w:w="192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7"/>
              </w:rPr>
            </w:pPr>
            <w:hyperlink w:anchor="page37">
              <w:r>
                <w:rPr>
                  <w:rFonts w:ascii="Arial" w:cs="Arial" w:eastAsia="Arial" w:hAnsi="Arial"/>
                  <w:sz w:val="18"/>
                  <w:szCs w:val="18"/>
                  <w:color w:val="0000EE"/>
                  <w:w w:val="97"/>
                </w:rPr>
                <w:t>Long-Term Incentives</w:t>
              </w:r>
            </w:hyperlink>
          </w:p>
        </w:tc>
        <w:tc>
          <w:tcPr>
            <w:tcW w:w="4300" w:type="dxa"/>
            <w:vAlign w:val="bottom"/>
            <w:tcBorders>
              <w:top w:val="single" w:sz="8" w:color="0000EE"/>
            </w:tcBorders>
            <w:gridSpan w:val="23"/>
          </w:tcPr>
          <w:p>
            <w:pPr>
              <w:spacing w:after="0"/>
              <w:rPr>
                <w:sz w:val="15"/>
                <w:szCs w:val="15"/>
                <w:color w:val="auto"/>
              </w:rPr>
            </w:pPr>
          </w:p>
        </w:tc>
        <w:tc>
          <w:tcPr>
            <w:tcW w:w="1720" w:type="dxa"/>
            <w:vAlign w:val="bottom"/>
            <w:gridSpan w:val="2"/>
          </w:tcPr>
          <w:p>
            <w:pPr>
              <w:spacing w:after="0"/>
              <w:rPr>
                <w:sz w:val="15"/>
                <w:szCs w:val="15"/>
                <w:color w:val="auto"/>
              </w:rPr>
            </w:pPr>
          </w:p>
        </w:tc>
        <w:tc>
          <w:tcPr>
            <w:tcW w:w="192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r>
    </w:tbl>
    <w:p>
      <w:pPr>
        <w:jc w:val="right"/>
        <w:spacing w:after="0" w:line="182" w:lineRule="exact"/>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tbl>
      <w:tblPr>
        <w:tblLayout w:type="fixed"/>
        <w:tblInd w:w="0" w:type="dxa"/>
        <w:tblCellMar>
          <w:top w:w="0" w:type="dxa"/>
          <w:left w:w="0" w:type="dxa"/>
          <w:bottom w:w="0" w:type="dxa"/>
          <w:right w:w="0" w:type="dxa"/>
        </w:tblCellMar>
      </w:tblPr>
      <w:tr>
        <w:trPr>
          <w:trHeight w:val="207"/>
        </w:trPr>
        <w:tc>
          <w:tcPr>
            <w:tcW w:w="9060" w:type="dxa"/>
            <w:vAlign w:val="bottom"/>
            <w:gridSpan w:val="35"/>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120" w:type="dxa"/>
            <w:vAlign w:val="bottom"/>
          </w:tcPr>
          <w:p>
            <w:pPr>
              <w:spacing w:after="0"/>
              <w:rPr>
                <w:sz w:val="17"/>
                <w:szCs w:val="17"/>
                <w:color w:val="auto"/>
              </w:rPr>
            </w:pPr>
          </w:p>
        </w:tc>
      </w:tr>
      <w:tr>
        <w:trPr>
          <w:trHeight w:val="493"/>
        </w:trPr>
        <w:tc>
          <w:tcPr>
            <w:tcW w:w="2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7540" w:type="dxa"/>
            <w:vAlign w:val="bottom"/>
            <w:gridSpan w:val="31"/>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Other Practices, Policies and Guidelines</w:t>
              </w:r>
            </w:hyperlink>
          </w:p>
        </w:tc>
        <w:tc>
          <w:tcPr>
            <w:tcW w:w="2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26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9"/>
              </w:rPr>
            </w:pPr>
            <w:hyperlink w:anchor="page40">
              <w:r>
                <w:rPr>
                  <w:rFonts w:ascii="Arial" w:cs="Arial" w:eastAsia="Arial" w:hAnsi="Arial"/>
                  <w:sz w:val="18"/>
                  <w:szCs w:val="18"/>
                  <w:color w:val="0000EE"/>
                  <w:w w:val="99"/>
                </w:rPr>
                <w:t>Stock Ownership Guidelines</w:t>
              </w:r>
            </w:hyperlink>
          </w:p>
        </w:tc>
        <w:tc>
          <w:tcPr>
            <w:tcW w:w="560" w:type="dxa"/>
            <w:vAlign w:val="bottom"/>
            <w:tcBorders>
              <w:top w:val="single" w:sz="8" w:color="0000EE"/>
            </w:tcBorders>
            <w:gridSpan w:val="8"/>
          </w:tcPr>
          <w:p>
            <w:pPr>
              <w:spacing w:after="0"/>
              <w:rPr>
                <w:sz w:val="15"/>
                <w:szCs w:val="15"/>
                <w:color w:val="auto"/>
              </w:rPr>
            </w:pPr>
          </w:p>
        </w:tc>
        <w:tc>
          <w:tcPr>
            <w:tcW w:w="4340" w:type="dxa"/>
            <w:vAlign w:val="bottom"/>
            <w:gridSpan w:val="9"/>
          </w:tcPr>
          <w:p>
            <w:pPr>
              <w:spacing w:after="0"/>
              <w:rPr>
                <w:sz w:val="15"/>
                <w:szCs w:val="15"/>
                <w:color w:val="auto"/>
              </w:rPr>
            </w:pPr>
          </w:p>
        </w:tc>
        <w:tc>
          <w:tcPr>
            <w:tcW w:w="212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160" w:type="dxa"/>
            <w:vAlign w:val="bottom"/>
            <w:gridSpan w:val="30"/>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Anti-Hedging Policy</w:t>
              </w:r>
            </w:hyperlink>
          </w:p>
        </w:tc>
        <w:tc>
          <w:tcPr>
            <w:tcW w:w="212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50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w:anchor="page41">
              <w:r>
                <w:rPr>
                  <w:rFonts w:ascii="Arial" w:cs="Arial" w:eastAsia="Arial" w:hAnsi="Arial"/>
                  <w:sz w:val="18"/>
                  <w:szCs w:val="18"/>
                  <w:color w:val="0000EE"/>
                  <w:w w:val="99"/>
                </w:rPr>
                <w:t>Change-in-Control Agreements</w:t>
              </w:r>
            </w:hyperlink>
          </w:p>
        </w:tc>
        <w:tc>
          <w:tcPr>
            <w:tcW w:w="4660" w:type="dxa"/>
            <w:vAlign w:val="bottom"/>
            <w:gridSpan w:val="12"/>
          </w:tcPr>
          <w:p>
            <w:pPr>
              <w:spacing w:after="0"/>
              <w:rPr>
                <w:sz w:val="15"/>
                <w:szCs w:val="15"/>
                <w:color w:val="auto"/>
              </w:rPr>
            </w:pPr>
          </w:p>
        </w:tc>
        <w:tc>
          <w:tcPr>
            <w:tcW w:w="212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160" w:type="dxa"/>
            <w:vAlign w:val="bottom"/>
            <w:gridSpan w:val="30"/>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Employment Agreements; Severance Policy</w:t>
              </w:r>
            </w:hyperlink>
          </w:p>
        </w:tc>
        <w:tc>
          <w:tcPr>
            <w:tcW w:w="212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50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Incentive Repayment (Clawback) Policy</w:t>
              </w:r>
            </w:hyperlink>
          </w:p>
        </w:tc>
        <w:tc>
          <w:tcPr>
            <w:tcW w:w="3660" w:type="dxa"/>
            <w:vAlign w:val="bottom"/>
            <w:gridSpan w:val="6"/>
          </w:tcPr>
          <w:p>
            <w:pPr>
              <w:spacing w:after="0"/>
              <w:rPr>
                <w:sz w:val="15"/>
                <w:szCs w:val="15"/>
                <w:color w:val="auto"/>
              </w:rPr>
            </w:pPr>
          </w:p>
        </w:tc>
        <w:tc>
          <w:tcPr>
            <w:tcW w:w="212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740" w:type="dxa"/>
            <w:vAlign w:val="bottom"/>
            <w:tcBorders>
              <w:top w:val="single" w:sz="8" w:color="0000EE"/>
              <w:bottom w:val="single" w:sz="8" w:color="0000EE"/>
            </w:tcBorders>
            <w:gridSpan w:val="20"/>
          </w:tcPr>
          <w:p>
            <w:pPr>
              <w:spacing w:after="0" w:line="182" w:lineRule="exact"/>
              <w:rPr>
                <w:rFonts w:ascii="Arial" w:cs="Arial" w:eastAsia="Arial" w:hAnsi="Arial"/>
                <w:sz w:val="18"/>
                <w:szCs w:val="18"/>
                <w:color w:val="0000EE"/>
                <w:w w:val="99"/>
              </w:rPr>
            </w:pPr>
            <w:hyperlink w:anchor="page41">
              <w:r>
                <w:rPr>
                  <w:rFonts w:ascii="Arial" w:cs="Arial" w:eastAsia="Arial" w:hAnsi="Arial"/>
                  <w:sz w:val="18"/>
                  <w:szCs w:val="18"/>
                  <w:color w:val="0000EE"/>
                  <w:w w:val="99"/>
                </w:rPr>
                <w:t>Executive Deferred Compensation</w:t>
              </w:r>
            </w:hyperlink>
          </w:p>
        </w:tc>
        <w:tc>
          <w:tcPr>
            <w:tcW w:w="420" w:type="dxa"/>
            <w:vAlign w:val="bottom"/>
            <w:tcBorders>
              <w:top w:val="single" w:sz="8" w:color="0000EE"/>
            </w:tcBorders>
            <w:gridSpan w:val="2"/>
          </w:tcPr>
          <w:p>
            <w:pPr>
              <w:spacing w:after="0"/>
              <w:rPr>
                <w:sz w:val="15"/>
                <w:szCs w:val="15"/>
                <w:color w:val="auto"/>
              </w:rPr>
            </w:pPr>
          </w:p>
        </w:tc>
        <w:tc>
          <w:tcPr>
            <w:tcW w:w="4000" w:type="dxa"/>
            <w:vAlign w:val="bottom"/>
            <w:gridSpan w:val="8"/>
          </w:tcPr>
          <w:p>
            <w:pPr>
              <w:spacing w:after="0"/>
              <w:rPr>
                <w:sz w:val="15"/>
                <w:szCs w:val="15"/>
                <w:color w:val="auto"/>
              </w:rPr>
            </w:pPr>
          </w:p>
        </w:tc>
        <w:tc>
          <w:tcPr>
            <w:tcW w:w="212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160" w:type="dxa"/>
            <w:vAlign w:val="bottom"/>
            <w:gridSpan w:val="30"/>
          </w:tcPr>
          <w:p>
            <w:pPr>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General Benefits and Perquisites</w:t>
              </w:r>
            </w:hyperlink>
          </w:p>
        </w:tc>
        <w:tc>
          <w:tcPr>
            <w:tcW w:w="212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tcBorders>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40" w:type="dxa"/>
            <w:vAlign w:val="bottom"/>
            <w:tcBorders>
              <w:bottom w:val="single" w:sz="8" w:color="0000EE"/>
            </w:tcBorders>
            <w:gridSpan w:val="25"/>
          </w:tcPr>
          <w:p>
            <w:pPr>
              <w:spacing w:after="0" w:line="182" w:lineRule="exact"/>
              <w:rPr>
                <w:rFonts w:ascii="Arial" w:cs="Arial" w:eastAsia="Arial" w:hAnsi="Arial"/>
                <w:sz w:val="18"/>
                <w:szCs w:val="18"/>
                <w:color w:val="0000EE"/>
                <w:w w:val="99"/>
              </w:rPr>
            </w:pPr>
            <w:hyperlink w:anchor="page42">
              <w:r>
                <w:rPr>
                  <w:rFonts w:ascii="Arial" w:cs="Arial" w:eastAsia="Arial" w:hAnsi="Arial"/>
                  <w:sz w:val="18"/>
                  <w:szCs w:val="18"/>
                  <w:color w:val="0000EE"/>
                  <w:w w:val="99"/>
                </w:rPr>
                <w:t>401(k) Plan and Employee Stock Purchase Plan</w:t>
              </w:r>
            </w:hyperlink>
          </w:p>
        </w:tc>
        <w:tc>
          <w:tcPr>
            <w:tcW w:w="3320" w:type="dxa"/>
            <w:vAlign w:val="bottom"/>
            <w:gridSpan w:val="5"/>
          </w:tcPr>
          <w:p>
            <w:pPr>
              <w:spacing w:after="0"/>
              <w:rPr>
                <w:sz w:val="15"/>
                <w:szCs w:val="15"/>
                <w:color w:val="auto"/>
              </w:rPr>
            </w:pPr>
          </w:p>
        </w:tc>
        <w:tc>
          <w:tcPr>
            <w:tcW w:w="212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160" w:type="dxa"/>
            <w:vAlign w:val="bottom"/>
            <w:gridSpan w:val="30"/>
          </w:tcPr>
          <w:p>
            <w:pPr>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2018 Risk Assessment</w:t>
              </w:r>
            </w:hyperlink>
          </w:p>
        </w:tc>
        <w:tc>
          <w:tcPr>
            <w:tcW w:w="212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w:anchor="page43">
              <w:r>
                <w:rPr>
                  <w:rFonts w:ascii="Arial" w:cs="Arial" w:eastAsia="Arial" w:hAnsi="Arial"/>
                  <w:sz w:val="18"/>
                  <w:szCs w:val="18"/>
                  <w:color w:val="0000EE"/>
                  <w:w w:val="98"/>
                </w:rPr>
                <w:t>CEO Pay Ratio</w:t>
              </w:r>
            </w:hyperlink>
          </w:p>
        </w:tc>
        <w:tc>
          <w:tcPr>
            <w:tcW w:w="620" w:type="dxa"/>
            <w:vAlign w:val="bottom"/>
            <w:tcBorders>
              <w:top w:val="single" w:sz="8" w:color="0000EE"/>
            </w:tcBorders>
            <w:gridSpan w:val="6"/>
          </w:tcPr>
          <w:p>
            <w:pPr>
              <w:spacing w:after="0"/>
              <w:rPr>
                <w:sz w:val="15"/>
                <w:szCs w:val="15"/>
                <w:color w:val="auto"/>
              </w:rPr>
            </w:pPr>
          </w:p>
        </w:tc>
        <w:tc>
          <w:tcPr>
            <w:tcW w:w="5320" w:type="dxa"/>
            <w:vAlign w:val="bottom"/>
            <w:gridSpan w:val="21"/>
          </w:tcPr>
          <w:p>
            <w:pPr>
              <w:spacing w:after="0"/>
              <w:rPr>
                <w:sz w:val="15"/>
                <w:szCs w:val="15"/>
                <w:color w:val="auto"/>
              </w:rPr>
            </w:pPr>
          </w:p>
        </w:tc>
        <w:tc>
          <w:tcPr>
            <w:tcW w:w="212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360" w:type="dxa"/>
            <w:vAlign w:val="bottom"/>
            <w:tcBorders>
              <w:bottom w:val="single" w:sz="8" w:color="0000EE"/>
            </w:tcBorders>
            <w:gridSpan w:val="16"/>
          </w:tcPr>
          <w:p>
            <w:pPr>
              <w:spacing w:after="0" w:line="182" w:lineRule="exact"/>
              <w:rPr>
                <w:rFonts w:ascii="Arial" w:cs="Arial" w:eastAsia="Arial" w:hAnsi="Arial"/>
                <w:sz w:val="18"/>
                <w:szCs w:val="18"/>
                <w:color w:val="0000EE"/>
                <w:w w:val="98"/>
              </w:rPr>
            </w:pPr>
            <w:hyperlink w:anchor="page43">
              <w:r>
                <w:rPr>
                  <w:rFonts w:ascii="Arial" w:cs="Arial" w:eastAsia="Arial" w:hAnsi="Arial"/>
                  <w:sz w:val="18"/>
                  <w:szCs w:val="18"/>
                  <w:color w:val="0000EE"/>
                  <w:w w:val="98"/>
                </w:rPr>
                <w:t>Impact of Tax and Accounting</w:t>
              </w:r>
            </w:hyperlink>
          </w:p>
        </w:tc>
        <w:tc>
          <w:tcPr>
            <w:tcW w:w="4800" w:type="dxa"/>
            <w:vAlign w:val="bottom"/>
            <w:gridSpan w:val="14"/>
          </w:tcPr>
          <w:p>
            <w:pPr>
              <w:spacing w:after="0"/>
              <w:rPr>
                <w:sz w:val="15"/>
                <w:szCs w:val="15"/>
                <w:color w:val="auto"/>
              </w:rPr>
            </w:pPr>
          </w:p>
        </w:tc>
        <w:tc>
          <w:tcPr>
            <w:tcW w:w="212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20" w:type="dxa"/>
            <w:vAlign w:val="bottom"/>
            <w:gridSpan w:val="33"/>
          </w:tcPr>
          <w:p>
            <w:pPr>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Compensation Committee Report</w:t>
              </w:r>
            </w:hyperlink>
          </w:p>
        </w:tc>
        <w:tc>
          <w:tcPr>
            <w:tcW w:w="212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358"/>
        </w:trPr>
        <w:tc>
          <w:tcPr>
            <w:tcW w:w="200" w:type="dxa"/>
            <w:vAlign w:val="bottom"/>
          </w:tcPr>
          <w:p>
            <w:pPr>
              <w:spacing w:after="0"/>
              <w:rPr>
                <w:sz w:val="24"/>
                <w:szCs w:val="24"/>
                <w:color w:val="auto"/>
              </w:rPr>
            </w:pPr>
          </w:p>
        </w:tc>
        <w:tc>
          <w:tcPr>
            <w:tcW w:w="8860" w:type="dxa"/>
            <w:vAlign w:val="bottom"/>
            <w:gridSpan w:val="34"/>
          </w:tcPr>
          <w:p>
            <w:pPr>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EXECUTIVE COMPENSATION TABLES</w:t>
              </w:r>
            </w:hyperlink>
          </w:p>
        </w:tc>
        <w:tc>
          <w:tcPr>
            <w:tcW w:w="21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58"/>
        </w:trPr>
        <w:tc>
          <w:tcPr>
            <w:tcW w:w="20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4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8"/>
              </w:rPr>
            </w:pPr>
            <w:hyperlink w:anchor="page45">
              <w:r>
                <w:rPr>
                  <w:rFonts w:ascii="Arial" w:cs="Arial" w:eastAsia="Arial" w:hAnsi="Arial"/>
                  <w:sz w:val="18"/>
                  <w:szCs w:val="18"/>
                  <w:color w:val="0000EE"/>
                  <w:w w:val="98"/>
                </w:rPr>
                <w:t>Summary Compensation Table</w:t>
              </w:r>
            </w:hyperlink>
          </w:p>
        </w:tc>
        <w:tc>
          <w:tcPr>
            <w:tcW w:w="380" w:type="dxa"/>
            <w:vAlign w:val="bottom"/>
            <w:tcBorders>
              <w:top w:val="single" w:sz="8" w:color="0000EE"/>
            </w:tcBorders>
            <w:gridSpan w:val="4"/>
          </w:tcPr>
          <w:p>
            <w:pPr>
              <w:spacing w:after="0"/>
              <w:rPr>
                <w:sz w:val="24"/>
                <w:szCs w:val="24"/>
                <w:color w:val="auto"/>
              </w:rPr>
            </w:pPr>
          </w:p>
        </w:tc>
        <w:tc>
          <w:tcPr>
            <w:tcW w:w="5580" w:type="dxa"/>
            <w:vAlign w:val="bottom"/>
            <w:gridSpan w:val="24"/>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300" w:type="dxa"/>
            <w:vAlign w:val="bottom"/>
            <w:tcBorders>
              <w:bottom w:val="single" w:sz="8" w:color="0000EE"/>
            </w:tcBorders>
            <w:gridSpan w:val="14"/>
          </w:tcPr>
          <w:p>
            <w:pPr>
              <w:spacing w:after="0" w:line="182" w:lineRule="exact"/>
              <w:rPr>
                <w:rFonts w:ascii="Arial" w:cs="Arial" w:eastAsia="Arial" w:hAnsi="Arial"/>
                <w:sz w:val="18"/>
                <w:szCs w:val="18"/>
                <w:color w:val="0000EE"/>
                <w:w w:val="98"/>
              </w:rPr>
            </w:pPr>
            <w:hyperlink w:anchor="page46">
              <w:r>
                <w:rPr>
                  <w:rFonts w:ascii="Arial" w:cs="Arial" w:eastAsia="Arial" w:hAnsi="Arial"/>
                  <w:sz w:val="18"/>
                  <w:szCs w:val="18"/>
                  <w:color w:val="0000EE"/>
                  <w:w w:val="98"/>
                </w:rPr>
                <w:t>2018 Grants of Plan-Based Awards Table</w:t>
              </w:r>
            </w:hyperlink>
          </w:p>
        </w:tc>
        <w:tc>
          <w:tcPr>
            <w:tcW w:w="5120" w:type="dxa"/>
            <w:vAlign w:val="bottom"/>
            <w:gridSpan w:val="19"/>
          </w:tcPr>
          <w:p>
            <w:pPr>
              <w:spacing w:after="0"/>
              <w:rPr>
                <w:sz w:val="15"/>
                <w:szCs w:val="15"/>
                <w:color w:val="auto"/>
              </w:rPr>
            </w:pPr>
          </w:p>
        </w:tc>
        <w:tc>
          <w:tcPr>
            <w:tcW w:w="212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0" w:type="dxa"/>
            <w:vAlign w:val="bottom"/>
            <w:tcBorders>
              <w:bottom w:val="single" w:sz="8" w:color="0000EE"/>
            </w:tcBorders>
            <w:gridSpan w:val="26"/>
          </w:tcPr>
          <w:p>
            <w:pPr>
              <w:spacing w:after="0" w:line="182" w:lineRule="exact"/>
              <w:rPr>
                <w:rFonts w:ascii="Arial" w:cs="Arial" w:eastAsia="Arial" w:hAnsi="Arial"/>
                <w:sz w:val="18"/>
                <w:szCs w:val="18"/>
                <w:color w:val="0000EE"/>
                <w:w w:val="98"/>
              </w:rPr>
            </w:pPr>
            <w:hyperlink w:anchor="page48">
              <w:r>
                <w:rPr>
                  <w:rFonts w:ascii="Arial" w:cs="Arial" w:eastAsia="Arial" w:hAnsi="Arial"/>
                  <w:sz w:val="18"/>
                  <w:szCs w:val="18"/>
                  <w:color w:val="0000EE"/>
                  <w:w w:val="98"/>
                </w:rPr>
                <w:t>2018 Outstanding Equity Awards at Fiscal Year End Table</w:t>
              </w:r>
            </w:hyperlink>
          </w:p>
        </w:tc>
        <w:tc>
          <w:tcPr>
            <w:tcW w:w="3820" w:type="dxa"/>
            <w:vAlign w:val="bottom"/>
            <w:gridSpan w:val="7"/>
          </w:tcPr>
          <w:p>
            <w:pPr>
              <w:spacing w:after="0"/>
              <w:rPr>
                <w:sz w:val="15"/>
                <w:szCs w:val="15"/>
                <w:color w:val="auto"/>
              </w:rPr>
            </w:pPr>
          </w:p>
        </w:tc>
        <w:tc>
          <w:tcPr>
            <w:tcW w:w="212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740" w:type="dxa"/>
            <w:vAlign w:val="bottom"/>
            <w:tcBorders>
              <w:bottom w:val="single" w:sz="8" w:color="0000EE"/>
            </w:tcBorders>
            <w:gridSpan w:val="20"/>
          </w:tcPr>
          <w:p>
            <w:pPr>
              <w:spacing w:after="0" w:line="182" w:lineRule="exact"/>
              <w:rPr>
                <w:rFonts w:ascii="Arial" w:cs="Arial" w:eastAsia="Arial" w:hAnsi="Arial"/>
                <w:sz w:val="18"/>
                <w:szCs w:val="18"/>
                <w:color w:val="0000EE"/>
                <w:w w:val="98"/>
              </w:rPr>
            </w:pPr>
            <w:hyperlink w:anchor="page49">
              <w:r>
                <w:rPr>
                  <w:rFonts w:ascii="Arial" w:cs="Arial" w:eastAsia="Arial" w:hAnsi="Arial"/>
                  <w:sz w:val="18"/>
                  <w:szCs w:val="18"/>
                  <w:color w:val="0000EE"/>
                  <w:w w:val="98"/>
                </w:rPr>
                <w:t>2018 Option Exercises and Stock Vested Table</w:t>
              </w:r>
            </w:hyperlink>
          </w:p>
        </w:tc>
        <w:tc>
          <w:tcPr>
            <w:tcW w:w="4680" w:type="dxa"/>
            <w:vAlign w:val="bottom"/>
            <w:gridSpan w:val="13"/>
          </w:tcPr>
          <w:p>
            <w:pPr>
              <w:spacing w:after="0"/>
              <w:rPr>
                <w:sz w:val="15"/>
                <w:szCs w:val="15"/>
                <w:color w:val="auto"/>
              </w:rPr>
            </w:pPr>
          </w:p>
        </w:tc>
        <w:tc>
          <w:tcPr>
            <w:tcW w:w="212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20" w:type="dxa"/>
            <w:vAlign w:val="bottom"/>
            <w:gridSpan w:val="33"/>
          </w:tcPr>
          <w:p>
            <w:pPr>
              <w:spacing w:after="0" w:line="182" w:lineRule="exact"/>
              <w:rPr>
                <w:rFonts w:ascii="Arial" w:cs="Arial" w:eastAsia="Arial" w:hAnsi="Arial"/>
                <w:sz w:val="18"/>
                <w:szCs w:val="18"/>
                <w:color w:val="0000EE"/>
              </w:rPr>
            </w:pPr>
            <w:hyperlink w:anchor="page50">
              <w:r>
                <w:rPr>
                  <w:rFonts w:ascii="Arial" w:cs="Arial" w:eastAsia="Arial" w:hAnsi="Arial"/>
                  <w:sz w:val="18"/>
                  <w:szCs w:val="18"/>
                  <w:color w:val="0000EE"/>
                </w:rPr>
                <w:t>2018 Nonqualified Deferred Compensation Table</w:t>
              </w:r>
            </w:hyperlink>
          </w:p>
        </w:tc>
        <w:tc>
          <w:tcPr>
            <w:tcW w:w="212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2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w:anchor="page50">
              <w:r>
                <w:rPr>
                  <w:rFonts w:ascii="Arial" w:cs="Arial" w:eastAsia="Arial" w:hAnsi="Arial"/>
                  <w:sz w:val="18"/>
                  <w:szCs w:val="18"/>
                  <w:color w:val="0000EE"/>
                </w:rPr>
                <w:t>Executive Deferred Compensation Plan</w:t>
              </w:r>
            </w:hyperlink>
          </w:p>
        </w:tc>
        <w:tc>
          <w:tcPr>
            <w:tcW w:w="4600" w:type="dxa"/>
            <w:vAlign w:val="bottom"/>
            <w:gridSpan w:val="11"/>
          </w:tcPr>
          <w:p>
            <w:pPr>
              <w:spacing w:after="0"/>
              <w:rPr>
                <w:sz w:val="15"/>
                <w:szCs w:val="15"/>
                <w:color w:val="auto"/>
              </w:rPr>
            </w:pPr>
          </w:p>
        </w:tc>
        <w:tc>
          <w:tcPr>
            <w:tcW w:w="212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14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w:anchor="page51">
              <w:r>
                <w:rPr>
                  <w:rFonts w:ascii="Arial" w:cs="Arial" w:eastAsia="Arial" w:hAnsi="Arial"/>
                  <w:sz w:val="18"/>
                  <w:szCs w:val="18"/>
                  <w:color w:val="0000EE"/>
                </w:rPr>
                <w:t>Potential Payments Upon Termination</w:t>
              </w:r>
            </w:hyperlink>
          </w:p>
        </w:tc>
        <w:tc>
          <w:tcPr>
            <w:tcW w:w="5280" w:type="dxa"/>
            <w:vAlign w:val="bottom"/>
            <w:gridSpan w:val="20"/>
          </w:tcPr>
          <w:p>
            <w:pPr>
              <w:spacing w:after="0"/>
              <w:rPr>
                <w:sz w:val="15"/>
                <w:szCs w:val="15"/>
                <w:color w:val="auto"/>
              </w:rPr>
            </w:pPr>
          </w:p>
        </w:tc>
        <w:tc>
          <w:tcPr>
            <w:tcW w:w="2120" w:type="dxa"/>
            <w:vAlign w:val="bottom"/>
          </w:tcPr>
          <w:p>
            <w:pPr>
              <w:jc w:val="right"/>
              <w:spacing w:after="0" w:line="182" w:lineRule="exact"/>
              <w:rPr>
                <w:sz w:val="20"/>
                <w:szCs w:val="20"/>
                <w:color w:val="auto"/>
              </w:rPr>
            </w:pPr>
            <w:r>
              <w:rPr>
                <w:rFonts w:ascii="Arial" w:cs="Arial" w:eastAsia="Arial" w:hAnsi="Arial"/>
                <w:sz w:val="18"/>
                <w:szCs w:val="18"/>
                <w:color w:val="auto"/>
              </w:rPr>
              <w:t>46</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1440" w:type="dxa"/>
            <w:vAlign w:val="bottom"/>
            <w:gridSpan w:val="6"/>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20" w:type="dxa"/>
            <w:vAlign w:val="bottom"/>
            <w:gridSpan w:val="33"/>
          </w:tcPr>
          <w:p>
            <w:pPr>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Potential Payments Upon Change-in-Control</w:t>
              </w:r>
            </w:hyperlink>
          </w:p>
        </w:tc>
        <w:tc>
          <w:tcPr>
            <w:tcW w:w="212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54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Termination Payment Tables for NEOs</w:t>
              </w:r>
            </w:hyperlink>
          </w:p>
        </w:tc>
        <w:tc>
          <w:tcPr>
            <w:tcW w:w="4880" w:type="dxa"/>
            <w:vAlign w:val="bottom"/>
            <w:gridSpan w:val="16"/>
          </w:tcPr>
          <w:p>
            <w:pPr>
              <w:spacing w:after="0"/>
              <w:rPr>
                <w:sz w:val="15"/>
                <w:szCs w:val="15"/>
                <w:color w:val="auto"/>
              </w:rPr>
            </w:pPr>
          </w:p>
        </w:tc>
        <w:tc>
          <w:tcPr>
            <w:tcW w:w="212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1440" w:type="dxa"/>
            <w:vAlign w:val="bottom"/>
            <w:gridSpan w:val="6"/>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7500" w:type="dxa"/>
            <w:vAlign w:val="bottom"/>
            <w:tcBorders>
              <w:bottom w:val="single" w:sz="8" w:color="0000EE"/>
            </w:tcBorders>
            <w:gridSpan w:val="32"/>
          </w:tcPr>
          <w:p>
            <w:pPr>
              <w:spacing w:after="0"/>
              <w:rPr>
                <w:rFonts w:ascii="Arial" w:cs="Arial" w:eastAsia="Arial" w:hAnsi="Arial"/>
                <w:sz w:val="18"/>
                <w:szCs w:val="18"/>
                <w:b w:val="1"/>
                <w:bCs w:val="1"/>
                <w:color w:val="0000EE"/>
                <w:w w:val="99"/>
              </w:rPr>
            </w:pPr>
            <w:hyperlink w:anchor="page62">
              <w:r>
                <w:rPr>
                  <w:rFonts w:ascii="Arial" w:cs="Arial" w:eastAsia="Arial" w:hAnsi="Arial"/>
                  <w:sz w:val="18"/>
                  <w:szCs w:val="18"/>
                  <w:b w:val="1"/>
                  <w:bCs w:val="1"/>
                  <w:color w:val="0000EE"/>
                  <w:w w:val="99"/>
                </w:rPr>
                <w:t>PROPOSAL 3 – RATIFICATION OF INDEPENDENT REGISTERED PUBLIC ACCOUNTANT</w:t>
              </w:r>
            </w:hyperlink>
          </w:p>
        </w:tc>
        <w:tc>
          <w:tcPr>
            <w:tcW w:w="1360" w:type="dxa"/>
            <w:vAlign w:val="bottom"/>
            <w:gridSpan w:val="2"/>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58"/>
        </w:trPr>
        <w:tc>
          <w:tcPr>
            <w:tcW w:w="200" w:type="dxa"/>
            <w:vAlign w:val="bottom"/>
          </w:tcPr>
          <w:p>
            <w:pPr>
              <w:spacing w:after="0"/>
              <w:rPr>
                <w:sz w:val="24"/>
                <w:szCs w:val="24"/>
                <w:color w:val="auto"/>
              </w:rPr>
            </w:pPr>
          </w:p>
        </w:tc>
        <w:tc>
          <w:tcPr>
            <w:tcW w:w="8860" w:type="dxa"/>
            <w:vAlign w:val="bottom"/>
            <w:gridSpan w:val="34"/>
          </w:tcPr>
          <w:p>
            <w:pPr>
              <w:spacing w:after="0"/>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INDEPENDENT REGISTERED PUBLIC ACCOUNTING FIRM’S AUDIT FEES AND SERVICES</w:t>
              </w:r>
            </w:hyperlink>
          </w:p>
        </w:tc>
        <w:tc>
          <w:tcPr>
            <w:tcW w:w="21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58"/>
        </w:trPr>
        <w:tc>
          <w:tcPr>
            <w:tcW w:w="200" w:type="dxa"/>
            <w:vAlign w:val="bottom"/>
          </w:tcPr>
          <w:p>
            <w:pPr>
              <w:spacing w:after="0"/>
              <w:rPr>
                <w:sz w:val="24"/>
                <w:szCs w:val="24"/>
                <w:color w:val="auto"/>
              </w:rPr>
            </w:pPr>
          </w:p>
        </w:tc>
        <w:tc>
          <w:tcPr>
            <w:tcW w:w="7680" w:type="dxa"/>
            <w:vAlign w:val="bottom"/>
            <w:tcBorders>
              <w:top w:val="single" w:sz="8" w:color="0000EE"/>
            </w:tcBorders>
            <w:gridSpan w:val="33"/>
          </w:tcPr>
          <w:p>
            <w:pPr>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2018 AUDIT/FINANCE COMMITTEE REPORT</w:t>
              </w:r>
            </w:hyperlink>
          </w:p>
        </w:tc>
        <w:tc>
          <w:tcPr>
            <w:tcW w:w="118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200" w:type="dxa"/>
            <w:vAlign w:val="bottom"/>
          </w:tcPr>
          <w:p>
            <w:pPr>
              <w:spacing w:after="0" w:line="20" w:lineRule="exact"/>
              <w:rPr>
                <w:sz w:val="1"/>
                <w:szCs w:val="1"/>
                <w:color w:val="auto"/>
              </w:rPr>
            </w:pPr>
          </w:p>
        </w:tc>
        <w:tc>
          <w:tcPr>
            <w:tcW w:w="1940" w:type="dxa"/>
            <w:vAlign w:val="bottom"/>
            <w:gridSpan w:val="5"/>
            <w:shd w:val="clear" w:color="auto" w:fill="0000EE"/>
          </w:tcPr>
          <w:p>
            <w:pPr>
              <w:spacing w:after="0" w:line="20" w:lineRule="exact"/>
              <w:rPr>
                <w:sz w:val="1"/>
                <w:szCs w:val="1"/>
                <w:color w:val="auto"/>
              </w:rPr>
            </w:pPr>
          </w:p>
        </w:tc>
        <w:tc>
          <w:tcPr>
            <w:tcW w:w="1440" w:type="dxa"/>
            <w:vAlign w:val="bottom"/>
            <w:gridSpan w:val="6"/>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358"/>
        </w:trPr>
        <w:tc>
          <w:tcPr>
            <w:tcW w:w="200" w:type="dxa"/>
            <w:vAlign w:val="bottom"/>
          </w:tcPr>
          <w:p>
            <w:pPr>
              <w:spacing w:after="0"/>
              <w:rPr>
                <w:sz w:val="24"/>
                <w:szCs w:val="24"/>
                <w:color w:val="auto"/>
              </w:rPr>
            </w:pPr>
          </w:p>
        </w:tc>
        <w:tc>
          <w:tcPr>
            <w:tcW w:w="8860" w:type="dxa"/>
            <w:vAlign w:val="bottom"/>
            <w:gridSpan w:val="34"/>
          </w:tcPr>
          <w:p>
            <w:pP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EQUITY COMPENSATION PLAN INFORMATION</w:t>
              </w:r>
            </w:hyperlink>
          </w:p>
        </w:tc>
        <w:tc>
          <w:tcPr>
            <w:tcW w:w="21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200" w:type="dxa"/>
            <w:vAlign w:val="bottom"/>
          </w:tcPr>
          <w:p>
            <w:pPr>
              <w:spacing w:after="0" w:line="20" w:lineRule="exact"/>
              <w:rPr>
                <w:sz w:val="1"/>
                <w:szCs w:val="1"/>
                <w:color w:val="auto"/>
              </w:rPr>
            </w:pPr>
          </w:p>
        </w:tc>
        <w:tc>
          <w:tcPr>
            <w:tcW w:w="1940" w:type="dxa"/>
            <w:vAlign w:val="bottom"/>
            <w:gridSpan w:val="5"/>
            <w:shd w:val="clear" w:color="auto" w:fill="0000EE"/>
          </w:tcPr>
          <w:p>
            <w:pPr>
              <w:spacing w:after="0" w:line="20" w:lineRule="exact"/>
              <w:rPr>
                <w:sz w:val="1"/>
                <w:szCs w:val="1"/>
                <w:color w:val="auto"/>
              </w:rPr>
            </w:pPr>
          </w:p>
        </w:tc>
        <w:tc>
          <w:tcPr>
            <w:tcW w:w="1440" w:type="dxa"/>
            <w:vAlign w:val="bottom"/>
            <w:gridSpan w:val="6"/>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8860" w:type="dxa"/>
            <w:vAlign w:val="bottom"/>
            <w:gridSpan w:val="34"/>
          </w:tcPr>
          <w:p>
            <w:pPr>
              <w:spacing w:after="0"/>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SECURITY OWNERSHIP OF CERTAIN BENEFICIAL OWNERS AND MANAGEMENT</w:t>
              </w:r>
            </w:hyperlink>
          </w:p>
        </w:tc>
        <w:tc>
          <w:tcPr>
            <w:tcW w:w="21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50"/>
        </w:trPr>
        <w:tc>
          <w:tcPr>
            <w:tcW w:w="200" w:type="dxa"/>
            <w:vAlign w:val="bottom"/>
          </w:tcPr>
          <w:p>
            <w:pPr>
              <w:spacing w:after="0"/>
              <w:rPr>
                <w:sz w:val="21"/>
                <w:szCs w:val="21"/>
                <w:color w:val="auto"/>
              </w:rPr>
            </w:pPr>
          </w:p>
        </w:tc>
        <w:tc>
          <w:tcPr>
            <w:tcW w:w="7000" w:type="dxa"/>
            <w:vAlign w:val="bottom"/>
            <w:tcBorders>
              <w:top w:val="single" w:sz="8" w:color="0000EE"/>
            </w:tcBorders>
            <w:gridSpan w:val="31"/>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SECTION 16(a) BENEFICIAL OWNERSHIP REPORTING COMPLIANCE</w:t>
              </w:r>
            </w:hyperlink>
          </w:p>
        </w:tc>
        <w:tc>
          <w:tcPr>
            <w:tcW w:w="1860" w:type="dxa"/>
            <w:vAlign w:val="bottom"/>
            <w:gridSpan w:val="3"/>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50"/>
        </w:trPr>
        <w:tc>
          <w:tcPr>
            <w:tcW w:w="200" w:type="dxa"/>
            <w:vAlign w:val="bottom"/>
          </w:tcPr>
          <w:p>
            <w:pPr>
              <w:spacing w:after="0"/>
              <w:rPr>
                <w:sz w:val="21"/>
                <w:szCs w:val="21"/>
                <w:color w:val="auto"/>
              </w:rPr>
            </w:pPr>
          </w:p>
        </w:tc>
        <w:tc>
          <w:tcPr>
            <w:tcW w:w="5940" w:type="dxa"/>
            <w:vAlign w:val="bottom"/>
            <w:tcBorders>
              <w:top w:val="single" w:sz="8" w:color="0000EE"/>
            </w:tcBorders>
            <w:gridSpan w:val="30"/>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LIST OF SHAREHOLDERS OF RECORD</w:t>
              </w:r>
            </w:hyperlink>
          </w:p>
        </w:tc>
        <w:tc>
          <w:tcPr>
            <w:tcW w:w="2920" w:type="dxa"/>
            <w:vAlign w:val="bottom"/>
            <w:gridSpan w:val="4"/>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200" w:type="dxa"/>
            <w:vAlign w:val="bottom"/>
          </w:tcPr>
          <w:p>
            <w:pPr>
              <w:spacing w:after="0" w:line="20" w:lineRule="exact"/>
              <w:rPr>
                <w:sz w:val="1"/>
                <w:szCs w:val="1"/>
                <w:color w:val="auto"/>
              </w:rPr>
            </w:pPr>
          </w:p>
        </w:tc>
        <w:tc>
          <w:tcPr>
            <w:tcW w:w="1940" w:type="dxa"/>
            <w:vAlign w:val="bottom"/>
            <w:gridSpan w:val="5"/>
            <w:shd w:val="clear" w:color="auto" w:fill="0000EE"/>
          </w:tcPr>
          <w:p>
            <w:pPr>
              <w:spacing w:after="0" w:line="20" w:lineRule="exact"/>
              <w:rPr>
                <w:sz w:val="1"/>
                <w:szCs w:val="1"/>
                <w:color w:val="auto"/>
              </w:rPr>
            </w:pPr>
          </w:p>
        </w:tc>
        <w:tc>
          <w:tcPr>
            <w:tcW w:w="1440" w:type="dxa"/>
            <w:vAlign w:val="bottom"/>
            <w:gridSpan w:val="6"/>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gridSpan w:val="10"/>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8860" w:type="dxa"/>
            <w:vAlign w:val="bottom"/>
            <w:gridSpan w:val="34"/>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ANNUAL REPORT AND FINANCIAL STATEMENTS</w:t>
              </w:r>
            </w:hyperlink>
          </w:p>
        </w:tc>
        <w:tc>
          <w:tcPr>
            <w:tcW w:w="21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200" w:type="dxa"/>
            <w:vAlign w:val="bottom"/>
          </w:tcPr>
          <w:p>
            <w:pPr>
              <w:spacing w:after="0" w:line="20" w:lineRule="exact"/>
              <w:rPr>
                <w:sz w:val="1"/>
                <w:szCs w:val="1"/>
                <w:color w:val="auto"/>
              </w:rPr>
            </w:pPr>
          </w:p>
        </w:tc>
        <w:tc>
          <w:tcPr>
            <w:tcW w:w="1940" w:type="dxa"/>
            <w:vAlign w:val="bottom"/>
            <w:gridSpan w:val="5"/>
            <w:shd w:val="clear" w:color="auto" w:fill="0000EE"/>
          </w:tcPr>
          <w:p>
            <w:pPr>
              <w:spacing w:after="0" w:line="20" w:lineRule="exact"/>
              <w:rPr>
                <w:sz w:val="1"/>
                <w:szCs w:val="1"/>
                <w:color w:val="auto"/>
              </w:rPr>
            </w:pPr>
          </w:p>
        </w:tc>
        <w:tc>
          <w:tcPr>
            <w:tcW w:w="1600" w:type="dxa"/>
            <w:vAlign w:val="bottom"/>
            <w:tcBorders>
              <w:right w:val="single" w:sz="8" w:color="0000EE"/>
            </w:tcBorders>
            <w:gridSpan w:val="8"/>
            <w:shd w:val="clear" w:color="auto" w:fill="0000EE"/>
          </w:tcPr>
          <w:p>
            <w:pPr>
              <w:spacing w:after="0" w:line="20" w:lineRule="exact"/>
              <w:rPr>
                <w:sz w:val="1"/>
                <w:szCs w:val="1"/>
                <w:color w:val="auto"/>
              </w:rPr>
            </w:pPr>
          </w:p>
        </w:tc>
        <w:tc>
          <w:tcPr>
            <w:tcW w:w="720" w:type="dxa"/>
            <w:vAlign w:val="bottom"/>
            <w:gridSpan w:val="10"/>
            <w:shd w:val="clear" w:color="auto" w:fill="0000EE"/>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8860" w:type="dxa"/>
            <w:vAlign w:val="bottom"/>
            <w:gridSpan w:val="34"/>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SHAREHOLDER PROPOSALS FOR THE 2020 ANNUAL MEETING</w:t>
              </w:r>
            </w:hyperlink>
          </w:p>
        </w:tc>
        <w:tc>
          <w:tcPr>
            <w:tcW w:w="21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50"/>
        </w:trPr>
        <w:tc>
          <w:tcPr>
            <w:tcW w:w="200" w:type="dxa"/>
            <w:vAlign w:val="bottom"/>
          </w:tcPr>
          <w:p>
            <w:pPr>
              <w:spacing w:after="0"/>
              <w:rPr>
                <w:sz w:val="21"/>
                <w:szCs w:val="21"/>
                <w:color w:val="auto"/>
              </w:rPr>
            </w:pPr>
          </w:p>
        </w:tc>
        <w:tc>
          <w:tcPr>
            <w:tcW w:w="5540" w:type="dxa"/>
            <w:vAlign w:val="bottom"/>
            <w:tcBorders>
              <w:top w:val="single" w:sz="8" w:color="0000EE"/>
            </w:tcBorders>
            <w:gridSpan w:val="29"/>
          </w:tcPr>
          <w:p>
            <w:pPr>
              <w:spacing w:after="0"/>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OTHER INFORMATION</w:t>
              </w:r>
            </w:hyperlink>
          </w:p>
        </w:tc>
        <w:tc>
          <w:tcPr>
            <w:tcW w:w="3320" w:type="dxa"/>
            <w:vAlign w:val="bottom"/>
            <w:gridSpan w:val="5"/>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200" w:type="dxa"/>
            <w:vAlign w:val="bottom"/>
          </w:tcPr>
          <w:p>
            <w:pPr>
              <w:spacing w:after="0" w:line="20" w:lineRule="exact"/>
              <w:rPr>
                <w:sz w:val="1"/>
                <w:szCs w:val="1"/>
                <w:color w:val="auto"/>
              </w:rPr>
            </w:pPr>
          </w:p>
        </w:tc>
        <w:tc>
          <w:tcPr>
            <w:tcW w:w="1940" w:type="dxa"/>
            <w:vAlign w:val="bottom"/>
            <w:gridSpan w:val="5"/>
            <w:shd w:val="clear" w:color="auto" w:fill="0000EE"/>
          </w:tcPr>
          <w:p>
            <w:pPr>
              <w:spacing w:after="0" w:line="20" w:lineRule="exact"/>
              <w:rPr>
                <w:sz w:val="1"/>
                <w:szCs w:val="1"/>
                <w:color w:val="auto"/>
              </w:rPr>
            </w:pPr>
          </w:p>
        </w:tc>
        <w:tc>
          <w:tcPr>
            <w:tcW w:w="1600" w:type="dxa"/>
            <w:vAlign w:val="bottom"/>
            <w:gridSpan w:val="8"/>
          </w:tcPr>
          <w:p>
            <w:pPr>
              <w:spacing w:after="0" w:line="20" w:lineRule="exact"/>
              <w:rPr>
                <w:sz w:val="1"/>
                <w:szCs w:val="1"/>
                <w:color w:val="auto"/>
              </w:rPr>
            </w:pPr>
          </w:p>
        </w:tc>
        <w:tc>
          <w:tcPr>
            <w:tcW w:w="5320" w:type="dxa"/>
            <w:vAlign w:val="bottom"/>
            <w:gridSpan w:val="21"/>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358"/>
        </w:trPr>
        <w:tc>
          <w:tcPr>
            <w:tcW w:w="200" w:type="dxa"/>
            <w:vAlign w:val="bottom"/>
          </w:tcPr>
          <w:p>
            <w:pPr>
              <w:spacing w:after="0"/>
              <w:rPr>
                <w:sz w:val="24"/>
                <w:szCs w:val="24"/>
                <w:color w:val="auto"/>
              </w:rPr>
            </w:pPr>
          </w:p>
        </w:tc>
        <w:tc>
          <w:tcPr>
            <w:tcW w:w="8860" w:type="dxa"/>
            <w:vAlign w:val="bottom"/>
            <w:gridSpan w:val="34"/>
          </w:tcPr>
          <w:p>
            <w:pPr>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DIRECTIONS TO 2019 ANNUAL MEETING</w:t>
              </w:r>
            </w:hyperlink>
          </w:p>
        </w:tc>
        <w:tc>
          <w:tcPr>
            <w:tcW w:w="2120" w:type="dxa"/>
            <w:vAlign w:val="bottom"/>
          </w:tcPr>
          <w:p>
            <w:pPr>
              <w:jc w:val="right"/>
              <w:spacing w:after="0"/>
              <w:rPr>
                <w:sz w:val="20"/>
                <w:szCs w:val="20"/>
                <w:color w:val="auto"/>
              </w:rPr>
            </w:pPr>
            <w:r>
              <w:rPr>
                <w:rFonts w:ascii="Arial" w:cs="Arial" w:eastAsia="Arial" w:hAnsi="Arial"/>
                <w:sz w:val="18"/>
                <w:szCs w:val="18"/>
                <w:color w:val="auto"/>
              </w:rPr>
              <w:t>Back Cover</w:t>
            </w: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205740</wp:posOffset>
            </wp:positionV>
            <wp:extent cx="1346200" cy="540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4620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This proxy statement is being furnished to shareholders of Itron, Inc. (the Company or Itron) in connection with the solicitation by our Board of Directors of proxies for use at the 2019 Annual Meeting of Shareholders. The meeting will be held in the Linden Room of the Houstonian Hotel, located at 111 North Post Oak Lane, Houston, Texas, 77024, at 4:00 p.m., local time, on Thursday, May 9, 2019, for the purposes listed in the accompanying Notice of Annual Meeting of Shareholders. The Company’s principal executive office is at 2111 North Molter Road, Liberty Lake, Washington 99019.</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Internet Availability of Annual Meeting Materials</w:t>
      </w:r>
    </w:p>
    <w:p>
      <w:pPr>
        <w:spacing w:after="0" w:line="193"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Our proxy materials will be available for you to access over the Internet. On or about March 29, 2019, we will mail to our shareholders a Notice of Internet Availability of Proxy Materials (Notice) directing shareholders to the website provided on the Notice where they can access our proxy materials and view instructions on how to vote via the Internet or by phone. The Notice will also provide instructions for obtaining paper copies of the proxy materials and a proxy card, if requested by a shareholder.</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proxy materials will be available for you to review online:</w:t>
      </w:r>
    </w:p>
    <w:p>
      <w:pPr>
        <w:spacing w:after="0" w:line="71" w:lineRule="exact"/>
        <w:rPr>
          <w:sz w:val="20"/>
          <w:szCs w:val="20"/>
          <w:color w:val="auto"/>
        </w:rPr>
      </w:pPr>
    </w:p>
    <w:p>
      <w:pPr>
        <w:ind w:left="1060" w:right="5420"/>
        <w:spacing w:after="0" w:line="391" w:lineRule="auto"/>
        <w:rPr>
          <w:sz w:val="20"/>
          <w:szCs w:val="20"/>
          <w:color w:val="auto"/>
        </w:rPr>
      </w:pPr>
      <w:r>
        <w:rPr>
          <w:rFonts w:ascii="Arial" w:cs="Arial" w:eastAsia="Arial" w:hAnsi="Arial"/>
          <w:sz w:val="18"/>
          <w:szCs w:val="18"/>
          <w:color w:val="auto"/>
        </w:rPr>
        <w:t>The Company’s Notice of Annual Meeting of Shareholders; The Company’s 2019 Proxy Statement;</w:t>
      </w:r>
    </w:p>
    <w:p>
      <w:pPr>
        <w:ind w:left="1060" w:right="120"/>
        <w:spacing w:after="0" w:line="246" w:lineRule="auto"/>
        <w:rPr>
          <w:sz w:val="20"/>
          <w:szCs w:val="20"/>
          <w:color w:val="auto"/>
        </w:rPr>
      </w:pPr>
      <w:r>
        <w:rPr>
          <w:rFonts w:ascii="Arial" w:cs="Arial" w:eastAsia="Arial" w:hAnsi="Arial"/>
          <w:sz w:val="18"/>
          <w:szCs w:val="18"/>
          <w:color w:val="auto"/>
        </w:rPr>
        <w:t>The Company’s Annual Report to Shareholders for the year ended December 31, 2018 (which is not deemed to be part of the official proxy soliciting materials); and</w:t>
      </w:r>
    </w:p>
    <w:p>
      <w:pPr>
        <w:spacing w:after="0" w:line="102" w:lineRule="exact"/>
        <w:rPr>
          <w:sz w:val="20"/>
          <w:szCs w:val="20"/>
          <w:color w:val="auto"/>
        </w:rPr>
      </w:pPr>
    </w:p>
    <w:p>
      <w:pPr>
        <w:ind w:left="1060" w:right="360"/>
        <w:spacing w:after="0" w:line="246" w:lineRule="auto"/>
        <w:rPr>
          <w:sz w:val="20"/>
          <w:szCs w:val="20"/>
          <w:color w:val="auto"/>
        </w:rPr>
      </w:pPr>
      <w:r>
        <w:rPr>
          <w:rFonts w:ascii="Arial" w:cs="Arial" w:eastAsia="Arial" w:hAnsi="Arial"/>
          <w:sz w:val="18"/>
          <w:szCs w:val="18"/>
          <w:color w:val="auto"/>
        </w:rPr>
        <w:t>Any amendments to the foregoing materials that may be required to be furnished to the shareholders by the Securities and Exchange Commission (SEC).</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Proposals to Be Voted On at the Annual Meeting</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the annual meeting, we will consider and vote on the following proposals:</w:t>
      </w:r>
    </w:p>
    <w:p>
      <w:pPr>
        <w:spacing w:after="0" w:line="117" w:lineRule="exact"/>
        <w:rPr>
          <w:sz w:val="20"/>
          <w:szCs w:val="20"/>
          <w:color w:val="auto"/>
        </w:rPr>
      </w:pPr>
    </w:p>
    <w:p>
      <w:pPr>
        <w:ind w:left="1280" w:right="460" w:hanging="536"/>
        <w:spacing w:after="0" w:line="246" w:lineRule="auto"/>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elect three directors to the Itron, Inc. Board of Directors, each for a term of three years ending upon our 2022 annual meeting of shareholders;</w:t>
      </w:r>
    </w:p>
    <w:p>
      <w:pPr>
        <w:spacing w:after="0" w:line="102" w:lineRule="exact"/>
        <w:rPr>
          <w:rFonts w:ascii="Arial" w:cs="Arial" w:eastAsia="Arial" w:hAnsi="Arial"/>
          <w:sz w:val="18"/>
          <w:szCs w:val="18"/>
          <w:color w:val="auto"/>
        </w:rPr>
      </w:pPr>
    </w:p>
    <w:p>
      <w:pPr>
        <w:ind w:left="1280" w:right="380" w:hanging="536"/>
        <w:spacing w:after="0" w:line="246" w:lineRule="auto"/>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of our named executive officers for the fiscal year ended December 31, 2018 (Say-on-Pay vote);</w:t>
      </w:r>
    </w:p>
    <w:p>
      <w:pPr>
        <w:spacing w:after="0" w:line="102" w:lineRule="exact"/>
        <w:rPr>
          <w:rFonts w:ascii="Arial" w:cs="Arial" w:eastAsia="Arial" w:hAnsi="Arial"/>
          <w:sz w:val="18"/>
          <w:szCs w:val="18"/>
          <w:color w:val="auto"/>
        </w:rPr>
      </w:pPr>
    </w:p>
    <w:p>
      <w:pPr>
        <w:ind w:left="1280" w:right="100" w:hanging="536"/>
        <w:spacing w:after="0" w:line="246" w:lineRule="auto"/>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the Company’s independent registered public accountant for the 2019 fiscal year; and</w:t>
      </w:r>
    </w:p>
    <w:p>
      <w:pPr>
        <w:spacing w:after="0" w:line="102" w:lineRule="exact"/>
        <w:rPr>
          <w:rFonts w:ascii="Arial" w:cs="Arial" w:eastAsia="Arial" w:hAnsi="Arial"/>
          <w:sz w:val="18"/>
          <w:szCs w:val="18"/>
          <w:color w:val="auto"/>
        </w:rPr>
      </w:pPr>
    </w:p>
    <w:p>
      <w:pPr>
        <w:ind w:left="1280" w:hanging="536"/>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transact any other business that may properly come before the annual meeting.</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Record Date and Outstanding Shares</w:t>
      </w:r>
    </w:p>
    <w:p>
      <w:pPr>
        <w:spacing w:after="0" w:line="207" w:lineRule="exact"/>
        <w:rPr>
          <w:sz w:val="20"/>
          <w:szCs w:val="20"/>
          <w:color w:val="auto"/>
        </w:rPr>
      </w:pPr>
    </w:p>
    <w:p>
      <w:pPr>
        <w:ind w:left="200"/>
        <w:spacing w:after="0" w:line="253" w:lineRule="auto"/>
        <w:rPr>
          <w:sz w:val="20"/>
          <w:szCs w:val="20"/>
          <w:color w:val="auto"/>
        </w:rPr>
      </w:pPr>
      <w:r>
        <w:rPr>
          <w:rFonts w:ascii="Arial" w:cs="Arial" w:eastAsia="Arial" w:hAnsi="Arial"/>
          <w:sz w:val="17"/>
          <w:szCs w:val="17"/>
          <w:color w:val="auto"/>
        </w:rPr>
        <w:t>Holders of record of our common stock at the close of business on March 1, 2019, are entitled to notice of, and to vote at, the annual meeting. On the record date, there were 39,854,779 shares of our common stock outstanding. Each outstanding share of our common stock will entitle its holder to one vote on each of the three directors to be elected and one vote on each other matter to be voted on at the annual meeting. Each of our directors and executive officers intends to vote or direct the vote of all shares of common stock over which he or she has voting control in favor of: (1) the election of the nominees for director; (2) the advisory approval of the compensation we paid our named executive officers in 2018; and (3) the ratification of Deloitte &amp; Touche LLP as our independent registered public accountant.</w:t>
      </w:r>
    </w:p>
    <w:p>
      <w:pPr>
        <w:spacing w:after="0" w:line="12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80"/>
          </w:cols>
          <w:pgMar w:left="24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Quorum and Voting</w:t>
      </w:r>
    </w:p>
    <w:p>
      <w:pPr>
        <w:spacing w:after="0" w:line="207" w:lineRule="exact"/>
        <w:rPr>
          <w:sz w:val="20"/>
          <w:szCs w:val="20"/>
          <w:color w:val="auto"/>
        </w:rPr>
      </w:pPr>
    </w:p>
    <w:p>
      <w:pPr>
        <w:ind w:left="200" w:right="200"/>
        <w:spacing w:after="0" w:line="238" w:lineRule="auto"/>
        <w:rPr>
          <w:sz w:val="20"/>
          <w:szCs w:val="20"/>
          <w:color w:val="auto"/>
        </w:rPr>
      </w:pPr>
      <w:r>
        <w:rPr>
          <w:rFonts w:ascii="Arial" w:cs="Arial" w:eastAsia="Arial" w:hAnsi="Arial"/>
          <w:sz w:val="18"/>
          <w:szCs w:val="18"/>
          <w:color w:val="auto"/>
        </w:rPr>
        <w:t>Each shareholder is entitled to one vote per share of common stock held on each matter to be voted on. The presence at the annual meeting, in person or by proxy, of holders of a majority of the outstanding shares of common stock on the record date will constitute a quorum. Abstentions and “broker non-votes” (shares held by a broker or nominee who does not have the authority, express or discretionary, to vote on a particular matter) on any of the proposals to be voted on will be counted only for purposes of determining the presence of a quorum.</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You may vote your shares in one of several ways, depending on how you own your shares.</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Registered Shareholders (Shares held in your name)</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Registered shareholders can vote in person, by Internet, by telephone, or by mail, by casting their vote as follows:</w:t>
      </w:r>
    </w:p>
    <w:p>
      <w:pPr>
        <w:spacing w:after="0" w:line="117" w:lineRule="exact"/>
        <w:rPr>
          <w:sz w:val="20"/>
          <w:szCs w:val="20"/>
          <w:color w:val="auto"/>
        </w:rPr>
      </w:pPr>
    </w:p>
    <w:p>
      <w:pPr>
        <w:ind w:left="1280" w:right="200" w:hanging="536"/>
        <w:spacing w:after="0" w:line="246" w:lineRule="auto"/>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Accessing the Internet website specified in the Notice of Internet Availability and following the instructions provided on the website (or if printed copies of the proxy materials were requested, as specified in the printed proxy card); or</w:t>
      </w:r>
    </w:p>
    <w:p>
      <w:pPr>
        <w:spacing w:after="0" w:line="102" w:lineRule="exact"/>
        <w:rPr>
          <w:rFonts w:ascii="Arial" w:cs="Arial" w:eastAsia="Arial" w:hAnsi="Arial"/>
          <w:sz w:val="18"/>
          <w:szCs w:val="18"/>
          <w:color w:val="auto"/>
        </w:rPr>
      </w:pPr>
    </w:p>
    <w:p>
      <w:pPr>
        <w:ind w:left="1280" w:right="100" w:hanging="536"/>
        <w:spacing w:after="0"/>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Requesting a printed proxy card and either calling the telephone number specified on the proxy card and following the instructions provided on the phone line, or completing, signing, dating, and promptly mailing the proxy card in the envelope provided; or</w:t>
      </w:r>
    </w:p>
    <w:p>
      <w:pPr>
        <w:spacing w:after="0" w:line="108" w:lineRule="exact"/>
        <w:rPr>
          <w:rFonts w:ascii="Arial" w:cs="Arial" w:eastAsia="Arial" w:hAnsi="Arial"/>
          <w:sz w:val="18"/>
          <w:szCs w:val="18"/>
          <w:color w:val="auto"/>
        </w:rPr>
      </w:pPr>
    </w:p>
    <w:p>
      <w:pPr>
        <w:ind w:left="1280" w:hanging="536"/>
        <w:spacing w:after="0"/>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Attending and voting in person at the annual meeting.</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Beneficial Shareholders (Shares held in the name of a broker, bank or other holder of record on your behalf)</w:t>
      </w:r>
    </w:p>
    <w:p>
      <w:pPr>
        <w:spacing w:after="0" w:line="193" w:lineRule="exact"/>
        <w:rPr>
          <w:sz w:val="20"/>
          <w:szCs w:val="20"/>
          <w:color w:val="auto"/>
        </w:rPr>
      </w:pPr>
    </w:p>
    <w:p>
      <w:pPr>
        <w:ind w:left="200" w:right="360"/>
        <w:spacing w:after="0" w:line="246" w:lineRule="auto"/>
        <w:rPr>
          <w:sz w:val="20"/>
          <w:szCs w:val="20"/>
          <w:color w:val="auto"/>
        </w:rPr>
      </w:pPr>
      <w:r>
        <w:rPr>
          <w:rFonts w:ascii="Arial" w:cs="Arial" w:eastAsia="Arial" w:hAnsi="Arial"/>
          <w:sz w:val="18"/>
          <w:szCs w:val="18"/>
          <w:color w:val="auto"/>
        </w:rPr>
        <w:t>If your shares are held in the name of a broker, bank, or other nominee or holder of record, follow the voting instructions on the voting instruction form provided to you by the holder of record to vote your shares.</w:t>
      </w:r>
    </w:p>
    <w:p>
      <w:pPr>
        <w:spacing w:after="0" w:line="152" w:lineRule="exact"/>
        <w:rPr>
          <w:sz w:val="20"/>
          <w:szCs w:val="20"/>
          <w:color w:val="auto"/>
        </w:rPr>
      </w:pPr>
    </w:p>
    <w:p>
      <w:pPr>
        <w:ind w:left="200"/>
        <w:spacing w:after="0" w:line="241" w:lineRule="auto"/>
        <w:rPr>
          <w:sz w:val="20"/>
          <w:szCs w:val="20"/>
          <w:color w:val="auto"/>
        </w:rPr>
      </w:pPr>
      <w:r>
        <w:rPr>
          <w:rFonts w:ascii="Arial" w:cs="Arial" w:eastAsia="Arial" w:hAnsi="Arial"/>
          <w:sz w:val="18"/>
          <w:szCs w:val="18"/>
          <w:i w:val="1"/>
          <w:iCs w:val="1"/>
          <w:u w:val="single" w:color="auto"/>
          <w:color w:val="auto"/>
        </w:rPr>
        <w:t>Proposal One – Election of Directors</w:t>
      </w:r>
      <w:r>
        <w:rPr>
          <w:rFonts w:ascii="Arial" w:cs="Arial" w:eastAsia="Arial" w:hAnsi="Arial"/>
          <w:sz w:val="18"/>
          <w:szCs w:val="18"/>
          <w:color w:val="auto"/>
        </w:rPr>
        <w:t>: Each nominee for director is elected by the vote of the majority of the votes cast with respect to that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director’s election (meaning the number of votes cast “for” a nominee must exceed the number of votes cast “against” such nominee). Holders of common stock are not entitled to cumulative votes in the election of directors. Abstentions from voting on this matter will not be counted. Brokers and other holders of record do not have discretionary voting authority to vote your shares in the election of directors, absent voting instructions from you. Therefore, if you are a beneficial shareholder and do not provide voting instructions on proposal number one to the holder of record for your shares, they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be voted in the election of directors.</w:t>
      </w:r>
    </w:p>
    <w:p>
      <w:pPr>
        <w:spacing w:after="0" w:line="144" w:lineRule="exact"/>
        <w:rPr>
          <w:sz w:val="20"/>
          <w:szCs w:val="20"/>
          <w:color w:val="auto"/>
        </w:rPr>
      </w:pPr>
    </w:p>
    <w:p>
      <w:pPr>
        <w:ind w:left="200"/>
        <w:spacing w:after="0" w:line="242" w:lineRule="auto"/>
        <w:rPr>
          <w:sz w:val="20"/>
          <w:szCs w:val="20"/>
          <w:color w:val="auto"/>
        </w:rPr>
      </w:pPr>
      <w:r>
        <w:rPr>
          <w:rFonts w:ascii="Arial" w:cs="Arial" w:eastAsia="Arial" w:hAnsi="Arial"/>
          <w:sz w:val="18"/>
          <w:szCs w:val="18"/>
          <w:i w:val="1"/>
          <w:iCs w:val="1"/>
          <w:u w:val="single" w:color="auto"/>
          <w:color w:val="auto"/>
        </w:rPr>
        <w:t>Proposal Two – Say-on-Pay Vote (non-binding)</w:t>
      </w:r>
      <w:r>
        <w:rPr>
          <w:rFonts w:ascii="Arial" w:cs="Arial" w:eastAsia="Arial" w:hAnsi="Arial"/>
          <w:sz w:val="18"/>
          <w:szCs w:val="18"/>
          <w:color w:val="auto"/>
        </w:rPr>
        <w:t>: The non-binding advisory vote on this proposal will be approved if the majority of votes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cast are in favor of the proposal (meaning the number of votes cast “for” the proposal must exceed the number of votes cast “against” the proposal). Abstentions from voting on this matter will not be counted. Brokers and other holders of record do not have discretionary voting authority to vote your shares for this proposal, absent voting instructions from you. Therefore, if you are a beneficial shareholder and do not provide voting instructions on proposal number two to the holder of record for your shares, they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be voted on this proposal.</w:t>
      </w:r>
    </w:p>
    <w:p>
      <w:pPr>
        <w:spacing w:after="0" w:line="145" w:lineRule="exact"/>
        <w:rPr>
          <w:sz w:val="20"/>
          <w:szCs w:val="20"/>
          <w:color w:val="auto"/>
        </w:rPr>
      </w:pPr>
    </w:p>
    <w:p>
      <w:pPr>
        <w:ind w:left="200" w:right="20"/>
        <w:spacing w:after="0" w:line="245" w:lineRule="auto"/>
        <w:rPr>
          <w:sz w:val="20"/>
          <w:szCs w:val="20"/>
          <w:color w:val="auto"/>
        </w:rPr>
      </w:pPr>
      <w:r>
        <w:rPr>
          <w:rFonts w:ascii="Arial" w:cs="Arial" w:eastAsia="Arial" w:hAnsi="Arial"/>
          <w:sz w:val="18"/>
          <w:szCs w:val="18"/>
          <w:i w:val="1"/>
          <w:iCs w:val="1"/>
          <w:u w:val="single" w:color="auto"/>
          <w:color w:val="auto"/>
        </w:rPr>
        <w:t>Proposal Three – Ratification of Appointment of Independent Auditor</w:t>
      </w:r>
      <w:r>
        <w:rPr>
          <w:rFonts w:ascii="Arial" w:cs="Arial" w:eastAsia="Arial" w:hAnsi="Arial"/>
          <w:sz w:val="18"/>
          <w:szCs w:val="18"/>
          <w:color w:val="auto"/>
        </w:rPr>
        <w:t>: The appointment of Deloitte &amp; Touche LLP as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independent registered public accountant for 2019 will be ratified if the majority of the votes cast are in favor of the proposal (meaning the number of votes cast “for” the proposal must exceed the number of votes cast “against” the proposal). Abstentions from voting on this matter will not be counted. Brokers and other holders of record </w:t>
      </w:r>
      <w:r>
        <w:rPr>
          <w:rFonts w:ascii="Arial" w:cs="Arial" w:eastAsia="Arial" w:hAnsi="Arial"/>
          <w:sz w:val="18"/>
          <w:szCs w:val="18"/>
          <w:i w:val="1"/>
          <w:iCs w:val="1"/>
          <w:color w:val="auto"/>
        </w:rPr>
        <w:t>do</w:t>
      </w:r>
      <w:r>
        <w:rPr>
          <w:rFonts w:ascii="Arial" w:cs="Arial" w:eastAsia="Arial" w:hAnsi="Arial"/>
          <w:sz w:val="18"/>
          <w:szCs w:val="18"/>
          <w:color w:val="auto"/>
        </w:rPr>
        <w:t xml:space="preserve"> have discretionary authority to vote</w:t>
      </w:r>
    </w:p>
    <w:p>
      <w:pPr>
        <w:spacing w:after="0" w:line="13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240" w:top="459" w:right="5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80"/>
        <w:spacing w:after="0" w:line="246" w:lineRule="auto"/>
        <w:rPr>
          <w:sz w:val="20"/>
          <w:szCs w:val="20"/>
          <w:color w:val="auto"/>
        </w:rPr>
      </w:pPr>
      <w:r>
        <w:rPr>
          <w:rFonts w:ascii="Arial" w:cs="Arial" w:eastAsia="Arial" w:hAnsi="Arial"/>
          <w:sz w:val="18"/>
          <w:szCs w:val="18"/>
          <w:color w:val="auto"/>
        </w:rPr>
        <w:t>shares on this matter. Therefore, there will be no broker non-votes on the ratification of the Company’s independent registered public accountant.</w:t>
      </w:r>
    </w:p>
    <w:p>
      <w:pPr>
        <w:spacing w:after="0" w:line="170" w:lineRule="exact"/>
        <w:rPr>
          <w:sz w:val="20"/>
          <w:szCs w:val="20"/>
          <w:color w:val="auto"/>
        </w:rPr>
      </w:pPr>
    </w:p>
    <w:p>
      <w:pPr>
        <w:jc w:val="both"/>
        <w:ind w:left="200" w:right="420"/>
        <w:spacing w:after="0"/>
        <w:rPr>
          <w:sz w:val="20"/>
          <w:szCs w:val="20"/>
          <w:color w:val="auto"/>
        </w:rPr>
      </w:pPr>
      <w:r>
        <w:rPr>
          <w:rFonts w:ascii="Arial" w:cs="Arial" w:eastAsia="Arial" w:hAnsi="Arial"/>
          <w:sz w:val="18"/>
          <w:szCs w:val="18"/>
          <w:color w:val="auto"/>
        </w:rPr>
        <w:t>Unless contrary instructions are specified, if the proxy is completed and submitted (and not revoked) prior to the annual meeting, the shares represented by the proxy will be voted as follows: (i) FOR proposals one, two, and three; and (ii) in accordance with the best judgment of the named proxies on any other matters properly brought before the annual meeting.</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Revocability of Proxies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Shares represented at the annual meeting by properly signed proxies will be voted at the annual meeting in accordance with the instructions given in the proxy. A shareholder may revoke a proxy at any time before the vote. Mere attendance at the annual meeting will not revoke a proxy. A proxy may be revoked only by:</w:t>
      </w:r>
    </w:p>
    <w:p>
      <w:pPr>
        <w:spacing w:after="0" w:line="62" w:lineRule="exact"/>
        <w:rPr>
          <w:sz w:val="20"/>
          <w:szCs w:val="20"/>
          <w:color w:val="auto"/>
        </w:rPr>
      </w:pPr>
    </w:p>
    <w:p>
      <w:pPr>
        <w:ind w:left="960" w:right="280"/>
        <w:spacing w:after="0" w:line="391" w:lineRule="auto"/>
        <w:rPr>
          <w:sz w:val="20"/>
          <w:szCs w:val="20"/>
          <w:color w:val="auto"/>
        </w:rPr>
      </w:pPr>
      <w:r>
        <w:rPr>
          <w:rFonts w:ascii="Arial" w:cs="Arial" w:eastAsia="Arial" w:hAnsi="Arial"/>
          <w:sz w:val="18"/>
          <w:szCs w:val="18"/>
          <w:color w:val="auto"/>
        </w:rPr>
        <w:t>submitting a later-dated proxy by mail, by Internet or by telephone for the same shares at any time before the proxy is voted; delivering written notice of revocation to the Corporate Secretary of the Company at any time before the vote; or</w:t>
      </w:r>
    </w:p>
    <w:p>
      <w:pPr>
        <w:ind w:left="520"/>
        <w:spacing w:after="0"/>
        <w:rPr>
          <w:sz w:val="20"/>
          <w:szCs w:val="20"/>
          <w:color w:val="auto"/>
        </w:rPr>
      </w:pPr>
      <w:r>
        <w:rPr>
          <w:rFonts w:ascii="Arial" w:cs="Arial" w:eastAsia="Arial" w:hAnsi="Arial"/>
          <w:sz w:val="18"/>
          <w:szCs w:val="18"/>
          <w:color w:val="auto"/>
        </w:rPr>
        <w:t xml:space="preserve">attending the annual meeting </w:t>
      </w:r>
      <w:r>
        <w:rPr>
          <w:rFonts w:ascii="Arial" w:cs="Arial" w:eastAsia="Arial" w:hAnsi="Arial"/>
          <w:sz w:val="18"/>
          <w:szCs w:val="18"/>
          <w:i w:val="1"/>
          <w:iCs w:val="1"/>
          <w:color w:val="auto"/>
        </w:rPr>
        <w:t>and</w:t>
      </w:r>
      <w:r>
        <w:rPr>
          <w:rFonts w:ascii="Arial" w:cs="Arial" w:eastAsia="Arial" w:hAnsi="Arial"/>
          <w:sz w:val="18"/>
          <w:szCs w:val="18"/>
          <w:color w:val="auto"/>
        </w:rPr>
        <w:t xml:space="preserve"> voting in person.</w:t>
      </w:r>
    </w:p>
    <w:p>
      <w:pPr>
        <w:spacing w:after="0" w:line="244" w:lineRule="exact"/>
        <w:rPr>
          <w:sz w:val="20"/>
          <w:szCs w:val="20"/>
          <w:color w:val="auto"/>
        </w:rPr>
      </w:pPr>
    </w:p>
    <w:p>
      <w:pPr>
        <w:jc w:val="both"/>
        <w:ind w:left="200" w:right="60"/>
        <w:spacing w:after="0"/>
        <w:rPr>
          <w:sz w:val="20"/>
          <w:szCs w:val="20"/>
          <w:color w:val="auto"/>
        </w:rPr>
      </w:pPr>
      <w:r>
        <w:rPr>
          <w:rFonts w:ascii="Arial" w:cs="Arial" w:eastAsia="Arial" w:hAnsi="Arial"/>
          <w:sz w:val="18"/>
          <w:szCs w:val="18"/>
          <w:color w:val="auto"/>
        </w:rPr>
        <w:t>If the annual meeting is postponed or adjourned for any reason, at any subsequent reconvening of the annual meeting, all proxies will be voted in the same manner as the proxies would have been voted at the original convening of the annual meeting (except for any proxies that have at that time effectively been revoked or withdrawn).</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Proxy Solicitation</w:t>
      </w:r>
    </w:p>
    <w:p>
      <w:pPr>
        <w:spacing w:after="0" w:line="193" w:lineRule="exact"/>
        <w:rPr>
          <w:sz w:val="20"/>
          <w:szCs w:val="20"/>
          <w:color w:val="auto"/>
        </w:rPr>
      </w:pPr>
    </w:p>
    <w:p>
      <w:pPr>
        <w:ind w:left="200" w:right="240"/>
        <w:spacing w:after="0" w:line="238" w:lineRule="auto"/>
        <w:rPr>
          <w:sz w:val="20"/>
          <w:szCs w:val="20"/>
          <w:color w:val="auto"/>
        </w:rPr>
      </w:pPr>
      <w:r>
        <w:rPr>
          <w:rFonts w:ascii="Arial" w:cs="Arial" w:eastAsia="Arial" w:hAnsi="Arial"/>
          <w:sz w:val="18"/>
          <w:szCs w:val="18"/>
          <w:color w:val="auto"/>
        </w:rPr>
        <w:t>For the 2019 annual meeting, we have retained Innisfree M&amp;A Incorporated to aid in the solicitation of proxies. We will bear the cost of such solicitation of proxies, which we estimate will be approximately $10,000, plus expenses. Proxies may be solicited by personal contact, mail, email, telephone, or facsimile. In addition, we may reimburse brokerage firms and other persons representing beneficial owners of our common stock for their reasonable expenses in forwarding solicitation materials to the beneficial owners. Our directors, officers, and employees may also solicit proxies personally or by telephone, without additional compensation.</w:t>
      </w:r>
    </w:p>
    <w:p>
      <w:pPr>
        <w:spacing w:after="0" w:line="13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240" w:top="459" w:right="5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PROPOSAL 1 – ELECTION OF DIRECTORS</w:t>
      </w:r>
    </w:p>
    <w:p>
      <w:pPr>
        <w:spacing w:after="0" w:line="207"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The Board of Directors (Board) is divided into three classes, with each director holding office for a three-year term or until his or her successor has been duly elected and qualified, or until his or her death, resignation or removal from office. At the 2019 Annual Meeting of Shareholders (Annual Meeting), shareholders are being asked to re-elect three Class 3 directors for terms of three years or until their death, resignation, or removal from office or their successors are duly elected and qualified. Unless authority is withheld, the persons named as proxies will vote for the election of the nominees listed below. If any of the nominees become unavailable to serve, the persons named as proxies will have discretionary authority to vote for a substitute nominee.</w:t>
      </w:r>
    </w:p>
    <w:p>
      <w:pPr>
        <w:spacing w:after="0" w:line="165"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Our Board has nominated the following persons for election to the Board. Each nominee is currently a director and has indicated that he or she is willing and able to continue to serve as a director.</w:t>
      </w:r>
    </w:p>
    <w:p>
      <w:pPr>
        <w:spacing w:after="0" w:line="152" w:lineRule="exact"/>
        <w:rPr>
          <w:sz w:val="20"/>
          <w:szCs w:val="20"/>
          <w:color w:val="auto"/>
        </w:rPr>
      </w:pPr>
    </w:p>
    <w:p>
      <w:pPr>
        <w:jc w:val="center"/>
        <w:ind w:right="-219"/>
        <w:spacing w:after="0"/>
        <w:rPr>
          <w:sz w:val="20"/>
          <w:szCs w:val="20"/>
          <w:color w:val="auto"/>
        </w:rPr>
      </w:pPr>
      <w:r>
        <w:rPr>
          <w:rFonts w:ascii="Arial" w:cs="Arial" w:eastAsia="Arial" w:hAnsi="Arial"/>
          <w:sz w:val="18"/>
          <w:szCs w:val="18"/>
          <w:u w:val="single" w:color="auto"/>
          <w:color w:val="auto"/>
        </w:rPr>
        <w:t>Class 3 (to serve until the 2022 annual meeting)</w:t>
      </w:r>
    </w:p>
    <w:p>
      <w:pPr>
        <w:jc w:val="center"/>
        <w:ind w:right="-219"/>
        <w:spacing w:after="0" w:line="234" w:lineRule="auto"/>
        <w:rPr>
          <w:sz w:val="20"/>
          <w:szCs w:val="20"/>
          <w:color w:val="auto"/>
        </w:rPr>
      </w:pPr>
      <w:r>
        <w:rPr>
          <w:rFonts w:ascii="Arial" w:cs="Arial" w:eastAsia="Arial" w:hAnsi="Arial"/>
          <w:sz w:val="18"/>
          <w:szCs w:val="18"/>
          <w:color w:val="auto"/>
        </w:rPr>
        <w:t>Lynda L. Ziegler</w:t>
      </w:r>
    </w:p>
    <w:p>
      <w:pPr>
        <w:jc w:val="center"/>
        <w:ind w:right="-219"/>
        <w:spacing w:after="0" w:line="235" w:lineRule="auto"/>
        <w:rPr>
          <w:sz w:val="20"/>
          <w:szCs w:val="20"/>
          <w:color w:val="auto"/>
        </w:rPr>
      </w:pPr>
      <w:r>
        <w:rPr>
          <w:rFonts w:ascii="Arial" w:cs="Arial" w:eastAsia="Arial" w:hAnsi="Arial"/>
          <w:sz w:val="18"/>
          <w:szCs w:val="18"/>
          <w:color w:val="auto"/>
        </w:rPr>
        <w:t>Thomas S. Glanville</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Diana D. Tremblay</w:t>
      </w:r>
    </w:p>
    <w:p>
      <w:pPr>
        <w:spacing w:after="0" w:line="185" w:lineRule="exact"/>
        <w:rPr>
          <w:sz w:val="20"/>
          <w:szCs w:val="20"/>
          <w:color w:val="auto"/>
        </w:rPr>
      </w:pPr>
    </w:p>
    <w:p>
      <w:pPr>
        <w:ind w:left="200" w:right="380"/>
        <w:spacing w:after="0" w:line="238" w:lineRule="auto"/>
        <w:rPr>
          <w:sz w:val="20"/>
          <w:szCs w:val="20"/>
          <w:color w:val="auto"/>
        </w:rPr>
      </w:pPr>
      <w:r>
        <w:rPr>
          <w:rFonts w:ascii="Arial" w:cs="Arial" w:eastAsia="Arial" w:hAnsi="Arial"/>
          <w:sz w:val="18"/>
          <w:szCs w:val="18"/>
          <w:color w:val="auto"/>
        </w:rPr>
        <w:t>We have concluded that each of the nominees for re-election, as well as the other directors who will continue in office, have the skills, experience, knowledge, and personal attributes that are necessary to effectively serve on our Board. As described below in their biographies and the section “</w:t>
      </w:r>
      <w:r>
        <w:rPr>
          <w:rFonts w:ascii="Arial" w:cs="Arial" w:eastAsia="Arial" w:hAnsi="Arial"/>
          <w:sz w:val="18"/>
          <w:szCs w:val="18"/>
          <w:i w:val="1"/>
          <w:iCs w:val="1"/>
          <w:color w:val="auto"/>
        </w:rPr>
        <w:t>Director and Director Nominee Qualifications</w:t>
      </w:r>
      <w:r>
        <w:rPr>
          <w:rFonts w:ascii="Arial" w:cs="Arial" w:eastAsia="Arial" w:hAnsi="Arial"/>
          <w:sz w:val="18"/>
          <w:szCs w:val="18"/>
          <w:color w:val="auto"/>
        </w:rPr>
        <w:t>” that follows, the qualifications of our directors and director nominees support our conclusion that each of the individuals should serve as a director in light of our current business operations and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129540</wp:posOffset>
            </wp:positionV>
            <wp:extent cx="154305" cy="651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4305" cy="651510"/>
                    </a:xfrm>
                    <a:prstGeom prst="rect">
                      <a:avLst/>
                    </a:prstGeom>
                    <a:noFill/>
                  </pic:spPr>
                </pic:pic>
              </a:graphicData>
            </a:graphic>
          </wp:anchor>
        </w:drawing>
      </w:r>
    </w:p>
    <w:p>
      <w:pPr>
        <w:spacing w:after="0" w:line="323"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The Board recommends that shareholders</w:t>
      </w:r>
    </w:p>
    <w:p>
      <w:pPr>
        <w:spacing w:after="0" w:line="13"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vote “FOR” the election of each of the Class 3</w:t>
      </w:r>
    </w:p>
    <w:p>
      <w:pPr>
        <w:ind w:left="2740"/>
        <w:spacing w:after="0"/>
        <w:rPr>
          <w:sz w:val="20"/>
          <w:szCs w:val="20"/>
          <w:color w:val="auto"/>
        </w:rPr>
      </w:pPr>
      <w:r>
        <w:rPr>
          <w:rFonts w:ascii="Arial" w:cs="Arial" w:eastAsia="Arial" w:hAnsi="Arial"/>
          <w:sz w:val="18"/>
          <w:szCs w:val="18"/>
          <w:b w:val="1"/>
          <w:bCs w:val="1"/>
          <w:color w:val="auto"/>
        </w:rPr>
        <w:t>director nominees.</w:t>
      </w:r>
    </w:p>
    <w:p>
      <w:pPr>
        <w:spacing w:after="0" w:line="200" w:lineRule="exact"/>
        <w:rPr>
          <w:sz w:val="20"/>
          <w:szCs w:val="20"/>
          <w:color w:val="auto"/>
        </w:rPr>
      </w:pPr>
    </w:p>
    <w:p>
      <w:pPr>
        <w:spacing w:after="0" w:line="2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MORE INFORMATION ABOUT OUR DIRECTORS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Class 3 Director Nominees – Three Year Terms That Will Expire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699770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Lynda L. Ziegler</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2013</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Other Current Public Directorships: </w:t>
      </w:r>
      <w:r>
        <w:rPr>
          <w:rFonts w:ascii="Arial" w:cs="Arial" w:eastAsia="Arial" w:hAnsi="Arial"/>
          <w:sz w:val="17"/>
          <w:szCs w:val="17"/>
          <w:color w:val="auto"/>
        </w:rPr>
        <w:t>None</w:t>
      </w:r>
    </w:p>
    <w:p>
      <w:pPr>
        <w:spacing w:after="0" w:line="340" w:lineRule="exact"/>
        <w:rPr>
          <w:sz w:val="20"/>
          <w:szCs w:val="20"/>
          <w:color w:val="auto"/>
        </w:rPr>
      </w:pPr>
    </w:p>
    <w:p>
      <w:pPr>
        <w:sectPr>
          <w:pgSz w:w="11900" w:h="16838" w:orient="portrait"/>
          <w:cols w:equalWidth="0" w:num="3">
            <w:col w:w="2360" w:space="720"/>
            <w:col w:w="2360" w:space="720"/>
            <w:col w:w="5060"/>
          </w:cols>
          <w:pgMar w:left="240" w:top="459" w:right="439" w:bottom="1440" w:gutter="0" w:footer="0" w:header="0"/>
          <w:type w:val="continuous"/>
        </w:sectPr>
      </w:pPr>
    </w:p>
    <w:p>
      <w:pPr>
        <w:ind w:left="200" w:right="120"/>
        <w:spacing w:after="0" w:line="236" w:lineRule="auto"/>
        <w:rPr>
          <w:sz w:val="20"/>
          <w:szCs w:val="20"/>
          <w:color w:val="auto"/>
        </w:rPr>
      </w:pPr>
      <w:r>
        <w:rPr>
          <w:rFonts w:ascii="Arial" w:cs="Arial" w:eastAsia="Arial" w:hAnsi="Arial"/>
          <w:sz w:val="18"/>
          <w:szCs w:val="18"/>
          <w:color w:val="auto"/>
        </w:rPr>
        <w:t>Lynda Ziegler was elected Vice Chair of the Board in April 2015, and then Chair of the Board in September 2016. In September 2012, Ms. Ziegler retired from Southern California Edison (SCE), one of the largest electric utilities in the U.S. (and a customer of Itron), whose parent is Edison International. During her tenure at SCE, she held various management positions related to customer program offerings, customer service, development, communication and implementation of energy efficiency programs, marketing and communication of smart meters, and generally led all aspects of delivering power to almost 5 million customers. From 2006 to 2011, Ms. Ziegler was Senior Vice President of Customer Service, and from January 1, 2011 until her retirement in September of 2012, she served as Executive Vice President of Power Delivery Services, where she was responsible for transmission and distribution construction and maintenance, customer service, information technology (IT), and support services including procurement and real estate management. In the past, she has served on the advisory committee for power delivery and utilization at the Electric Power Research Institute and was a founding member of the Board of the Association for Women in Water and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28575</wp:posOffset>
            </wp:positionV>
            <wp:extent cx="6997700" cy="5829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7700" cy="582930"/>
                    </a:xfrm>
                    <a:prstGeom prst="rect">
                      <a:avLst/>
                    </a:prstGeom>
                    <a:noFill/>
                  </pic:spPr>
                </pic:pic>
              </a:graphicData>
            </a:graphic>
          </wp:anchor>
        </w:drawing>
      </w:r>
    </w:p>
    <w:p>
      <w:pPr>
        <w:spacing w:after="0" w:line="111" w:lineRule="exact"/>
        <w:rPr>
          <w:sz w:val="20"/>
          <w:szCs w:val="20"/>
          <w:color w:val="auto"/>
        </w:rPr>
      </w:pPr>
    </w:p>
    <w:p>
      <w:pPr>
        <w:ind w:left="200" w:right="120"/>
        <w:spacing w:after="0" w:line="247" w:lineRule="auto"/>
        <w:rPr>
          <w:sz w:val="20"/>
          <w:szCs w:val="20"/>
          <w:color w:val="auto"/>
        </w:rPr>
      </w:pPr>
      <w:r>
        <w:rPr>
          <w:rFonts w:ascii="Arial" w:cs="Arial" w:eastAsia="Arial" w:hAnsi="Arial"/>
          <w:sz w:val="18"/>
          <w:szCs w:val="18"/>
          <w:b w:val="1"/>
          <w:bCs w:val="1"/>
          <w:color w:val="auto"/>
        </w:rPr>
        <w:t xml:space="preserve">Qualifications: </w:t>
      </w:r>
      <w:r>
        <w:rPr>
          <w:rFonts w:ascii="Arial" w:cs="Arial" w:eastAsia="Arial" w:hAnsi="Arial"/>
          <w:sz w:val="18"/>
          <w:szCs w:val="18"/>
          <w:color w:val="auto"/>
        </w:rPr>
        <w:t>Ms. Ziegler brings to the Board her extensive background with public utilities, especially with her recent responsibilities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industry related to smart meters and customer relations from the utility perspective. Her breadth of knowledge of software services, transmission and distribution construction and maintenance, IT, and business development adds to the diverse business backgrounds of our other members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31115</wp:posOffset>
            </wp:positionV>
            <wp:extent cx="699770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type w:val="continuous"/>
        </w:sectPr>
      </w:pPr>
    </w:p>
    <w:bookmarkStart w:id="9" w:name="page10"/>
    <w:bookmarkEnd w:id="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699770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0" w:right="440"/>
        <w:spacing w:after="0" w:line="271" w:lineRule="auto"/>
        <w:rPr>
          <w:sz w:val="20"/>
          <w:szCs w:val="20"/>
          <w:color w:val="auto"/>
        </w:rPr>
      </w:pPr>
      <w:r>
        <w:rPr>
          <w:rFonts w:ascii="Arial" w:cs="Arial" w:eastAsia="Arial" w:hAnsi="Arial"/>
          <w:sz w:val="18"/>
          <w:szCs w:val="18"/>
          <w:b w:val="1"/>
          <w:bCs w:val="1"/>
          <w:color w:val="auto"/>
        </w:rPr>
        <w:t xml:space="preserve">Thomas S. Glanville Age: </w:t>
      </w: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2001</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Current Public Directorships: </w:t>
      </w:r>
      <w:r>
        <w:rPr>
          <w:rFonts w:ascii="Arial" w:cs="Arial" w:eastAsia="Arial" w:hAnsi="Arial"/>
          <w:sz w:val="18"/>
          <w:szCs w:val="18"/>
          <w:color w:val="auto"/>
        </w:rPr>
        <w:t>Mitcham Industries, Inc.</w:t>
      </w:r>
    </w:p>
    <w:p>
      <w:pPr>
        <w:spacing w:after="0" w:line="409" w:lineRule="exact"/>
        <w:rPr>
          <w:sz w:val="20"/>
          <w:szCs w:val="20"/>
          <w:color w:val="auto"/>
        </w:rPr>
      </w:pPr>
    </w:p>
    <w:p>
      <w:pPr>
        <w:sectPr>
          <w:pgSz w:w="11900" w:h="16838" w:orient="portrait"/>
          <w:cols w:equalWidth="0" w:num="3">
            <w:col w:w="2360" w:space="720"/>
            <w:col w:w="2360" w:space="720"/>
            <w:col w:w="5060"/>
          </w:cols>
          <w:pgMar w:left="240" w:top="459" w:right="439" w:bottom="1440" w:gutter="0" w:footer="0" w:header="0"/>
          <w:type w:val="continuous"/>
        </w:sectPr>
      </w:pPr>
    </w:p>
    <w:p>
      <w:pPr>
        <w:ind w:left="200"/>
        <w:spacing w:after="0" w:line="236" w:lineRule="auto"/>
        <w:rPr>
          <w:sz w:val="20"/>
          <w:szCs w:val="20"/>
          <w:color w:val="auto"/>
        </w:rPr>
      </w:pPr>
      <w:r>
        <w:rPr>
          <w:rFonts w:ascii="Arial" w:cs="Arial" w:eastAsia="Arial" w:hAnsi="Arial"/>
          <w:sz w:val="18"/>
          <w:szCs w:val="18"/>
          <w:color w:val="auto"/>
        </w:rPr>
        <w:t>Thomas Glanville has been the Managing Partner of Eschelon Advisors, LP and affiliates, providing energy and private equity investment and advisory services since 2003. From 1999 to 2002, Mr. Glanville served as Vice President of Technology and New Ventures for Reliant Energy, Inc., one of the world’s largest international energy services companies, and its affiliate, Reliant Resources, Inc. In September 2015, he was appointed to the board of directors of Mitcham Industries, Inc. (NASDAQ: “MIND”), a publicly traded technology company for the oceanographic, hydrographic, defense, seismic, and security industries, where he also serves as chair of the board’s audit committee. He currently serves on the board of directors for Strand Energy, L.C., a privately-held oil and gas exploration and production company, and Crescent Pass Energy, LLC, a private oil and gas production company. He served as Chairman of the Texas TriCities Chapter of the National Association of Corporate Directors (Houston, Austin, San Antonio) from 2011 through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-3810</wp:posOffset>
            </wp:positionV>
            <wp:extent cx="6997700" cy="4972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7700" cy="497205"/>
                    </a:xfrm>
                    <a:prstGeom prst="rect">
                      <a:avLst/>
                    </a:prstGeom>
                    <a:noFill/>
                  </pic:spPr>
                </pic:pic>
              </a:graphicData>
            </a:graphic>
          </wp:anchor>
        </w:drawing>
      </w:r>
    </w:p>
    <w:p>
      <w:pPr>
        <w:spacing w:after="0" w:line="126" w:lineRule="exact"/>
        <w:rPr>
          <w:sz w:val="20"/>
          <w:szCs w:val="20"/>
          <w:color w:val="auto"/>
        </w:rPr>
      </w:pPr>
    </w:p>
    <w:p>
      <w:pPr>
        <w:ind w:left="200" w:right="180"/>
        <w:spacing w:after="0" w:line="275" w:lineRule="auto"/>
        <w:rPr>
          <w:sz w:val="20"/>
          <w:szCs w:val="20"/>
          <w:color w:val="auto"/>
        </w:rPr>
      </w:pPr>
      <w:r>
        <w:rPr>
          <w:rFonts w:ascii="Arial" w:cs="Arial" w:eastAsia="Arial" w:hAnsi="Arial"/>
          <w:sz w:val="17"/>
          <w:szCs w:val="17"/>
          <w:b w:val="1"/>
          <w:bCs w:val="1"/>
          <w:color w:val="auto"/>
        </w:rPr>
        <w:t xml:space="preserve">Qualifications: </w:t>
      </w:r>
      <w:r>
        <w:rPr>
          <w:rFonts w:ascii="Arial" w:cs="Arial" w:eastAsia="Arial" w:hAnsi="Arial"/>
          <w:sz w:val="17"/>
          <w:szCs w:val="17"/>
          <w:color w:val="auto"/>
        </w:rPr>
        <w:t>Mr. Glanville brings to the Board financial expertise, industry-related experience through his association with Reliant</w:t>
      </w:r>
      <w:r>
        <w:rPr>
          <w:rFonts w:ascii="Arial" w:cs="Arial" w:eastAsia="Arial" w:hAnsi="Arial"/>
          <w:sz w:val="17"/>
          <w:szCs w:val="17"/>
          <w:b w:val="1"/>
          <w:bCs w:val="1"/>
          <w:color w:val="auto"/>
        </w:rPr>
        <w:t xml:space="preserve"> </w:t>
      </w:r>
      <w:r>
        <w:rPr>
          <w:rFonts w:ascii="Arial" w:cs="Arial" w:eastAsia="Arial" w:hAnsi="Arial"/>
          <w:sz w:val="17"/>
          <w:szCs w:val="17"/>
          <w:color w:val="auto"/>
        </w:rPr>
        <w:t>Energy, energy sector exposure through the Eschelon entities and Mitcham Industries, and technology skills that include his involvement with electric metering studies and research while he was Vice President of Technology and New Ventures for Reliant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-8255</wp:posOffset>
            </wp:positionV>
            <wp:extent cx="699770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325120</wp:posOffset>
            </wp:positionV>
            <wp:extent cx="699770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0" w:right="600"/>
        <w:spacing w:after="0" w:line="271" w:lineRule="auto"/>
        <w:rPr>
          <w:sz w:val="20"/>
          <w:szCs w:val="20"/>
          <w:color w:val="auto"/>
        </w:rPr>
      </w:pPr>
      <w:r>
        <w:rPr>
          <w:rFonts w:ascii="Arial" w:cs="Arial" w:eastAsia="Arial" w:hAnsi="Arial"/>
          <w:sz w:val="18"/>
          <w:szCs w:val="18"/>
          <w:b w:val="1"/>
          <w:bCs w:val="1"/>
          <w:color w:val="auto"/>
        </w:rPr>
        <w:t xml:space="preserve">Diana D. Tremblay Age: </w:t>
      </w: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2015</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Other Current Public Directorships: </w:t>
      </w:r>
      <w:r>
        <w:rPr>
          <w:rFonts w:ascii="Arial" w:cs="Arial" w:eastAsia="Arial" w:hAnsi="Arial"/>
          <w:sz w:val="17"/>
          <w:szCs w:val="17"/>
          <w:color w:val="auto"/>
        </w:rPr>
        <w:t>None</w:t>
      </w:r>
    </w:p>
    <w:p>
      <w:pPr>
        <w:spacing w:after="0" w:line="420" w:lineRule="exact"/>
        <w:rPr>
          <w:sz w:val="20"/>
          <w:szCs w:val="20"/>
          <w:color w:val="auto"/>
        </w:rPr>
      </w:pPr>
    </w:p>
    <w:p>
      <w:pPr>
        <w:sectPr>
          <w:pgSz w:w="11900" w:h="16838" w:orient="portrait"/>
          <w:cols w:equalWidth="0" w:num="3">
            <w:col w:w="2360" w:space="720"/>
            <w:col w:w="2360" w:space="720"/>
            <w:col w:w="5060"/>
          </w:cols>
          <w:pgMar w:left="240" w:top="459" w:right="439" w:bottom="1440" w:gutter="0" w:footer="0" w:header="0"/>
          <w:type w:val="continuous"/>
        </w:sectPr>
      </w:pPr>
    </w:p>
    <w:p>
      <w:pPr>
        <w:ind w:left="200" w:right="60"/>
        <w:spacing w:after="0" w:line="237" w:lineRule="auto"/>
        <w:rPr>
          <w:sz w:val="20"/>
          <w:szCs w:val="20"/>
          <w:color w:val="auto"/>
        </w:rPr>
      </w:pPr>
      <w:r>
        <w:rPr>
          <w:rFonts w:ascii="Arial" w:cs="Arial" w:eastAsia="Arial" w:hAnsi="Arial"/>
          <w:sz w:val="18"/>
          <w:szCs w:val="18"/>
          <w:color w:val="auto"/>
        </w:rPr>
        <w:t>Diana Tremblay retired from General Motors Company, the motor vehicle manufacturer and distributor multinational corporation (NYSE: “GM”) in September 2017. She had been with that company since 1977, and during her tenure at GM, she held a variety of positions in engineering, manufacturing and labor relations, including direct operational responsibility for over 50,000 employees. From July 2013 until her retirement, Ms. Tremblay served as Vice President of Global Business Services, where she was charged with streamlining administrative processes around the world to improve service quality, reduce complexity, and achieve cost efficiencies in such areas as finance, human resources, real estate, purchasing, asset management, and master data. From December 2009 to July 2013, Ms. Tremblay held the position of Vice President of Manufacturing at 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wp:posOffset>
            </wp:positionV>
            <wp:extent cx="6997700" cy="4972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7700" cy="497205"/>
                    </a:xfrm>
                    <a:prstGeom prst="rect">
                      <a:avLst/>
                    </a:prstGeom>
                    <a:noFill/>
                  </pic:spPr>
                </pic:pic>
              </a:graphicData>
            </a:graphic>
          </wp:anchor>
        </w:drawing>
      </w:r>
    </w:p>
    <w:p>
      <w:pPr>
        <w:spacing w:after="0" w:line="121" w:lineRule="exact"/>
        <w:rPr>
          <w:sz w:val="20"/>
          <w:szCs w:val="20"/>
          <w:color w:val="auto"/>
        </w:rPr>
      </w:pPr>
    </w:p>
    <w:p>
      <w:pPr>
        <w:ind w:left="200" w:right="200"/>
        <w:spacing w:after="0" w:line="275" w:lineRule="auto"/>
        <w:rPr>
          <w:sz w:val="20"/>
          <w:szCs w:val="20"/>
          <w:color w:val="auto"/>
        </w:rPr>
      </w:pPr>
      <w:r>
        <w:rPr>
          <w:rFonts w:ascii="Arial" w:cs="Arial" w:eastAsia="Arial" w:hAnsi="Arial"/>
          <w:sz w:val="17"/>
          <w:szCs w:val="17"/>
          <w:b w:val="1"/>
          <w:bCs w:val="1"/>
          <w:color w:val="auto"/>
        </w:rPr>
        <w:t xml:space="preserve">Qualifications: </w:t>
      </w:r>
      <w:r>
        <w:rPr>
          <w:rFonts w:ascii="Arial" w:cs="Arial" w:eastAsia="Arial" w:hAnsi="Arial"/>
          <w:sz w:val="17"/>
          <w:szCs w:val="17"/>
          <w:color w:val="auto"/>
        </w:rPr>
        <w:t>Ms. Tremblay brings to the Board her broad business experience that includes her previous roles at GM as an engineer,</w:t>
      </w:r>
      <w:r>
        <w:rPr>
          <w:rFonts w:ascii="Arial" w:cs="Arial" w:eastAsia="Arial" w:hAnsi="Arial"/>
          <w:sz w:val="17"/>
          <w:szCs w:val="17"/>
          <w:b w:val="1"/>
          <w:bCs w:val="1"/>
          <w:color w:val="auto"/>
        </w:rPr>
        <w:t xml:space="preserve"> </w:t>
      </w:r>
      <w:r>
        <w:rPr>
          <w:rFonts w:ascii="Arial" w:cs="Arial" w:eastAsia="Arial" w:hAnsi="Arial"/>
          <w:sz w:val="17"/>
          <w:szCs w:val="17"/>
          <w:color w:val="auto"/>
        </w:rPr>
        <w:t>plant manager, head of manufacturing, and lead labor relations negotiator, which together with her knowledge of business services and global manufacturing processes, provide additional international, administrative and manufacturing perspectives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-8255</wp:posOffset>
            </wp:positionV>
            <wp:extent cx="699770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Current Class 1 Directors – Directors with Terms That Will Expire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310515</wp:posOffset>
            </wp:positionV>
            <wp:extent cx="699770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Jerome J. Lande</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2015</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Other Current Public Directorships: </w:t>
      </w:r>
      <w:r>
        <w:rPr>
          <w:rFonts w:ascii="Arial" w:cs="Arial" w:eastAsia="Arial" w:hAnsi="Arial"/>
          <w:sz w:val="17"/>
          <w:szCs w:val="17"/>
          <w:color w:val="auto"/>
        </w:rPr>
        <w:t>CONMED Corporation</w:t>
      </w:r>
    </w:p>
    <w:p>
      <w:pPr>
        <w:spacing w:after="0" w:line="421" w:lineRule="exact"/>
        <w:rPr>
          <w:sz w:val="20"/>
          <w:szCs w:val="20"/>
          <w:color w:val="auto"/>
        </w:rPr>
      </w:pPr>
    </w:p>
    <w:p>
      <w:pPr>
        <w:sectPr>
          <w:pgSz w:w="11900" w:h="16838" w:orient="portrait"/>
          <w:cols w:equalWidth="0" w:num="3">
            <w:col w:w="2360" w:space="720"/>
            <w:col w:w="2360" w:space="720"/>
            <w:col w:w="5040"/>
          </w:cols>
          <w:pgMar w:left="240" w:top="459" w:right="459" w:bottom="1440" w:gutter="0" w:footer="0" w:header="0"/>
          <w:type w:val="continuous"/>
        </w:sectPr>
      </w:pPr>
    </w:p>
    <w:p>
      <w:pPr>
        <w:ind w:left="200"/>
        <w:spacing w:after="0" w:line="236" w:lineRule="auto"/>
        <w:rPr>
          <w:sz w:val="20"/>
          <w:szCs w:val="20"/>
          <w:color w:val="auto"/>
        </w:rPr>
      </w:pPr>
      <w:r>
        <w:rPr>
          <w:rFonts w:ascii="Arial" w:cs="Arial" w:eastAsia="Arial" w:hAnsi="Arial"/>
          <w:sz w:val="18"/>
          <w:szCs w:val="18"/>
          <w:color w:val="auto"/>
        </w:rPr>
        <w:t>Jerome Lande joined Scopia Capital Management LP (Scopia), an asset management firm and one of Itron’s principal minority shareholders, in April 2016 and is currently a Partner and Head of Special-Situation Investments. He was previously the Managing Partner of Coppersmith Capital Management LLC (Coppersmith), an asset management firm focused on equity investing in small to mid-cap markets and in long-term value creation, which he co-founded in April 2012. Prior to co-founding Coppersmith, Mr. Lande was a partner of MCM Capital Management, LLC, the general partner of MMI Investments, LP, a small-cap investment fund founded in 1996 to employ private equity investing methodologies in public equities, and where Mr. Lande oversaw research, trading and activism from 1998 to 2011. Prior to that time, he was associated with other equity investment firms where he was directly involved with corporate development as well as equity growth. Until the completion of a merger on December 7, 2018, Mr. Lande served as a member of the board of directors and the Nomination and Governance Committee of Forest City Realty Trust, Inc. (NYSE: “FCEA”), a national real estate company, Mr. Lande is a member of the board of directors of CONMED Corporation (NASDAQ: “CNMD”), a public global medical technology company, where he also serves on the compensation and strategy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45085</wp:posOffset>
            </wp:positionV>
            <wp:extent cx="6997700" cy="3689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7700" cy="368935"/>
                    </a:xfrm>
                    <a:prstGeom prst="rect">
                      <a:avLst/>
                    </a:prstGeom>
                    <a:noFill/>
                  </pic:spPr>
                </pic:pic>
              </a:graphicData>
            </a:graphic>
          </wp:anchor>
        </w:drawing>
      </w:r>
    </w:p>
    <w:p>
      <w:pPr>
        <w:spacing w:after="0" w:line="204" w:lineRule="exact"/>
        <w:rPr>
          <w:sz w:val="20"/>
          <w:szCs w:val="20"/>
          <w:color w:val="auto"/>
        </w:rPr>
      </w:pPr>
    </w:p>
    <w:p>
      <w:pPr>
        <w:ind w:left="200" w:right="240"/>
        <w:spacing w:after="0" w:line="302" w:lineRule="auto"/>
        <w:rPr>
          <w:sz w:val="20"/>
          <w:szCs w:val="20"/>
          <w:color w:val="auto"/>
        </w:rPr>
      </w:pPr>
      <w:r>
        <w:rPr>
          <w:rFonts w:ascii="Arial" w:cs="Arial" w:eastAsia="Arial" w:hAnsi="Arial"/>
          <w:sz w:val="17"/>
          <w:szCs w:val="17"/>
          <w:b w:val="1"/>
          <w:bCs w:val="1"/>
          <w:color w:val="auto"/>
        </w:rPr>
        <w:t xml:space="preserve">Qualifications: </w:t>
      </w:r>
      <w:r>
        <w:rPr>
          <w:rFonts w:ascii="Arial" w:cs="Arial" w:eastAsia="Arial" w:hAnsi="Arial"/>
          <w:sz w:val="17"/>
          <w:szCs w:val="17"/>
          <w:color w:val="auto"/>
        </w:rPr>
        <w:t>Mr. Lande brings to the Board financial and investing acumen gained through his many years of experience at several</w:t>
      </w:r>
      <w:r>
        <w:rPr>
          <w:rFonts w:ascii="Arial" w:cs="Arial" w:eastAsia="Arial" w:hAnsi="Arial"/>
          <w:sz w:val="17"/>
          <w:szCs w:val="17"/>
          <w:b w:val="1"/>
          <w:bCs w:val="1"/>
          <w:color w:val="auto"/>
        </w:rPr>
        <w:t xml:space="preserve"> </w:t>
      </w:r>
      <w:r>
        <w:rPr>
          <w:rFonts w:ascii="Arial" w:cs="Arial" w:eastAsia="Arial" w:hAnsi="Arial"/>
          <w:sz w:val="17"/>
          <w:szCs w:val="17"/>
          <w:color w:val="auto"/>
        </w:rPr>
        <w:t>equity investment firms, including his current employer Scopia (and affiliates), which is a principal minority shareholder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311150</wp:posOffset>
            </wp:positionV>
            <wp:extent cx="699770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0" w:right="620"/>
        <w:spacing w:after="0" w:line="271" w:lineRule="auto"/>
        <w:rPr>
          <w:sz w:val="20"/>
          <w:szCs w:val="20"/>
          <w:color w:val="auto"/>
        </w:rPr>
      </w:pPr>
      <w:r>
        <w:rPr>
          <w:rFonts w:ascii="Arial" w:cs="Arial" w:eastAsia="Arial" w:hAnsi="Arial"/>
          <w:sz w:val="18"/>
          <w:szCs w:val="18"/>
          <w:b w:val="1"/>
          <w:bCs w:val="1"/>
          <w:color w:val="auto"/>
        </w:rPr>
        <w:t xml:space="preserve">Frank M. Jaehnert Age: </w:t>
      </w: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2015</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color w:val="auto"/>
        </w:rPr>
        <w:t xml:space="preserve">Other Current Public Directorships: </w:t>
      </w:r>
      <w:r>
        <w:rPr>
          <w:rFonts w:ascii="Arial" w:cs="Arial" w:eastAsia="Arial" w:hAnsi="Arial"/>
          <w:sz w:val="18"/>
          <w:szCs w:val="18"/>
          <w:color w:val="auto"/>
        </w:rPr>
        <w:t>Nordson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Briggs &amp; Stratton Corporation</w:t>
      </w:r>
    </w:p>
    <w:p>
      <w:pPr>
        <w:spacing w:after="0" w:line="149" w:lineRule="exact"/>
        <w:rPr>
          <w:sz w:val="20"/>
          <w:szCs w:val="20"/>
          <w:color w:val="auto"/>
        </w:rPr>
      </w:pPr>
    </w:p>
    <w:p>
      <w:pPr>
        <w:sectPr>
          <w:pgSz w:w="11900" w:h="16838" w:orient="portrait"/>
          <w:cols w:equalWidth="0" w:num="3">
            <w:col w:w="2360" w:space="720"/>
            <w:col w:w="2360" w:space="720"/>
            <w:col w:w="5040"/>
          </w:cols>
          <w:pgMar w:left="240" w:top="459" w:right="459" w:bottom="1440" w:gutter="0" w:footer="0" w:header="0"/>
          <w:type w:val="continuous"/>
        </w:sectPr>
      </w:pPr>
    </w:p>
    <w:p>
      <w:pPr>
        <w:ind w:left="200"/>
        <w:spacing w:after="0" w:line="236" w:lineRule="auto"/>
        <w:rPr>
          <w:sz w:val="20"/>
          <w:szCs w:val="20"/>
          <w:color w:val="auto"/>
        </w:rPr>
      </w:pPr>
      <w:r>
        <w:rPr>
          <w:rFonts w:ascii="Arial" w:cs="Arial" w:eastAsia="Arial" w:hAnsi="Arial"/>
          <w:sz w:val="18"/>
          <w:szCs w:val="18"/>
          <w:color w:val="auto"/>
        </w:rPr>
        <w:t>From 1995 to his retirement in 2013, Frank Jaehnert held several roles with Brady Corporation (NYSE: “BRC”), a publicly traded manufacturer and marketer of complete solutions that identify and protect premises, products and people. These roles included President and Chief Executive Officer from 2003 to 2013, Senior Vice President and President of a business line from 2002 to 2003, and Vice President and Chief Financial Officer from 1996 to 2001. Prior to joining Brady Corporation, Mr. Jaehnert held various financial and management positions for Robert Bosch GmbH, a German multinational engineering and electronics company. Mr. Jaehnert serves on the board of directors of Nordson Corporation (NASDAQ: “NDSN”), which he joined in 2012, and Briggs &amp; Stratton Corporation (NYSE: “BGG”), which he joined in 2014. NDSN and BGG are both publicly traded large manufacturing companies. Mr. Jaehnert also serves on the NDSN executive committee and as the chair of the NDSN audit committee and on the BGG audit and nominating and governance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6997700" cy="4972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7700" cy="497205"/>
                    </a:xfrm>
                    <a:prstGeom prst="rect">
                      <a:avLst/>
                    </a:prstGeom>
                    <a:noFill/>
                  </pic:spPr>
                </pic:pic>
              </a:graphicData>
            </a:graphic>
          </wp:anchor>
        </w:drawing>
      </w:r>
    </w:p>
    <w:p>
      <w:pPr>
        <w:spacing w:after="0" w:line="125" w:lineRule="exact"/>
        <w:rPr>
          <w:sz w:val="20"/>
          <w:szCs w:val="20"/>
          <w:color w:val="auto"/>
        </w:rPr>
      </w:pPr>
    </w:p>
    <w:p>
      <w:pPr>
        <w:ind w:left="200" w:right="20"/>
        <w:spacing w:after="0" w:line="253" w:lineRule="auto"/>
        <w:rPr>
          <w:sz w:val="20"/>
          <w:szCs w:val="20"/>
          <w:color w:val="auto"/>
        </w:rPr>
      </w:pPr>
      <w:r>
        <w:rPr>
          <w:rFonts w:ascii="Arial" w:cs="Arial" w:eastAsia="Arial" w:hAnsi="Arial"/>
          <w:sz w:val="18"/>
          <w:szCs w:val="18"/>
          <w:b w:val="1"/>
          <w:bCs w:val="1"/>
          <w:color w:val="auto"/>
        </w:rPr>
        <w:t xml:space="preserve">Qualifications: </w:t>
      </w:r>
      <w:r>
        <w:rPr>
          <w:rFonts w:ascii="Arial" w:cs="Arial" w:eastAsia="Arial" w:hAnsi="Arial"/>
          <w:sz w:val="18"/>
          <w:szCs w:val="18"/>
          <w:color w:val="auto"/>
        </w:rPr>
        <w:t>Mr. Jaehnert has extensive, broad-based international business and executive management and leadership experience.</w:t>
      </w:r>
      <w:r>
        <w:rPr>
          <w:rFonts w:ascii="Arial" w:cs="Arial" w:eastAsia="Arial" w:hAnsi="Arial"/>
          <w:sz w:val="18"/>
          <w:szCs w:val="18"/>
          <w:b w:val="1"/>
          <w:bCs w:val="1"/>
          <w:color w:val="auto"/>
        </w:rPr>
        <w:t xml:space="preserve"> </w:t>
      </w:r>
      <w:r>
        <w:rPr>
          <w:rFonts w:ascii="Arial" w:cs="Arial" w:eastAsia="Arial" w:hAnsi="Arial"/>
          <w:sz w:val="18"/>
          <w:szCs w:val="18"/>
          <w:color w:val="auto"/>
        </w:rPr>
        <w:t>Mr. Jaehnert’s diverse background, his experience with geographic expansion and acquisitions, as well as his experience serving on other public company boards bring valuable perspectives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wp:posOffset>
            </wp:positionV>
            <wp:extent cx="699770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type w:val="continuous"/>
        </w:sectPr>
      </w:pPr>
    </w:p>
    <w:bookmarkStart w:id="11" w:name="page12"/>
    <w:bookmarkEnd w:id="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699770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Gary E. Pruitt</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2006</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440"/>
        <w:spacing w:after="0" w:line="302" w:lineRule="auto"/>
        <w:rPr>
          <w:sz w:val="20"/>
          <w:szCs w:val="20"/>
          <w:color w:val="auto"/>
        </w:rPr>
      </w:pPr>
      <w:r>
        <w:rPr>
          <w:rFonts w:ascii="Arial" w:cs="Arial" w:eastAsia="Arial" w:hAnsi="Arial"/>
          <w:sz w:val="17"/>
          <w:szCs w:val="17"/>
          <w:b w:val="1"/>
          <w:bCs w:val="1"/>
          <w:color w:val="auto"/>
        </w:rPr>
        <w:t xml:space="preserve">Other Current Public Directorships: </w:t>
      </w:r>
      <w:r>
        <w:rPr>
          <w:rFonts w:ascii="Arial" w:cs="Arial" w:eastAsia="Arial" w:hAnsi="Arial"/>
          <w:sz w:val="17"/>
          <w:szCs w:val="17"/>
          <w:color w:val="auto"/>
        </w:rPr>
        <w:t>Public</w:t>
      </w:r>
      <w:r>
        <w:rPr>
          <w:rFonts w:ascii="Arial" w:cs="Arial" w:eastAsia="Arial" w:hAnsi="Arial"/>
          <w:sz w:val="17"/>
          <w:szCs w:val="17"/>
          <w:b w:val="1"/>
          <w:bCs w:val="1"/>
          <w:color w:val="auto"/>
        </w:rPr>
        <w:t xml:space="preserve"> </w:t>
      </w:r>
      <w:r>
        <w:rPr>
          <w:rFonts w:ascii="Arial" w:cs="Arial" w:eastAsia="Arial" w:hAnsi="Arial"/>
          <w:sz w:val="17"/>
          <w:szCs w:val="17"/>
          <w:color w:val="auto"/>
        </w:rPr>
        <w:t>Storage, Inc.; PS Business Parks, Inc.</w:t>
      </w:r>
    </w:p>
    <w:p>
      <w:pPr>
        <w:spacing w:after="0" w:line="124" w:lineRule="exact"/>
        <w:rPr>
          <w:sz w:val="20"/>
          <w:szCs w:val="20"/>
          <w:color w:val="auto"/>
        </w:rPr>
      </w:pPr>
    </w:p>
    <w:p>
      <w:pPr>
        <w:sectPr>
          <w:pgSz w:w="11900" w:h="16838" w:orient="portrait"/>
          <w:cols w:equalWidth="0" w:num="3">
            <w:col w:w="2360" w:space="720"/>
            <w:col w:w="2360" w:space="720"/>
            <w:col w:w="5020"/>
          </w:cols>
          <w:pgMar w:left="240" w:top="459" w:right="479" w:bottom="1440" w:gutter="0" w:footer="0" w:header="0"/>
          <w:type w:val="continuous"/>
        </w:sectPr>
      </w:pPr>
    </w:p>
    <w:p>
      <w:pPr>
        <w:ind w:left="200" w:right="140"/>
        <w:spacing w:after="0" w:line="237" w:lineRule="auto"/>
        <w:rPr>
          <w:sz w:val="20"/>
          <w:szCs w:val="20"/>
          <w:color w:val="auto"/>
        </w:rPr>
      </w:pPr>
      <w:r>
        <w:rPr>
          <w:rFonts w:ascii="Arial" w:cs="Arial" w:eastAsia="Arial" w:hAnsi="Arial"/>
          <w:sz w:val="18"/>
          <w:szCs w:val="18"/>
          <w:color w:val="auto"/>
        </w:rPr>
        <w:t>In 2010, Gary Pruitt retired as Chairman of Univar N.V. (Univar), a multi-national chemical distribution company based in Bellevue, Washington, and retired as Chief Executive Officer in October 2009. Before joining Univar in 1978, Mr. Pruitt was a chartered accountant with Arthur Andersen from 1973 through 1977. Mr. Pruitt is a member of the board of directors of Public Storage, Inc. (a real estate investment trust specializing in self-storage facilities) (NYSE: “PSA”) and PS Business Parks, Inc. (a full-service real estate company) (NYSE: “PSB”). Mr. Pruitt is a Lead Independent Trustee of PSA and also serves as a member of its audit and governance committees. He also is a member of the audit committee of PSB.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wp:posOffset>
            </wp:positionV>
            <wp:extent cx="6997700" cy="6261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7700" cy="626110"/>
                    </a:xfrm>
                    <a:prstGeom prst="rect">
                      <a:avLst/>
                    </a:prstGeom>
                    <a:noFill/>
                  </pic:spPr>
                </pic:pic>
              </a:graphicData>
            </a:graphic>
          </wp:anchor>
        </w:drawing>
      </w:r>
    </w:p>
    <w:p>
      <w:pPr>
        <w:spacing w:after="0" w:line="123" w:lineRule="exact"/>
        <w:rPr>
          <w:sz w:val="20"/>
          <w:szCs w:val="20"/>
          <w:color w:val="auto"/>
        </w:rPr>
      </w:pPr>
    </w:p>
    <w:p>
      <w:pPr>
        <w:ind w:left="200" w:right="20"/>
        <w:spacing w:after="0" w:line="247" w:lineRule="auto"/>
        <w:rPr>
          <w:sz w:val="20"/>
          <w:szCs w:val="20"/>
          <w:color w:val="auto"/>
        </w:rPr>
      </w:pPr>
      <w:r>
        <w:rPr>
          <w:rFonts w:ascii="Arial" w:cs="Arial" w:eastAsia="Arial" w:hAnsi="Arial"/>
          <w:sz w:val="18"/>
          <w:szCs w:val="18"/>
          <w:b w:val="1"/>
          <w:bCs w:val="1"/>
          <w:color w:val="auto"/>
        </w:rPr>
        <w:t xml:space="preserve">Qualifications: </w:t>
      </w:r>
      <w:r>
        <w:rPr>
          <w:rFonts w:ascii="Arial" w:cs="Arial" w:eastAsia="Arial" w:hAnsi="Arial"/>
          <w:sz w:val="18"/>
          <w:szCs w:val="18"/>
          <w:color w:val="auto"/>
        </w:rPr>
        <w:t>Mr. Pruitt brings to the Board his experience as a chief executive officer of a multi-national company and all the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attributes required of that position, along with operational and manufacturing expertise through his various other management positions held with Univar. His public accounting financial background and other public board experiences provide strategic and global perspectives on our business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wp:posOffset>
            </wp:positionV>
            <wp:extent cx="699770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Current Class 2 Directors – Directors with Terms That Will Expire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699770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Philip C. Mezey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500"/>
        <w:spacing w:after="0"/>
        <w:rPr>
          <w:sz w:val="20"/>
          <w:szCs w:val="20"/>
          <w:color w:val="auto"/>
        </w:rPr>
      </w:pPr>
      <w:r>
        <w:rPr>
          <w:rFonts w:ascii="Arial" w:cs="Arial" w:eastAsia="Arial" w:hAnsi="Arial"/>
          <w:sz w:val="17"/>
          <w:szCs w:val="17"/>
          <w:b w:val="1"/>
          <w:bCs w:val="1"/>
          <w:color w:val="auto"/>
        </w:rPr>
        <w:t xml:space="preserve">Other Current Public Directorships: </w:t>
      </w:r>
      <w:r>
        <w:rPr>
          <w:rFonts w:ascii="Arial" w:cs="Arial" w:eastAsia="Arial" w:hAnsi="Arial"/>
          <w:sz w:val="17"/>
          <w:szCs w:val="17"/>
          <w:color w:val="auto"/>
        </w:rPr>
        <w:t>None</w:t>
      </w:r>
    </w:p>
    <w:p>
      <w:pPr>
        <w:spacing w:after="0" w:line="39" w:lineRule="exact"/>
        <w:rPr>
          <w:sz w:val="20"/>
          <w:szCs w:val="20"/>
          <w:color w:val="auto"/>
        </w:rPr>
      </w:pPr>
    </w:p>
    <w:p>
      <w:pPr>
        <w:sectPr>
          <w:pgSz w:w="11900" w:h="16838" w:orient="portrait"/>
          <w:cols w:equalWidth="0" w:num="3">
            <w:col w:w="2360" w:space="720"/>
            <w:col w:w="2360" w:space="720"/>
            <w:col w:w="5020"/>
          </w:cols>
          <w:pgMar w:left="240" w:top="459" w:right="479" w:bottom="1440" w:gutter="0" w:footer="0" w:header="0"/>
          <w:type w:val="continuous"/>
        </w:sectPr>
      </w:pPr>
    </w:p>
    <w:p>
      <w:pPr>
        <w:ind w:left="20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59</w:t>
      </w:r>
    </w:p>
    <w:p>
      <w:pPr>
        <w:sectPr>
          <w:pgSz w:w="11900" w:h="16838" w:orient="portrait"/>
          <w:cols w:equalWidth="0" w:num="1">
            <w:col w:w="11180"/>
          </w:cols>
          <w:pgMar w:left="240" w:top="459" w:right="479" w:bottom="1440" w:gutter="0" w:footer="0" w:header="0"/>
          <w:type w:val="continuous"/>
        </w:sectPr>
      </w:pPr>
    </w:p>
    <w:p>
      <w:pPr>
        <w:spacing w:after="0" w:line="175"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Philip Mezey has served as President and Chief Executive Officer of Itron since January 1, 2013. Mr. Mezey was previously President and Chief Operating Officer of Itron’s Energy segment from March 2011 until December 31, 2012. Mr. Mezey joined Itron in March 2003 as Managing Director of Software Development for Itron’s Energy Management Solutions Group as part of Itron’s acquisition of Silicon Energy Corp., where he had most recently served as its Senior Vice President of Product Development and Strategy. Mr. Mezey was promoted to Group Vice President and Manager of Software Solutions in 2004. In 2005, he became Senior Vice President Software Solutions, and in 2007 Mr. Mezey became Senior Vice President and Chief Operating Officer Itron North America. On January 22, 2019, Mr. Mezey informed the Itron Board of his intention to retire from his positions. By mutual agreement with the Board, Mr. Mezey will continue to lead the Company as President and Chief Executive Officer and serve as a member of its Board until August 31, 2019, or until a successor is appointed. Upon the appointment of a successor, Mr. Mezey will remain with the Company as an advisor through December 31, 2019, to help facilitate a seamless 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wp:posOffset>
            </wp:positionV>
            <wp:extent cx="6997700" cy="7543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7700" cy="754380"/>
                    </a:xfrm>
                    <a:prstGeom prst="rect">
                      <a:avLst/>
                    </a:prstGeom>
                    <a:noFill/>
                  </pic:spPr>
                </pic:pic>
              </a:graphicData>
            </a:graphic>
          </wp:anchor>
        </w:drawing>
      </w:r>
    </w:p>
    <w:p>
      <w:pPr>
        <w:spacing w:after="0" w:line="124" w:lineRule="exact"/>
        <w:rPr>
          <w:sz w:val="20"/>
          <w:szCs w:val="20"/>
          <w:color w:val="auto"/>
        </w:rPr>
      </w:pPr>
    </w:p>
    <w:p>
      <w:pPr>
        <w:jc w:val="both"/>
        <w:ind w:left="200" w:right="40"/>
        <w:spacing w:after="0" w:line="244" w:lineRule="auto"/>
        <w:rPr>
          <w:sz w:val="20"/>
          <w:szCs w:val="20"/>
          <w:color w:val="auto"/>
        </w:rPr>
      </w:pPr>
      <w:r>
        <w:rPr>
          <w:rFonts w:ascii="Arial" w:cs="Arial" w:eastAsia="Arial" w:hAnsi="Arial"/>
          <w:sz w:val="18"/>
          <w:szCs w:val="18"/>
          <w:b w:val="1"/>
          <w:bCs w:val="1"/>
          <w:color w:val="auto"/>
        </w:rPr>
        <w:t xml:space="preserve">Qualifications: </w:t>
      </w:r>
      <w:r>
        <w:rPr>
          <w:rFonts w:ascii="Arial" w:cs="Arial" w:eastAsia="Arial" w:hAnsi="Arial"/>
          <w:sz w:val="18"/>
          <w:szCs w:val="18"/>
          <w:color w:val="auto"/>
        </w:rPr>
        <w:t>Mr. Mezey brings to the Board more than thirteen years of experience in research and development, manufacturing,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development for metering software and related services. While at Silicon Energy Corp., he managed the marketing department and was directly involved with a number of mergers and acquisitions prior to Itron’s acquisition of that company. During his tenure at Itron, he has had extensive exposure to international systems and utilities throughout the world, and, as the only employee director, Mr. Mezey provides the Board with valuable insight into management’s views and perspectives, as well as the day-to-day operations of Itron.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wp:posOffset>
            </wp:positionV>
            <wp:extent cx="699770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240" w:top="459" w:right="47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342900</wp:posOffset>
            </wp:positionV>
            <wp:extent cx="699770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120" w:type="dxa"/>
            <w:vAlign w:val="bottom"/>
          </w:tcPr>
          <w:p>
            <w:pPr>
              <w:spacing w:after="0"/>
              <w:rPr>
                <w:sz w:val="20"/>
                <w:szCs w:val="20"/>
                <w:color w:val="auto"/>
              </w:rPr>
            </w:pPr>
            <w:r>
              <w:rPr>
                <w:rFonts w:ascii="Arial" w:cs="Arial" w:eastAsia="Arial" w:hAnsi="Arial"/>
                <w:sz w:val="18"/>
                <w:szCs w:val="18"/>
                <w:b w:val="1"/>
                <w:bCs w:val="1"/>
                <w:color w:val="auto"/>
              </w:rPr>
              <w:t>Daniel S. Pelino</w:t>
            </w:r>
          </w:p>
        </w:tc>
        <w:tc>
          <w:tcPr>
            <w:tcW w:w="3160" w:type="dxa"/>
            <w:vAlign w:val="bottom"/>
          </w:tcPr>
          <w:p>
            <w:pPr>
              <w:ind w:left="76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2014</w:t>
            </w:r>
          </w:p>
        </w:tc>
        <w:tc>
          <w:tcPr>
            <w:tcW w:w="4200" w:type="dxa"/>
            <w:vAlign w:val="bottom"/>
          </w:tcPr>
          <w:p>
            <w:pPr>
              <w:ind w:left="680"/>
              <w:spacing w:after="0"/>
              <w:rPr>
                <w:sz w:val="20"/>
                <w:szCs w:val="20"/>
                <w:color w:val="auto"/>
              </w:rPr>
            </w:pPr>
            <w:r>
              <w:rPr>
                <w:rFonts w:ascii="Arial" w:cs="Arial" w:eastAsia="Arial" w:hAnsi="Arial"/>
                <w:sz w:val="18"/>
                <w:szCs w:val="18"/>
                <w:b w:val="1"/>
                <w:bCs w:val="1"/>
                <w:color w:val="auto"/>
                <w:w w:val="99"/>
              </w:rPr>
              <w:t xml:space="preserve">Other Current Public Directorships: </w:t>
            </w:r>
            <w:r>
              <w:rPr>
                <w:rFonts w:ascii="Arial" w:cs="Arial" w:eastAsia="Arial" w:hAnsi="Arial"/>
                <w:sz w:val="18"/>
                <w:szCs w:val="18"/>
                <w:color w:val="auto"/>
                <w:w w:val="99"/>
              </w:rPr>
              <w:t>None</w:t>
            </w:r>
          </w:p>
        </w:tc>
      </w:tr>
      <w:tr>
        <w:trPr>
          <w:trHeight w:val="239"/>
        </w:trPr>
        <w:tc>
          <w:tcPr>
            <w:tcW w:w="2120" w:type="dxa"/>
            <w:vAlign w:val="bottom"/>
          </w:tcPr>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61</w:t>
            </w:r>
          </w:p>
        </w:tc>
        <w:tc>
          <w:tcPr>
            <w:tcW w:w="3160" w:type="dxa"/>
            <w:vAlign w:val="bottom"/>
          </w:tcPr>
          <w:p>
            <w:pPr>
              <w:ind w:left="760"/>
              <w:spacing w:after="0"/>
              <w:rPr>
                <w:sz w:val="20"/>
                <w:szCs w:val="20"/>
                <w:color w:val="auto"/>
              </w:rPr>
            </w:pPr>
            <w:r>
              <w:rPr>
                <w:rFonts w:ascii="Arial" w:cs="Arial" w:eastAsia="Arial" w:hAnsi="Arial"/>
                <w:sz w:val="18"/>
                <w:szCs w:val="18"/>
                <w:b w:val="1"/>
                <w:bCs w:val="1"/>
                <w:color w:val="auto"/>
              </w:rPr>
              <w:t>Independent</w:t>
            </w:r>
          </w:p>
        </w:tc>
        <w:tc>
          <w:tcPr>
            <w:tcW w:w="4200" w:type="dxa"/>
            <w:vAlign w:val="bottom"/>
          </w:tcPr>
          <w:p>
            <w:pPr>
              <w:spacing w:after="0"/>
              <w:rPr>
                <w:sz w:val="20"/>
                <w:szCs w:val="20"/>
                <w:color w:val="auto"/>
              </w:rPr>
            </w:pPr>
          </w:p>
        </w:tc>
      </w:tr>
    </w:tbl>
    <w:p>
      <w:pPr>
        <w:spacing w:after="0" w:line="188"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Dan Pelino retired from International Business Machines Corp., the multinational technology company (NYSE: “IBM”) in November 2016, where he had been employed since 1980, most recently as General Manager of IBM’s public sector business, a position he had held since 2012. The public sector business focused on government, education, healthcare and life sciences industries, including IBM’s Smarter Cities initiative. While at IBM, Mr. Pelino held several other positions of escalating responsibility focused on helping organizations, states, and countries transform and digitize their technology systems. Mr. Pelino currently serves on the executive committee for the Patient Centered Primary Care Collaborative and on the board of directors of the Healthcare Executive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7632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7700" cy="763270"/>
                    </a:xfrm>
                    <a:prstGeom prst="rect">
                      <a:avLst/>
                    </a:prstGeom>
                    <a:noFill/>
                  </pic:spPr>
                </pic:pic>
              </a:graphicData>
            </a:graphic>
          </wp:anchor>
        </w:drawing>
      </w:r>
    </w:p>
    <w:p>
      <w:pPr>
        <w:spacing w:after="0" w:line="339" w:lineRule="exact"/>
        <w:rPr>
          <w:sz w:val="20"/>
          <w:szCs w:val="20"/>
          <w:color w:val="auto"/>
        </w:rPr>
      </w:pPr>
    </w:p>
    <w:p>
      <w:pPr>
        <w:ind w:left="200" w:right="120"/>
        <w:spacing w:after="0" w:line="247" w:lineRule="auto"/>
        <w:rPr>
          <w:sz w:val="20"/>
          <w:szCs w:val="20"/>
          <w:color w:val="auto"/>
        </w:rPr>
      </w:pPr>
      <w:r>
        <w:rPr>
          <w:rFonts w:ascii="Arial" w:cs="Arial" w:eastAsia="Arial" w:hAnsi="Arial"/>
          <w:sz w:val="18"/>
          <w:szCs w:val="18"/>
          <w:b w:val="1"/>
          <w:bCs w:val="1"/>
          <w:color w:val="auto"/>
        </w:rPr>
        <w:t xml:space="preserve">Qualifications: </w:t>
      </w:r>
      <w:r>
        <w:rPr>
          <w:rFonts w:ascii="Arial" w:cs="Arial" w:eastAsia="Arial" w:hAnsi="Arial"/>
          <w:sz w:val="18"/>
          <w:szCs w:val="18"/>
          <w:color w:val="auto"/>
        </w:rPr>
        <w:t>Mr. Pelino provides the Board with a strong background in technology, brand marketing, and business innovation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With his worldwide experience in governmental business and strategies, he brings a current global business perspective to the Board. In addition, Mr. Pelino’s knowledge of digitized services created for economic development adds invaluable insight to the Company’s smart metering systems and strategies for its utility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142240</wp:posOffset>
            </wp:positionV>
            <wp:extent cx="699770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476885</wp:posOffset>
            </wp:positionV>
            <wp:extent cx="699770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Arial" w:cs="Arial" w:eastAsia="Arial" w:hAnsi="Arial"/>
                <w:sz w:val="18"/>
                <w:szCs w:val="18"/>
                <w:b w:val="1"/>
                <w:bCs w:val="1"/>
                <w:color w:val="auto"/>
              </w:rPr>
              <w:t>Timothy M. Leyden</w:t>
            </w:r>
          </w:p>
        </w:tc>
        <w:tc>
          <w:tcPr>
            <w:tcW w:w="3020" w:type="dxa"/>
            <w:vAlign w:val="bottom"/>
          </w:tcPr>
          <w:p>
            <w:pPr>
              <w:ind w:left="6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2015</w:t>
            </w:r>
          </w:p>
        </w:tc>
        <w:tc>
          <w:tcPr>
            <w:tcW w:w="4200" w:type="dxa"/>
            <w:vAlign w:val="bottom"/>
          </w:tcPr>
          <w:p>
            <w:pPr>
              <w:ind w:left="680"/>
              <w:spacing w:after="0"/>
              <w:rPr>
                <w:sz w:val="20"/>
                <w:szCs w:val="20"/>
                <w:color w:val="auto"/>
              </w:rPr>
            </w:pPr>
            <w:r>
              <w:rPr>
                <w:rFonts w:ascii="Arial" w:cs="Arial" w:eastAsia="Arial" w:hAnsi="Arial"/>
                <w:sz w:val="18"/>
                <w:szCs w:val="18"/>
                <w:b w:val="1"/>
                <w:bCs w:val="1"/>
                <w:color w:val="auto"/>
                <w:w w:val="99"/>
              </w:rPr>
              <w:t xml:space="preserve">Other Current Public Directorships: </w:t>
            </w:r>
            <w:r>
              <w:rPr>
                <w:rFonts w:ascii="Arial" w:cs="Arial" w:eastAsia="Arial" w:hAnsi="Arial"/>
                <w:sz w:val="18"/>
                <w:szCs w:val="18"/>
                <w:color w:val="auto"/>
                <w:w w:val="99"/>
              </w:rPr>
              <w:t>None</w:t>
            </w:r>
          </w:p>
        </w:tc>
      </w:tr>
      <w:tr>
        <w:trPr>
          <w:trHeight w:val="239"/>
        </w:trPr>
        <w:tc>
          <w:tcPr>
            <w:tcW w:w="2260" w:type="dxa"/>
            <w:vAlign w:val="bottom"/>
          </w:tcPr>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67</w:t>
            </w:r>
          </w:p>
        </w:tc>
        <w:tc>
          <w:tcPr>
            <w:tcW w:w="3020" w:type="dxa"/>
            <w:vAlign w:val="bottom"/>
          </w:tcPr>
          <w:p>
            <w:pPr>
              <w:ind w:left="620"/>
              <w:spacing w:after="0"/>
              <w:rPr>
                <w:sz w:val="20"/>
                <w:szCs w:val="20"/>
                <w:color w:val="auto"/>
              </w:rPr>
            </w:pPr>
            <w:r>
              <w:rPr>
                <w:rFonts w:ascii="Arial" w:cs="Arial" w:eastAsia="Arial" w:hAnsi="Arial"/>
                <w:sz w:val="18"/>
                <w:szCs w:val="18"/>
                <w:b w:val="1"/>
                <w:bCs w:val="1"/>
                <w:color w:val="auto"/>
              </w:rPr>
              <w:t>Independent</w:t>
            </w:r>
          </w:p>
        </w:tc>
        <w:tc>
          <w:tcPr>
            <w:tcW w:w="4200" w:type="dxa"/>
            <w:vAlign w:val="bottom"/>
          </w:tcPr>
          <w:p>
            <w:pPr>
              <w:spacing w:after="0"/>
              <w:rPr>
                <w:sz w:val="20"/>
                <w:szCs w:val="20"/>
                <w:color w:val="auto"/>
              </w:rPr>
            </w:pPr>
          </w:p>
        </w:tc>
      </w:tr>
    </w:tbl>
    <w:p>
      <w:pPr>
        <w:spacing w:after="0" w:line="188"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Tim Leyden retired in 2015 after eight years with Western Digital Corporation (NASDAQ: “WDC”), a company that manufactures hard-disk drives used to record, store, and recall volumes of data. He served as WDC’s Chief Financial Officer from 2013 until January 2015, President of Western Digital, one of WDC’s two operating subsidiaries, from 2012 to 2013, its Chief Operating Officer from 2010 to 2012, and its Executive Vice President of Finance and Chief Financial Officer from 2007 to 2010. Prior to joining WDC, Mr. Leyden was Vice President and then Senior Vice President of Finance and Chief Financial Officer for Sage Software PLC, a customized software solutions business, from 2001 to 2007. Mr. Leyden serves on the board of directors for Oakgate Technology, Inc., a private company that provides test, validation and benchmarking products and services to the storage industry, Virtium LLC, a private company that provides storage and memory innovation for various embedded industrial segments, Oracle Elevator Company, a private company providing maintenance, repair, and modifications to commercial elevators, and on the Board of Advisors of BlytheCo, a private company that brokers a variety of 3rd party software solutions to all sizes of businesses. These solutions include ERP, CRM and HCM software installations.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140335</wp:posOffset>
            </wp:positionV>
            <wp:extent cx="6997700" cy="660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7700" cy="660400"/>
                    </a:xfrm>
                    <a:prstGeom prst="rect">
                      <a:avLst/>
                    </a:prstGeom>
                    <a:noFill/>
                  </pic:spPr>
                </pic:pic>
              </a:graphicData>
            </a:graphic>
          </wp:anchor>
        </w:drawing>
      </w:r>
    </w:p>
    <w:p>
      <w:pPr>
        <w:spacing w:after="0" w:line="354" w:lineRule="exact"/>
        <w:rPr>
          <w:sz w:val="20"/>
          <w:szCs w:val="20"/>
          <w:color w:val="auto"/>
        </w:rPr>
      </w:pPr>
    </w:p>
    <w:p>
      <w:pPr>
        <w:ind w:left="200" w:right="160"/>
        <w:spacing w:after="0" w:line="266" w:lineRule="auto"/>
        <w:rPr>
          <w:sz w:val="20"/>
          <w:szCs w:val="20"/>
          <w:color w:val="auto"/>
        </w:rPr>
      </w:pPr>
      <w:r>
        <w:rPr>
          <w:rFonts w:ascii="Arial" w:cs="Arial" w:eastAsia="Arial" w:hAnsi="Arial"/>
          <w:sz w:val="17"/>
          <w:szCs w:val="17"/>
          <w:b w:val="1"/>
          <w:bCs w:val="1"/>
          <w:color w:val="auto"/>
        </w:rPr>
        <w:t xml:space="preserve">Qualifications: </w:t>
      </w:r>
      <w:r>
        <w:rPr>
          <w:rFonts w:ascii="Arial" w:cs="Arial" w:eastAsia="Arial" w:hAnsi="Arial"/>
          <w:sz w:val="17"/>
          <w:szCs w:val="17"/>
          <w:color w:val="auto"/>
        </w:rPr>
        <w:t>Mr. Leyden brings to the Board a mix of financial and operational experience (in both hardware and software industries),</w:t>
      </w:r>
      <w:r>
        <w:rPr>
          <w:rFonts w:ascii="Arial" w:cs="Arial" w:eastAsia="Arial" w:hAnsi="Arial"/>
          <w:sz w:val="17"/>
          <w:szCs w:val="17"/>
          <w:b w:val="1"/>
          <w:bCs w:val="1"/>
          <w:color w:val="auto"/>
        </w:rPr>
        <w:t xml:space="preserve"> </w:t>
      </w:r>
      <w:r>
        <w:rPr>
          <w:rFonts w:ascii="Arial" w:cs="Arial" w:eastAsia="Arial" w:hAnsi="Arial"/>
          <w:sz w:val="17"/>
          <w:szCs w:val="17"/>
          <w:color w:val="auto"/>
        </w:rPr>
        <w:t>in addition to a background that includes mergers and acquisitions and integration experience related to the assimilation of acquired companies into both WDC and Sage Software. His prior experience with overseeing global manufacturing, engineering, marketing, and sales operations, when combined with his financial and accounting background, adds a depth of international insight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30480</wp:posOffset>
            </wp:positionV>
            <wp:extent cx="699770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Snapshot of Directors and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149225</wp:posOffset>
            </wp:positionV>
            <wp:extent cx="5188585" cy="15862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88585"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and Director Nominee Qualifications</w:t>
      </w:r>
    </w:p>
    <w:p>
      <w:pPr>
        <w:spacing w:after="0" w:line="193"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Our Nominating and Corporate Governance Committee assists the Board in reviewing the business and personal background of each of our directors with respect to our business and business goals. Our skill criteria for our Board members includes a person with the following personal criteria: adheres to and demonstrates the highest ethical standards and personal and professional integrity; an effective negotiator, listener, and team player; a visionary with a strategic and global perspective; a successful leader with a proven record of accomplishments; a problem-solver; an effective decision-maker; and a person who will take a strong interest in the Company. In addition, we believe that certain skills and experience should be represented on the Board, as represented below, although not every Board member must possess all such skills and experience to be considered capable of making valuable contributions to the Board.</w:t>
      </w: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860" w:type="dxa"/>
            <w:vAlign w:val="bottom"/>
          </w:tcPr>
          <w:p>
            <w:pPr>
              <w:ind w:left="80"/>
              <w:spacing w:after="0"/>
              <w:rPr>
                <w:sz w:val="20"/>
                <w:szCs w:val="20"/>
                <w:color w:val="auto"/>
              </w:rPr>
            </w:pPr>
            <w:r>
              <w:rPr>
                <w:rFonts w:ascii="Arial" w:cs="Arial" w:eastAsia="Arial" w:hAnsi="Arial"/>
                <w:sz w:val="16"/>
                <w:szCs w:val="16"/>
                <w:color w:val="auto"/>
              </w:rPr>
              <w:t>Frank</w:t>
            </w:r>
          </w:p>
        </w:tc>
        <w:tc>
          <w:tcPr>
            <w:tcW w:w="860" w:type="dxa"/>
            <w:vAlign w:val="bottom"/>
          </w:tcPr>
          <w:p>
            <w:pPr>
              <w:ind w:left="120"/>
              <w:spacing w:after="0"/>
              <w:rPr>
                <w:sz w:val="20"/>
                <w:szCs w:val="20"/>
                <w:color w:val="auto"/>
              </w:rPr>
            </w:pPr>
            <w:r>
              <w:rPr>
                <w:rFonts w:ascii="Arial" w:cs="Arial" w:eastAsia="Arial" w:hAnsi="Arial"/>
                <w:sz w:val="16"/>
                <w:szCs w:val="16"/>
                <w:color w:val="auto"/>
              </w:rPr>
              <w:t>Thomas</w:t>
            </w:r>
          </w:p>
        </w:tc>
        <w:tc>
          <w:tcPr>
            <w:tcW w:w="840" w:type="dxa"/>
            <w:vAlign w:val="bottom"/>
          </w:tcPr>
          <w:p>
            <w:pPr>
              <w:ind w:left="180"/>
              <w:spacing w:after="0"/>
              <w:rPr>
                <w:sz w:val="20"/>
                <w:szCs w:val="20"/>
                <w:color w:val="auto"/>
              </w:rPr>
            </w:pPr>
            <w:r>
              <w:rPr>
                <w:rFonts w:ascii="Arial" w:cs="Arial" w:eastAsia="Arial" w:hAnsi="Arial"/>
                <w:sz w:val="16"/>
                <w:szCs w:val="16"/>
                <w:color w:val="auto"/>
              </w:rPr>
              <w:t>Jerome</w:t>
            </w:r>
          </w:p>
        </w:tc>
        <w:tc>
          <w:tcPr>
            <w:tcW w:w="760" w:type="dxa"/>
            <w:vAlign w:val="bottom"/>
          </w:tcPr>
          <w:p>
            <w:pPr>
              <w:ind w:left="120"/>
              <w:spacing w:after="0"/>
              <w:rPr>
                <w:sz w:val="20"/>
                <w:szCs w:val="20"/>
                <w:color w:val="auto"/>
              </w:rPr>
            </w:pPr>
            <w:r>
              <w:rPr>
                <w:rFonts w:ascii="Arial" w:cs="Arial" w:eastAsia="Arial" w:hAnsi="Arial"/>
                <w:sz w:val="16"/>
                <w:szCs w:val="16"/>
                <w:color w:val="auto"/>
              </w:rPr>
              <w:t>Tim</w:t>
            </w:r>
          </w:p>
        </w:tc>
        <w:tc>
          <w:tcPr>
            <w:tcW w:w="680" w:type="dxa"/>
            <w:vAlign w:val="bottom"/>
          </w:tcPr>
          <w:p>
            <w:pPr>
              <w:ind w:left="120"/>
              <w:spacing w:after="0"/>
              <w:rPr>
                <w:sz w:val="20"/>
                <w:szCs w:val="20"/>
                <w:color w:val="auto"/>
              </w:rPr>
            </w:pPr>
            <w:r>
              <w:rPr>
                <w:rFonts w:ascii="Arial" w:cs="Arial" w:eastAsia="Arial" w:hAnsi="Arial"/>
                <w:sz w:val="16"/>
                <w:szCs w:val="16"/>
                <w:color w:val="auto"/>
              </w:rPr>
              <w:t>Philip</w:t>
            </w:r>
          </w:p>
        </w:tc>
        <w:tc>
          <w:tcPr>
            <w:tcW w:w="640" w:type="dxa"/>
            <w:vAlign w:val="bottom"/>
          </w:tcPr>
          <w:p>
            <w:pPr>
              <w:ind w:left="80"/>
              <w:spacing w:after="0"/>
              <w:rPr>
                <w:sz w:val="20"/>
                <w:szCs w:val="20"/>
                <w:color w:val="auto"/>
              </w:rPr>
            </w:pPr>
            <w:r>
              <w:rPr>
                <w:rFonts w:ascii="Arial" w:cs="Arial" w:eastAsia="Arial" w:hAnsi="Arial"/>
                <w:sz w:val="16"/>
                <w:szCs w:val="16"/>
                <w:color w:val="auto"/>
              </w:rPr>
              <w:t>Dan</w:t>
            </w:r>
          </w:p>
        </w:tc>
        <w:tc>
          <w:tcPr>
            <w:tcW w:w="540" w:type="dxa"/>
            <w:vAlign w:val="bottom"/>
          </w:tcPr>
          <w:p>
            <w:pPr>
              <w:ind w:left="80"/>
              <w:spacing w:after="0"/>
              <w:rPr>
                <w:sz w:val="20"/>
                <w:szCs w:val="20"/>
                <w:color w:val="auto"/>
              </w:rPr>
            </w:pPr>
            <w:r>
              <w:rPr>
                <w:rFonts w:ascii="Arial" w:cs="Arial" w:eastAsia="Arial" w:hAnsi="Arial"/>
                <w:sz w:val="16"/>
                <w:szCs w:val="16"/>
                <w:color w:val="auto"/>
              </w:rPr>
              <w:t>Gary</w:t>
            </w:r>
          </w:p>
        </w:tc>
        <w:tc>
          <w:tcPr>
            <w:tcW w:w="920" w:type="dxa"/>
            <w:vAlign w:val="bottom"/>
          </w:tcPr>
          <w:p>
            <w:pPr>
              <w:ind w:left="80"/>
              <w:spacing w:after="0"/>
              <w:rPr>
                <w:sz w:val="20"/>
                <w:szCs w:val="20"/>
                <w:color w:val="auto"/>
              </w:rPr>
            </w:pPr>
            <w:r>
              <w:rPr>
                <w:rFonts w:ascii="Arial" w:cs="Arial" w:eastAsia="Arial" w:hAnsi="Arial"/>
                <w:sz w:val="16"/>
                <w:szCs w:val="16"/>
                <w:color w:val="auto"/>
              </w:rPr>
              <w:t>Diana</w:t>
            </w:r>
          </w:p>
        </w:tc>
        <w:tc>
          <w:tcPr>
            <w:tcW w:w="780" w:type="dxa"/>
            <w:vAlign w:val="bottom"/>
          </w:tcPr>
          <w:p>
            <w:pPr>
              <w:ind w:left="160"/>
              <w:spacing w:after="0"/>
              <w:rPr>
                <w:sz w:val="20"/>
                <w:szCs w:val="20"/>
                <w:color w:val="auto"/>
              </w:rPr>
            </w:pPr>
            <w:r>
              <w:rPr>
                <w:rFonts w:ascii="Arial" w:cs="Arial" w:eastAsia="Arial" w:hAnsi="Arial"/>
                <w:sz w:val="16"/>
                <w:szCs w:val="16"/>
                <w:color w:val="auto"/>
              </w:rPr>
              <w:t>Lynda</w:t>
            </w:r>
          </w:p>
        </w:tc>
        <w:tc>
          <w:tcPr>
            <w:tcW w:w="580" w:type="dxa"/>
            <w:vAlign w:val="bottom"/>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860" w:type="dxa"/>
            <w:vAlign w:val="bottom"/>
          </w:tcPr>
          <w:p>
            <w:pPr>
              <w:ind w:left="80"/>
              <w:spacing w:after="0"/>
              <w:rPr>
                <w:sz w:val="20"/>
                <w:szCs w:val="20"/>
                <w:color w:val="auto"/>
              </w:rPr>
            </w:pPr>
            <w:r>
              <w:rPr>
                <w:rFonts w:ascii="Arial" w:cs="Arial" w:eastAsia="Arial" w:hAnsi="Arial"/>
                <w:sz w:val="16"/>
                <w:szCs w:val="16"/>
                <w:color w:val="auto"/>
              </w:rPr>
              <w:t>Jaehnert</w:t>
            </w:r>
          </w:p>
        </w:tc>
        <w:tc>
          <w:tcPr>
            <w:tcW w:w="860" w:type="dxa"/>
            <w:vAlign w:val="bottom"/>
          </w:tcPr>
          <w:p>
            <w:pPr>
              <w:ind w:left="120"/>
              <w:spacing w:after="0"/>
              <w:rPr>
                <w:sz w:val="20"/>
                <w:szCs w:val="20"/>
                <w:color w:val="auto"/>
              </w:rPr>
            </w:pPr>
            <w:r>
              <w:rPr>
                <w:rFonts w:ascii="Arial" w:cs="Arial" w:eastAsia="Arial" w:hAnsi="Arial"/>
                <w:sz w:val="16"/>
                <w:szCs w:val="16"/>
                <w:color w:val="auto"/>
              </w:rPr>
              <w:t>Glanville</w:t>
            </w:r>
          </w:p>
        </w:tc>
        <w:tc>
          <w:tcPr>
            <w:tcW w:w="840" w:type="dxa"/>
            <w:vAlign w:val="bottom"/>
          </w:tcPr>
          <w:p>
            <w:pPr>
              <w:ind w:left="180"/>
              <w:spacing w:after="0"/>
              <w:rPr>
                <w:sz w:val="20"/>
                <w:szCs w:val="20"/>
                <w:color w:val="auto"/>
              </w:rPr>
            </w:pPr>
            <w:r>
              <w:rPr>
                <w:rFonts w:ascii="Arial" w:cs="Arial" w:eastAsia="Arial" w:hAnsi="Arial"/>
                <w:sz w:val="16"/>
                <w:szCs w:val="16"/>
                <w:color w:val="auto"/>
              </w:rPr>
              <w:t>Lande</w:t>
            </w:r>
          </w:p>
        </w:tc>
        <w:tc>
          <w:tcPr>
            <w:tcW w:w="760" w:type="dxa"/>
            <w:vAlign w:val="bottom"/>
          </w:tcPr>
          <w:p>
            <w:pPr>
              <w:ind w:left="120"/>
              <w:spacing w:after="0"/>
              <w:rPr>
                <w:sz w:val="20"/>
                <w:szCs w:val="20"/>
                <w:color w:val="auto"/>
              </w:rPr>
            </w:pPr>
            <w:r>
              <w:rPr>
                <w:rFonts w:ascii="Arial" w:cs="Arial" w:eastAsia="Arial" w:hAnsi="Arial"/>
                <w:sz w:val="16"/>
                <w:szCs w:val="16"/>
                <w:color w:val="auto"/>
              </w:rPr>
              <w:t>Leyden</w:t>
            </w:r>
          </w:p>
        </w:tc>
        <w:tc>
          <w:tcPr>
            <w:tcW w:w="680" w:type="dxa"/>
            <w:vAlign w:val="bottom"/>
          </w:tcPr>
          <w:p>
            <w:pPr>
              <w:ind w:left="120"/>
              <w:spacing w:after="0"/>
              <w:rPr>
                <w:sz w:val="20"/>
                <w:szCs w:val="20"/>
                <w:color w:val="auto"/>
              </w:rPr>
            </w:pPr>
            <w:r>
              <w:rPr>
                <w:rFonts w:ascii="Arial" w:cs="Arial" w:eastAsia="Arial" w:hAnsi="Arial"/>
                <w:sz w:val="16"/>
                <w:szCs w:val="16"/>
                <w:color w:val="auto"/>
              </w:rPr>
              <w:t>Mezey</w:t>
            </w:r>
          </w:p>
        </w:tc>
        <w:tc>
          <w:tcPr>
            <w:tcW w:w="640" w:type="dxa"/>
            <w:vAlign w:val="bottom"/>
          </w:tcPr>
          <w:p>
            <w:pPr>
              <w:ind w:left="80"/>
              <w:spacing w:after="0"/>
              <w:rPr>
                <w:sz w:val="20"/>
                <w:szCs w:val="20"/>
                <w:color w:val="auto"/>
              </w:rPr>
            </w:pPr>
            <w:r>
              <w:rPr>
                <w:rFonts w:ascii="Arial" w:cs="Arial" w:eastAsia="Arial" w:hAnsi="Arial"/>
                <w:sz w:val="16"/>
                <w:szCs w:val="16"/>
                <w:color w:val="auto"/>
              </w:rPr>
              <w:t>Pelino</w:t>
            </w:r>
          </w:p>
        </w:tc>
        <w:tc>
          <w:tcPr>
            <w:tcW w:w="540" w:type="dxa"/>
            <w:vAlign w:val="bottom"/>
          </w:tcPr>
          <w:p>
            <w:pPr>
              <w:jc w:val="center"/>
              <w:spacing w:after="0"/>
              <w:rPr>
                <w:sz w:val="20"/>
                <w:szCs w:val="20"/>
                <w:color w:val="auto"/>
              </w:rPr>
            </w:pPr>
            <w:r>
              <w:rPr>
                <w:rFonts w:ascii="Arial" w:cs="Arial" w:eastAsia="Arial" w:hAnsi="Arial"/>
                <w:sz w:val="16"/>
                <w:szCs w:val="16"/>
                <w:color w:val="auto"/>
              </w:rPr>
              <w:t>Pruitt</w:t>
            </w:r>
          </w:p>
        </w:tc>
        <w:tc>
          <w:tcPr>
            <w:tcW w:w="920" w:type="dxa"/>
            <w:vAlign w:val="bottom"/>
          </w:tcPr>
          <w:p>
            <w:pPr>
              <w:ind w:left="80"/>
              <w:spacing w:after="0"/>
              <w:rPr>
                <w:sz w:val="20"/>
                <w:szCs w:val="20"/>
                <w:color w:val="auto"/>
              </w:rPr>
            </w:pPr>
            <w:r>
              <w:rPr>
                <w:rFonts w:ascii="Arial" w:cs="Arial" w:eastAsia="Arial" w:hAnsi="Arial"/>
                <w:sz w:val="16"/>
                <w:szCs w:val="16"/>
                <w:color w:val="auto"/>
              </w:rPr>
              <w:t>Tremblay</w:t>
            </w:r>
          </w:p>
        </w:tc>
        <w:tc>
          <w:tcPr>
            <w:tcW w:w="780" w:type="dxa"/>
            <w:vAlign w:val="bottom"/>
          </w:tcPr>
          <w:p>
            <w:pPr>
              <w:ind w:left="160"/>
              <w:spacing w:after="0"/>
              <w:rPr>
                <w:sz w:val="20"/>
                <w:szCs w:val="20"/>
                <w:color w:val="auto"/>
              </w:rPr>
            </w:pPr>
            <w:r>
              <w:rPr>
                <w:rFonts w:ascii="Arial" w:cs="Arial" w:eastAsia="Arial" w:hAnsi="Arial"/>
                <w:sz w:val="16"/>
                <w:szCs w:val="16"/>
                <w:color w:val="auto"/>
              </w:rPr>
              <w:t>Ziegler</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Total</w:t>
            </w: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Executive leadership experience</w:t>
            </w:r>
          </w:p>
        </w:tc>
        <w:tc>
          <w:tcPr>
            <w:tcW w:w="860" w:type="dxa"/>
            <w:vAlign w:val="bottom"/>
            <w:shd w:val="clear" w:color="auto" w:fill="CCEEFF"/>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860" w:type="dxa"/>
            <w:vAlign w:val="bottom"/>
            <w:shd w:val="clear" w:color="auto" w:fill="CCEEFF"/>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840" w:type="dxa"/>
            <w:vAlign w:val="bottom"/>
            <w:shd w:val="clear" w:color="auto" w:fill="CCEEFF"/>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760" w:type="dxa"/>
            <w:vAlign w:val="bottom"/>
            <w:shd w:val="clear" w:color="auto" w:fill="CCEEFF"/>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680" w:type="dxa"/>
            <w:vAlign w:val="bottom"/>
            <w:shd w:val="clear" w:color="auto" w:fill="CCEEFF"/>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shd w:val="clear" w:color="auto" w:fill="CCEEFF"/>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rPr>
              <w:t>∎</w:t>
            </w:r>
          </w:p>
        </w:tc>
        <w:tc>
          <w:tcPr>
            <w:tcW w:w="920" w:type="dxa"/>
            <w:vAlign w:val="bottom"/>
            <w:shd w:val="clear" w:color="auto" w:fill="CCEEFF"/>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780" w:type="dxa"/>
            <w:vAlign w:val="bottom"/>
            <w:shd w:val="clear" w:color="auto" w:fill="CCEEFF"/>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9</w:t>
            </w:r>
          </w:p>
        </w:tc>
      </w:tr>
      <w:tr>
        <w:trPr>
          <w:trHeight w:val="203"/>
        </w:trPr>
        <w:tc>
          <w:tcPr>
            <w:tcW w:w="3580" w:type="dxa"/>
            <w:vAlign w:val="bottom"/>
            <w:gridSpan w:val="2"/>
          </w:tcPr>
          <w:p>
            <w:pPr>
              <w:spacing w:after="0"/>
              <w:rPr>
                <w:sz w:val="20"/>
                <w:szCs w:val="20"/>
                <w:color w:val="auto"/>
              </w:rPr>
            </w:pPr>
            <w:r>
              <w:rPr>
                <w:rFonts w:ascii="Arial" w:cs="Arial" w:eastAsia="Arial" w:hAnsi="Arial"/>
                <w:sz w:val="16"/>
                <w:szCs w:val="16"/>
                <w:color w:val="auto"/>
              </w:rPr>
              <w:t>Business development experience</w:t>
            </w:r>
          </w:p>
        </w:tc>
        <w:tc>
          <w:tcPr>
            <w:tcW w:w="8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86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84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7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6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rPr>
              <w:t>∎</w:t>
            </w:r>
          </w:p>
        </w:tc>
        <w:tc>
          <w:tcPr>
            <w:tcW w:w="9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7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80" w:type="dxa"/>
            <w:vAlign w:val="bottom"/>
          </w:tcPr>
          <w:p>
            <w:pPr>
              <w:jc w:val="right"/>
              <w:ind w:right="99"/>
              <w:spacing w:after="0"/>
              <w:rPr>
                <w:sz w:val="20"/>
                <w:szCs w:val="20"/>
                <w:color w:val="auto"/>
              </w:rPr>
            </w:pPr>
            <w:r>
              <w:rPr>
                <w:rFonts w:ascii="Arial" w:cs="Arial" w:eastAsia="Arial" w:hAnsi="Arial"/>
                <w:sz w:val="16"/>
                <w:szCs w:val="16"/>
                <w:b w:val="1"/>
                <w:bCs w:val="1"/>
                <w:color w:val="auto"/>
              </w:rPr>
              <w:t>9</w:t>
            </w: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Financial expertise/CFO</w:t>
            </w:r>
          </w:p>
        </w:tc>
        <w:tc>
          <w:tcPr>
            <w:tcW w:w="860" w:type="dxa"/>
            <w:vAlign w:val="bottom"/>
            <w:shd w:val="clear" w:color="auto" w:fill="CCEEFF"/>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860" w:type="dxa"/>
            <w:vAlign w:val="bottom"/>
            <w:shd w:val="clear" w:color="auto" w:fill="CCEEFF"/>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840" w:type="dxa"/>
            <w:vAlign w:val="bottom"/>
            <w:shd w:val="clear" w:color="auto" w:fill="CCEEFF"/>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760" w:type="dxa"/>
            <w:vAlign w:val="bottom"/>
            <w:shd w:val="clear" w:color="auto" w:fill="CCEEFF"/>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rPr>
              <w:t>∎</w:t>
            </w:r>
          </w:p>
        </w:tc>
        <w:tc>
          <w:tcPr>
            <w:tcW w:w="9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6</w:t>
            </w:r>
          </w:p>
        </w:tc>
      </w:tr>
      <w:tr>
        <w:trPr>
          <w:trHeight w:val="203"/>
        </w:trPr>
        <w:tc>
          <w:tcPr>
            <w:tcW w:w="3580" w:type="dxa"/>
            <w:vAlign w:val="bottom"/>
            <w:gridSpan w:val="2"/>
          </w:tcPr>
          <w:p>
            <w:pPr>
              <w:spacing w:after="0"/>
              <w:rPr>
                <w:sz w:val="20"/>
                <w:szCs w:val="20"/>
                <w:color w:val="auto"/>
              </w:rPr>
            </w:pPr>
            <w:r>
              <w:rPr>
                <w:rFonts w:ascii="Arial" w:cs="Arial" w:eastAsia="Arial" w:hAnsi="Arial"/>
                <w:sz w:val="16"/>
                <w:szCs w:val="16"/>
                <w:color w:val="auto"/>
              </w:rPr>
              <w:t>Public board and governance experience</w:t>
            </w:r>
          </w:p>
        </w:tc>
        <w:tc>
          <w:tcPr>
            <w:tcW w:w="8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86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84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7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6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rPr>
              <w:t>∎</w:t>
            </w:r>
          </w:p>
        </w:tc>
        <w:tc>
          <w:tcPr>
            <w:tcW w:w="9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7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80" w:type="dxa"/>
            <w:vAlign w:val="bottom"/>
          </w:tcPr>
          <w:p>
            <w:pPr>
              <w:jc w:val="right"/>
              <w:ind w:right="99"/>
              <w:spacing w:after="0"/>
              <w:rPr>
                <w:sz w:val="20"/>
                <w:szCs w:val="20"/>
                <w:color w:val="auto"/>
              </w:rPr>
            </w:pPr>
            <w:r>
              <w:rPr>
                <w:rFonts w:ascii="Arial" w:cs="Arial" w:eastAsia="Arial" w:hAnsi="Arial"/>
                <w:sz w:val="16"/>
                <w:szCs w:val="16"/>
                <w:b w:val="1"/>
                <w:bCs w:val="1"/>
                <w:color w:val="auto"/>
              </w:rPr>
              <w:t>9</w:t>
            </w: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Industry expertise</w:t>
            </w:r>
          </w:p>
        </w:tc>
        <w:tc>
          <w:tcPr>
            <w:tcW w:w="860" w:type="dxa"/>
            <w:vAlign w:val="bottom"/>
            <w:shd w:val="clear" w:color="auto" w:fill="CCEEFF"/>
          </w:tcPr>
          <w:p>
            <w:pPr>
              <w:spacing w:after="0"/>
              <w:rPr>
                <w:sz w:val="17"/>
                <w:szCs w:val="17"/>
                <w:color w:val="auto"/>
              </w:rPr>
            </w:pPr>
          </w:p>
        </w:tc>
        <w:tc>
          <w:tcPr>
            <w:tcW w:w="860" w:type="dxa"/>
            <w:vAlign w:val="bottom"/>
            <w:shd w:val="clear" w:color="auto" w:fill="CCEEFF"/>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8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80" w:type="dxa"/>
            <w:vAlign w:val="bottom"/>
            <w:shd w:val="clear" w:color="auto" w:fill="CCEEFF"/>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80" w:type="dxa"/>
            <w:vAlign w:val="bottom"/>
            <w:shd w:val="clear" w:color="auto" w:fill="CCEEFF"/>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w:t>
            </w:r>
          </w:p>
        </w:tc>
      </w:tr>
      <w:tr>
        <w:trPr>
          <w:trHeight w:val="203"/>
        </w:trPr>
        <w:tc>
          <w:tcPr>
            <w:tcW w:w="3580" w:type="dxa"/>
            <w:vAlign w:val="bottom"/>
            <w:gridSpan w:val="2"/>
          </w:tcPr>
          <w:p>
            <w:pPr>
              <w:spacing w:after="0"/>
              <w:rPr>
                <w:sz w:val="20"/>
                <w:szCs w:val="20"/>
                <w:color w:val="auto"/>
              </w:rPr>
            </w:pPr>
            <w:r>
              <w:rPr>
                <w:rFonts w:ascii="Arial" w:cs="Arial" w:eastAsia="Arial" w:hAnsi="Arial"/>
                <w:sz w:val="16"/>
                <w:szCs w:val="16"/>
                <w:color w:val="auto"/>
              </w:rPr>
              <w:t>Global experience</w:t>
            </w:r>
          </w:p>
        </w:tc>
        <w:tc>
          <w:tcPr>
            <w:tcW w:w="8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86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840" w:type="dxa"/>
            <w:vAlign w:val="bottom"/>
          </w:tcPr>
          <w:p>
            <w:pPr>
              <w:spacing w:after="0"/>
              <w:rPr>
                <w:sz w:val="17"/>
                <w:szCs w:val="17"/>
                <w:color w:val="auto"/>
              </w:rPr>
            </w:pPr>
          </w:p>
        </w:tc>
        <w:tc>
          <w:tcPr>
            <w:tcW w:w="7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6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rPr>
              <w:t>∎</w:t>
            </w:r>
          </w:p>
        </w:tc>
        <w:tc>
          <w:tcPr>
            <w:tcW w:w="9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780" w:type="dxa"/>
            <w:vAlign w:val="bottom"/>
          </w:tcPr>
          <w:p>
            <w:pPr>
              <w:spacing w:after="0"/>
              <w:rPr>
                <w:sz w:val="17"/>
                <w:szCs w:val="17"/>
                <w:color w:val="auto"/>
              </w:rPr>
            </w:pPr>
          </w:p>
        </w:tc>
        <w:tc>
          <w:tcPr>
            <w:tcW w:w="580" w:type="dxa"/>
            <w:vAlign w:val="bottom"/>
          </w:tcPr>
          <w:p>
            <w:pPr>
              <w:jc w:val="right"/>
              <w:ind w:right="99"/>
              <w:spacing w:after="0"/>
              <w:rPr>
                <w:sz w:val="20"/>
                <w:szCs w:val="20"/>
                <w:color w:val="auto"/>
              </w:rPr>
            </w:pPr>
            <w:r>
              <w:rPr>
                <w:rFonts w:ascii="Arial" w:cs="Arial" w:eastAsia="Arial" w:hAnsi="Arial"/>
                <w:sz w:val="16"/>
                <w:szCs w:val="16"/>
                <w:b w:val="1"/>
                <w:bCs w:val="1"/>
                <w:color w:val="auto"/>
              </w:rPr>
              <w:t>7</w:t>
            </w:r>
          </w:p>
        </w:tc>
      </w:tr>
      <w:tr>
        <w:trPr>
          <w:trHeight w:val="191"/>
        </w:trPr>
        <w:tc>
          <w:tcPr>
            <w:tcW w:w="20" w:type="dxa"/>
            <w:vAlign w:val="bottom"/>
          </w:tcPr>
          <w:p>
            <w:pPr>
              <w:spacing w:after="0"/>
              <w:rPr>
                <w:sz w:val="16"/>
                <w:szCs w:val="16"/>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Manufacturing and/or</w:t>
            </w:r>
          </w:p>
        </w:tc>
        <w:tc>
          <w:tcPr>
            <w:tcW w:w="860" w:type="dxa"/>
            <w:vAlign w:val="bottom"/>
            <w:shd w:val="clear" w:color="auto" w:fill="CCEEFF"/>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8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60" w:type="dxa"/>
            <w:vAlign w:val="bottom"/>
            <w:shd w:val="clear" w:color="auto" w:fill="CCEEFF"/>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680" w:type="dxa"/>
            <w:vAlign w:val="bottom"/>
            <w:shd w:val="clear" w:color="auto" w:fill="CCEEFF"/>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shd w:val="clear" w:color="auto" w:fill="CCEEFF"/>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rPr>
              <w:t>∎</w:t>
            </w:r>
          </w:p>
        </w:tc>
        <w:tc>
          <w:tcPr>
            <w:tcW w:w="920" w:type="dxa"/>
            <w:vAlign w:val="bottom"/>
            <w:shd w:val="clear" w:color="auto" w:fill="CCEEFF"/>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7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6</w:t>
            </w:r>
          </w:p>
        </w:tc>
      </w:tr>
      <w:tr>
        <w:trPr>
          <w:trHeight w:val="201"/>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Supply Chain expertise*</w:t>
            </w:r>
          </w:p>
        </w:tc>
        <w:tc>
          <w:tcPr>
            <w:tcW w:w="8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03"/>
        </w:trPr>
        <w:tc>
          <w:tcPr>
            <w:tcW w:w="3580" w:type="dxa"/>
            <w:vAlign w:val="bottom"/>
            <w:gridSpan w:val="2"/>
          </w:tcPr>
          <w:p>
            <w:pPr>
              <w:spacing w:after="0"/>
              <w:rPr>
                <w:sz w:val="20"/>
                <w:szCs w:val="20"/>
                <w:color w:val="auto"/>
              </w:rPr>
            </w:pPr>
            <w:r>
              <w:rPr>
                <w:rFonts w:ascii="Arial" w:cs="Arial" w:eastAsia="Arial" w:hAnsi="Arial"/>
                <w:sz w:val="16"/>
                <w:szCs w:val="16"/>
                <w:color w:val="auto"/>
              </w:rPr>
              <w:t>Technology and Innovation expertise</w:t>
            </w:r>
          </w:p>
        </w:tc>
        <w:tc>
          <w:tcPr>
            <w:tcW w:w="860" w:type="dxa"/>
            <w:vAlign w:val="bottom"/>
          </w:tcPr>
          <w:p>
            <w:pPr>
              <w:spacing w:after="0"/>
              <w:rPr>
                <w:sz w:val="17"/>
                <w:szCs w:val="17"/>
                <w:color w:val="auto"/>
              </w:rPr>
            </w:pPr>
          </w:p>
        </w:tc>
        <w:tc>
          <w:tcPr>
            <w:tcW w:w="86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840" w:type="dxa"/>
            <w:vAlign w:val="bottom"/>
          </w:tcPr>
          <w:p>
            <w:pPr>
              <w:spacing w:after="0"/>
              <w:rPr>
                <w:sz w:val="17"/>
                <w:szCs w:val="17"/>
                <w:color w:val="auto"/>
              </w:rPr>
            </w:pPr>
          </w:p>
        </w:tc>
        <w:tc>
          <w:tcPr>
            <w:tcW w:w="7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6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rPr>
              <w:t>∎</w:t>
            </w: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jc w:val="right"/>
              <w:ind w:right="99"/>
              <w:spacing w:after="0"/>
              <w:rPr>
                <w:sz w:val="20"/>
                <w:szCs w:val="20"/>
                <w:color w:val="auto"/>
              </w:rPr>
            </w:pPr>
            <w:r>
              <w:rPr>
                <w:rFonts w:ascii="Arial" w:cs="Arial" w:eastAsia="Arial" w:hAnsi="Arial"/>
                <w:sz w:val="16"/>
                <w:szCs w:val="16"/>
                <w:b w:val="1"/>
                <w:bCs w:val="1"/>
                <w:color w:val="auto"/>
              </w:rPr>
              <w:t>5</w:t>
            </w: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Marketing/sales expertise</w:t>
            </w:r>
          </w:p>
        </w:tc>
        <w:tc>
          <w:tcPr>
            <w:tcW w:w="860" w:type="dxa"/>
            <w:vAlign w:val="bottom"/>
            <w:shd w:val="clear" w:color="auto" w:fill="CCEEFF"/>
          </w:tcPr>
          <w:p>
            <w:pPr>
              <w:spacing w:after="0"/>
              <w:rPr>
                <w:sz w:val="17"/>
                <w:szCs w:val="17"/>
                <w:color w:val="auto"/>
              </w:rPr>
            </w:pPr>
          </w:p>
        </w:tc>
        <w:tc>
          <w:tcPr>
            <w:tcW w:w="860" w:type="dxa"/>
            <w:vAlign w:val="bottom"/>
            <w:shd w:val="clear" w:color="auto" w:fill="CCEEFF"/>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840" w:type="dxa"/>
            <w:vAlign w:val="bottom"/>
            <w:shd w:val="clear" w:color="auto" w:fill="CCEEFF"/>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760" w:type="dxa"/>
            <w:vAlign w:val="bottom"/>
            <w:shd w:val="clear" w:color="auto" w:fill="CCEEFF"/>
          </w:tcPr>
          <w:p>
            <w:pPr>
              <w:spacing w:after="0"/>
              <w:rPr>
                <w:sz w:val="17"/>
                <w:szCs w:val="17"/>
                <w:color w:val="auto"/>
              </w:rPr>
            </w:pPr>
          </w:p>
        </w:tc>
        <w:tc>
          <w:tcPr>
            <w:tcW w:w="680" w:type="dxa"/>
            <w:vAlign w:val="bottom"/>
            <w:shd w:val="clear" w:color="auto" w:fill="CCEEFF"/>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shd w:val="clear" w:color="auto" w:fill="CCEEFF"/>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rPr>
              <w:t>∎</w:t>
            </w:r>
          </w:p>
        </w:tc>
        <w:tc>
          <w:tcPr>
            <w:tcW w:w="920" w:type="dxa"/>
            <w:vAlign w:val="bottom"/>
            <w:shd w:val="clear" w:color="auto" w:fill="CCEEFF"/>
          </w:tcPr>
          <w:p>
            <w:pPr>
              <w:spacing w:after="0"/>
              <w:rPr>
                <w:sz w:val="17"/>
                <w:szCs w:val="17"/>
                <w:color w:val="auto"/>
              </w:rPr>
            </w:pPr>
          </w:p>
        </w:tc>
        <w:tc>
          <w:tcPr>
            <w:tcW w:w="780" w:type="dxa"/>
            <w:vAlign w:val="bottom"/>
            <w:shd w:val="clear" w:color="auto" w:fill="CCEEFF"/>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6</w:t>
            </w:r>
          </w:p>
        </w:tc>
      </w:tr>
      <w:tr>
        <w:trPr>
          <w:trHeight w:val="203"/>
        </w:trPr>
        <w:tc>
          <w:tcPr>
            <w:tcW w:w="3580" w:type="dxa"/>
            <w:vAlign w:val="bottom"/>
            <w:gridSpan w:val="2"/>
          </w:tcPr>
          <w:p>
            <w:pPr>
              <w:spacing w:after="0"/>
              <w:rPr>
                <w:sz w:val="20"/>
                <w:szCs w:val="20"/>
                <w:color w:val="auto"/>
              </w:rPr>
            </w:pPr>
            <w:r>
              <w:rPr>
                <w:rFonts w:ascii="Arial" w:cs="Arial" w:eastAsia="Arial" w:hAnsi="Arial"/>
                <w:sz w:val="16"/>
                <w:szCs w:val="16"/>
                <w:color w:val="auto"/>
              </w:rPr>
              <w:t>Hardware/software services expertise</w:t>
            </w: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6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80" w:type="dxa"/>
            <w:vAlign w:val="bottom"/>
          </w:tcPr>
          <w:p>
            <w:pPr>
              <w:jc w:val="right"/>
              <w:ind w:right="99"/>
              <w:spacing w:after="0"/>
              <w:rPr>
                <w:sz w:val="20"/>
                <w:szCs w:val="20"/>
                <w:color w:val="auto"/>
              </w:rPr>
            </w:pPr>
            <w:r>
              <w:rPr>
                <w:rFonts w:ascii="Arial" w:cs="Arial" w:eastAsia="Arial" w:hAnsi="Arial"/>
                <w:sz w:val="16"/>
                <w:szCs w:val="16"/>
                <w:b w:val="1"/>
                <w:bCs w:val="1"/>
                <w:color w:val="auto"/>
              </w:rPr>
              <w:t>4</w:t>
            </w: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Government expertise</w:t>
            </w:r>
          </w:p>
        </w:tc>
        <w:tc>
          <w:tcPr>
            <w:tcW w:w="8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80" w:type="dxa"/>
            <w:vAlign w:val="bottom"/>
            <w:shd w:val="clear" w:color="auto" w:fill="CCEEFF"/>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w:t>
            </w:r>
          </w:p>
        </w:tc>
      </w:tr>
      <w:tr>
        <w:trPr>
          <w:trHeight w:val="191"/>
        </w:trPr>
        <w:tc>
          <w:tcPr>
            <w:tcW w:w="3580" w:type="dxa"/>
            <w:vAlign w:val="bottom"/>
            <w:gridSpan w:val="2"/>
          </w:tcPr>
          <w:p>
            <w:pPr>
              <w:spacing w:after="0"/>
              <w:rPr>
                <w:sz w:val="20"/>
                <w:szCs w:val="20"/>
                <w:color w:val="auto"/>
              </w:rPr>
            </w:pPr>
            <w:r>
              <w:rPr>
                <w:rFonts w:ascii="Arial" w:cs="Arial" w:eastAsia="Arial" w:hAnsi="Arial"/>
                <w:sz w:val="16"/>
                <w:szCs w:val="16"/>
                <w:color w:val="auto"/>
              </w:rPr>
              <w:t>Compensation, Benefits and Talent Management</w:t>
            </w:r>
          </w:p>
        </w:tc>
        <w:tc>
          <w:tcPr>
            <w:tcW w:w="8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860" w:type="dxa"/>
            <w:vAlign w:val="bottom"/>
          </w:tcPr>
          <w:p>
            <w:pPr>
              <w:spacing w:after="0"/>
              <w:rPr>
                <w:sz w:val="16"/>
                <w:szCs w:val="16"/>
                <w:color w:val="auto"/>
              </w:rPr>
            </w:pPr>
          </w:p>
        </w:tc>
        <w:tc>
          <w:tcPr>
            <w:tcW w:w="84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7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6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tcPr>
          <w:p>
            <w:pPr>
              <w:spacing w:after="0"/>
              <w:rPr>
                <w:sz w:val="16"/>
                <w:szCs w:val="16"/>
                <w:color w:val="auto"/>
              </w:rPr>
            </w:pPr>
          </w:p>
        </w:tc>
        <w:tc>
          <w:tcPr>
            <w:tcW w:w="9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7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80" w:type="dxa"/>
            <w:vAlign w:val="bottom"/>
          </w:tcPr>
          <w:p>
            <w:pPr>
              <w:jc w:val="right"/>
              <w:ind w:right="99"/>
              <w:spacing w:after="0"/>
              <w:rPr>
                <w:sz w:val="20"/>
                <w:szCs w:val="20"/>
                <w:color w:val="auto"/>
              </w:rPr>
            </w:pPr>
            <w:r>
              <w:rPr>
                <w:rFonts w:ascii="Arial" w:cs="Arial" w:eastAsia="Arial" w:hAnsi="Arial"/>
                <w:sz w:val="16"/>
                <w:szCs w:val="16"/>
                <w:b w:val="1"/>
                <w:bCs w:val="1"/>
                <w:color w:val="auto"/>
              </w:rPr>
              <w:t>7</w:t>
            </w:r>
          </w:p>
        </w:tc>
      </w:tr>
      <w:tr>
        <w:trPr>
          <w:trHeight w:val="187"/>
        </w:trPr>
        <w:tc>
          <w:tcPr>
            <w:tcW w:w="3580" w:type="dxa"/>
            <w:vAlign w:val="bottom"/>
            <w:gridSpan w:val="2"/>
          </w:tcPr>
          <w:p>
            <w:pPr>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Mergers and Acquisitions</w:t>
            </w:r>
          </w:p>
        </w:tc>
        <w:tc>
          <w:tcPr>
            <w:tcW w:w="860" w:type="dxa"/>
            <w:vAlign w:val="bottom"/>
            <w:shd w:val="clear" w:color="auto" w:fill="CCEEFF"/>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860" w:type="dxa"/>
            <w:vAlign w:val="bottom"/>
            <w:shd w:val="clear" w:color="auto" w:fill="CCEEFF"/>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840" w:type="dxa"/>
            <w:vAlign w:val="bottom"/>
            <w:shd w:val="clear" w:color="auto" w:fill="CCEEFF"/>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760" w:type="dxa"/>
            <w:vAlign w:val="bottom"/>
            <w:shd w:val="clear" w:color="auto" w:fill="CCEEFF"/>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680" w:type="dxa"/>
            <w:vAlign w:val="bottom"/>
            <w:shd w:val="clear" w:color="auto" w:fill="CCEEFF"/>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shd w:val="clear" w:color="auto" w:fill="CCEEFF"/>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rPr>
              <w:t>∎</w:t>
            </w:r>
          </w:p>
        </w:tc>
        <w:tc>
          <w:tcPr>
            <w:tcW w:w="9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7</w:t>
            </w:r>
          </w:p>
        </w:tc>
      </w:tr>
      <w:tr>
        <w:trPr>
          <w:trHeight w:val="365"/>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ind w:left="100"/>
              <w:spacing w:after="0"/>
              <w:rPr>
                <w:sz w:val="20"/>
                <w:szCs w:val="20"/>
                <w:color w:val="auto"/>
              </w:rPr>
            </w:pPr>
            <w:r>
              <w:rPr>
                <w:rFonts w:ascii="Arial" w:cs="Arial" w:eastAsia="Arial" w:hAnsi="Arial"/>
                <w:sz w:val="18"/>
                <w:szCs w:val="18"/>
                <w:color w:val="auto"/>
              </w:rPr>
              <w:t>-9-</w:t>
            </w: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7632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200"/>
        <w:spacing w:after="0"/>
        <w:tabs>
          <w:tab w:leader="none" w:pos="360" w:val="left"/>
        </w:tabs>
        <w:rPr>
          <w:sz w:val="20"/>
          <w:szCs w:val="20"/>
          <w:color w:val="auto"/>
        </w:rPr>
      </w:pPr>
      <w:r>
        <w:rPr>
          <w:rFonts w:ascii="Arial" w:cs="Arial" w:eastAsia="Arial" w:hAnsi="Arial"/>
          <w:sz w:val="14"/>
          <w:szCs w:val="14"/>
          <w:color w:val="auto"/>
        </w:rPr>
        <w:t>*</w:t>
        <w:tab/>
        <w:t>Has run or overseen manufacturing or supply chain operations.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Serves as member of the Compensation Committee of our Board or has overseen compensation and benefits in a management capacity.</w:t>
      </w:r>
    </w:p>
    <w:p>
      <w:pPr>
        <w:spacing w:after="0" w:line="171"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Our Nominating and Corporate Governance Committee generally considers diversity as one of several factors relating to overall composition when making nominations to our Board. Although we do not have a formal policy governing how diversity is considered, the Nominating and Corporate Governance Committee generally considers diversity by examining the entire Board membership and, when making nominations to our Board, reviewing the diversity of the entire Board. The Nominating and Corporate Governance Committee construes Board diversity broadly to include many factors, including, but not limited to, gender, age, and ethnicity. As a result, the Nominating and Corporate Governance Committee strives to ensure that our Board is represented by individuals with a variety of different opinions, perspectives, personal, professional, and industry experience and backgrounds, skills, and expertise. Currently, of the eight independent directors on our Board who are nominees or continuing on the Board after the Annual Meeting, three are either former Chief Financial Officers (CFOs) or former Chief Executive Officers (CEOs), two are under the age of 60, six have global business experience, and two are women, including our Board Chair.</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Qualifications and Attributes</w:t>
      </w:r>
    </w:p>
    <w:p>
      <w:pPr>
        <w:spacing w:after="0" w:line="193"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color w:val="auto"/>
        </w:rPr>
        <w:t xml:space="preserve">We have concluded that all of our directors, including the nominees for re-election, have the skills, experience, knowledge, and personal attributes that are necessary to effectively serve on our Board and to contribute to the overall success of our Company. We believe that the diverse background of each of our Board members ensures that we have a Board that has a broad range of industry-related knowledge, experience, and business acumen. </w:t>
      </w:r>
      <w:r>
        <w:rPr>
          <w:rFonts w:ascii="Arial" w:cs="Arial" w:eastAsia="Arial" w:hAnsi="Arial"/>
          <w:sz w:val="18"/>
          <w:szCs w:val="18"/>
          <w:i w:val="1"/>
          <w:iCs w:val="1"/>
          <w:color w:val="auto"/>
        </w:rPr>
        <w:t>See also</w:t>
      </w:r>
      <w:r>
        <w:rPr>
          <w:rFonts w:ascii="Arial" w:cs="Arial" w:eastAsia="Arial" w:hAnsi="Arial"/>
          <w:sz w:val="18"/>
          <w:szCs w:val="18"/>
          <w:color w:val="auto"/>
        </w:rPr>
        <w:t xml:space="preserve"> “</w:t>
      </w:r>
      <w:r>
        <w:rPr>
          <w:rFonts w:ascii="Arial" w:cs="Arial" w:eastAsia="Arial" w:hAnsi="Arial"/>
          <w:sz w:val="18"/>
          <w:szCs w:val="18"/>
          <w:i w:val="1"/>
          <w:iCs w:val="1"/>
          <w:color w:val="auto"/>
        </w:rPr>
        <w:t>CORPORATE GOVERNANCE – Director Nominations by Shareholders</w:t>
      </w:r>
      <w:r>
        <w:rPr>
          <w:rFonts w:ascii="Arial" w:cs="Arial" w:eastAsia="Arial" w:hAnsi="Arial"/>
          <w:sz w:val="18"/>
          <w:szCs w:val="18"/>
          <w:color w:val="auto"/>
        </w:rPr>
        <w:t>” in this proxy statement.</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of Directors</w:t>
      </w:r>
    </w:p>
    <w:p>
      <w:pPr>
        <w:spacing w:after="0" w:line="207" w:lineRule="exact"/>
        <w:rPr>
          <w:sz w:val="20"/>
          <w:szCs w:val="20"/>
          <w:color w:val="auto"/>
        </w:rPr>
      </w:pPr>
    </w:p>
    <w:p>
      <w:pPr>
        <w:ind w:left="200" w:right="280"/>
        <w:spacing w:after="0" w:line="239" w:lineRule="auto"/>
        <w:rPr>
          <w:sz w:val="20"/>
          <w:szCs w:val="20"/>
          <w:color w:val="auto"/>
        </w:rPr>
      </w:pPr>
      <w:r>
        <w:rPr>
          <w:rFonts w:ascii="Arial" w:cs="Arial" w:eastAsia="Arial" w:hAnsi="Arial"/>
          <w:sz w:val="18"/>
          <w:szCs w:val="18"/>
          <w:color w:val="auto"/>
        </w:rPr>
        <w:t>The Nominating and Corporate Governance Committee annually reviews compensation paid to non-employee directors and makes recommendations for adjustment, as appropriate, to the Board. The Company did not change the compensation paid to non-employee directors for the 2018 fiscal year. Both equity and cash compensation were determined using benchmark data from our peer companies provided by the Compensation Committee’s independent compensation consultant, Frederic W. Cook &amp; Co. (F.W. Cook).</w:t>
      </w:r>
    </w:p>
    <w:p>
      <w:pPr>
        <w:spacing w:after="0" w:line="19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Compensation structure for directors (1)</w:t>
            </w:r>
          </w:p>
        </w:tc>
        <w:tc>
          <w:tcPr>
            <w:tcW w:w="3200" w:type="dxa"/>
            <w:vAlign w:val="bottom"/>
            <w:shd w:val="clear" w:color="auto" w:fill="CCEEFF"/>
          </w:tcPr>
          <w:p>
            <w:pPr>
              <w:ind w:left="2180"/>
              <w:spacing w:after="0"/>
              <w:rPr>
                <w:sz w:val="20"/>
                <w:szCs w:val="20"/>
                <w:color w:val="auto"/>
              </w:rPr>
            </w:pPr>
            <w:r>
              <w:rPr>
                <w:rFonts w:ascii="Arial" w:cs="Arial" w:eastAsia="Arial" w:hAnsi="Arial"/>
                <w:sz w:val="18"/>
                <w:szCs w:val="18"/>
                <w:b w:val="1"/>
                <w:bCs w:val="1"/>
                <w:color w:val="auto"/>
              </w:rPr>
              <w:t>2018</w:t>
            </w:r>
          </w:p>
        </w:tc>
      </w:tr>
      <w:tr>
        <w:trPr>
          <w:trHeight w:val="203"/>
        </w:trPr>
        <w:tc>
          <w:tcPr>
            <w:tcW w:w="20" w:type="dxa"/>
            <w:vAlign w:val="bottom"/>
          </w:tcPr>
          <w:p>
            <w:pPr>
              <w:spacing w:after="0"/>
              <w:rPr>
                <w:sz w:val="17"/>
                <w:szCs w:val="17"/>
                <w:color w:val="auto"/>
              </w:rPr>
            </w:pPr>
          </w:p>
        </w:tc>
        <w:tc>
          <w:tcPr>
            <w:tcW w:w="7820" w:type="dxa"/>
            <w:vAlign w:val="bottom"/>
          </w:tcPr>
          <w:p>
            <w:pPr>
              <w:spacing w:after="0" w:line="202" w:lineRule="exact"/>
              <w:rPr>
                <w:sz w:val="20"/>
                <w:szCs w:val="20"/>
                <w:color w:val="auto"/>
              </w:rPr>
            </w:pPr>
            <w:r>
              <w:rPr>
                <w:rFonts w:ascii="Arial" w:cs="Arial" w:eastAsia="Arial" w:hAnsi="Arial"/>
                <w:sz w:val="18"/>
                <w:szCs w:val="18"/>
                <w:b w:val="1"/>
                <w:bCs w:val="1"/>
                <w:color w:val="auto"/>
              </w:rPr>
              <w:t>Regular retainer (all directors except Mr. Mezey and Ms. Ziegler)</w:t>
            </w:r>
          </w:p>
        </w:tc>
        <w:tc>
          <w:tcPr>
            <w:tcW w:w="32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annual base retainer (2)</w:t>
            </w:r>
          </w:p>
        </w:tc>
        <w:tc>
          <w:tcPr>
            <w:tcW w:w="3200" w:type="dxa"/>
            <w:vAlign w:val="bottom"/>
            <w:shd w:val="clear" w:color="auto" w:fill="CCEEFF"/>
          </w:tcPr>
          <w:p>
            <w:pPr>
              <w:ind w:left="2180"/>
              <w:spacing w:after="0" w:line="202" w:lineRule="exact"/>
              <w:rPr>
                <w:sz w:val="20"/>
                <w:szCs w:val="20"/>
                <w:color w:val="auto"/>
              </w:rPr>
            </w:pPr>
            <w:r>
              <w:rPr>
                <w:rFonts w:ascii="Arial" w:cs="Arial" w:eastAsia="Arial" w:hAnsi="Arial"/>
                <w:sz w:val="18"/>
                <w:szCs w:val="18"/>
                <w:color w:val="auto"/>
              </w:rPr>
              <w:t>$165,000</w:t>
            </w:r>
          </w:p>
        </w:tc>
      </w:tr>
      <w:tr>
        <w:trPr>
          <w:trHeight w:val="203"/>
        </w:trPr>
        <w:tc>
          <w:tcPr>
            <w:tcW w:w="20" w:type="dxa"/>
            <w:vAlign w:val="bottom"/>
          </w:tcPr>
          <w:p>
            <w:pPr>
              <w:spacing w:after="0"/>
              <w:rPr>
                <w:sz w:val="17"/>
                <w:szCs w:val="17"/>
                <w:color w:val="auto"/>
              </w:rPr>
            </w:pPr>
          </w:p>
        </w:tc>
        <w:tc>
          <w:tcPr>
            <w:tcW w:w="7820" w:type="dxa"/>
            <w:vAlign w:val="bottom"/>
          </w:tcPr>
          <w:p>
            <w:pPr>
              <w:ind w:left="880"/>
              <w:spacing w:after="0" w:line="202" w:lineRule="exact"/>
              <w:rPr>
                <w:sz w:val="20"/>
                <w:szCs w:val="20"/>
                <w:color w:val="auto"/>
              </w:rPr>
            </w:pPr>
            <w:r>
              <w:rPr>
                <w:rFonts w:ascii="Arial" w:cs="Arial" w:eastAsia="Arial" w:hAnsi="Arial"/>
                <w:sz w:val="18"/>
                <w:szCs w:val="18"/>
                <w:color w:val="auto"/>
              </w:rPr>
              <w:t>Cash</w:t>
            </w:r>
          </w:p>
        </w:tc>
        <w:tc>
          <w:tcPr>
            <w:tcW w:w="3200" w:type="dxa"/>
            <w:vAlign w:val="bottom"/>
          </w:tcPr>
          <w:p>
            <w:pPr>
              <w:ind w:left="2180"/>
              <w:spacing w:after="0" w:line="202" w:lineRule="exact"/>
              <w:rPr>
                <w:sz w:val="20"/>
                <w:szCs w:val="20"/>
                <w:color w:val="auto"/>
              </w:rPr>
            </w:pPr>
            <w:r>
              <w:rPr>
                <w:rFonts w:ascii="Arial" w:cs="Arial" w:eastAsia="Arial" w:hAnsi="Arial"/>
                <w:sz w:val="18"/>
                <w:szCs w:val="18"/>
                <w:color w:val="auto"/>
              </w:rPr>
              <w:t>$65,000</w:t>
            </w:r>
          </w:p>
        </w:tc>
      </w:tr>
      <w:tr>
        <w:trPr>
          <w:trHeight w:val="203"/>
        </w:trPr>
        <w:tc>
          <w:tcPr>
            <w:tcW w:w="20" w:type="dxa"/>
            <w:vAlign w:val="bottom"/>
          </w:tcPr>
          <w:p>
            <w:pPr>
              <w:spacing w:after="0"/>
              <w:rPr>
                <w:sz w:val="17"/>
                <w:szCs w:val="17"/>
                <w:color w:val="auto"/>
              </w:rPr>
            </w:pPr>
          </w:p>
        </w:tc>
        <w:tc>
          <w:tcPr>
            <w:tcW w:w="782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Stock</w:t>
            </w:r>
          </w:p>
        </w:tc>
        <w:tc>
          <w:tcPr>
            <w:tcW w:w="3200" w:type="dxa"/>
            <w:vAlign w:val="bottom"/>
            <w:shd w:val="clear" w:color="auto" w:fill="CCEEFF"/>
          </w:tcPr>
          <w:p>
            <w:pPr>
              <w:ind w:left="2180"/>
              <w:spacing w:after="0" w:line="202" w:lineRule="exact"/>
              <w:rPr>
                <w:sz w:val="20"/>
                <w:szCs w:val="20"/>
                <w:color w:val="auto"/>
              </w:rPr>
            </w:pPr>
            <w:r>
              <w:rPr>
                <w:rFonts w:ascii="Arial" w:cs="Arial" w:eastAsia="Arial" w:hAnsi="Arial"/>
                <w:sz w:val="18"/>
                <w:szCs w:val="18"/>
                <w:color w:val="auto"/>
              </w:rPr>
              <w:t>$100,000</w:t>
            </w:r>
          </w:p>
        </w:tc>
      </w:tr>
      <w:tr>
        <w:trPr>
          <w:trHeight w:val="203"/>
        </w:trPr>
        <w:tc>
          <w:tcPr>
            <w:tcW w:w="20" w:type="dxa"/>
            <w:vAlign w:val="bottom"/>
          </w:tcPr>
          <w:p>
            <w:pPr>
              <w:spacing w:after="0"/>
              <w:rPr>
                <w:sz w:val="17"/>
                <w:szCs w:val="17"/>
                <w:color w:val="auto"/>
              </w:rPr>
            </w:pPr>
          </w:p>
        </w:tc>
        <w:tc>
          <w:tcPr>
            <w:tcW w:w="7820" w:type="dxa"/>
            <w:vAlign w:val="bottom"/>
          </w:tcPr>
          <w:p>
            <w:pPr>
              <w:spacing w:after="0" w:line="202" w:lineRule="exact"/>
              <w:rPr>
                <w:sz w:val="20"/>
                <w:szCs w:val="20"/>
                <w:color w:val="auto"/>
              </w:rPr>
            </w:pPr>
            <w:r>
              <w:rPr>
                <w:rFonts w:ascii="Arial" w:cs="Arial" w:eastAsia="Arial" w:hAnsi="Arial"/>
                <w:sz w:val="18"/>
                <w:szCs w:val="18"/>
                <w:color w:val="auto"/>
              </w:rPr>
              <w:t>Annual committee chair retainer (cash)</w:t>
            </w:r>
          </w:p>
        </w:tc>
        <w:tc>
          <w:tcPr>
            <w:tcW w:w="32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Compensation</w:t>
            </w:r>
          </w:p>
        </w:tc>
        <w:tc>
          <w:tcPr>
            <w:tcW w:w="3200" w:type="dxa"/>
            <w:vAlign w:val="bottom"/>
            <w:shd w:val="clear" w:color="auto" w:fill="CCEEFF"/>
          </w:tcPr>
          <w:p>
            <w:pPr>
              <w:ind w:left="2180"/>
              <w:spacing w:after="0" w:line="202" w:lineRule="exact"/>
              <w:rPr>
                <w:sz w:val="20"/>
                <w:szCs w:val="20"/>
                <w:color w:val="auto"/>
              </w:rPr>
            </w:pPr>
            <w:r>
              <w:rPr>
                <w:rFonts w:ascii="Arial" w:cs="Arial" w:eastAsia="Arial" w:hAnsi="Arial"/>
                <w:sz w:val="18"/>
                <w:szCs w:val="18"/>
                <w:color w:val="auto"/>
              </w:rPr>
              <w:t>$15,000</w:t>
            </w:r>
          </w:p>
        </w:tc>
      </w:tr>
      <w:tr>
        <w:trPr>
          <w:trHeight w:val="203"/>
        </w:trPr>
        <w:tc>
          <w:tcPr>
            <w:tcW w:w="20" w:type="dxa"/>
            <w:vAlign w:val="bottom"/>
          </w:tcPr>
          <w:p>
            <w:pPr>
              <w:spacing w:after="0"/>
              <w:rPr>
                <w:sz w:val="17"/>
                <w:szCs w:val="17"/>
                <w:color w:val="auto"/>
              </w:rPr>
            </w:pPr>
          </w:p>
        </w:tc>
        <w:tc>
          <w:tcPr>
            <w:tcW w:w="7820" w:type="dxa"/>
            <w:vAlign w:val="bottom"/>
          </w:tcPr>
          <w:p>
            <w:pPr>
              <w:ind w:left="880"/>
              <w:spacing w:after="0" w:line="202" w:lineRule="exact"/>
              <w:rPr>
                <w:sz w:val="20"/>
                <w:szCs w:val="20"/>
                <w:color w:val="auto"/>
              </w:rPr>
            </w:pPr>
            <w:r>
              <w:rPr>
                <w:rFonts w:ascii="Arial" w:cs="Arial" w:eastAsia="Arial" w:hAnsi="Arial"/>
                <w:sz w:val="18"/>
                <w:szCs w:val="18"/>
                <w:color w:val="auto"/>
              </w:rPr>
              <w:t>Nominating &amp; Corporate Governance</w:t>
            </w:r>
          </w:p>
        </w:tc>
        <w:tc>
          <w:tcPr>
            <w:tcW w:w="3200" w:type="dxa"/>
            <w:vAlign w:val="bottom"/>
          </w:tcPr>
          <w:p>
            <w:pPr>
              <w:ind w:left="2180"/>
              <w:spacing w:after="0" w:line="202" w:lineRule="exact"/>
              <w:rPr>
                <w:sz w:val="20"/>
                <w:szCs w:val="20"/>
                <w:color w:val="auto"/>
              </w:rPr>
            </w:pPr>
            <w:r>
              <w:rPr>
                <w:rFonts w:ascii="Arial" w:cs="Arial" w:eastAsia="Arial" w:hAnsi="Arial"/>
                <w:sz w:val="18"/>
                <w:szCs w:val="18"/>
                <w:color w:val="auto"/>
              </w:rPr>
              <w:t>$15,000</w:t>
            </w:r>
          </w:p>
        </w:tc>
      </w:tr>
      <w:tr>
        <w:trPr>
          <w:trHeight w:val="203"/>
        </w:trPr>
        <w:tc>
          <w:tcPr>
            <w:tcW w:w="20" w:type="dxa"/>
            <w:vAlign w:val="bottom"/>
          </w:tcPr>
          <w:p>
            <w:pPr>
              <w:spacing w:after="0"/>
              <w:rPr>
                <w:sz w:val="17"/>
                <w:szCs w:val="17"/>
                <w:color w:val="auto"/>
              </w:rPr>
            </w:pPr>
          </w:p>
        </w:tc>
        <w:tc>
          <w:tcPr>
            <w:tcW w:w="782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Audit/Finance</w:t>
            </w:r>
          </w:p>
        </w:tc>
        <w:tc>
          <w:tcPr>
            <w:tcW w:w="3200" w:type="dxa"/>
            <w:vAlign w:val="bottom"/>
            <w:shd w:val="clear" w:color="auto" w:fill="CCEEFF"/>
          </w:tcPr>
          <w:p>
            <w:pPr>
              <w:ind w:left="2180"/>
              <w:spacing w:after="0" w:line="202" w:lineRule="exact"/>
              <w:rPr>
                <w:sz w:val="20"/>
                <w:szCs w:val="20"/>
                <w:color w:val="auto"/>
              </w:rPr>
            </w:pPr>
            <w:r>
              <w:rPr>
                <w:rFonts w:ascii="Arial" w:cs="Arial" w:eastAsia="Arial" w:hAnsi="Arial"/>
                <w:sz w:val="18"/>
                <w:szCs w:val="18"/>
                <w:color w:val="auto"/>
              </w:rPr>
              <w:t>$20,000</w:t>
            </w:r>
          </w:p>
        </w:tc>
      </w:tr>
      <w:tr>
        <w:trPr>
          <w:trHeight w:val="203"/>
        </w:trPr>
        <w:tc>
          <w:tcPr>
            <w:tcW w:w="20" w:type="dxa"/>
            <w:vAlign w:val="bottom"/>
          </w:tcPr>
          <w:p>
            <w:pPr>
              <w:spacing w:after="0"/>
              <w:rPr>
                <w:sz w:val="17"/>
                <w:szCs w:val="17"/>
                <w:color w:val="auto"/>
              </w:rPr>
            </w:pPr>
          </w:p>
        </w:tc>
        <w:tc>
          <w:tcPr>
            <w:tcW w:w="7820" w:type="dxa"/>
            <w:vAlign w:val="bottom"/>
          </w:tcPr>
          <w:p>
            <w:pPr>
              <w:ind w:left="880"/>
              <w:spacing w:after="0" w:line="202" w:lineRule="exact"/>
              <w:rPr>
                <w:sz w:val="20"/>
                <w:szCs w:val="20"/>
                <w:color w:val="auto"/>
              </w:rPr>
            </w:pPr>
            <w:r>
              <w:rPr>
                <w:rFonts w:ascii="Arial" w:cs="Arial" w:eastAsia="Arial" w:hAnsi="Arial"/>
                <w:sz w:val="18"/>
                <w:szCs w:val="18"/>
                <w:color w:val="auto"/>
              </w:rPr>
              <w:t>Value Enhancement (3)</w:t>
            </w:r>
          </w:p>
        </w:tc>
        <w:tc>
          <w:tcPr>
            <w:tcW w:w="3200" w:type="dxa"/>
            <w:vAlign w:val="bottom"/>
          </w:tcPr>
          <w:p>
            <w:pPr>
              <w:ind w:left="2180"/>
              <w:spacing w:after="0" w:line="202" w:lineRule="exact"/>
              <w:rPr>
                <w:sz w:val="20"/>
                <w:szCs w:val="20"/>
                <w:color w:val="auto"/>
              </w:rPr>
            </w:pPr>
            <w:r>
              <w:rPr>
                <w:rFonts w:ascii="Arial" w:cs="Arial" w:eastAsia="Arial" w:hAnsi="Arial"/>
                <w:sz w:val="18"/>
                <w:szCs w:val="18"/>
                <w:color w:val="auto"/>
              </w:rPr>
              <w:t>$20,000</w:t>
            </w:r>
          </w:p>
        </w:tc>
      </w:tr>
      <w:tr>
        <w:trPr>
          <w:trHeight w:val="203"/>
        </w:trPr>
        <w:tc>
          <w:tcPr>
            <w:tcW w:w="20" w:type="dxa"/>
            <w:vAlign w:val="bottom"/>
          </w:tcPr>
          <w:p>
            <w:pPr>
              <w:spacing w:after="0"/>
              <w:rPr>
                <w:sz w:val="17"/>
                <w:szCs w:val="17"/>
                <w:color w:val="auto"/>
              </w:rPr>
            </w:pPr>
          </w:p>
        </w:tc>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Annual committee member retainer (cash)</w:t>
            </w:r>
          </w:p>
        </w:tc>
        <w:tc>
          <w:tcPr>
            <w:tcW w:w="32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880"/>
              <w:spacing w:after="0" w:line="202" w:lineRule="exact"/>
              <w:rPr>
                <w:sz w:val="20"/>
                <w:szCs w:val="20"/>
                <w:color w:val="auto"/>
              </w:rPr>
            </w:pPr>
            <w:r>
              <w:rPr>
                <w:rFonts w:ascii="Arial" w:cs="Arial" w:eastAsia="Arial" w:hAnsi="Arial"/>
                <w:sz w:val="18"/>
                <w:szCs w:val="18"/>
                <w:color w:val="auto"/>
              </w:rPr>
              <w:t>Compensation</w:t>
            </w:r>
          </w:p>
        </w:tc>
        <w:tc>
          <w:tcPr>
            <w:tcW w:w="3200" w:type="dxa"/>
            <w:vAlign w:val="bottom"/>
          </w:tcPr>
          <w:p>
            <w:pPr>
              <w:ind w:left="2180"/>
              <w:spacing w:after="0" w:line="202" w:lineRule="exact"/>
              <w:rPr>
                <w:sz w:val="20"/>
                <w:szCs w:val="20"/>
                <w:color w:val="auto"/>
              </w:rPr>
            </w:pPr>
            <w:r>
              <w:rPr>
                <w:rFonts w:ascii="Arial" w:cs="Arial" w:eastAsia="Arial" w:hAnsi="Arial"/>
                <w:sz w:val="18"/>
                <w:szCs w:val="18"/>
                <w:color w:val="auto"/>
              </w:rPr>
              <w:t>$6,500</w:t>
            </w:r>
          </w:p>
        </w:tc>
      </w:tr>
      <w:tr>
        <w:trPr>
          <w:trHeight w:val="203"/>
        </w:trPr>
        <w:tc>
          <w:tcPr>
            <w:tcW w:w="20" w:type="dxa"/>
            <w:vAlign w:val="bottom"/>
          </w:tcPr>
          <w:p>
            <w:pPr>
              <w:spacing w:after="0"/>
              <w:rPr>
                <w:sz w:val="17"/>
                <w:szCs w:val="17"/>
                <w:color w:val="auto"/>
              </w:rPr>
            </w:pPr>
          </w:p>
        </w:tc>
        <w:tc>
          <w:tcPr>
            <w:tcW w:w="782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Nominating &amp; Corporate Governance</w:t>
            </w:r>
          </w:p>
        </w:tc>
        <w:tc>
          <w:tcPr>
            <w:tcW w:w="3200" w:type="dxa"/>
            <w:vAlign w:val="bottom"/>
            <w:shd w:val="clear" w:color="auto" w:fill="CCEEFF"/>
          </w:tcPr>
          <w:p>
            <w:pPr>
              <w:ind w:left="2180"/>
              <w:spacing w:after="0" w:line="202" w:lineRule="exact"/>
              <w:rPr>
                <w:sz w:val="20"/>
                <w:szCs w:val="20"/>
                <w:color w:val="auto"/>
              </w:rPr>
            </w:pPr>
            <w:r>
              <w:rPr>
                <w:rFonts w:ascii="Arial" w:cs="Arial" w:eastAsia="Arial" w:hAnsi="Arial"/>
                <w:sz w:val="18"/>
                <w:szCs w:val="18"/>
                <w:color w:val="auto"/>
              </w:rPr>
              <w:t>$5,000</w:t>
            </w:r>
          </w:p>
        </w:tc>
      </w:tr>
      <w:tr>
        <w:trPr>
          <w:trHeight w:val="203"/>
        </w:trPr>
        <w:tc>
          <w:tcPr>
            <w:tcW w:w="20" w:type="dxa"/>
            <w:vAlign w:val="bottom"/>
          </w:tcPr>
          <w:p>
            <w:pPr>
              <w:spacing w:after="0"/>
              <w:rPr>
                <w:sz w:val="17"/>
                <w:szCs w:val="17"/>
                <w:color w:val="auto"/>
              </w:rPr>
            </w:pPr>
          </w:p>
        </w:tc>
        <w:tc>
          <w:tcPr>
            <w:tcW w:w="7820" w:type="dxa"/>
            <w:vAlign w:val="bottom"/>
          </w:tcPr>
          <w:p>
            <w:pPr>
              <w:ind w:left="880"/>
              <w:spacing w:after="0" w:line="202" w:lineRule="exact"/>
              <w:rPr>
                <w:sz w:val="20"/>
                <w:szCs w:val="20"/>
                <w:color w:val="auto"/>
              </w:rPr>
            </w:pPr>
            <w:r>
              <w:rPr>
                <w:rFonts w:ascii="Arial" w:cs="Arial" w:eastAsia="Arial" w:hAnsi="Arial"/>
                <w:sz w:val="18"/>
                <w:szCs w:val="18"/>
                <w:color w:val="auto"/>
              </w:rPr>
              <w:t>Audit/Finance</w:t>
            </w:r>
          </w:p>
        </w:tc>
        <w:tc>
          <w:tcPr>
            <w:tcW w:w="3200" w:type="dxa"/>
            <w:vAlign w:val="bottom"/>
          </w:tcPr>
          <w:p>
            <w:pPr>
              <w:ind w:left="2180"/>
              <w:spacing w:after="0" w:line="202" w:lineRule="exact"/>
              <w:rPr>
                <w:sz w:val="20"/>
                <w:szCs w:val="20"/>
                <w:color w:val="auto"/>
              </w:rPr>
            </w:pPr>
            <w:r>
              <w:rPr>
                <w:rFonts w:ascii="Arial" w:cs="Arial" w:eastAsia="Arial" w:hAnsi="Arial"/>
                <w:sz w:val="18"/>
                <w:szCs w:val="18"/>
                <w:color w:val="auto"/>
              </w:rPr>
              <w:t>$10,000</w:t>
            </w:r>
          </w:p>
        </w:tc>
      </w:tr>
      <w:tr>
        <w:trPr>
          <w:trHeight w:val="203"/>
        </w:trPr>
        <w:tc>
          <w:tcPr>
            <w:tcW w:w="20" w:type="dxa"/>
            <w:vAlign w:val="bottom"/>
          </w:tcPr>
          <w:p>
            <w:pPr>
              <w:spacing w:after="0"/>
              <w:rPr>
                <w:sz w:val="17"/>
                <w:szCs w:val="17"/>
                <w:color w:val="auto"/>
              </w:rPr>
            </w:pPr>
          </w:p>
        </w:tc>
        <w:tc>
          <w:tcPr>
            <w:tcW w:w="782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Value Enhancement (3)</w:t>
            </w:r>
          </w:p>
        </w:tc>
        <w:tc>
          <w:tcPr>
            <w:tcW w:w="3200" w:type="dxa"/>
            <w:vAlign w:val="bottom"/>
            <w:shd w:val="clear" w:color="auto" w:fill="CCEEFF"/>
          </w:tcPr>
          <w:p>
            <w:pPr>
              <w:ind w:left="2180"/>
              <w:spacing w:after="0" w:line="202" w:lineRule="exact"/>
              <w:rPr>
                <w:sz w:val="20"/>
                <w:szCs w:val="20"/>
                <w:color w:val="auto"/>
              </w:rPr>
            </w:pPr>
            <w:r>
              <w:rPr>
                <w:rFonts w:ascii="Arial" w:cs="Arial" w:eastAsia="Arial" w:hAnsi="Arial"/>
                <w:sz w:val="18"/>
                <w:szCs w:val="18"/>
                <w:color w:val="auto"/>
              </w:rPr>
              <w:t>$10,000</w:t>
            </w:r>
          </w:p>
        </w:tc>
      </w:tr>
      <w:tr>
        <w:trPr>
          <w:trHeight w:val="203"/>
        </w:trPr>
        <w:tc>
          <w:tcPr>
            <w:tcW w:w="20" w:type="dxa"/>
            <w:vAlign w:val="bottom"/>
          </w:tcPr>
          <w:p>
            <w:pPr>
              <w:spacing w:after="0"/>
              <w:rPr>
                <w:sz w:val="17"/>
                <w:szCs w:val="17"/>
                <w:color w:val="auto"/>
              </w:rPr>
            </w:pPr>
          </w:p>
        </w:tc>
        <w:tc>
          <w:tcPr>
            <w:tcW w:w="7820" w:type="dxa"/>
            <w:vAlign w:val="bottom"/>
          </w:tcPr>
          <w:p>
            <w:pPr>
              <w:spacing w:after="0" w:line="202" w:lineRule="exact"/>
              <w:rPr>
                <w:sz w:val="20"/>
                <w:szCs w:val="20"/>
                <w:color w:val="auto"/>
              </w:rPr>
            </w:pPr>
            <w:r>
              <w:rPr>
                <w:rFonts w:ascii="Arial" w:cs="Arial" w:eastAsia="Arial" w:hAnsi="Arial"/>
                <w:sz w:val="18"/>
                <w:szCs w:val="18"/>
                <w:b w:val="1"/>
                <w:bCs w:val="1"/>
                <w:color w:val="auto"/>
              </w:rPr>
              <w:t>Board Chair retainer</w:t>
            </w:r>
          </w:p>
        </w:tc>
        <w:tc>
          <w:tcPr>
            <w:tcW w:w="32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annual Board Chair retainer (2)(4)</w:t>
            </w:r>
          </w:p>
        </w:tc>
        <w:tc>
          <w:tcPr>
            <w:tcW w:w="3200" w:type="dxa"/>
            <w:vAlign w:val="bottom"/>
            <w:shd w:val="clear" w:color="auto" w:fill="CCEEFF"/>
          </w:tcPr>
          <w:p>
            <w:pPr>
              <w:ind w:left="2180"/>
              <w:spacing w:after="0" w:line="202" w:lineRule="exact"/>
              <w:rPr>
                <w:sz w:val="20"/>
                <w:szCs w:val="20"/>
                <w:color w:val="auto"/>
              </w:rPr>
            </w:pPr>
            <w:r>
              <w:rPr>
                <w:rFonts w:ascii="Arial" w:cs="Arial" w:eastAsia="Arial" w:hAnsi="Arial"/>
                <w:sz w:val="18"/>
                <w:szCs w:val="18"/>
                <w:color w:val="auto"/>
              </w:rPr>
              <w:t>$250,000</w:t>
            </w:r>
          </w:p>
        </w:tc>
      </w:tr>
      <w:tr>
        <w:trPr>
          <w:trHeight w:val="203"/>
        </w:trPr>
        <w:tc>
          <w:tcPr>
            <w:tcW w:w="20" w:type="dxa"/>
            <w:vAlign w:val="bottom"/>
          </w:tcPr>
          <w:p>
            <w:pPr>
              <w:spacing w:after="0"/>
              <w:rPr>
                <w:sz w:val="17"/>
                <w:szCs w:val="17"/>
                <w:color w:val="auto"/>
              </w:rPr>
            </w:pPr>
          </w:p>
        </w:tc>
        <w:tc>
          <w:tcPr>
            <w:tcW w:w="7820" w:type="dxa"/>
            <w:vAlign w:val="bottom"/>
          </w:tcPr>
          <w:p>
            <w:pPr>
              <w:ind w:left="880"/>
              <w:spacing w:after="0" w:line="202" w:lineRule="exact"/>
              <w:rPr>
                <w:sz w:val="20"/>
                <w:szCs w:val="20"/>
                <w:color w:val="auto"/>
              </w:rPr>
            </w:pPr>
            <w:r>
              <w:rPr>
                <w:rFonts w:ascii="Arial" w:cs="Arial" w:eastAsia="Arial" w:hAnsi="Arial"/>
                <w:sz w:val="18"/>
                <w:szCs w:val="18"/>
                <w:color w:val="auto"/>
              </w:rPr>
              <w:t>Cash</w:t>
            </w:r>
          </w:p>
        </w:tc>
        <w:tc>
          <w:tcPr>
            <w:tcW w:w="3200" w:type="dxa"/>
            <w:vAlign w:val="bottom"/>
          </w:tcPr>
          <w:p>
            <w:pPr>
              <w:ind w:left="2180"/>
              <w:spacing w:after="0" w:line="202" w:lineRule="exact"/>
              <w:rPr>
                <w:sz w:val="20"/>
                <w:szCs w:val="20"/>
                <w:color w:val="auto"/>
              </w:rPr>
            </w:pPr>
            <w:r>
              <w:rPr>
                <w:rFonts w:ascii="Arial" w:cs="Arial" w:eastAsia="Arial" w:hAnsi="Arial"/>
                <w:sz w:val="18"/>
                <w:szCs w:val="18"/>
                <w:color w:val="auto"/>
              </w:rPr>
              <w:t>$120,000</w:t>
            </w:r>
          </w:p>
        </w:tc>
      </w:tr>
      <w:tr>
        <w:trPr>
          <w:trHeight w:val="203"/>
        </w:trPr>
        <w:tc>
          <w:tcPr>
            <w:tcW w:w="20" w:type="dxa"/>
            <w:vAlign w:val="bottom"/>
          </w:tcPr>
          <w:p>
            <w:pPr>
              <w:spacing w:after="0"/>
              <w:rPr>
                <w:sz w:val="17"/>
                <w:szCs w:val="17"/>
                <w:color w:val="auto"/>
              </w:rPr>
            </w:pPr>
          </w:p>
        </w:tc>
        <w:tc>
          <w:tcPr>
            <w:tcW w:w="782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Stock</w:t>
            </w:r>
          </w:p>
        </w:tc>
        <w:tc>
          <w:tcPr>
            <w:tcW w:w="3200" w:type="dxa"/>
            <w:vAlign w:val="bottom"/>
            <w:shd w:val="clear" w:color="auto" w:fill="CCEEFF"/>
          </w:tcPr>
          <w:p>
            <w:pPr>
              <w:ind w:left="2180"/>
              <w:spacing w:after="0" w:line="202" w:lineRule="exact"/>
              <w:rPr>
                <w:sz w:val="20"/>
                <w:szCs w:val="20"/>
                <w:color w:val="auto"/>
              </w:rPr>
            </w:pPr>
            <w:r>
              <w:rPr>
                <w:rFonts w:ascii="Arial" w:cs="Arial" w:eastAsia="Arial" w:hAnsi="Arial"/>
                <w:sz w:val="18"/>
                <w:szCs w:val="18"/>
                <w:color w:val="auto"/>
              </w:rPr>
              <w:t>$130,000</w:t>
            </w:r>
          </w:p>
        </w:tc>
      </w:tr>
      <w:tr>
        <w:trPr>
          <w:trHeight w:val="75"/>
        </w:trPr>
        <w:tc>
          <w:tcPr>
            <w:tcW w:w="20" w:type="dxa"/>
            <w:vAlign w:val="bottom"/>
          </w:tcPr>
          <w:p>
            <w:pPr>
              <w:spacing w:after="0"/>
              <w:rPr>
                <w:sz w:val="6"/>
                <w:szCs w:val="6"/>
                <w:color w:val="auto"/>
              </w:rPr>
            </w:pPr>
          </w:p>
        </w:tc>
        <w:tc>
          <w:tcPr>
            <w:tcW w:w="7820" w:type="dxa"/>
            <w:vAlign w:val="bottom"/>
            <w:tcBorders>
              <w:bottom w:val="single" w:sz="8" w:color="auto"/>
            </w:tcBorders>
          </w:tcPr>
          <w:p>
            <w:pPr>
              <w:spacing w:after="0"/>
              <w:rPr>
                <w:sz w:val="6"/>
                <w:szCs w:val="6"/>
                <w:color w:val="auto"/>
              </w:rPr>
            </w:pPr>
          </w:p>
        </w:tc>
        <w:tc>
          <w:tcPr>
            <w:tcW w:w="3200" w:type="dxa"/>
            <w:vAlign w:val="bottom"/>
            <w:tcBorders>
              <w:bottom w:val="single" w:sz="8" w:color="auto"/>
            </w:tcBorders>
          </w:tcPr>
          <w:p>
            <w:pPr>
              <w:spacing w:after="0"/>
              <w:rPr>
                <w:sz w:val="6"/>
                <w:szCs w:val="6"/>
                <w:color w:val="auto"/>
              </w:rPr>
            </w:pPr>
          </w:p>
        </w:tc>
      </w:tr>
      <w:tr>
        <w:trPr>
          <w:trHeight w:val="405"/>
        </w:trPr>
        <w:tc>
          <w:tcPr>
            <w:tcW w:w="7840" w:type="dxa"/>
            <w:vAlign w:val="bottom"/>
            <w:gridSpan w:val="2"/>
          </w:tcPr>
          <w:p>
            <w:pPr>
              <w:jc w:val="right"/>
              <w:ind w:right="2070"/>
              <w:spacing w:after="0"/>
              <w:rPr>
                <w:sz w:val="20"/>
                <w:szCs w:val="20"/>
                <w:color w:val="auto"/>
              </w:rPr>
            </w:pPr>
            <w:r>
              <w:rPr>
                <w:rFonts w:ascii="Arial" w:cs="Arial" w:eastAsia="Arial" w:hAnsi="Arial"/>
                <w:sz w:val="18"/>
                <w:szCs w:val="18"/>
                <w:color w:val="auto"/>
              </w:rPr>
              <w:t>-10-</w:t>
            </w:r>
          </w:p>
        </w:tc>
        <w:tc>
          <w:tcPr>
            <w:tcW w:w="320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740" w:hanging="428"/>
        <w:spacing w:after="0"/>
        <w:tabs>
          <w:tab w:leader="none" w:pos="7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Director compensation is payable quarterly at the beginning of each quarter.</w:t>
      </w:r>
    </w:p>
    <w:p>
      <w:pPr>
        <w:spacing w:after="0" w:line="1" w:lineRule="exact"/>
        <w:rPr>
          <w:rFonts w:ascii="Arial" w:cs="Arial" w:eastAsia="Arial" w:hAnsi="Arial"/>
          <w:sz w:val="14"/>
          <w:szCs w:val="14"/>
          <w:color w:val="auto"/>
        </w:rPr>
      </w:pPr>
    </w:p>
    <w:p>
      <w:pPr>
        <w:ind w:left="740" w:right="220" w:hanging="428"/>
        <w:spacing w:after="0" w:line="241" w:lineRule="auto"/>
        <w:tabs>
          <w:tab w:leader="none" w:pos="7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 2014, the Board adopted a policy that permits a director age 65 or older to elect to receive all of his or her retainer in cash, provided they continuously meet the stock ownership guidelines described in the following paragraph.</w:t>
      </w:r>
    </w:p>
    <w:p>
      <w:pPr>
        <w:ind w:left="740" w:hanging="428"/>
        <w:spacing w:after="0"/>
        <w:tabs>
          <w:tab w:leader="none" w:pos="7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Value Enhancement Committee was not renewed following the February 2018 meeting.</w:t>
      </w:r>
    </w:p>
    <w:p>
      <w:pPr>
        <w:spacing w:after="0" w:line="1" w:lineRule="exact"/>
        <w:rPr>
          <w:rFonts w:ascii="Arial" w:cs="Arial" w:eastAsia="Arial" w:hAnsi="Arial"/>
          <w:sz w:val="14"/>
          <w:szCs w:val="14"/>
          <w:color w:val="auto"/>
        </w:rPr>
      </w:pPr>
    </w:p>
    <w:p>
      <w:pPr>
        <w:ind w:left="740" w:hanging="428"/>
        <w:spacing w:after="0"/>
        <w:tabs>
          <w:tab w:leader="none" w:pos="7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Board Chair receives no additional retainers for serving on any of our committees.</w:t>
      </w:r>
    </w:p>
    <w:p>
      <w:pPr>
        <w:spacing w:after="0" w:line="1" w:lineRule="exact"/>
        <w:rPr>
          <w:sz w:val="20"/>
          <w:szCs w:val="20"/>
          <w:color w:val="auto"/>
        </w:rPr>
      </w:pPr>
    </w:p>
    <w:p>
      <w:pPr>
        <w:ind w:left="740" w:right="120" w:hanging="428"/>
        <w:spacing w:after="0" w:line="247" w:lineRule="auto"/>
        <w:tabs>
          <w:tab w:leader="none" w:pos="7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 2018 and prior years, new non-employee directors received a grant of restricted stock units (RSUs) equal in value to $32,500, which is 50% of the annual cash retainer for directors other than the Board Chair. Upon election to the Board, the non-employee directors’ RSUs vest in equal installments on each of the first three anniversaries of the date of grant. Shares of our common stock and RSUs granted to non-employee directors are issued under our Second Amended and Restated 2010 Stock Incentive Plan (Second A&amp;R 2010 Plan).</w:t>
      </w:r>
    </w:p>
    <w:p>
      <w:pPr>
        <w:spacing w:after="0" w:line="3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2018 Director Compensation Table (for all non-employee Directors)</w:t>
      </w:r>
    </w:p>
    <w:p>
      <w:pPr>
        <w:spacing w:after="0" w:line="248" w:lineRule="exact"/>
        <w:rPr>
          <w:sz w:val="20"/>
          <w:szCs w:val="20"/>
          <w:color w:val="auto"/>
        </w:rPr>
      </w:pPr>
    </w:p>
    <w:tbl>
      <w:tblPr>
        <w:tblLayout w:type="fixed"/>
        <w:tblInd w:w="420" w:type="dxa"/>
        <w:tblCellMar>
          <w:top w:w="0" w:type="dxa"/>
          <w:left w:w="0" w:type="dxa"/>
          <w:bottom w:w="0" w:type="dxa"/>
          <w:right w:w="0" w:type="dxa"/>
        </w:tblCellMar>
      </w:tblPr>
      <w:tr>
        <w:trPr>
          <w:trHeight w:val="162"/>
        </w:trPr>
        <w:tc>
          <w:tcPr>
            <w:tcW w:w="1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Change in</w:t>
            </w: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2"/>
        </w:trPr>
        <w:tc>
          <w:tcPr>
            <w:tcW w:w="1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Pension Value</w:t>
            </w: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2"/>
        </w:trPr>
        <w:tc>
          <w:tcPr>
            <w:tcW w:w="1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and</w:t>
            </w: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2"/>
        </w:trPr>
        <w:tc>
          <w:tcPr>
            <w:tcW w:w="1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Nonqualified</w:t>
            </w: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2"/>
        </w:trPr>
        <w:tc>
          <w:tcPr>
            <w:tcW w:w="1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Non-Equity</w:t>
            </w: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Deferred</w:t>
            </w: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2"/>
        </w:trPr>
        <w:tc>
          <w:tcPr>
            <w:tcW w:w="1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Fees Earned or</w:t>
            </w: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Stock</w:t>
            </w: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Option</w:t>
            </w: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Incentive Plan</w:t>
            </w:r>
          </w:p>
        </w:tc>
        <w:tc>
          <w:tcPr>
            <w:tcW w:w="14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Compensation</w:t>
            </w: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All Other</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90"/>
        </w:trPr>
        <w:tc>
          <w:tcPr>
            <w:tcW w:w="1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Paid in Cash</w:t>
            </w: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Awards</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Awards</w:t>
            </w:r>
          </w:p>
        </w:tc>
        <w:tc>
          <w:tcPr>
            <w:tcW w:w="14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Compensation</w:t>
            </w: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Earnings</w:t>
            </w: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Compensation</w:t>
            </w:r>
          </w:p>
        </w:tc>
        <w:tc>
          <w:tcPr>
            <w:tcW w:w="6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6"/>
                <w:szCs w:val="16"/>
                <w:color w:val="auto"/>
              </w:rPr>
            </w:pPr>
          </w:p>
        </w:tc>
      </w:tr>
      <w:tr>
        <w:trPr>
          <w:trHeight w:val="228"/>
        </w:trPr>
        <w:tc>
          <w:tcPr>
            <w:tcW w:w="23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 (18)</w:t>
            </w:r>
          </w:p>
        </w:tc>
        <w:tc>
          <w:tcPr>
            <w:tcW w:w="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 (19)</w:t>
            </w:r>
          </w:p>
        </w:tc>
        <w:tc>
          <w:tcPr>
            <w:tcW w:w="4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 (20)</w:t>
            </w:r>
          </w:p>
        </w:tc>
        <w:tc>
          <w:tcPr>
            <w:tcW w:w="380" w:type="dxa"/>
            <w:vAlign w:val="bottom"/>
          </w:tcPr>
          <w:p>
            <w:pPr>
              <w:spacing w:after="0"/>
              <w:rPr>
                <w:sz w:val="19"/>
                <w:szCs w:val="19"/>
                <w:color w:val="auto"/>
              </w:rPr>
            </w:pPr>
          </w:p>
        </w:tc>
        <w:tc>
          <w:tcPr>
            <w:tcW w:w="56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88"/>
        </w:trPr>
        <w:tc>
          <w:tcPr>
            <w:tcW w:w="198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r>
      <w:tr>
        <w:trPr>
          <w:trHeight w:val="162"/>
        </w:trPr>
        <w:tc>
          <w:tcPr>
            <w:tcW w:w="2340" w:type="dxa"/>
            <w:vAlign w:val="bottom"/>
            <w:gridSpan w:val="2"/>
            <w:shd w:val="clear" w:color="auto" w:fill="CCEEFF"/>
          </w:tcPr>
          <w:p>
            <w:pPr>
              <w:spacing w:after="0" w:line="162" w:lineRule="exact"/>
              <w:rPr>
                <w:sz w:val="20"/>
                <w:szCs w:val="20"/>
                <w:color w:val="auto"/>
              </w:rPr>
            </w:pPr>
            <w:r>
              <w:rPr>
                <w:rFonts w:ascii="Arial" w:cs="Arial" w:eastAsia="Arial" w:hAnsi="Arial"/>
                <w:sz w:val="11"/>
                <w:szCs w:val="11"/>
                <w:color w:val="auto"/>
              </w:rPr>
              <w:t>Kirby Dyess</w:t>
            </w:r>
            <w:r>
              <w:rPr>
                <w:rFonts w:ascii="Arial" w:cs="Arial" w:eastAsia="Arial" w:hAnsi="Arial"/>
                <w:sz w:val="18"/>
                <w:szCs w:val="18"/>
                <w:color w:val="auto"/>
                <w:vertAlign w:val="superscript"/>
              </w:rPr>
              <w:t>(1)(2)(3)</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38,250</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49,928</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88,178</w:t>
            </w:r>
          </w:p>
        </w:tc>
        <w:tc>
          <w:tcPr>
            <w:tcW w:w="240" w:type="dxa"/>
            <w:vAlign w:val="bottom"/>
          </w:tcPr>
          <w:p>
            <w:pPr>
              <w:spacing w:after="0"/>
              <w:rPr>
                <w:sz w:val="14"/>
                <w:szCs w:val="14"/>
                <w:color w:val="auto"/>
              </w:rPr>
            </w:pPr>
          </w:p>
        </w:tc>
      </w:tr>
      <w:tr>
        <w:trPr>
          <w:trHeight w:val="378"/>
        </w:trPr>
        <w:tc>
          <w:tcPr>
            <w:tcW w:w="2340" w:type="dxa"/>
            <w:vAlign w:val="bottom"/>
            <w:gridSpan w:val="2"/>
          </w:tcPr>
          <w:p>
            <w:pPr>
              <w:spacing w:after="0"/>
              <w:rPr>
                <w:sz w:val="20"/>
                <w:szCs w:val="20"/>
                <w:color w:val="auto"/>
              </w:rPr>
            </w:pPr>
            <w:r>
              <w:rPr>
                <w:rFonts w:ascii="Arial" w:cs="Arial" w:eastAsia="Arial" w:hAnsi="Arial"/>
                <w:sz w:val="14"/>
                <w:szCs w:val="14"/>
                <w:color w:val="auto"/>
              </w:rPr>
              <w:t xml:space="preserve">Thomas Glanville </w:t>
            </w:r>
            <w:r>
              <w:rPr>
                <w:rFonts w:ascii="Arial" w:cs="Arial" w:eastAsia="Arial" w:hAnsi="Arial"/>
                <w:sz w:val="24"/>
                <w:szCs w:val="24"/>
                <w:color w:val="auto"/>
                <w:vertAlign w:val="superscript"/>
              </w:rPr>
              <w:t>(4)</w:t>
            </w:r>
          </w:p>
        </w:tc>
        <w:tc>
          <w:tcPr>
            <w:tcW w:w="1440" w:type="dxa"/>
            <w:vAlign w:val="bottom"/>
            <w:gridSpan w:val="2"/>
          </w:tcPr>
          <w:p>
            <w:pPr>
              <w:jc w:val="right"/>
              <w:ind w:right="400"/>
              <w:spacing w:after="0"/>
              <w:rPr>
                <w:sz w:val="20"/>
                <w:szCs w:val="20"/>
                <w:color w:val="auto"/>
              </w:rPr>
            </w:pPr>
            <w:r>
              <w:rPr>
                <w:rFonts w:ascii="Arial" w:cs="Arial" w:eastAsia="Arial" w:hAnsi="Arial"/>
                <w:sz w:val="14"/>
                <w:szCs w:val="14"/>
                <w:color w:val="auto"/>
              </w:rPr>
              <w:t>85,000</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99,849</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184,849</w:t>
            </w:r>
          </w:p>
        </w:tc>
        <w:tc>
          <w:tcPr>
            <w:tcW w:w="240" w:type="dxa"/>
            <w:vAlign w:val="bottom"/>
          </w:tcPr>
          <w:p>
            <w:pPr>
              <w:spacing w:after="0"/>
              <w:rPr>
                <w:sz w:val="24"/>
                <w:szCs w:val="24"/>
                <w:color w:val="auto"/>
              </w:rPr>
            </w:pPr>
          </w:p>
        </w:tc>
      </w:tr>
      <w:tr>
        <w:trPr>
          <w:trHeight w:val="162"/>
        </w:trPr>
        <w:tc>
          <w:tcPr>
            <w:tcW w:w="2340" w:type="dxa"/>
            <w:vAlign w:val="bottom"/>
            <w:gridSpan w:val="2"/>
            <w:shd w:val="clear" w:color="auto" w:fill="CCEEFF"/>
          </w:tcPr>
          <w:p>
            <w:pPr>
              <w:spacing w:after="0" w:line="162" w:lineRule="exact"/>
              <w:rPr>
                <w:sz w:val="20"/>
                <w:szCs w:val="20"/>
                <w:color w:val="auto"/>
              </w:rPr>
            </w:pPr>
            <w:r>
              <w:rPr>
                <w:rFonts w:ascii="Arial" w:cs="Arial" w:eastAsia="Arial" w:hAnsi="Arial"/>
                <w:sz w:val="11"/>
                <w:szCs w:val="11"/>
                <w:color w:val="auto"/>
              </w:rPr>
              <w:t xml:space="preserve">Frank M. Jaehnert </w:t>
            </w:r>
            <w:r>
              <w:rPr>
                <w:rFonts w:ascii="Arial" w:cs="Arial" w:eastAsia="Arial" w:hAnsi="Arial"/>
                <w:sz w:val="18"/>
                <w:szCs w:val="18"/>
                <w:color w:val="auto"/>
                <w:vertAlign w:val="superscript"/>
              </w:rPr>
              <w:t>(5)(6)</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86,500</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99,849</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186,349</w:t>
            </w:r>
          </w:p>
        </w:tc>
        <w:tc>
          <w:tcPr>
            <w:tcW w:w="240" w:type="dxa"/>
            <w:vAlign w:val="bottom"/>
          </w:tcPr>
          <w:p>
            <w:pPr>
              <w:spacing w:after="0"/>
              <w:rPr>
                <w:sz w:val="14"/>
                <w:szCs w:val="14"/>
                <w:color w:val="auto"/>
              </w:rPr>
            </w:pPr>
          </w:p>
        </w:tc>
      </w:tr>
      <w:tr>
        <w:trPr>
          <w:trHeight w:val="373"/>
        </w:trPr>
        <w:tc>
          <w:tcPr>
            <w:tcW w:w="2340" w:type="dxa"/>
            <w:vAlign w:val="bottom"/>
            <w:gridSpan w:val="2"/>
          </w:tcPr>
          <w:p>
            <w:pPr>
              <w:spacing w:after="0"/>
              <w:rPr>
                <w:sz w:val="20"/>
                <w:szCs w:val="20"/>
                <w:color w:val="auto"/>
              </w:rPr>
            </w:pPr>
            <w:r>
              <w:rPr>
                <w:rFonts w:ascii="Arial" w:cs="Arial" w:eastAsia="Arial" w:hAnsi="Arial"/>
                <w:sz w:val="28"/>
                <w:szCs w:val="28"/>
                <w:color w:val="auto"/>
                <w:vertAlign w:val="subscript"/>
              </w:rPr>
              <w:t>Jerome Lande</w:t>
            </w:r>
            <w:r>
              <w:rPr>
                <w:rFonts w:ascii="Arial" w:cs="Arial" w:eastAsia="Arial" w:hAnsi="Arial"/>
                <w:sz w:val="12"/>
                <w:szCs w:val="12"/>
                <w:color w:val="auto"/>
              </w:rPr>
              <w:t xml:space="preserve"> (7)(8)(9)(10)</w:t>
            </w:r>
          </w:p>
        </w:tc>
        <w:tc>
          <w:tcPr>
            <w:tcW w:w="1440" w:type="dxa"/>
            <w:vAlign w:val="bottom"/>
            <w:gridSpan w:val="2"/>
          </w:tcPr>
          <w:p>
            <w:pPr>
              <w:jc w:val="right"/>
              <w:ind w:right="400"/>
              <w:spacing w:after="0"/>
              <w:rPr>
                <w:sz w:val="20"/>
                <w:szCs w:val="20"/>
                <w:color w:val="auto"/>
              </w:rPr>
            </w:pPr>
            <w:r>
              <w:rPr>
                <w:rFonts w:ascii="Arial" w:cs="Arial" w:eastAsia="Arial" w:hAnsi="Arial"/>
                <w:sz w:val="14"/>
                <w:szCs w:val="14"/>
                <w:color w:val="auto"/>
              </w:rPr>
              <w:t>77,500</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77,500</w:t>
            </w:r>
          </w:p>
        </w:tc>
        <w:tc>
          <w:tcPr>
            <w:tcW w:w="240" w:type="dxa"/>
            <w:vAlign w:val="bottom"/>
          </w:tcPr>
          <w:p>
            <w:pPr>
              <w:spacing w:after="0"/>
              <w:rPr>
                <w:sz w:val="24"/>
                <w:szCs w:val="24"/>
                <w:color w:val="auto"/>
              </w:rPr>
            </w:pPr>
          </w:p>
        </w:tc>
      </w:tr>
      <w:tr>
        <w:trPr>
          <w:trHeight w:val="167"/>
        </w:trPr>
        <w:tc>
          <w:tcPr>
            <w:tcW w:w="2340" w:type="dxa"/>
            <w:vAlign w:val="bottom"/>
            <w:gridSpan w:val="2"/>
            <w:shd w:val="clear" w:color="auto" w:fill="CCEEFF"/>
          </w:tcPr>
          <w:p>
            <w:pPr>
              <w:spacing w:after="0" w:line="167" w:lineRule="exact"/>
              <w:rPr>
                <w:sz w:val="20"/>
                <w:szCs w:val="20"/>
                <w:color w:val="auto"/>
              </w:rPr>
            </w:pPr>
            <w:r>
              <w:rPr>
                <w:rFonts w:ascii="Arial" w:cs="Arial" w:eastAsia="Arial" w:hAnsi="Arial"/>
                <w:sz w:val="12"/>
                <w:szCs w:val="12"/>
                <w:color w:val="auto"/>
              </w:rPr>
              <w:t xml:space="preserve">Timothy Leyden </w:t>
            </w:r>
            <w:r>
              <w:rPr>
                <w:rFonts w:ascii="Arial" w:cs="Arial" w:eastAsia="Arial" w:hAnsi="Arial"/>
                <w:sz w:val="19"/>
                <w:szCs w:val="19"/>
                <w:color w:val="auto"/>
                <w:vertAlign w:val="superscript"/>
              </w:rPr>
              <w:t>(7)(11)</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80,000</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99,849</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179,849</w:t>
            </w:r>
          </w:p>
        </w:tc>
        <w:tc>
          <w:tcPr>
            <w:tcW w:w="240" w:type="dxa"/>
            <w:vAlign w:val="bottom"/>
          </w:tcPr>
          <w:p>
            <w:pPr>
              <w:spacing w:after="0"/>
              <w:rPr>
                <w:sz w:val="14"/>
                <w:szCs w:val="14"/>
                <w:color w:val="auto"/>
              </w:rPr>
            </w:pPr>
          </w:p>
        </w:tc>
      </w:tr>
      <w:tr>
        <w:trPr>
          <w:trHeight w:val="373"/>
        </w:trPr>
        <w:tc>
          <w:tcPr>
            <w:tcW w:w="2340" w:type="dxa"/>
            <w:vAlign w:val="bottom"/>
            <w:gridSpan w:val="2"/>
          </w:tcPr>
          <w:p>
            <w:pPr>
              <w:spacing w:after="0"/>
              <w:rPr>
                <w:sz w:val="20"/>
                <w:szCs w:val="20"/>
                <w:color w:val="auto"/>
              </w:rPr>
            </w:pPr>
            <w:r>
              <w:rPr>
                <w:rFonts w:ascii="Arial" w:cs="Arial" w:eastAsia="Arial" w:hAnsi="Arial"/>
                <w:sz w:val="28"/>
                <w:szCs w:val="28"/>
                <w:color w:val="auto"/>
                <w:vertAlign w:val="subscript"/>
              </w:rPr>
              <w:t>Peter Mainz</w:t>
            </w:r>
            <w:r>
              <w:rPr>
                <w:rFonts w:ascii="Arial" w:cs="Arial" w:eastAsia="Arial" w:hAnsi="Arial"/>
                <w:sz w:val="12"/>
                <w:szCs w:val="12"/>
                <w:color w:val="auto"/>
              </w:rPr>
              <w:t xml:space="preserve"> (1)(8)(9)(12)</w:t>
            </w:r>
          </w:p>
        </w:tc>
        <w:tc>
          <w:tcPr>
            <w:tcW w:w="1440" w:type="dxa"/>
            <w:vAlign w:val="bottom"/>
            <w:gridSpan w:val="2"/>
          </w:tcPr>
          <w:p>
            <w:pPr>
              <w:jc w:val="right"/>
              <w:ind w:right="400"/>
              <w:spacing w:after="0"/>
              <w:rPr>
                <w:sz w:val="20"/>
                <w:szCs w:val="20"/>
                <w:color w:val="auto"/>
              </w:rPr>
            </w:pPr>
            <w:r>
              <w:rPr>
                <w:rFonts w:ascii="Arial" w:cs="Arial" w:eastAsia="Arial" w:hAnsi="Arial"/>
                <w:sz w:val="14"/>
                <w:szCs w:val="14"/>
                <w:color w:val="auto"/>
              </w:rPr>
              <w:t>38,250</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49,928</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10,482</w:t>
            </w:r>
          </w:p>
        </w:tc>
        <w:tc>
          <w:tcPr>
            <w:tcW w:w="38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98,660</w:t>
            </w:r>
          </w:p>
        </w:tc>
        <w:tc>
          <w:tcPr>
            <w:tcW w:w="240" w:type="dxa"/>
            <w:vAlign w:val="bottom"/>
          </w:tcPr>
          <w:p>
            <w:pPr>
              <w:spacing w:after="0"/>
              <w:rPr>
                <w:sz w:val="24"/>
                <w:szCs w:val="24"/>
                <w:color w:val="auto"/>
              </w:rPr>
            </w:pPr>
          </w:p>
        </w:tc>
      </w:tr>
      <w:tr>
        <w:trPr>
          <w:trHeight w:val="167"/>
        </w:trPr>
        <w:tc>
          <w:tcPr>
            <w:tcW w:w="2340" w:type="dxa"/>
            <w:vAlign w:val="bottom"/>
            <w:gridSpan w:val="2"/>
            <w:shd w:val="clear" w:color="auto" w:fill="CCEEFF"/>
          </w:tcPr>
          <w:p>
            <w:pPr>
              <w:spacing w:after="0" w:line="167" w:lineRule="exact"/>
              <w:rPr>
                <w:sz w:val="20"/>
                <w:szCs w:val="20"/>
                <w:color w:val="auto"/>
              </w:rPr>
            </w:pPr>
            <w:r>
              <w:rPr>
                <w:rFonts w:ascii="Arial" w:cs="Arial" w:eastAsia="Arial" w:hAnsi="Arial"/>
                <w:sz w:val="12"/>
                <w:szCs w:val="12"/>
                <w:color w:val="auto"/>
              </w:rPr>
              <w:t xml:space="preserve">Daniel Pelino </w:t>
            </w:r>
            <w:r>
              <w:rPr>
                <w:rFonts w:ascii="Arial" w:cs="Arial" w:eastAsia="Arial" w:hAnsi="Arial"/>
                <w:sz w:val="19"/>
                <w:szCs w:val="19"/>
                <w:color w:val="auto"/>
                <w:vertAlign w:val="superscript"/>
              </w:rPr>
              <w:t>(5)(13)</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76,500</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99,849</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176,349</w:t>
            </w:r>
          </w:p>
        </w:tc>
        <w:tc>
          <w:tcPr>
            <w:tcW w:w="240" w:type="dxa"/>
            <w:vAlign w:val="bottom"/>
          </w:tcPr>
          <w:p>
            <w:pPr>
              <w:spacing w:after="0"/>
              <w:rPr>
                <w:sz w:val="14"/>
                <w:szCs w:val="14"/>
                <w:color w:val="auto"/>
              </w:rPr>
            </w:pPr>
          </w:p>
        </w:tc>
      </w:tr>
      <w:tr>
        <w:trPr>
          <w:trHeight w:val="373"/>
        </w:trPr>
        <w:tc>
          <w:tcPr>
            <w:tcW w:w="2340" w:type="dxa"/>
            <w:vAlign w:val="bottom"/>
            <w:gridSpan w:val="2"/>
          </w:tcPr>
          <w:p>
            <w:pPr>
              <w:spacing w:after="0"/>
              <w:rPr>
                <w:sz w:val="20"/>
                <w:szCs w:val="20"/>
                <w:color w:val="auto"/>
              </w:rPr>
            </w:pPr>
            <w:r>
              <w:rPr>
                <w:rFonts w:ascii="Arial" w:cs="Arial" w:eastAsia="Arial" w:hAnsi="Arial"/>
                <w:sz w:val="28"/>
                <w:szCs w:val="28"/>
                <w:color w:val="auto"/>
                <w:vertAlign w:val="subscript"/>
              </w:rPr>
              <w:t>Gary Pruitt</w:t>
            </w:r>
            <w:r>
              <w:rPr>
                <w:rFonts w:ascii="Arial" w:cs="Arial" w:eastAsia="Arial" w:hAnsi="Arial"/>
                <w:sz w:val="12"/>
                <w:szCs w:val="12"/>
                <w:color w:val="auto"/>
              </w:rPr>
              <w:t xml:space="preserve"> (7)(8)(14)</w:t>
            </w:r>
          </w:p>
        </w:tc>
        <w:tc>
          <w:tcPr>
            <w:tcW w:w="1040" w:type="dxa"/>
            <w:vAlign w:val="bottom"/>
          </w:tcPr>
          <w:p>
            <w:pPr>
              <w:jc w:val="right"/>
              <w:spacing w:after="0"/>
              <w:rPr>
                <w:sz w:val="20"/>
                <w:szCs w:val="20"/>
                <w:color w:val="auto"/>
              </w:rPr>
            </w:pPr>
            <w:r>
              <w:rPr>
                <w:rFonts w:ascii="Arial" w:cs="Arial" w:eastAsia="Arial" w:hAnsi="Arial"/>
                <w:sz w:val="14"/>
                <w:szCs w:val="14"/>
                <w:color w:val="auto"/>
              </w:rPr>
              <w:t>177,500</w:t>
            </w:r>
          </w:p>
        </w:tc>
        <w:tc>
          <w:tcPr>
            <w:tcW w:w="400" w:type="dxa"/>
            <w:vAlign w:val="bottom"/>
          </w:tcPr>
          <w:p>
            <w:pPr>
              <w:spacing w:after="0"/>
              <w:rPr>
                <w:sz w:val="24"/>
                <w:szCs w:val="2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177,500</w:t>
            </w:r>
          </w:p>
        </w:tc>
        <w:tc>
          <w:tcPr>
            <w:tcW w:w="240" w:type="dxa"/>
            <w:vAlign w:val="bottom"/>
          </w:tcPr>
          <w:p>
            <w:pPr>
              <w:spacing w:after="0"/>
              <w:rPr>
                <w:sz w:val="24"/>
                <w:szCs w:val="24"/>
                <w:color w:val="auto"/>
              </w:rPr>
            </w:pPr>
          </w:p>
        </w:tc>
      </w:tr>
      <w:tr>
        <w:trPr>
          <w:trHeight w:val="167"/>
        </w:trPr>
        <w:tc>
          <w:tcPr>
            <w:tcW w:w="2340" w:type="dxa"/>
            <w:vAlign w:val="bottom"/>
            <w:gridSpan w:val="2"/>
            <w:shd w:val="clear" w:color="auto" w:fill="CCEEFF"/>
          </w:tcPr>
          <w:p>
            <w:pPr>
              <w:spacing w:after="0" w:line="167" w:lineRule="exact"/>
              <w:rPr>
                <w:sz w:val="20"/>
                <w:szCs w:val="20"/>
                <w:color w:val="auto"/>
              </w:rPr>
            </w:pPr>
            <w:r>
              <w:rPr>
                <w:rFonts w:ascii="Arial" w:cs="Arial" w:eastAsia="Arial" w:hAnsi="Arial"/>
                <w:sz w:val="12"/>
                <w:szCs w:val="12"/>
                <w:color w:val="auto"/>
              </w:rPr>
              <w:t xml:space="preserve">Diana D. Tremblay </w:t>
            </w:r>
            <w:r>
              <w:rPr>
                <w:rFonts w:ascii="Arial" w:cs="Arial" w:eastAsia="Arial" w:hAnsi="Arial"/>
                <w:sz w:val="19"/>
                <w:szCs w:val="19"/>
                <w:color w:val="auto"/>
                <w:vertAlign w:val="superscript"/>
              </w:rPr>
              <w:t>(8)(15)</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82,500</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99,849</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182,349</w:t>
            </w:r>
          </w:p>
        </w:tc>
        <w:tc>
          <w:tcPr>
            <w:tcW w:w="240" w:type="dxa"/>
            <w:vAlign w:val="bottom"/>
          </w:tcPr>
          <w:p>
            <w:pPr>
              <w:spacing w:after="0"/>
              <w:rPr>
                <w:sz w:val="14"/>
                <w:szCs w:val="14"/>
                <w:color w:val="auto"/>
              </w:rPr>
            </w:pPr>
          </w:p>
        </w:tc>
      </w:tr>
      <w:tr>
        <w:trPr>
          <w:trHeight w:val="297"/>
        </w:trPr>
        <w:tc>
          <w:tcPr>
            <w:tcW w:w="2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 xml:space="preserve">Lynda Ziegler </w:t>
            </w:r>
            <w:r>
              <w:rPr>
                <w:rFonts w:ascii="Arial" w:cs="Arial" w:eastAsia="Arial" w:hAnsi="Arial"/>
                <w:sz w:val="24"/>
                <w:szCs w:val="24"/>
                <w:color w:val="auto"/>
                <w:vertAlign w:val="superscript"/>
              </w:rPr>
              <w:t>(16)(17)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120,000</w:t>
            </w: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color w:val="auto"/>
              </w:rPr>
              <w:t>129,885</w:t>
            </w:r>
          </w:p>
        </w:tc>
        <w:tc>
          <w:tcPr>
            <w:tcW w:w="9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249,885</w:t>
            </w:r>
          </w:p>
        </w:tc>
        <w:tc>
          <w:tcPr>
            <w:tcW w:w="2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257175</wp:posOffset>
            </wp:positionV>
            <wp:extent cx="7632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960" w:hanging="540"/>
        <w:spacing w:after="0"/>
        <w:tabs>
          <w:tab w:leader="none" w:pos="9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Members of the Compensation Committee until their retirement from the Board at the 2018 Annual Meeting.</w:t>
      </w:r>
    </w:p>
    <w:p>
      <w:pPr>
        <w:spacing w:after="0" w:line="82" w:lineRule="exact"/>
        <w:rPr>
          <w:rFonts w:ascii="Arial" w:cs="Arial" w:eastAsia="Arial" w:hAnsi="Arial"/>
          <w:sz w:val="14"/>
          <w:szCs w:val="14"/>
          <w:color w:val="auto"/>
        </w:rPr>
      </w:pPr>
    </w:p>
    <w:p>
      <w:pPr>
        <w:ind w:left="960" w:hanging="540"/>
        <w:spacing w:after="0"/>
        <w:tabs>
          <w:tab w:leader="none" w:pos="9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 until her retirement from the Board at the 2018 Annual Meeting.</w:t>
      </w:r>
    </w:p>
    <w:p>
      <w:pPr>
        <w:spacing w:after="0" w:line="82" w:lineRule="exact"/>
        <w:rPr>
          <w:rFonts w:ascii="Arial" w:cs="Arial" w:eastAsia="Arial" w:hAnsi="Arial"/>
          <w:sz w:val="14"/>
          <w:szCs w:val="14"/>
          <w:color w:val="auto"/>
        </w:rPr>
      </w:pPr>
    </w:p>
    <w:p>
      <w:pPr>
        <w:ind w:left="960" w:hanging="540"/>
        <w:spacing w:after="0"/>
        <w:tabs>
          <w:tab w:leader="none" w:pos="9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Ms. Dyess did not stand for re-election at the 2018 Annual Meeting and retired effective May 10, 2018.</w:t>
      </w:r>
    </w:p>
    <w:p>
      <w:pPr>
        <w:spacing w:after="0" w:line="82" w:lineRule="exact"/>
        <w:rPr>
          <w:rFonts w:ascii="Arial" w:cs="Arial" w:eastAsia="Arial" w:hAnsi="Arial"/>
          <w:sz w:val="14"/>
          <w:szCs w:val="14"/>
          <w:color w:val="auto"/>
        </w:rPr>
      </w:pPr>
    </w:p>
    <w:p>
      <w:pPr>
        <w:ind w:left="960" w:hanging="540"/>
        <w:spacing w:after="0"/>
        <w:tabs>
          <w:tab w:leader="none" w:pos="9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Chair of the Audit/Finance Committee.</w:t>
      </w:r>
    </w:p>
    <w:p>
      <w:pPr>
        <w:spacing w:after="0" w:line="82" w:lineRule="exact"/>
        <w:rPr>
          <w:rFonts w:ascii="Arial" w:cs="Arial" w:eastAsia="Arial" w:hAnsi="Arial"/>
          <w:sz w:val="14"/>
          <w:szCs w:val="14"/>
          <w:color w:val="auto"/>
        </w:rPr>
      </w:pPr>
    </w:p>
    <w:p>
      <w:pPr>
        <w:ind w:left="960" w:hanging="540"/>
        <w:spacing w:after="0"/>
        <w:tabs>
          <w:tab w:leader="none" w:pos="9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82" w:lineRule="exact"/>
        <w:rPr>
          <w:rFonts w:ascii="Arial" w:cs="Arial" w:eastAsia="Arial" w:hAnsi="Arial"/>
          <w:sz w:val="14"/>
          <w:szCs w:val="14"/>
          <w:color w:val="auto"/>
        </w:rPr>
      </w:pPr>
    </w:p>
    <w:p>
      <w:pPr>
        <w:ind w:left="960" w:hanging="540"/>
        <w:spacing w:after="0"/>
        <w:tabs>
          <w:tab w:leader="none" w:pos="9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Chair of the Nominating and Corporate Governance Committee.</w:t>
      </w:r>
    </w:p>
    <w:p>
      <w:pPr>
        <w:spacing w:after="0" w:line="82" w:lineRule="exact"/>
        <w:rPr>
          <w:rFonts w:ascii="Arial" w:cs="Arial" w:eastAsia="Arial" w:hAnsi="Arial"/>
          <w:sz w:val="14"/>
          <w:szCs w:val="14"/>
          <w:color w:val="auto"/>
        </w:rPr>
      </w:pPr>
    </w:p>
    <w:p>
      <w:pPr>
        <w:ind w:left="960" w:hanging="540"/>
        <w:spacing w:after="0"/>
        <w:tabs>
          <w:tab w:leader="none" w:pos="9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Member of the Audit/Finance Committee.</w:t>
      </w:r>
    </w:p>
    <w:p>
      <w:pPr>
        <w:spacing w:after="0" w:line="82" w:lineRule="exact"/>
        <w:rPr>
          <w:rFonts w:ascii="Arial" w:cs="Arial" w:eastAsia="Arial" w:hAnsi="Arial"/>
          <w:sz w:val="14"/>
          <w:szCs w:val="14"/>
          <w:color w:val="auto"/>
        </w:rPr>
      </w:pPr>
    </w:p>
    <w:p>
      <w:pPr>
        <w:ind w:left="960" w:hanging="540"/>
        <w:spacing w:after="0"/>
        <w:tabs>
          <w:tab w:leader="none" w:pos="9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Member of the Value Enhancement Committee until the committee disbanded on May 10, 2018.</w:t>
      </w:r>
    </w:p>
    <w:p>
      <w:pPr>
        <w:spacing w:after="0" w:line="82" w:lineRule="exact"/>
        <w:rPr>
          <w:rFonts w:ascii="Arial" w:cs="Arial" w:eastAsia="Arial" w:hAnsi="Arial"/>
          <w:sz w:val="14"/>
          <w:szCs w:val="14"/>
          <w:color w:val="auto"/>
        </w:rPr>
      </w:pPr>
    </w:p>
    <w:p>
      <w:pPr>
        <w:ind w:left="960" w:right="520" w:hanging="540"/>
        <w:spacing w:after="0" w:line="258" w:lineRule="auto"/>
        <w:tabs>
          <w:tab w:leader="none" w:pos="9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Messrs. Lande and Mainz were initially appointed to the Board pursuant to a cooperation agreement with Coppersmith Capital Management, LLC, Scopia Management, Inc., Jerome J. Lande, and Peter Mainz.</w:t>
      </w:r>
    </w:p>
    <w:p>
      <w:pPr>
        <w:spacing w:after="0" w:line="59" w:lineRule="exact"/>
        <w:rPr>
          <w:rFonts w:ascii="Arial" w:cs="Arial" w:eastAsia="Arial" w:hAnsi="Arial"/>
          <w:sz w:val="14"/>
          <w:szCs w:val="14"/>
          <w:color w:val="auto"/>
        </w:rPr>
      </w:pPr>
    </w:p>
    <w:p>
      <w:pPr>
        <w:ind w:left="960" w:hanging="540"/>
        <w:spacing w:after="0"/>
        <w:tabs>
          <w:tab w:leader="none" w:pos="9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Mr. Lande waived equity grants and his cash retainers were paid directly to Scopia Capital Management LP.</w:t>
      </w:r>
    </w:p>
    <w:p>
      <w:pPr>
        <w:spacing w:after="0" w:line="82" w:lineRule="exact"/>
        <w:rPr>
          <w:rFonts w:ascii="Arial" w:cs="Arial" w:eastAsia="Arial" w:hAnsi="Arial"/>
          <w:sz w:val="14"/>
          <w:szCs w:val="14"/>
          <w:color w:val="auto"/>
        </w:rPr>
      </w:pPr>
    </w:p>
    <w:p>
      <w:pPr>
        <w:ind w:left="960" w:hanging="540"/>
        <w:spacing w:after="0"/>
        <w:tabs>
          <w:tab w:leader="none" w:pos="9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Chair of the Value Enhancement Committee until the committee disbanded on May 10, 2018.</w:t>
      </w:r>
    </w:p>
    <w:p>
      <w:pPr>
        <w:spacing w:after="0" w:line="82" w:lineRule="exact"/>
        <w:rPr>
          <w:rFonts w:ascii="Arial" w:cs="Arial" w:eastAsia="Arial" w:hAnsi="Arial"/>
          <w:sz w:val="14"/>
          <w:szCs w:val="14"/>
          <w:color w:val="auto"/>
        </w:rPr>
      </w:pPr>
    </w:p>
    <w:p>
      <w:pPr>
        <w:ind w:left="960" w:hanging="540"/>
        <w:spacing w:after="0"/>
        <w:tabs>
          <w:tab w:leader="none" w:pos="9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Mr. Mainz did not stand for re-election at the 2018 Annual Meeting and retired effective May 10, 2018.</w:t>
      </w:r>
    </w:p>
    <w:p>
      <w:pPr>
        <w:spacing w:after="0" w:line="82" w:lineRule="exact"/>
        <w:rPr>
          <w:rFonts w:ascii="Arial" w:cs="Arial" w:eastAsia="Arial" w:hAnsi="Arial"/>
          <w:sz w:val="14"/>
          <w:szCs w:val="14"/>
          <w:color w:val="auto"/>
        </w:rPr>
      </w:pPr>
    </w:p>
    <w:p>
      <w:pPr>
        <w:ind w:left="960" w:hanging="540"/>
        <w:spacing w:after="0"/>
        <w:tabs>
          <w:tab w:leader="none" w:pos="9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82" w:lineRule="exact"/>
        <w:rPr>
          <w:rFonts w:ascii="Arial" w:cs="Arial" w:eastAsia="Arial" w:hAnsi="Arial"/>
          <w:sz w:val="14"/>
          <w:szCs w:val="14"/>
          <w:color w:val="auto"/>
        </w:rPr>
      </w:pPr>
    </w:p>
    <w:p>
      <w:pPr>
        <w:ind w:left="960" w:hanging="540"/>
        <w:spacing w:after="0"/>
        <w:tabs>
          <w:tab w:leader="none" w:pos="9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Mr. Pruitt elected to receive his 2018 equity awards in cash.</w:t>
      </w:r>
    </w:p>
    <w:p>
      <w:pPr>
        <w:spacing w:after="0" w:line="82" w:lineRule="exact"/>
        <w:rPr>
          <w:rFonts w:ascii="Arial" w:cs="Arial" w:eastAsia="Arial" w:hAnsi="Arial"/>
          <w:sz w:val="14"/>
          <w:szCs w:val="14"/>
          <w:color w:val="auto"/>
        </w:rPr>
      </w:pPr>
    </w:p>
    <w:p>
      <w:pPr>
        <w:ind w:left="960" w:hanging="540"/>
        <w:spacing w:after="0"/>
        <w:tabs>
          <w:tab w:leader="none" w:pos="9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Chair of the Compensation Committee.</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960" w:hanging="540"/>
        <w:spacing w:after="0"/>
        <w:tabs>
          <w:tab w:leader="none" w:pos="9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Ms. Ziegler served as a member of the Nominating and Corporate Governance Committee, but was not compensated for her service on that committee.</w:t>
      </w:r>
    </w:p>
    <w:p>
      <w:pPr>
        <w:spacing w:after="0" w:line="82" w:lineRule="exact"/>
        <w:rPr>
          <w:rFonts w:ascii="Arial" w:cs="Arial" w:eastAsia="Arial" w:hAnsi="Arial"/>
          <w:sz w:val="14"/>
          <w:szCs w:val="14"/>
          <w:color w:val="auto"/>
        </w:rPr>
      </w:pPr>
    </w:p>
    <w:p>
      <w:pPr>
        <w:ind w:left="960" w:hanging="540"/>
        <w:spacing w:after="0"/>
        <w:tabs>
          <w:tab w:leader="none" w:pos="9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Board Chair.</w:t>
      </w:r>
    </w:p>
    <w:p>
      <w:pPr>
        <w:spacing w:after="0" w:line="82" w:lineRule="exact"/>
        <w:rPr>
          <w:rFonts w:ascii="Arial" w:cs="Arial" w:eastAsia="Arial" w:hAnsi="Arial"/>
          <w:sz w:val="14"/>
          <w:szCs w:val="14"/>
          <w:color w:val="auto"/>
        </w:rPr>
      </w:pPr>
    </w:p>
    <w:p>
      <w:pPr>
        <w:ind w:left="960" w:right="60" w:hanging="540"/>
        <w:spacing w:after="0" w:line="250" w:lineRule="auto"/>
        <w:tabs>
          <w:tab w:leader="none" w:pos="9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amounts in this column reflect the aggregate grant date fair value of the awards determined in accordance with Financial Accounting Standards Board Accounting Standards Codification Topic 718 (FASB ASC Topic 718). Quarterly retainer grants to directors vest immediately. Ms. Dyess and Mr. Mainz elected to defer their equity grants for 2018. As of December 31, 2018, the following directors had the following RSUs outstanding: K. Dyess - 6,224; F. Jaehnert - 2,023.</w:t>
      </w:r>
    </w:p>
    <w:p>
      <w:pPr>
        <w:spacing w:after="0" w:line="131" w:lineRule="exact"/>
        <w:rPr>
          <w:rFonts w:ascii="Arial" w:cs="Arial" w:eastAsia="Arial" w:hAnsi="Arial"/>
          <w:sz w:val="14"/>
          <w:szCs w:val="14"/>
          <w:color w:val="auto"/>
        </w:rPr>
      </w:pPr>
    </w:p>
    <w:p>
      <w:pPr>
        <w:ind w:left="960" w:right="140" w:hanging="540"/>
        <w:spacing w:after="0" w:line="258" w:lineRule="auto"/>
        <w:tabs>
          <w:tab w:leader="none" w:pos="9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No options were granted to non-employee directors in 2018. As of December 31, 2018, the following directors had the following options outstanding: K. Dyess - 3,099; T. Glanville - 1,102; G. Pruitt - 2,486.</w:t>
      </w:r>
    </w:p>
    <w:p>
      <w:pPr>
        <w:spacing w:after="0" w:line="126" w:lineRule="exact"/>
        <w:rPr>
          <w:rFonts w:ascii="Arial" w:cs="Arial" w:eastAsia="Arial" w:hAnsi="Arial"/>
          <w:sz w:val="14"/>
          <w:szCs w:val="14"/>
          <w:color w:val="auto"/>
        </w:rPr>
      </w:pPr>
    </w:p>
    <w:p>
      <w:pPr>
        <w:ind w:left="960" w:hanging="540"/>
        <w:spacing w:after="0"/>
        <w:tabs>
          <w:tab w:leader="none" w:pos="9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Reflects retirement gift and a related tax gross-up for Mr. Mainz.</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Ownership Guidelines</w:t>
      </w:r>
    </w:p>
    <w:p>
      <w:pPr>
        <w:spacing w:after="0" w:line="193"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Since 2006, we have maintained stock ownership guidelines for our non-employee directors. We expect our directors to accumulate shares equal to five times their annual cash retainer within five years from their initial appointment or election as a director, or to be making progress towards meeting the guidelines. For our Board Chair that equates to a value of $600,000, and for the other directors, it equates to a value of $325,000. All of our non-employee directors currently comply with these ownership guidelines.</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Deferred Compensation Plan</w:t>
      </w:r>
    </w:p>
    <w:p>
      <w:pPr>
        <w:spacing w:after="0" w:line="207" w:lineRule="exact"/>
        <w:rPr>
          <w:sz w:val="20"/>
          <w:szCs w:val="20"/>
          <w:color w:val="auto"/>
        </w:rPr>
      </w:pPr>
    </w:p>
    <w:p>
      <w:pPr>
        <w:jc w:val="both"/>
        <w:ind w:left="200" w:right="240"/>
        <w:spacing w:after="0"/>
        <w:rPr>
          <w:sz w:val="20"/>
          <w:szCs w:val="20"/>
          <w:color w:val="auto"/>
        </w:rPr>
      </w:pPr>
      <w:r>
        <w:rPr>
          <w:rFonts w:ascii="Arial" w:cs="Arial" w:eastAsia="Arial" w:hAnsi="Arial"/>
          <w:sz w:val="18"/>
          <w:szCs w:val="18"/>
          <w:color w:val="auto"/>
        </w:rPr>
        <w:t>Pursuant to the Company’s Amended and Restated Executive Deferred Compensation Plan dated January 1, 2012, our non-employee directors are eligible to participate in that plan and may defer up to 100% of any director fees and 100% of any shares of common stock that he or she anticipates receiving into a nonqualified account.</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GOVERNANCE</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Leadership Structure of the Board of Directors</w:t>
      </w:r>
    </w:p>
    <w:p>
      <w:pPr>
        <w:spacing w:after="0" w:line="193"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The leadership of our Board is managed by our Board Chair. Our Corporate Governance Guiding Principles (Governance Principles) generally require the role of Board Chair to be held by an independent director who meets the independence requirements of NASDAQ. The Board believes having separate roles of Board Chair and CEO allows for a more balanced workload between the Board Chair and the CEO, especially in light of the current duties and responsibilities of the Board Chair, which include the following:</w:t>
      </w:r>
    </w:p>
    <w:p>
      <w:pPr>
        <w:spacing w:after="0" w:line="61" w:lineRule="exact"/>
        <w:rPr>
          <w:sz w:val="20"/>
          <w:szCs w:val="20"/>
          <w:color w:val="auto"/>
        </w:rPr>
      </w:pPr>
    </w:p>
    <w:p>
      <w:pPr>
        <w:ind w:left="960" w:right="960"/>
        <w:spacing w:after="0" w:line="391" w:lineRule="auto"/>
        <w:rPr>
          <w:sz w:val="20"/>
          <w:szCs w:val="20"/>
          <w:color w:val="auto"/>
        </w:rPr>
      </w:pPr>
      <w:r>
        <w:rPr>
          <w:rFonts w:ascii="Arial" w:cs="Arial" w:eastAsia="Arial" w:hAnsi="Arial"/>
          <w:sz w:val="18"/>
          <w:szCs w:val="18"/>
          <w:color w:val="auto"/>
        </w:rPr>
        <w:t>Preside over all meetings of the Board (including executive sessions of the Board) and meetings of the shareholders; Review the agendas of each Board and committee meeting;</w:t>
      </w:r>
    </w:p>
    <w:p>
      <w:pPr>
        <w:ind w:left="960" w:right="3840"/>
        <w:spacing w:after="0" w:line="391" w:lineRule="auto"/>
        <w:rPr>
          <w:sz w:val="20"/>
          <w:szCs w:val="20"/>
          <w:color w:val="auto"/>
        </w:rPr>
      </w:pPr>
      <w:r>
        <w:rPr>
          <w:rFonts w:ascii="Arial" w:cs="Arial" w:eastAsia="Arial" w:hAnsi="Arial"/>
          <w:sz w:val="18"/>
          <w:szCs w:val="18"/>
          <w:color w:val="auto"/>
        </w:rPr>
        <w:t>Prepare agendas as needed for executive sessions of the independent directors; Serve as a liaison between the independent directors and the CEO;</w:t>
      </w:r>
    </w:p>
    <w:p>
      <w:pPr>
        <w:ind w:left="960" w:right="920"/>
        <w:spacing w:after="0" w:line="246" w:lineRule="auto"/>
        <w:rPr>
          <w:sz w:val="20"/>
          <w:szCs w:val="20"/>
          <w:color w:val="auto"/>
        </w:rPr>
      </w:pPr>
      <w:r>
        <w:rPr>
          <w:rFonts w:ascii="Arial" w:cs="Arial" w:eastAsia="Arial" w:hAnsi="Arial"/>
          <w:sz w:val="18"/>
          <w:szCs w:val="18"/>
          <w:color w:val="auto"/>
        </w:rPr>
        <w:t>In consultation with the CEO, make recommendations to the Nominating and Corporate Governance Committee as to membership of Board committees and appointment of Board committee Chairs; and</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Perform such other duties as the Board may require.</w:t>
      </w:r>
    </w:p>
    <w:p>
      <w:pPr>
        <w:spacing w:after="0" w:line="231"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Pursuant to the Governance Principles, the Board Chair must be an independent director unless the Board determines that the best interests of shareholders would otherwise be better served. The Board Chair is elected by the members of the Board following the annual meeting of shareholders (or at such other time as a vacancy for the role of Board Chair may occur). The Board Chair serves for a term of three years (provided such director is re-elected by shareholders if his or her term as a director does not coincide with his or her term as Board Chair). The Board Chair may not serve more than two consecutive terms, unless the Board approves an extended term. Our current Chair, Lynda L. Zeigler, is serving her first term that will expire at the 2019 annual meeting.</w:t>
      </w:r>
    </w:p>
    <w:p>
      <w:pPr>
        <w:spacing w:after="0" w:line="178" w:lineRule="exact"/>
        <w:rPr>
          <w:sz w:val="20"/>
          <w:szCs w:val="20"/>
          <w:color w:val="auto"/>
        </w:rPr>
      </w:pPr>
    </w:p>
    <w:p>
      <w:pPr>
        <w:ind w:left="200" w:right="440"/>
        <w:spacing w:after="0" w:line="246" w:lineRule="auto"/>
        <w:rPr>
          <w:sz w:val="20"/>
          <w:szCs w:val="20"/>
          <w:color w:val="auto"/>
        </w:rPr>
      </w:pPr>
      <w:r>
        <w:rPr>
          <w:rFonts w:ascii="Arial" w:cs="Arial" w:eastAsia="Arial" w:hAnsi="Arial"/>
          <w:sz w:val="18"/>
          <w:szCs w:val="18"/>
          <w:color w:val="auto"/>
        </w:rPr>
        <w:t>If the Board determines that it is in the best interests of the shareholders to combine the roles of CEO and Board Chair, the Board will appoint a Lead Independent Director with the duties set forth in the Governance Principles.</w:t>
      </w:r>
    </w:p>
    <w:p>
      <w:pPr>
        <w:spacing w:after="0" w:line="138" w:lineRule="exact"/>
        <w:rPr>
          <w:sz w:val="20"/>
          <w:szCs w:val="20"/>
          <w:color w:val="auto"/>
        </w:rPr>
      </w:pPr>
    </w:p>
    <w:p>
      <w:pPr>
        <w:ind w:left="200" w:right="440"/>
        <w:spacing w:after="0" w:line="267" w:lineRule="auto"/>
        <w:rPr>
          <w:sz w:val="20"/>
          <w:szCs w:val="20"/>
          <w:color w:val="auto"/>
        </w:rPr>
      </w:pPr>
      <w:r>
        <w:rPr>
          <w:rFonts w:ascii="Arial" w:cs="Arial" w:eastAsia="Arial" w:hAnsi="Arial"/>
          <w:sz w:val="18"/>
          <w:szCs w:val="18"/>
          <w:color w:val="auto"/>
        </w:rPr>
        <w:t xml:space="preserve">The current Governance Principles, as amended, may be found online at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by selecting “Investors” and then “Corporate Governance.”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CORPORATE GOVERNANCE</w:t>
      </w:r>
      <w:r>
        <w:rPr>
          <w:rFonts w:ascii="Arial" w:cs="Arial" w:eastAsia="Arial" w:hAnsi="Arial"/>
          <w:sz w:val="18"/>
          <w:szCs w:val="18"/>
          <w:color w:val="auto"/>
        </w:rPr>
        <w:t>” in this proxy statement for additional information on our Board.</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Governance Guiding Principles</w:t>
      </w:r>
    </w:p>
    <w:p>
      <w:pPr>
        <w:spacing w:after="0" w:line="189" w:lineRule="exact"/>
        <w:rPr>
          <w:sz w:val="20"/>
          <w:szCs w:val="20"/>
          <w:color w:val="auto"/>
        </w:rPr>
      </w:pPr>
    </w:p>
    <w:p>
      <w:pPr>
        <w:ind w:left="200" w:right="700"/>
        <w:spacing w:after="0" w:line="267" w:lineRule="auto"/>
        <w:rPr>
          <w:sz w:val="20"/>
          <w:szCs w:val="20"/>
          <w:color w:val="auto"/>
        </w:rPr>
      </w:pPr>
      <w:r>
        <w:rPr>
          <w:rFonts w:ascii="Arial" w:cs="Arial" w:eastAsia="Arial" w:hAnsi="Arial"/>
          <w:sz w:val="18"/>
          <w:szCs w:val="18"/>
          <w:color w:val="auto"/>
        </w:rPr>
        <w:t xml:space="preserve">The Company’s Governance Principles are available on the Company’s website, </w:t>
      </w:r>
      <w:r>
        <w:rPr>
          <w:rFonts w:ascii="Arial" w:cs="Arial" w:eastAsia="Arial" w:hAnsi="Arial"/>
          <w:sz w:val="18"/>
          <w:szCs w:val="18"/>
          <w:i w:val="1"/>
          <w:iCs w:val="1"/>
          <w:color w:val="auto"/>
        </w:rPr>
        <w:t>www.itron.com</w:t>
      </w:r>
      <w:r>
        <w:rPr>
          <w:rFonts w:ascii="Arial" w:cs="Arial" w:eastAsia="Arial" w:hAnsi="Arial"/>
          <w:sz w:val="18"/>
          <w:szCs w:val="18"/>
          <w:color w:val="auto"/>
        </w:rPr>
        <w:t>, by selecting “Investors” and then “Corporate Governance.”</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Matters – Meeting Attendance</w:t>
      </w:r>
    </w:p>
    <w:p>
      <w:pPr>
        <w:spacing w:after="0" w:line="193" w:lineRule="exact"/>
        <w:rPr>
          <w:sz w:val="20"/>
          <w:szCs w:val="20"/>
          <w:color w:val="auto"/>
        </w:rPr>
      </w:pPr>
    </w:p>
    <w:p>
      <w:pPr>
        <w:ind w:left="200" w:right="420"/>
        <w:spacing w:after="0"/>
        <w:rPr>
          <w:sz w:val="20"/>
          <w:szCs w:val="20"/>
          <w:color w:val="auto"/>
        </w:rPr>
      </w:pPr>
      <w:r>
        <w:rPr>
          <w:rFonts w:ascii="Arial" w:cs="Arial" w:eastAsia="Arial" w:hAnsi="Arial"/>
          <w:sz w:val="18"/>
          <w:szCs w:val="18"/>
          <w:color w:val="auto"/>
        </w:rPr>
        <w:t>Our business, property, and affairs are managed under the direction of our Board. Members of our Board are kept informed of our business through discussions with our CEO and other officers, by reviewing materials provided to them, by visiting our offices, and by participating in meetings of the Board and its committees.</w:t>
      </w:r>
    </w:p>
    <w:p>
      <w:pPr>
        <w:spacing w:after="0" w:line="176" w:lineRule="exact"/>
        <w:rPr>
          <w:sz w:val="20"/>
          <w:szCs w:val="20"/>
          <w:color w:val="auto"/>
        </w:rPr>
      </w:pPr>
    </w:p>
    <w:p>
      <w:pPr>
        <w:ind w:left="200" w:right="280"/>
        <w:spacing w:after="0" w:line="246" w:lineRule="auto"/>
        <w:rPr>
          <w:sz w:val="20"/>
          <w:szCs w:val="20"/>
          <w:color w:val="auto"/>
        </w:rPr>
      </w:pPr>
      <w:r>
        <w:rPr>
          <w:rFonts w:ascii="Arial" w:cs="Arial" w:eastAsia="Arial" w:hAnsi="Arial"/>
          <w:sz w:val="18"/>
          <w:szCs w:val="18"/>
          <w:color w:val="auto"/>
        </w:rPr>
        <w:t>In accordance with our Governance Principles, directors are expected to attend the Company’s annual meeting of shareholders. All our directors attended the 2018 annual meeting of shareholders in person.</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rPr>
          <w:sz w:val="20"/>
          <w:szCs w:val="20"/>
          <w:color w:val="auto"/>
        </w:rPr>
      </w:pPr>
      <w:r>
        <w:rPr>
          <w:rFonts w:ascii="Arial" w:cs="Arial" w:eastAsia="Arial" w:hAnsi="Arial"/>
          <w:sz w:val="18"/>
          <w:szCs w:val="18"/>
          <w:color w:val="auto"/>
        </w:rPr>
        <w:t>During 2018, the Board met seven times. All the directors attended at least 75% of the meetings of the Board and committees on which he or she served. Also, in accordance with our Governance Principles, our independent directors meet in an executive session as often as necessary, but no less than four times annually.</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Independence</w:t>
      </w:r>
    </w:p>
    <w:p>
      <w:pPr>
        <w:spacing w:after="0" w:line="193"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Our common stock is listed on the NASDAQ stock exchange. Under the rules of NASDAQ, independent directors must comprise a majority of a listed company’s board of directors. In addition, the rules of NASDAQ require that, subject to specified exceptions, each member of a listed company’s audit, compensation, and nominating and corporate governance committees be independent. Under the rules of NASDAQ, a director will only qualify as an “independent director” if that company’s board of directors determines that the person does not have a relationship that would interfere with the exercise of independent judgment in carrying out the responsibilities of a director.</w:t>
      </w:r>
    </w:p>
    <w:p>
      <w:pPr>
        <w:spacing w:after="0" w:line="162"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As recommended by the Nominating and Corporate Governance Committee, the Board has determined that a majority of our Board are independent directors as defined under the rules of NASDAQ and the SEC, with Mr. Mezey serving as the sole non-independent director. As Mr. Mezey does not sit on any committees, and as recommended by the Nominating and Corporate Governance Committee, the Board has determined that all members of Itron’s committees are independent under SEC rules and NASDAQ listing standards. In addition, as recommended by the Nominating and Corporate Governance Committee, the Board has determined that all members of our Audit/Finance Committee are independent under Rule 10A-3 of the Securities Exchange Act of 1934, as amended (the “Exchange Act”).</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 of the Board</w:t>
      </w:r>
    </w:p>
    <w:p>
      <w:pPr>
        <w:spacing w:after="0" w:line="193"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 xml:space="preserve">We have three committees to assist the Board in fulfilling its responsibilities: Nominating and Corporate Governance, Audit/Finance, and Compensation. The Value Enhancement Committee was not renewed following the February 2018 meeting. Each of the three current committees operates under a written charter that has been approved by the Board. The committee charters are reviewed annually and are updated as necessary to reflect changes in regulatory requirements and evolving oversight practices. In 2018, all of the committee charters were amended, as described below, and all three of the current committee charters are available on our website at </w:t>
      </w:r>
      <w:r>
        <w:rPr>
          <w:rFonts w:ascii="Arial" w:cs="Arial" w:eastAsia="Arial" w:hAnsi="Arial"/>
          <w:sz w:val="18"/>
          <w:szCs w:val="18"/>
          <w:u w:val="single" w:color="auto"/>
          <w:color w:val="auto"/>
        </w:rPr>
        <w:t>http://investors.itron.com/corporate-governance-0</w:t>
      </w:r>
      <w:r>
        <w:rPr>
          <w:rFonts w:ascii="Arial" w:cs="Arial" w:eastAsia="Arial" w:hAnsi="Arial"/>
          <w:sz w:val="18"/>
          <w:szCs w:val="18"/>
          <w:color w:val="auto"/>
        </w:rPr>
        <w:t>. The table below provides membership of each committee at the end of fiscal year 2018, followed by a description of each committee’s responsibilities.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860" w:type="dxa"/>
            <w:vAlign w:val="bottom"/>
            <w:shd w:val="clear" w:color="auto" w:fill="D8D8D8"/>
          </w:tcPr>
          <w:p>
            <w:pPr>
              <w:spacing w:after="0"/>
              <w:rPr>
                <w:sz w:val="20"/>
                <w:szCs w:val="20"/>
                <w:color w:val="auto"/>
              </w:rPr>
            </w:pPr>
            <w:r>
              <w:rPr>
                <w:rFonts w:ascii="Arial" w:cs="Arial" w:eastAsia="Arial" w:hAnsi="Arial"/>
                <w:sz w:val="18"/>
                <w:szCs w:val="18"/>
                <w:b w:val="1"/>
                <w:bCs w:val="1"/>
                <w:color w:val="auto"/>
              </w:rPr>
              <w:t>Director</w:t>
            </w:r>
          </w:p>
        </w:tc>
        <w:tc>
          <w:tcPr>
            <w:tcW w:w="2620" w:type="dxa"/>
            <w:vAlign w:val="bottom"/>
            <w:shd w:val="clear" w:color="auto" w:fill="D8D8D8"/>
          </w:tcPr>
          <w:p>
            <w:pPr>
              <w:jc w:val="center"/>
              <w:ind w:left="50"/>
              <w:spacing w:after="0"/>
              <w:rPr>
                <w:sz w:val="20"/>
                <w:szCs w:val="20"/>
                <w:color w:val="auto"/>
              </w:rPr>
            </w:pPr>
            <w:r>
              <w:rPr>
                <w:rFonts w:ascii="Arial" w:cs="Arial" w:eastAsia="Arial" w:hAnsi="Arial"/>
                <w:sz w:val="18"/>
                <w:szCs w:val="18"/>
                <w:b w:val="1"/>
                <w:bCs w:val="1"/>
                <w:color w:val="auto"/>
                <w:w w:val="99"/>
              </w:rPr>
              <w:t>Compensation</w:t>
            </w:r>
          </w:p>
        </w:tc>
        <w:tc>
          <w:tcPr>
            <w:tcW w:w="2940" w:type="dxa"/>
            <w:vAlign w:val="bottom"/>
            <w:shd w:val="clear" w:color="auto" w:fill="D8D8D8"/>
          </w:tcPr>
          <w:p>
            <w:pPr>
              <w:jc w:val="center"/>
              <w:ind w:left="130"/>
              <w:spacing w:after="0"/>
              <w:rPr>
                <w:sz w:val="20"/>
                <w:szCs w:val="20"/>
                <w:color w:val="auto"/>
              </w:rPr>
            </w:pPr>
            <w:r>
              <w:rPr>
                <w:rFonts w:ascii="Arial" w:cs="Arial" w:eastAsia="Arial" w:hAnsi="Arial"/>
                <w:sz w:val="18"/>
                <w:szCs w:val="18"/>
                <w:b w:val="1"/>
                <w:bCs w:val="1"/>
                <w:color w:val="auto"/>
                <w:w w:val="99"/>
              </w:rPr>
              <w:t>Nominating and</w:t>
            </w:r>
          </w:p>
        </w:tc>
        <w:tc>
          <w:tcPr>
            <w:tcW w:w="1600" w:type="dxa"/>
            <w:vAlign w:val="bottom"/>
            <w:shd w:val="clear" w:color="auto" w:fill="D8D8D8"/>
          </w:tcPr>
          <w:p>
            <w:pPr>
              <w:jc w:val="center"/>
              <w:ind w:left="270"/>
              <w:spacing w:after="0"/>
              <w:rPr>
                <w:sz w:val="20"/>
                <w:szCs w:val="20"/>
                <w:color w:val="auto"/>
              </w:rPr>
            </w:pPr>
            <w:r>
              <w:rPr>
                <w:rFonts w:ascii="Arial" w:cs="Arial" w:eastAsia="Arial" w:hAnsi="Arial"/>
                <w:sz w:val="18"/>
                <w:szCs w:val="18"/>
                <w:b w:val="1"/>
                <w:bCs w:val="1"/>
                <w:color w:val="auto"/>
              </w:rPr>
              <w:t>Audit/Finance</w:t>
            </w:r>
          </w:p>
        </w:tc>
      </w:tr>
      <w:tr>
        <w:trPr>
          <w:trHeight w:val="239"/>
        </w:trPr>
        <w:tc>
          <w:tcPr>
            <w:tcW w:w="20" w:type="dxa"/>
            <w:vAlign w:val="bottom"/>
          </w:tcPr>
          <w:p>
            <w:pPr>
              <w:spacing w:after="0"/>
              <w:rPr>
                <w:sz w:val="20"/>
                <w:szCs w:val="20"/>
                <w:color w:val="auto"/>
              </w:rPr>
            </w:pPr>
          </w:p>
        </w:tc>
        <w:tc>
          <w:tcPr>
            <w:tcW w:w="3860" w:type="dxa"/>
            <w:vAlign w:val="bottom"/>
            <w:shd w:val="clear" w:color="auto" w:fill="D8D8D8"/>
          </w:tcPr>
          <w:p>
            <w:pPr>
              <w:spacing w:after="0"/>
              <w:rPr>
                <w:sz w:val="20"/>
                <w:szCs w:val="20"/>
                <w:color w:val="auto"/>
              </w:rPr>
            </w:pPr>
          </w:p>
        </w:tc>
        <w:tc>
          <w:tcPr>
            <w:tcW w:w="2620" w:type="dxa"/>
            <w:vAlign w:val="bottom"/>
            <w:shd w:val="clear" w:color="auto" w:fill="D8D8D8"/>
          </w:tcPr>
          <w:p>
            <w:pPr>
              <w:spacing w:after="0"/>
              <w:rPr>
                <w:sz w:val="20"/>
                <w:szCs w:val="20"/>
                <w:color w:val="auto"/>
              </w:rPr>
            </w:pPr>
          </w:p>
        </w:tc>
        <w:tc>
          <w:tcPr>
            <w:tcW w:w="2940" w:type="dxa"/>
            <w:vAlign w:val="bottom"/>
            <w:shd w:val="clear" w:color="auto" w:fill="D8D8D8"/>
          </w:tcPr>
          <w:p>
            <w:pPr>
              <w:jc w:val="center"/>
              <w:ind w:left="110"/>
              <w:spacing w:after="0"/>
              <w:rPr>
                <w:sz w:val="20"/>
                <w:szCs w:val="20"/>
                <w:color w:val="auto"/>
              </w:rPr>
            </w:pPr>
            <w:r>
              <w:rPr>
                <w:rFonts w:ascii="Arial" w:cs="Arial" w:eastAsia="Arial" w:hAnsi="Arial"/>
                <w:sz w:val="18"/>
                <w:szCs w:val="18"/>
                <w:b w:val="1"/>
                <w:bCs w:val="1"/>
                <w:color w:val="auto"/>
                <w:w w:val="99"/>
              </w:rPr>
              <w:t>Corporate Governance</w:t>
            </w:r>
          </w:p>
        </w:tc>
        <w:tc>
          <w:tcPr>
            <w:tcW w:w="1600" w:type="dxa"/>
            <w:vAlign w:val="bottom"/>
            <w:shd w:val="clear" w:color="auto" w:fill="D8D8D8"/>
          </w:tcPr>
          <w:p>
            <w:pPr>
              <w:spacing w:after="0"/>
              <w:rPr>
                <w:sz w:val="20"/>
                <w:szCs w:val="20"/>
                <w:color w:val="auto"/>
              </w:rPr>
            </w:pPr>
          </w:p>
        </w:tc>
      </w:tr>
      <w:tr>
        <w:trPr>
          <w:trHeight w:val="129"/>
        </w:trPr>
        <w:tc>
          <w:tcPr>
            <w:tcW w:w="20" w:type="dxa"/>
            <w:vAlign w:val="bottom"/>
          </w:tcPr>
          <w:p>
            <w:pPr>
              <w:spacing w:after="0"/>
              <w:rPr>
                <w:sz w:val="11"/>
                <w:szCs w:val="11"/>
                <w:color w:val="auto"/>
              </w:rPr>
            </w:pPr>
          </w:p>
        </w:tc>
        <w:tc>
          <w:tcPr>
            <w:tcW w:w="3860" w:type="dxa"/>
            <w:vAlign w:val="bottom"/>
            <w:tcBorders>
              <w:bottom w:val="single" w:sz="8" w:color="auto"/>
            </w:tcBorders>
            <w:shd w:val="clear" w:color="auto" w:fill="D8D8D8"/>
          </w:tcPr>
          <w:p>
            <w:pPr>
              <w:spacing w:after="0"/>
              <w:rPr>
                <w:sz w:val="11"/>
                <w:szCs w:val="11"/>
                <w:color w:val="auto"/>
              </w:rPr>
            </w:pPr>
          </w:p>
        </w:tc>
        <w:tc>
          <w:tcPr>
            <w:tcW w:w="2620" w:type="dxa"/>
            <w:vAlign w:val="bottom"/>
            <w:tcBorders>
              <w:bottom w:val="single" w:sz="8" w:color="auto"/>
            </w:tcBorders>
            <w:shd w:val="clear" w:color="auto" w:fill="D8D8D8"/>
          </w:tcPr>
          <w:p>
            <w:pPr>
              <w:spacing w:after="0"/>
              <w:rPr>
                <w:sz w:val="11"/>
                <w:szCs w:val="11"/>
                <w:color w:val="auto"/>
              </w:rPr>
            </w:pPr>
          </w:p>
        </w:tc>
        <w:tc>
          <w:tcPr>
            <w:tcW w:w="2940" w:type="dxa"/>
            <w:vAlign w:val="bottom"/>
            <w:tcBorders>
              <w:bottom w:val="single" w:sz="8" w:color="auto"/>
            </w:tcBorders>
            <w:shd w:val="clear" w:color="auto" w:fill="D8D8D8"/>
          </w:tcPr>
          <w:p>
            <w:pPr>
              <w:spacing w:after="0"/>
              <w:rPr>
                <w:sz w:val="11"/>
                <w:szCs w:val="11"/>
                <w:color w:val="auto"/>
              </w:rPr>
            </w:pPr>
          </w:p>
        </w:tc>
        <w:tc>
          <w:tcPr>
            <w:tcW w:w="1600" w:type="dxa"/>
            <w:vAlign w:val="bottom"/>
            <w:tcBorders>
              <w:bottom w:val="single" w:sz="8" w:color="auto"/>
            </w:tcBorders>
            <w:shd w:val="clear" w:color="auto" w:fill="D8D8D8"/>
          </w:tcPr>
          <w:p>
            <w:pPr>
              <w:spacing w:after="0"/>
              <w:rPr>
                <w:sz w:val="11"/>
                <w:szCs w:val="11"/>
                <w:color w:val="auto"/>
              </w:rPr>
            </w:pPr>
          </w:p>
        </w:tc>
      </w:tr>
      <w:tr>
        <w:trPr>
          <w:trHeight w:val="202"/>
        </w:trPr>
        <w:tc>
          <w:tcPr>
            <w:tcW w:w="20" w:type="dxa"/>
            <w:vAlign w:val="bottom"/>
          </w:tcPr>
          <w:p>
            <w:pPr>
              <w:spacing w:after="0"/>
              <w:rPr>
                <w:sz w:val="17"/>
                <w:szCs w:val="17"/>
                <w:color w:val="auto"/>
              </w:rPr>
            </w:pPr>
          </w:p>
        </w:tc>
        <w:tc>
          <w:tcPr>
            <w:tcW w:w="3860" w:type="dxa"/>
            <w:vAlign w:val="bottom"/>
          </w:tcPr>
          <w:p>
            <w:pPr>
              <w:spacing w:after="0" w:line="201" w:lineRule="exact"/>
              <w:rPr>
                <w:sz w:val="20"/>
                <w:szCs w:val="20"/>
                <w:color w:val="auto"/>
              </w:rPr>
            </w:pPr>
            <w:r>
              <w:rPr>
                <w:rFonts w:ascii="Arial" w:cs="Arial" w:eastAsia="Arial" w:hAnsi="Arial"/>
                <w:sz w:val="18"/>
                <w:szCs w:val="18"/>
                <w:color w:val="auto"/>
              </w:rPr>
              <w:t>Thomas S. Glanville</w:t>
            </w:r>
          </w:p>
        </w:tc>
        <w:tc>
          <w:tcPr>
            <w:tcW w:w="26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Frank M. Jaehnert</w:t>
            </w:r>
          </w:p>
        </w:tc>
        <w:tc>
          <w:tcPr>
            <w:tcW w:w="26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Jerome J. Lande</w:t>
            </w:r>
          </w:p>
        </w:tc>
        <w:tc>
          <w:tcPr>
            <w:tcW w:w="26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Timothy M. Leyden</w:t>
            </w:r>
          </w:p>
        </w:tc>
        <w:tc>
          <w:tcPr>
            <w:tcW w:w="26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Philip C. Mezey</w:t>
            </w:r>
          </w:p>
        </w:tc>
        <w:tc>
          <w:tcPr>
            <w:tcW w:w="26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Daniel S. Pelino</w:t>
            </w:r>
          </w:p>
        </w:tc>
        <w:tc>
          <w:tcPr>
            <w:tcW w:w="26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Gary E. Pruitt</w:t>
            </w:r>
          </w:p>
        </w:tc>
        <w:tc>
          <w:tcPr>
            <w:tcW w:w="26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Diana D. Tremblay</w:t>
            </w:r>
          </w:p>
        </w:tc>
        <w:tc>
          <w:tcPr>
            <w:tcW w:w="26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Lynda L. Ziegler</w:t>
            </w:r>
          </w:p>
        </w:tc>
        <w:tc>
          <w:tcPr>
            <w:tcW w:w="26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17"/>
        </w:trPr>
        <w:tc>
          <w:tcPr>
            <w:tcW w:w="3880" w:type="dxa"/>
            <w:vAlign w:val="bottom"/>
            <w:gridSpan w:val="2"/>
          </w:tcPr>
          <w:p>
            <w:pPr>
              <w:spacing w:after="0"/>
              <w:rPr>
                <w:sz w:val="20"/>
                <w:szCs w:val="20"/>
                <w:color w:val="auto"/>
              </w:rPr>
            </w:pPr>
            <w:r>
              <w:rPr>
                <w:rFonts w:ascii="Arial" w:cs="Arial" w:eastAsia="Arial" w:hAnsi="Arial"/>
                <w:sz w:val="18"/>
                <w:szCs w:val="18"/>
                <w:color w:val="auto"/>
              </w:rPr>
              <w:t>Number of meetings in fiscal year 2018</w:t>
            </w:r>
          </w:p>
        </w:tc>
        <w:tc>
          <w:tcPr>
            <w:tcW w:w="2620" w:type="dxa"/>
            <w:vAlign w:val="bottom"/>
          </w:tcPr>
          <w:p>
            <w:pPr>
              <w:jc w:val="right"/>
              <w:ind w:right="1090"/>
              <w:spacing w:after="0"/>
              <w:rPr>
                <w:sz w:val="20"/>
                <w:szCs w:val="20"/>
                <w:color w:val="auto"/>
              </w:rPr>
            </w:pPr>
            <w:r>
              <w:rPr>
                <w:rFonts w:ascii="Arial" w:cs="Arial" w:eastAsia="Arial" w:hAnsi="Arial"/>
                <w:sz w:val="18"/>
                <w:szCs w:val="18"/>
                <w:color w:val="auto"/>
              </w:rPr>
              <w:t>6</w:t>
            </w:r>
          </w:p>
        </w:tc>
        <w:tc>
          <w:tcPr>
            <w:tcW w:w="2940" w:type="dxa"/>
            <w:vAlign w:val="bottom"/>
          </w:tcPr>
          <w:p>
            <w:pPr>
              <w:jc w:val="center"/>
              <w:ind w:left="110"/>
              <w:spacing w:after="0"/>
              <w:rPr>
                <w:sz w:val="20"/>
                <w:szCs w:val="20"/>
                <w:color w:val="auto"/>
              </w:rPr>
            </w:pPr>
            <w:r>
              <w:rPr>
                <w:rFonts w:ascii="Arial" w:cs="Arial" w:eastAsia="Arial" w:hAnsi="Arial"/>
                <w:sz w:val="18"/>
                <w:szCs w:val="18"/>
                <w:color w:val="auto"/>
                <w:w w:val="99"/>
              </w:rPr>
              <w:t>4</w:t>
            </w:r>
          </w:p>
        </w:tc>
        <w:tc>
          <w:tcPr>
            <w:tcW w:w="1600" w:type="dxa"/>
            <w:vAlign w:val="bottom"/>
          </w:tcPr>
          <w:p>
            <w:pPr>
              <w:jc w:val="right"/>
              <w:ind w:right="470"/>
              <w:spacing w:after="0"/>
              <w:rPr>
                <w:sz w:val="20"/>
                <w:szCs w:val="20"/>
                <w:color w:val="auto"/>
              </w:rPr>
            </w:pPr>
            <w:r>
              <w:rPr>
                <w:rFonts w:ascii="Arial" w:cs="Arial" w:eastAsia="Arial" w:hAnsi="Arial"/>
                <w:sz w:val="18"/>
                <w:szCs w:val="18"/>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6685915</wp:posOffset>
            </wp:positionH>
            <wp:positionV relativeFrom="paragraph">
              <wp:posOffset>-1294130</wp:posOffset>
            </wp:positionV>
            <wp:extent cx="120015" cy="1289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0015" cy="128905"/>
                    </a:xfrm>
                    <a:prstGeom prst="rect">
                      <a:avLst/>
                    </a:prstGeom>
                    <a:noFill/>
                  </pic:spPr>
                </pic:pic>
              </a:graphicData>
            </a:graphic>
          </wp:anchor>
        </w:drawing>
        <w:drawing>
          <wp:anchor simplePos="0" relativeHeight="251657728" behindDoc="1" locked="0" layoutInCell="0" allowOverlap="1">
            <wp:simplePos x="0" y="0"/>
            <wp:positionH relativeFrom="column">
              <wp:posOffset>3392805</wp:posOffset>
            </wp:positionH>
            <wp:positionV relativeFrom="paragraph">
              <wp:posOffset>-1139825</wp:posOffset>
            </wp:positionV>
            <wp:extent cx="163195" cy="1028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63195" cy="102870"/>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-1165860</wp:posOffset>
            </wp:positionV>
            <wp:extent cx="12001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0015" cy="128905"/>
                    </a:xfrm>
                    <a:prstGeom prst="rect">
                      <a:avLst/>
                    </a:prstGeom>
                    <a:noFill/>
                  </pic:spPr>
                </pic:pic>
              </a:graphicData>
            </a:graphic>
          </wp:anchor>
        </w:drawing>
        <w:drawing>
          <wp:anchor simplePos="0" relativeHeight="251657728" behindDoc="1" locked="0" layoutInCell="0" allowOverlap="1">
            <wp:simplePos x="0" y="0"/>
            <wp:positionH relativeFrom="column">
              <wp:posOffset>6668770</wp:posOffset>
            </wp:positionH>
            <wp:positionV relativeFrom="paragraph">
              <wp:posOffset>-1011555</wp:posOffset>
            </wp:positionV>
            <wp:extent cx="163195" cy="1028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63195" cy="102870"/>
                    </a:xfrm>
                    <a:prstGeom prst="rect">
                      <a:avLst/>
                    </a:prstGeom>
                    <a:noFill/>
                  </pic:spPr>
                </pic:pic>
              </a:graphicData>
            </a:graphic>
          </wp:anchor>
        </w:drawing>
        <w:drawing>
          <wp:anchor simplePos="0" relativeHeight="251657728" behindDoc="1" locked="0" layoutInCell="0" allowOverlap="1">
            <wp:simplePos x="0" y="0"/>
            <wp:positionH relativeFrom="column">
              <wp:posOffset>6668770</wp:posOffset>
            </wp:positionH>
            <wp:positionV relativeFrom="paragraph">
              <wp:posOffset>-882650</wp:posOffset>
            </wp:positionV>
            <wp:extent cx="163195" cy="1028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63195" cy="102870"/>
                    </a:xfrm>
                    <a:prstGeom prst="rect">
                      <a:avLst/>
                    </a:prstGeom>
                    <a:noFill/>
                  </pic:spPr>
                </pic:pic>
              </a:graphicData>
            </a:graphic>
          </wp:anchor>
        </w:drawing>
        <w:drawing>
          <wp:anchor simplePos="0" relativeHeight="251657728" behindDoc="1" locked="0" layoutInCell="0" allowOverlap="1">
            <wp:simplePos x="0" y="0"/>
            <wp:positionH relativeFrom="column">
              <wp:posOffset>3392805</wp:posOffset>
            </wp:positionH>
            <wp:positionV relativeFrom="paragraph">
              <wp:posOffset>-625475</wp:posOffset>
            </wp:positionV>
            <wp:extent cx="163195" cy="1028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63195" cy="102870"/>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-625475</wp:posOffset>
            </wp:positionV>
            <wp:extent cx="163195" cy="1028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3195" cy="102870"/>
                    </a:xfrm>
                    <a:prstGeom prst="rect">
                      <a:avLst/>
                    </a:prstGeom>
                    <a:noFill/>
                  </pic:spPr>
                </pic:pic>
              </a:graphicData>
            </a:graphic>
          </wp:anchor>
        </w:drawing>
        <w:drawing>
          <wp:anchor simplePos="0" relativeHeight="251657728" behindDoc="1" locked="0" layoutInCell="0" allowOverlap="1">
            <wp:simplePos x="0" y="0"/>
            <wp:positionH relativeFrom="column">
              <wp:posOffset>6668770</wp:posOffset>
            </wp:positionH>
            <wp:positionV relativeFrom="paragraph">
              <wp:posOffset>-496570</wp:posOffset>
            </wp:positionV>
            <wp:extent cx="163195" cy="1028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63195" cy="102870"/>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-393700</wp:posOffset>
            </wp:positionV>
            <wp:extent cx="120015"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0015" cy="12890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-239395</wp:posOffset>
            </wp:positionV>
            <wp:extent cx="163195" cy="1028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63195" cy="102870"/>
                    </a:xfrm>
                    <a:prstGeom prst="rect">
                      <a:avLst/>
                    </a:prstGeom>
                    <a:noFill/>
                  </pic:spPr>
                </pic:pic>
              </a:graphicData>
            </a:graphic>
          </wp:anchor>
        </w:drawing>
      </w:r>
    </w:p>
    <w:p>
      <w:pPr>
        <w:spacing w:after="0" w:line="142" w:lineRule="exact"/>
        <w:rPr>
          <w:sz w:val="20"/>
          <w:szCs w:val="20"/>
          <w:color w:val="auto"/>
        </w:rPr>
      </w:pPr>
    </w:p>
    <w:p>
      <w:pPr>
        <w:ind w:left="220"/>
        <w:spacing w:after="0"/>
        <w:rPr>
          <w:sz w:val="20"/>
          <w:szCs w:val="20"/>
          <w:color w:val="auto"/>
        </w:rPr>
      </w:pPr>
      <w:r>
        <w:rPr>
          <w:sz w:val="1"/>
          <w:szCs w:val="1"/>
          <w:color w:val="auto"/>
        </w:rPr>
        <w:drawing>
          <wp:inline distT="0" distB="0" distL="0" distR="0">
            <wp:extent cx="163195" cy="10287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63195" cy="102870"/>
                    </a:xfrm>
                    <a:prstGeom prst="rect">
                      <a:avLst/>
                    </a:prstGeom>
                    <a:noFill/>
                    <a:ln>
                      <a:noFill/>
                    </a:ln>
                  </pic:spPr>
                </pic:pic>
              </a:graphicData>
            </a:graphic>
          </wp:inline>
        </w:drawing>
      </w:r>
      <w:r>
        <w:rPr>
          <w:rFonts w:ascii="Arial" w:cs="Arial" w:eastAsia="Arial" w:hAnsi="Arial"/>
          <w:sz w:val="18"/>
          <w:szCs w:val="18"/>
          <w:color w:val="auto"/>
        </w:rPr>
        <w:t xml:space="preserve"> Committee Member </w:t>
      </w:r>
      <w:r>
        <w:rPr>
          <w:sz w:val="1"/>
          <w:szCs w:val="1"/>
          <w:color w:val="auto"/>
        </w:rPr>
        <w:drawing>
          <wp:inline distT="0" distB="0" distL="0" distR="0">
            <wp:extent cx="120015" cy="12890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8"/>
          <w:szCs w:val="18"/>
          <w:color w:val="auto"/>
        </w:rPr>
        <w:t xml:space="preserve"> Committee Chair</w:t>
      </w:r>
    </w:p>
    <w:p>
      <w:pPr>
        <w:spacing w:after="0" w:line="15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Nominating and Corporate Governance Committee</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Nominating and Corporate Governance Committee (NCGC) is primarily responsible for:</w:t>
      </w:r>
    </w:p>
    <w:p>
      <w:pPr>
        <w:sectPr>
          <w:pgSz w:w="11900" w:h="16838" w:orient="portrait"/>
          <w:cols w:equalWidth="0" w:num="1">
            <w:col w:w="11160"/>
          </w:cols>
          <w:pgMar w:left="240" w:top="459" w:right="499" w:bottom="1440" w:gutter="0" w:footer="0" w:header="0"/>
        </w:sectPr>
      </w:pPr>
    </w:p>
    <w:p>
      <w:pPr>
        <w:spacing w:after="0" w:line="214" w:lineRule="exact"/>
        <w:rPr>
          <w:sz w:val="20"/>
          <w:szCs w:val="20"/>
          <w:color w:val="auto"/>
        </w:rPr>
      </w:pPr>
    </w:p>
    <w:p>
      <w:pPr>
        <w:ind w:left="520"/>
        <w:spacing w:after="0"/>
        <w:rPr>
          <w:sz w:val="20"/>
          <w:szCs w:val="20"/>
          <w:color w:val="auto"/>
        </w:rPr>
      </w:pPr>
      <w:r>
        <w:rPr>
          <w:rFonts w:ascii="Arial" w:cs="Arial" w:eastAsia="Arial" w:hAnsi="Arial"/>
          <w:sz w:val="25"/>
          <w:szCs w:val="25"/>
          <w:color w:val="auto"/>
        </w:rPr>
        <w:t>•</w:t>
      </w:r>
    </w:p>
    <w:p>
      <w:pPr>
        <w:spacing w:after="0" w:line="226" w:lineRule="exact"/>
        <w:rPr>
          <w:sz w:val="20"/>
          <w:szCs w:val="20"/>
          <w:color w:val="auto"/>
        </w:rPr>
      </w:pPr>
    </w:p>
    <w:p>
      <w:pPr>
        <w:ind w:left="520"/>
        <w:spacing w:after="0"/>
        <w:rPr>
          <w:sz w:val="20"/>
          <w:szCs w:val="20"/>
          <w:color w:val="auto"/>
        </w:rPr>
      </w:pPr>
      <w:r>
        <w:rPr>
          <w:rFonts w:ascii="Arial" w:cs="Arial" w:eastAsia="Arial" w:hAnsi="Arial"/>
          <w:sz w:val="25"/>
          <w:szCs w:val="25"/>
          <w:color w:val="auto"/>
        </w:rPr>
        <w:t>•</w:t>
      </w:r>
    </w:p>
    <w:p>
      <w:pPr>
        <w:spacing w:after="0" w:line="226" w:lineRule="exact"/>
        <w:rPr>
          <w:sz w:val="20"/>
          <w:szCs w:val="20"/>
          <w:color w:val="auto"/>
        </w:rPr>
      </w:pPr>
    </w:p>
    <w:p>
      <w:pPr>
        <w:ind w:left="520"/>
        <w:spacing w:after="0"/>
        <w:rPr>
          <w:sz w:val="20"/>
          <w:szCs w:val="20"/>
          <w:color w:val="auto"/>
        </w:rPr>
      </w:pPr>
      <w:r>
        <w:rPr>
          <w:rFonts w:ascii="Arial" w:cs="Arial" w:eastAsia="Arial" w:hAnsi="Arial"/>
          <w:sz w:val="25"/>
          <w:szCs w:val="25"/>
          <w:color w:val="auto"/>
        </w:rPr>
        <w:t>•</w:t>
      </w:r>
    </w:p>
    <w:p>
      <w:pPr>
        <w:spacing w:after="0" w:line="226" w:lineRule="exact"/>
        <w:rPr>
          <w:sz w:val="20"/>
          <w:szCs w:val="20"/>
          <w:color w:val="auto"/>
        </w:rPr>
      </w:pPr>
    </w:p>
    <w:p>
      <w:pPr>
        <w:ind w:left="520"/>
        <w:spacing w:after="0"/>
        <w:rPr>
          <w:sz w:val="20"/>
          <w:szCs w:val="20"/>
          <w:color w:val="auto"/>
        </w:rPr>
      </w:pPr>
      <w:r>
        <w:rPr>
          <w:rFonts w:ascii="Arial" w:cs="Arial" w:eastAsia="Arial" w:hAnsi="Arial"/>
          <w:sz w:val="25"/>
          <w:szCs w:val="25"/>
          <w:color w:val="auto"/>
        </w:rPr>
        <w:t>•</w:t>
      </w:r>
    </w:p>
    <w:p>
      <w:pPr>
        <w:spacing w:after="0" w:line="226" w:lineRule="exact"/>
        <w:rPr>
          <w:sz w:val="20"/>
          <w:szCs w:val="20"/>
          <w:color w:val="auto"/>
        </w:rPr>
      </w:pPr>
    </w:p>
    <w:p>
      <w:pPr>
        <w:ind w:left="520"/>
        <w:spacing w:after="0"/>
        <w:rPr>
          <w:sz w:val="20"/>
          <w:szCs w:val="20"/>
          <w:color w:val="auto"/>
        </w:rPr>
      </w:pPr>
      <w:r>
        <w:rPr>
          <w:rFonts w:ascii="Arial" w:cs="Arial" w:eastAsia="Arial" w:hAnsi="Arial"/>
          <w:sz w:val="25"/>
          <w:szCs w:val="25"/>
          <w:color w:val="auto"/>
        </w:rPr>
        <w:t>•</w:t>
      </w:r>
    </w:p>
    <w:p>
      <w:pPr>
        <w:spacing w:after="0" w:line="226" w:lineRule="exact"/>
        <w:rPr>
          <w:sz w:val="20"/>
          <w:szCs w:val="20"/>
          <w:color w:val="auto"/>
        </w:rPr>
      </w:pPr>
    </w:p>
    <w:p>
      <w:pPr>
        <w:ind w:left="520"/>
        <w:spacing w:after="0"/>
        <w:rPr>
          <w:sz w:val="20"/>
          <w:szCs w:val="20"/>
          <w:color w:val="auto"/>
        </w:rPr>
      </w:pPr>
      <w:r>
        <w:rPr>
          <w:rFonts w:ascii="Arial" w:cs="Arial" w:eastAsia="Arial" w:hAnsi="Arial"/>
          <w:sz w:val="25"/>
          <w:szCs w:val="25"/>
          <w:color w:val="auto"/>
        </w:rPr>
        <w:t>•</w:t>
      </w:r>
    </w:p>
    <w:p>
      <w:pPr>
        <w:spacing w:after="0" w:line="226" w:lineRule="exact"/>
        <w:rPr>
          <w:sz w:val="20"/>
          <w:szCs w:val="20"/>
          <w:color w:val="auto"/>
        </w:rPr>
      </w:pPr>
    </w:p>
    <w:p>
      <w:pPr>
        <w:ind w:left="520"/>
        <w:spacing w:after="0"/>
        <w:rPr>
          <w:sz w:val="20"/>
          <w:szCs w:val="20"/>
          <w:color w:val="auto"/>
        </w:rPr>
      </w:pPr>
      <w:r>
        <w:rPr>
          <w:rFonts w:ascii="Arial" w:cs="Arial" w:eastAsia="Arial" w:hAnsi="Arial"/>
          <w:sz w:val="25"/>
          <w:szCs w:val="25"/>
          <w:color w:val="auto"/>
        </w:rPr>
        <w: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developing and implementing our Governance Principles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evaluating the performance of our Board Chair and the CEO, as well as the other directors and the Board as a whole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soliciting recommendations for candidates for the Board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determining the qualification of the directors serving on the Board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making recommendations to the Board regarding the independence of the directors serving on the Board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recommending candidates to serve on the Board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reviewing and making recommendations to the Board with respect to candidates for directors proposed by shareholders</w:t>
      </w:r>
    </w:p>
    <w:p>
      <w:pPr>
        <w:spacing w:after="0" w:line="265" w:lineRule="exact"/>
        <w:rPr>
          <w:sz w:val="20"/>
          <w:szCs w:val="20"/>
          <w:color w:val="auto"/>
        </w:rPr>
      </w:pPr>
    </w:p>
    <w:p>
      <w:pPr>
        <w:sectPr>
          <w:pgSz w:w="11900" w:h="16838" w:orient="portrait"/>
          <w:cols w:equalWidth="0" w:num="2">
            <w:col w:w="620" w:space="340"/>
            <w:col w:w="10200"/>
          </w:cols>
          <w:pgMar w:left="240" w:top="459" w:right="499" w:bottom="1440" w:gutter="0" w:footer="0" w:header="0"/>
          <w:type w:val="continuous"/>
        </w:sectPr>
      </w:pPr>
    </w:p>
    <w:p>
      <w:pPr>
        <w:ind w:left="200" w:right="140"/>
        <w:spacing w:after="0"/>
        <w:rPr>
          <w:sz w:val="20"/>
          <w:szCs w:val="20"/>
          <w:color w:val="auto"/>
        </w:rPr>
      </w:pPr>
      <w:r>
        <w:rPr>
          <w:rFonts w:ascii="Arial" w:cs="Arial" w:eastAsia="Arial" w:hAnsi="Arial"/>
          <w:sz w:val="18"/>
          <w:szCs w:val="18"/>
          <w:color w:val="auto"/>
        </w:rPr>
        <w:t>To assist the committee in its identification of qualified director candidates, it has historically engaged an outside search firm and may do so in the future. The NCGC also reviews the compensation paid to our directors and makes recommendations to the Board on director fees and other compensation payable to the Board members.</w:t>
      </w:r>
    </w:p>
    <w:p>
      <w:pPr>
        <w:spacing w:after="0" w:line="162" w:lineRule="exact"/>
        <w:rPr>
          <w:sz w:val="20"/>
          <w:szCs w:val="20"/>
          <w:color w:val="auto"/>
        </w:rPr>
      </w:pPr>
    </w:p>
    <w:p>
      <w:pPr>
        <w:ind w:left="200" w:right="100"/>
        <w:spacing w:after="0" w:line="275" w:lineRule="auto"/>
        <w:rPr>
          <w:sz w:val="20"/>
          <w:szCs w:val="20"/>
          <w:color w:val="auto"/>
        </w:rPr>
      </w:pPr>
      <w:r>
        <w:rPr>
          <w:rFonts w:ascii="Arial" w:cs="Arial" w:eastAsia="Arial" w:hAnsi="Arial"/>
          <w:sz w:val="17"/>
          <w:szCs w:val="17"/>
          <w:color w:val="auto"/>
        </w:rPr>
        <w:t>The Board amended the NCGC’s charter in 2018 to change the name from the Corporate Governance Committee to the Nominating and Corporate Governance Committee. All of the members of the NCGC are independent under SEC rules and NASDAQ listing standards.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Audit/Finance Committee</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Audit/Finance Committee (AFC) is primarily responsible for:</w:t>
      </w:r>
    </w:p>
    <w:p>
      <w:pPr>
        <w:sectPr>
          <w:pgSz w:w="11900" w:h="16838" w:orient="portrait"/>
          <w:cols w:equalWidth="0" w:num="1">
            <w:col w:w="11160"/>
          </w:cols>
          <w:pgMar w:left="240" w:top="459" w:right="499" w:bottom="1440" w:gutter="0" w:footer="0" w:header="0"/>
          <w:type w:val="continuous"/>
        </w:sectPr>
      </w:pPr>
    </w:p>
    <w:p>
      <w:pPr>
        <w:spacing w:after="0" w:line="214" w:lineRule="exact"/>
        <w:rPr>
          <w:sz w:val="20"/>
          <w:szCs w:val="20"/>
          <w:color w:val="auto"/>
        </w:rPr>
      </w:pPr>
    </w:p>
    <w:p>
      <w:pPr>
        <w:ind w:left="520"/>
        <w:spacing w:after="0"/>
        <w:rPr>
          <w:sz w:val="20"/>
          <w:szCs w:val="20"/>
          <w:color w:val="auto"/>
        </w:rPr>
      </w:pPr>
      <w:r>
        <w:rPr>
          <w:rFonts w:ascii="Arial" w:cs="Arial" w:eastAsia="Arial" w:hAnsi="Arial"/>
          <w:sz w:val="25"/>
          <w:szCs w:val="25"/>
          <w:color w:val="auto"/>
        </w:rPr>
        <w:t>•</w:t>
      </w:r>
    </w:p>
    <w:p>
      <w:pPr>
        <w:spacing w:after="0" w:line="334" w:lineRule="exact"/>
        <w:rPr>
          <w:sz w:val="20"/>
          <w:szCs w:val="20"/>
          <w:color w:val="auto"/>
        </w:rPr>
      </w:pPr>
    </w:p>
    <w:p>
      <w:pPr>
        <w:ind w:left="520"/>
        <w:spacing w:after="0"/>
        <w:rPr>
          <w:sz w:val="20"/>
          <w:szCs w:val="20"/>
          <w:color w:val="auto"/>
        </w:rPr>
      </w:pPr>
      <w:r>
        <w:rPr>
          <w:rFonts w:ascii="Arial" w:cs="Arial" w:eastAsia="Arial" w:hAnsi="Arial"/>
          <w:sz w:val="25"/>
          <w:szCs w:val="25"/>
          <w:color w:val="auto"/>
        </w:rPr>
        <w:t>•</w:t>
      </w:r>
    </w:p>
    <w:p>
      <w:pPr>
        <w:spacing w:after="0" w:line="226" w:lineRule="exact"/>
        <w:rPr>
          <w:sz w:val="20"/>
          <w:szCs w:val="20"/>
          <w:color w:val="auto"/>
        </w:rPr>
      </w:pPr>
    </w:p>
    <w:p>
      <w:pPr>
        <w:ind w:left="520"/>
        <w:spacing w:after="0"/>
        <w:rPr>
          <w:sz w:val="20"/>
          <w:szCs w:val="20"/>
          <w:color w:val="auto"/>
        </w:rPr>
      </w:pPr>
      <w:r>
        <w:rPr>
          <w:rFonts w:ascii="Arial" w:cs="Arial" w:eastAsia="Arial" w:hAnsi="Arial"/>
          <w:sz w:val="25"/>
          <w:szCs w:val="25"/>
          <w:color w:val="auto"/>
        </w:rPr>
        <w:t>•</w:t>
      </w:r>
    </w:p>
    <w:p>
      <w:pPr>
        <w:spacing w:after="0" w:line="334" w:lineRule="exact"/>
        <w:rPr>
          <w:sz w:val="20"/>
          <w:szCs w:val="20"/>
          <w:color w:val="auto"/>
        </w:rPr>
      </w:pPr>
    </w:p>
    <w:p>
      <w:pPr>
        <w:ind w:left="520"/>
        <w:spacing w:after="0"/>
        <w:rPr>
          <w:sz w:val="20"/>
          <w:szCs w:val="20"/>
          <w:color w:val="auto"/>
        </w:rPr>
      </w:pPr>
      <w:r>
        <w:rPr>
          <w:rFonts w:ascii="Arial" w:cs="Arial" w:eastAsia="Arial" w:hAnsi="Arial"/>
          <w:sz w:val="25"/>
          <w:szCs w:val="25"/>
          <w:color w:val="auto"/>
        </w:rPr>
        <w:t>•</w:t>
      </w:r>
    </w:p>
    <w:p>
      <w:pPr>
        <w:spacing w:after="0" w:line="226" w:lineRule="exact"/>
        <w:rPr>
          <w:sz w:val="20"/>
          <w:szCs w:val="20"/>
          <w:color w:val="auto"/>
        </w:rPr>
      </w:pPr>
    </w:p>
    <w:p>
      <w:pPr>
        <w:ind w:left="520"/>
        <w:spacing w:after="0"/>
        <w:rPr>
          <w:sz w:val="20"/>
          <w:szCs w:val="20"/>
          <w:color w:val="auto"/>
        </w:rPr>
      </w:pPr>
      <w:r>
        <w:rPr>
          <w:rFonts w:ascii="Arial" w:cs="Arial" w:eastAsia="Arial" w:hAnsi="Arial"/>
          <w:sz w:val="25"/>
          <w:szCs w:val="25"/>
          <w:color w:val="auto"/>
        </w:rPr>
        <w: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monitoring our borrowings and capital structure, accounting policies, internal controls over financial reporting, and financial results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determining the compensation of our independent auditors</w:t>
      </w:r>
    </w:p>
    <w:p>
      <w:pPr>
        <w:spacing w:after="0" w:line="306"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reviewing at least quarterly our business financial risks to determine if management and our internal controls are identifying and mitigating risks associated with our business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recommending to the Board whether to retain or terminate our independent auditors</w:t>
      </w:r>
    </w:p>
    <w:p>
      <w:pPr>
        <w:spacing w:after="0" w:line="30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Board amended the AFC’s charter in 2018 to clarify risk responsibilities of the committee and to effect the name change of the NCGC. The Board has determined that all members of the AFC are independent under SEC rules and NASDAQ listing standards, including Rule 10A-3 of the Exchange Act. The NCGC has determined that all of the current members of the AFC are financially literate in accordance with the Standards of NASDAQ Rule 5605(c)(2)(A)(iv), and “audit committee financial experts” as defined in Item 407(d)(5) of Regulation S-K.</w:t>
      </w:r>
    </w:p>
    <w:p>
      <w:pPr>
        <w:spacing w:after="0" w:line="140" w:lineRule="exact"/>
        <w:rPr>
          <w:sz w:val="20"/>
          <w:szCs w:val="20"/>
          <w:color w:val="auto"/>
        </w:rPr>
      </w:pPr>
    </w:p>
    <w:p>
      <w:pPr>
        <w:sectPr>
          <w:pgSz w:w="11900" w:h="16838" w:orient="portrait"/>
          <w:cols w:equalWidth="0" w:num="2">
            <w:col w:w="620" w:space="340"/>
            <w:col w:w="10200"/>
          </w:cols>
          <w:pgMar w:left="240" w:top="459" w:right="499" w:bottom="1440" w:gutter="0" w:footer="0" w:header="0"/>
          <w:type w:val="continuous"/>
        </w:sectPr>
      </w:pPr>
    </w:p>
    <w:p>
      <w:pPr>
        <w:ind w:left="200"/>
        <w:spacing w:after="0"/>
        <w:rPr>
          <w:sz w:val="20"/>
          <w:szCs w:val="20"/>
          <w:color w:val="auto"/>
        </w:rPr>
      </w:pPr>
      <w:r>
        <w:rPr>
          <w:rFonts w:ascii="Arial" w:cs="Arial" w:eastAsia="Arial" w:hAnsi="Arial"/>
          <w:sz w:val="18"/>
          <w:szCs w:val="18"/>
          <w:b w:val="1"/>
          <w:bCs w:val="1"/>
          <w:u w:val="single" w:color="auto"/>
          <w:color w:val="auto"/>
        </w:rPr>
        <w:t>Compensation Committee</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Compensation Committee (CC) is primarily responsible for:</w:t>
      </w:r>
    </w:p>
    <w:p>
      <w:pPr>
        <w:spacing w:after="0" w:line="212" w:lineRule="exact"/>
        <w:rPr>
          <w:sz w:val="20"/>
          <w:szCs w:val="20"/>
          <w:color w:val="auto"/>
        </w:rPr>
      </w:pPr>
    </w:p>
    <w:p>
      <w:pPr>
        <w:ind w:left="5560" w:right="3020" w:hanging="5032"/>
        <w:spacing w:after="0" w:line="203" w:lineRule="auto"/>
        <w:tabs>
          <w:tab w:leader="none" w:pos="966" w:val="left"/>
        </w:tabs>
        <w:numPr>
          <w:ilvl w:val="0"/>
          <w:numId w:val="17"/>
        </w:numPr>
        <w:rPr>
          <w:rFonts w:ascii="Arial" w:cs="Arial" w:eastAsia="Arial" w:hAnsi="Arial"/>
          <w:sz w:val="50"/>
          <w:szCs w:val="50"/>
          <w:color w:val="auto"/>
          <w:vertAlign w:val="subscript"/>
        </w:rPr>
      </w:pPr>
      <w:r>
        <w:rPr>
          <w:rFonts w:ascii="Arial" w:cs="Arial" w:eastAsia="Arial" w:hAnsi="Arial"/>
          <w:sz w:val="18"/>
          <w:szCs w:val="18"/>
          <w:color w:val="auto"/>
        </w:rPr>
        <w:t>recommending to the Board our CEO’s total annual and long-term incentive compensation -15-</w:t>
      </w:r>
    </w:p>
    <w:p>
      <w:pPr>
        <w:sectPr>
          <w:pgSz w:w="11900" w:h="16838" w:orient="portrait"/>
          <w:cols w:equalWidth="0" w:num="1">
            <w:col w:w="11160"/>
          </w:cols>
          <w:pgMar w:left="240" w:top="459" w:right="499" w:bottom="1440" w:gutter="0" w:footer="0" w:header="0"/>
          <w:type w:val="continuous"/>
        </w:sectPr>
      </w:pPr>
    </w:p>
    <w:bookmarkStart w:id="20" w:name="page21"/>
    <w:bookmarkEnd w:id="2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240" w:top="459" w:right="439" w:bottom="1440" w:gutter="0" w:footer="0" w:header="0"/>
        </w:sectPr>
      </w:pPr>
    </w:p>
    <w:p>
      <w:pPr>
        <w:spacing w:after="0" w:line="348" w:lineRule="exact"/>
        <w:rPr>
          <w:sz w:val="20"/>
          <w:szCs w:val="20"/>
          <w:color w:val="auto"/>
        </w:rPr>
      </w:pPr>
    </w:p>
    <w:p>
      <w:pPr>
        <w:ind w:left="520"/>
        <w:spacing w:after="0"/>
        <w:rPr>
          <w:sz w:val="20"/>
          <w:szCs w:val="20"/>
          <w:color w:val="auto"/>
        </w:rPr>
      </w:pPr>
      <w:r>
        <w:rPr>
          <w:rFonts w:ascii="Arial" w:cs="Arial" w:eastAsia="Arial" w:hAnsi="Arial"/>
          <w:sz w:val="25"/>
          <w:szCs w:val="25"/>
          <w:color w:val="auto"/>
        </w:rPr>
        <w:t>•</w:t>
      </w:r>
    </w:p>
    <w:p>
      <w:pPr>
        <w:spacing w:after="0" w:line="226" w:lineRule="exact"/>
        <w:rPr>
          <w:sz w:val="20"/>
          <w:szCs w:val="20"/>
          <w:color w:val="auto"/>
        </w:rPr>
      </w:pPr>
    </w:p>
    <w:p>
      <w:pPr>
        <w:ind w:left="520"/>
        <w:spacing w:after="0"/>
        <w:rPr>
          <w:sz w:val="20"/>
          <w:szCs w:val="20"/>
          <w:color w:val="auto"/>
        </w:rPr>
      </w:pPr>
      <w:r>
        <w:rPr>
          <w:rFonts w:ascii="Arial" w:cs="Arial" w:eastAsia="Arial" w:hAnsi="Arial"/>
          <w:sz w:val="25"/>
          <w:szCs w:val="25"/>
          <w:color w:val="auto"/>
        </w:rPr>
        <w:t>•</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setting compensation levels for our other executive officers</w:t>
      </w:r>
    </w:p>
    <w:p>
      <w:pPr>
        <w:spacing w:after="0" w:line="306"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overseeing the administration of various incentive compensation and benefit plans, which includes an annual evaluation of our compensation plans and policies</w:t>
      </w:r>
    </w:p>
    <w:p>
      <w:pPr>
        <w:spacing w:after="0" w:line="170" w:lineRule="exact"/>
        <w:rPr>
          <w:sz w:val="20"/>
          <w:szCs w:val="20"/>
          <w:color w:val="auto"/>
        </w:rPr>
      </w:pPr>
    </w:p>
    <w:p>
      <w:pPr>
        <w:sectPr>
          <w:pgSz w:w="11900" w:h="16838" w:orient="portrait"/>
          <w:cols w:equalWidth="0" w:num="2">
            <w:col w:w="620" w:space="340"/>
            <w:col w:w="10260"/>
          </w:cols>
          <w:pgMar w:left="240" w:top="459" w:right="439" w:bottom="1440" w:gutter="0" w:footer="0" w:header="0"/>
          <w:type w:val="continuous"/>
        </w:sectPr>
      </w:pPr>
    </w:p>
    <w:p>
      <w:pPr>
        <w:ind w:left="200" w:right="40"/>
        <w:spacing w:after="0" w:line="248" w:lineRule="auto"/>
        <w:rPr>
          <w:sz w:val="20"/>
          <w:szCs w:val="20"/>
          <w:color w:val="auto"/>
        </w:rPr>
      </w:pPr>
      <w:r>
        <w:rPr>
          <w:rFonts w:ascii="Arial" w:cs="Arial" w:eastAsia="Arial" w:hAnsi="Arial"/>
          <w:sz w:val="17"/>
          <w:szCs w:val="17"/>
          <w:color w:val="auto"/>
        </w:rPr>
        <w:t>The CC, when appropriate, may form and delegate authority to subcommittees and may delegate authority to one or more designated members of the Board or to Company officers. The Board amended the CC’s charter in 2018 to effect the name change of the NCGC. The Board has determined that all members of the CC are independent under SEC rules and NASDAQ listing standards. In addition, all CC members are “non-employee directors” under Section 16b-3 of the Exchange Act and “outside directors” for the purposes of Section 162</w:t>
      </w:r>
    </w:p>
    <w:p>
      <w:pPr>
        <w:spacing w:after="0" w:line="2" w:lineRule="exact"/>
        <w:rPr>
          <w:sz w:val="20"/>
          <w:szCs w:val="20"/>
          <w:color w:val="auto"/>
        </w:rPr>
      </w:pPr>
    </w:p>
    <w:p>
      <w:pPr>
        <w:ind w:left="200" w:right="80" w:firstLine="4"/>
        <w:spacing w:after="0" w:line="246"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of the U.S. Internal Revenue Code.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COMPENSATION – CD&amp;A</w:t>
      </w:r>
      <w:r>
        <w:rPr>
          <w:rFonts w:ascii="Arial" w:cs="Arial" w:eastAsia="Arial" w:hAnsi="Arial"/>
          <w:sz w:val="18"/>
          <w:szCs w:val="18"/>
          <w:color w:val="auto"/>
        </w:rPr>
        <w:t>” in this proxy statement for more information on the CC’s responsibilities regarding the compensation of our executives.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93"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No member of our Board’s Compensation Committee has served as an officer or employee of the Company. None of our executive officers serve as a member of the compensation committee of any other company that has an executive officer serving as a member of our Board. None of our executive officers serve as a member of the board of directors of any other company that has an executive officer serving as a member of our Board’s Compensation Committee.</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Transactions with Related Persons</w:t>
      </w:r>
    </w:p>
    <w:p>
      <w:pPr>
        <w:spacing w:after="0" w:line="193"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There were no related person transactions required to be disclosed pursuant to Item 404(a) of Regulation S-K in fiscal year 2018. In order to determine this, the Board requires our executive officers, directors and director nominees to disclose certain information regarding related person transactions. A “related person transaction” generally is a transaction (including any indebtedness or a guarantee of indebtedness) that involves the Company’s directors, executive officers, director nominees, 5% or more beneficial owners of the Company’s common stock, immediate family members of these persons, or entities in which one of these persons has a direct or indirect material interest. The current threshold required to be disclosed under SEC regulations is $120,000. Under its charter, the Nominating and Corporate Governance Committee of the Board has been delegated with the responsibility of reviewing and approving any related person transactions.</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Board’s Role in Risk Oversight</w:t>
      </w:r>
    </w:p>
    <w:p>
      <w:pPr>
        <w:spacing w:after="0" w:line="207" w:lineRule="exact"/>
        <w:rPr>
          <w:sz w:val="20"/>
          <w:szCs w:val="20"/>
          <w:color w:val="auto"/>
        </w:rPr>
      </w:pPr>
    </w:p>
    <w:p>
      <w:pPr>
        <w:ind w:left="200" w:right="300"/>
        <w:spacing w:after="0" w:line="234" w:lineRule="auto"/>
        <w:rPr>
          <w:sz w:val="20"/>
          <w:szCs w:val="20"/>
          <w:color w:val="auto"/>
        </w:rPr>
      </w:pPr>
      <w:r>
        <w:rPr>
          <w:rFonts w:ascii="Arial" w:cs="Arial" w:eastAsia="Arial" w:hAnsi="Arial"/>
          <w:sz w:val="18"/>
          <w:szCs w:val="18"/>
          <w:color w:val="auto"/>
        </w:rPr>
        <w:t>The Board has overall responsibility for risk oversight, including, as part of regular Board and committee meetings, general oversight of our executives’ management of risks relevant to the Company. The Board determines, directly or through Board committees, whether:</w:t>
      </w:r>
    </w:p>
    <w:p>
      <w:pPr>
        <w:spacing w:after="0" w:line="2" w:lineRule="exact"/>
        <w:rPr>
          <w:sz w:val="20"/>
          <w:szCs w:val="20"/>
          <w:color w:val="auto"/>
        </w:rPr>
      </w:pPr>
    </w:p>
    <w:p>
      <w:pPr>
        <w:ind w:left="200" w:firstLine="4"/>
        <w:spacing w:after="0" w:line="236" w:lineRule="auto"/>
        <w:tabs>
          <w:tab w:leader="none" w:pos="41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there are adequate processes designed and implemented by Company management such that risks have been identified and are being managed; (ii) the risk management processes are intended to ensure that Company risks are taken into account in corporate decision-making; and (iii) the risk management processes and procedures ensure that material risks to the Company are brought to the attention of the Board or an appropriate committee of the Board. Each of the Company’s risk management processes are reviewed periodically (but at least once a year) by either the Board or an appropriate committee to which the Board has delegated specific oversight responsibility, as described below. Throughout the year, the Board and each committee spend a portion of their time reviewing and discussing specific risk topics. Committee Chairs regularly report to the full Board on actions taken at committee meetings. At least annually, the Board conducts a review of our long-term strategic plans,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 at each of our quarterly meetings, our General Counsel updates the Board on material legal and regulatory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135255</wp:posOffset>
            </wp:positionV>
            <wp:extent cx="6997700" cy="3346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7700" cy="33464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98"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Board</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180" w:type="dxa"/>
            <w:vAlign w:val="bottom"/>
            <w:shd w:val="clear" w:color="auto" w:fill="D8D8D8"/>
          </w:tcPr>
          <w:p>
            <w:pPr>
              <w:ind w:left="120"/>
              <w:spacing w:after="0"/>
              <w:rPr>
                <w:sz w:val="20"/>
                <w:szCs w:val="20"/>
                <w:color w:val="auto"/>
              </w:rPr>
            </w:pPr>
            <w:r>
              <w:rPr>
                <w:rFonts w:ascii="Arial" w:cs="Arial" w:eastAsia="Arial" w:hAnsi="Arial"/>
                <w:sz w:val="18"/>
                <w:szCs w:val="18"/>
                <w:b w:val="1"/>
                <w:bCs w:val="1"/>
                <w:color w:val="auto"/>
              </w:rPr>
              <w:t>Compensation</w:t>
            </w:r>
          </w:p>
        </w:tc>
        <w:tc>
          <w:tcPr>
            <w:tcW w:w="3140" w:type="dxa"/>
            <w:vAlign w:val="bottom"/>
            <w:shd w:val="clear" w:color="auto" w:fill="D8D8D8"/>
          </w:tcPr>
          <w:p>
            <w:pPr>
              <w:ind w:left="800"/>
              <w:spacing w:after="0"/>
              <w:rPr>
                <w:sz w:val="20"/>
                <w:szCs w:val="20"/>
                <w:color w:val="auto"/>
              </w:rPr>
            </w:pPr>
            <w:r>
              <w:rPr>
                <w:rFonts w:ascii="Arial" w:cs="Arial" w:eastAsia="Arial" w:hAnsi="Arial"/>
                <w:sz w:val="18"/>
                <w:szCs w:val="18"/>
                <w:b w:val="1"/>
                <w:bCs w:val="1"/>
                <w:color w:val="auto"/>
              </w:rPr>
              <w:t>Nominating and</w:t>
            </w:r>
          </w:p>
        </w:tc>
        <w:tc>
          <w:tcPr>
            <w:tcW w:w="2940" w:type="dxa"/>
            <w:vAlign w:val="bottom"/>
            <w:shd w:val="clear" w:color="auto" w:fill="D8D8D8"/>
          </w:tcPr>
          <w:p>
            <w:pPr>
              <w:ind w:left="400"/>
              <w:spacing w:after="0"/>
              <w:rPr>
                <w:sz w:val="20"/>
                <w:szCs w:val="20"/>
                <w:color w:val="auto"/>
              </w:rPr>
            </w:pPr>
            <w:r>
              <w:rPr>
                <w:rFonts w:ascii="Arial" w:cs="Arial" w:eastAsia="Arial" w:hAnsi="Arial"/>
                <w:sz w:val="18"/>
                <w:szCs w:val="18"/>
                <w:b w:val="1"/>
                <w:bCs w:val="1"/>
                <w:color w:val="auto"/>
              </w:rPr>
              <w:t>Audit/Finance</w:t>
            </w:r>
          </w:p>
        </w:tc>
      </w:tr>
      <w:tr>
        <w:trPr>
          <w:trHeight w:val="239"/>
        </w:trPr>
        <w:tc>
          <w:tcPr>
            <w:tcW w:w="2180" w:type="dxa"/>
            <w:vAlign w:val="bottom"/>
            <w:shd w:val="clear" w:color="auto" w:fill="D8D8D8"/>
          </w:tcPr>
          <w:p>
            <w:pPr>
              <w:spacing w:after="0"/>
              <w:rPr>
                <w:sz w:val="20"/>
                <w:szCs w:val="20"/>
                <w:color w:val="auto"/>
              </w:rPr>
            </w:pPr>
          </w:p>
        </w:tc>
        <w:tc>
          <w:tcPr>
            <w:tcW w:w="3140" w:type="dxa"/>
            <w:vAlign w:val="bottom"/>
            <w:shd w:val="clear" w:color="auto" w:fill="D8D8D8"/>
          </w:tcPr>
          <w:p>
            <w:pPr>
              <w:ind w:left="800"/>
              <w:spacing w:after="0"/>
              <w:rPr>
                <w:sz w:val="20"/>
                <w:szCs w:val="20"/>
                <w:color w:val="auto"/>
              </w:rPr>
            </w:pPr>
            <w:r>
              <w:rPr>
                <w:rFonts w:ascii="Arial" w:cs="Arial" w:eastAsia="Arial" w:hAnsi="Arial"/>
                <w:sz w:val="18"/>
                <w:szCs w:val="18"/>
                <w:b w:val="1"/>
                <w:bCs w:val="1"/>
                <w:color w:val="auto"/>
              </w:rPr>
              <w:t>Corporate Governance</w:t>
            </w:r>
          </w:p>
        </w:tc>
        <w:tc>
          <w:tcPr>
            <w:tcW w:w="2940" w:type="dxa"/>
            <w:vAlign w:val="bottom"/>
            <w:shd w:val="clear" w:color="auto" w:fill="D8D8D8"/>
          </w:tcPr>
          <w:p>
            <w:pPr>
              <w:spacing w:after="0"/>
              <w:rPr>
                <w:sz w:val="20"/>
                <w:szCs w:val="20"/>
                <w:color w:val="auto"/>
              </w:rPr>
            </w:pPr>
          </w:p>
        </w:tc>
      </w:tr>
    </w:tbl>
    <w:p>
      <w:pPr>
        <w:spacing w:after="0" w:line="110" w:lineRule="exact"/>
        <w:rPr>
          <w:sz w:val="20"/>
          <w:szCs w:val="20"/>
          <w:color w:val="auto"/>
        </w:rPr>
      </w:pPr>
    </w:p>
    <w:p>
      <w:pPr>
        <w:sectPr>
          <w:pgSz w:w="11900" w:h="16838" w:orient="portrait"/>
          <w:cols w:equalWidth="0" w:num="2">
            <w:col w:w="2260" w:space="720"/>
            <w:col w:w="8260"/>
          </w:cols>
          <w:pgMar w:left="240" w:top="459" w:right="419" w:bottom="1440" w:gutter="0" w:footer="0" w:header="0"/>
          <w:type w:val="continuous"/>
        </w:sectPr>
      </w:pPr>
    </w:p>
    <w:p>
      <w:pPr>
        <w:spacing w:after="0" w:line="65" w:lineRule="exact"/>
        <w:rPr>
          <w:sz w:val="20"/>
          <w:szCs w:val="20"/>
          <w:color w:val="auto"/>
        </w:rPr>
      </w:pPr>
    </w:p>
    <w:p>
      <w:pPr>
        <w:ind w:left="560" w:right="60" w:hanging="266"/>
        <w:spacing w:after="0" w:line="216" w:lineRule="auto"/>
        <w:tabs>
          <w:tab w:leader="none" w:pos="558" w:val="left"/>
        </w:tabs>
        <w:numPr>
          <w:ilvl w:val="0"/>
          <w:numId w:val="20"/>
        </w:numPr>
        <w:rPr>
          <w:rFonts w:ascii="Arial" w:cs="Arial" w:eastAsia="Arial" w:hAnsi="Arial"/>
          <w:sz w:val="25"/>
          <w:szCs w:val="25"/>
          <w:color w:val="auto"/>
        </w:rPr>
      </w:pPr>
      <w:r>
        <w:rPr>
          <w:rFonts w:ascii="Arial" w:cs="Arial" w:eastAsia="Arial" w:hAnsi="Arial"/>
          <w:sz w:val="18"/>
          <w:szCs w:val="18"/>
          <w:color w:val="auto"/>
        </w:rPr>
        <w:t>Overall responsibility for risk oversight</w:t>
      </w:r>
    </w:p>
    <w:p>
      <w:pPr>
        <w:spacing w:after="0" w:line="257" w:lineRule="exact"/>
        <w:rPr>
          <w:rFonts w:ascii="Arial" w:cs="Arial" w:eastAsia="Arial" w:hAnsi="Arial"/>
          <w:sz w:val="25"/>
          <w:szCs w:val="25"/>
          <w:color w:val="auto"/>
        </w:rPr>
      </w:pPr>
    </w:p>
    <w:p>
      <w:pPr>
        <w:ind w:left="560" w:hanging="266"/>
        <w:spacing w:after="0" w:line="239" w:lineRule="auto"/>
        <w:tabs>
          <w:tab w:leader="none" w:pos="548" w:val="left"/>
        </w:tabs>
        <w:numPr>
          <w:ilvl w:val="0"/>
          <w:numId w:val="20"/>
        </w:numPr>
        <w:rPr>
          <w:rFonts w:ascii="Arial" w:cs="Arial" w:eastAsia="Arial" w:hAnsi="Arial"/>
          <w:sz w:val="24"/>
          <w:szCs w:val="24"/>
          <w:color w:val="auto"/>
        </w:rPr>
      </w:pPr>
      <w:r>
        <w:rPr>
          <w:rFonts w:ascii="Arial" w:cs="Arial" w:eastAsia="Arial" w:hAnsi="Arial"/>
          <w:sz w:val="17"/>
          <w:szCs w:val="17"/>
          <w:color w:val="auto"/>
        </w:rPr>
        <w:t>Assesses directly, through Board committees or through established processes and procedures, risks relevant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Responsible for overseeing</w:t>
      </w:r>
    </w:p>
    <w:p>
      <w:pPr>
        <w:spacing w:after="0" w:line="2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compensation risks, including assessing possible risks from our compensation plans and policies for our executives and ensuring that our executive compensation is aligned with Company performance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Reviews a summary and</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assessment of such risks annually and in connection with discussions of various compensation elements and benefits throughout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44450</wp:posOffset>
            </wp:positionV>
            <wp:extent cx="699770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left="273" w:hanging="273"/>
        <w:spacing w:after="0" w:line="229" w:lineRule="auto"/>
        <w:tabs>
          <w:tab w:leader="none" w:pos="271" w:val="left"/>
        </w:tabs>
        <w:numPr>
          <w:ilvl w:val="0"/>
          <w:numId w:val="21"/>
        </w:numPr>
        <w:rPr>
          <w:rFonts w:ascii="Arial" w:cs="Arial" w:eastAsia="Arial" w:hAnsi="Arial"/>
          <w:sz w:val="25"/>
          <w:szCs w:val="25"/>
          <w:color w:val="auto"/>
        </w:rPr>
      </w:pPr>
      <w:r>
        <w:rPr>
          <w:rFonts w:ascii="Arial" w:cs="Arial" w:eastAsia="Arial" w:hAnsi="Arial"/>
          <w:sz w:val="18"/>
          <w:szCs w:val="18"/>
          <w:color w:val="auto"/>
        </w:rPr>
        <w:t>Oversees risks related to our overall corporate governance, including Board and committee composition, Board size and structure, and our director independence</w:t>
      </w:r>
    </w:p>
    <w:p>
      <w:pPr>
        <w:spacing w:after="0" w:line="255" w:lineRule="exact"/>
        <w:rPr>
          <w:rFonts w:ascii="Arial" w:cs="Arial" w:eastAsia="Arial" w:hAnsi="Arial"/>
          <w:sz w:val="25"/>
          <w:szCs w:val="25"/>
          <w:color w:val="auto"/>
        </w:rPr>
      </w:pPr>
    </w:p>
    <w:p>
      <w:pPr>
        <w:ind w:left="273" w:right="20" w:hanging="273"/>
        <w:spacing w:after="0" w:line="222" w:lineRule="auto"/>
        <w:tabs>
          <w:tab w:leader="none" w:pos="271" w:val="left"/>
        </w:tabs>
        <w:numPr>
          <w:ilvl w:val="0"/>
          <w:numId w:val="21"/>
        </w:numPr>
        <w:rPr>
          <w:rFonts w:ascii="Arial" w:cs="Arial" w:eastAsia="Arial" w:hAnsi="Arial"/>
          <w:sz w:val="25"/>
          <w:szCs w:val="25"/>
          <w:color w:val="auto"/>
        </w:rPr>
      </w:pPr>
      <w:r>
        <w:rPr>
          <w:rFonts w:ascii="Arial" w:cs="Arial" w:eastAsia="Arial" w:hAnsi="Arial"/>
          <w:sz w:val="18"/>
          <w:szCs w:val="18"/>
          <w:color w:val="auto"/>
        </w:rPr>
        <w:t>Reviews our Governance Principles annually pursuant to its charter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Responsible for reviewing</w:t>
      </w:r>
    </w:p>
    <w:p>
      <w:pPr>
        <w:spacing w:after="0" w:line="23"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our major financial risk exposures, financial reporting, internal controls, credit and liquidity risk, compliance risk, and key operational risks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Meets regularly with our</w:t>
      </w:r>
    </w:p>
    <w:p>
      <w:pPr>
        <w:spacing w:after="0" w:line="23"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independent auditors and in executive session to facilitate a full and candid discussion of risk and other issues</w:t>
      </w:r>
    </w:p>
    <w:p>
      <w:pPr>
        <w:spacing w:after="0" w:line="617" w:lineRule="exact"/>
        <w:rPr>
          <w:sz w:val="20"/>
          <w:szCs w:val="20"/>
          <w:color w:val="auto"/>
        </w:rPr>
      </w:pPr>
    </w:p>
    <w:p>
      <w:pPr>
        <w:sectPr>
          <w:pgSz w:w="11900" w:h="16838" w:orient="portrait"/>
          <w:cols w:equalWidth="0" w:num="6">
            <w:col w:w="2880" w:space="300"/>
            <w:col w:w="100" w:space="180"/>
            <w:col w:w="2340" w:space="247"/>
            <w:col w:w="2533" w:space="200"/>
            <w:col w:w="100" w:space="180"/>
            <w:col w:w="2180"/>
          </w:cols>
          <w:pgMar w:left="240" w:top="459" w:right="419" w:bottom="1440" w:gutter="0" w:footer="0" w:header="0"/>
          <w:type w:val="continuous"/>
        </w:sectPr>
      </w:pPr>
    </w:p>
    <w:p>
      <w:pPr>
        <w:spacing w:after="0" w:line="85" w:lineRule="exact"/>
        <w:rPr>
          <w:sz w:val="20"/>
          <w:szCs w:val="20"/>
          <w:color w:val="auto"/>
        </w:rPr>
      </w:pPr>
    </w:p>
    <w:p>
      <w:pPr>
        <w:ind w:left="200" w:right="500"/>
        <w:spacing w:after="0" w:line="239" w:lineRule="auto"/>
        <w:rPr>
          <w:sz w:val="20"/>
          <w:szCs w:val="20"/>
          <w:color w:val="auto"/>
        </w:rPr>
      </w:pPr>
      <w:r>
        <w:rPr>
          <w:rFonts w:ascii="Arial" w:cs="Arial" w:eastAsia="Arial" w:hAnsi="Arial"/>
          <w:sz w:val="18"/>
          <w:szCs w:val="18"/>
          <w:color w:val="auto"/>
        </w:rPr>
        <w:t>Following a review of the Company’s current risk management systems and processes, the Board has concluded that the current allocation of oversight responsibilities between the Board and its committees is adequate, provided that the committees continue to coordinate their risk oversight responsibilities, share information appropriately with the other Board members, and provide timely and adequate reports to the full Board. The Board continually evaluates its risk oversight role.</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Conduct</w:t>
      </w:r>
    </w:p>
    <w:p>
      <w:pPr>
        <w:spacing w:after="0" w:line="193"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 xml:space="preserve">The Company has adopted a Code of Conduct that applies to all directors, officers, and employees of the Company and any subsidiary of the Company and is available on the Company’s website,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by selecting “Investors” and then “Corporate Governance.” In addition, we have adopted policies and procedures for reporting and investigating suspected violations of the Code of Conduct. The Company intends to satisfy any future disclosure requirement under Item 5.05 of Form 8-K regarding an amendment to or waiver from application of the code of ethics or provisions of the Code of Conduct, that applies to the CEO or the CFO, by posting such information on our website, </w:t>
      </w:r>
      <w:r>
        <w:rPr>
          <w:rFonts w:ascii="Arial" w:cs="Arial" w:eastAsia="Arial" w:hAnsi="Arial"/>
          <w:sz w:val="18"/>
          <w:szCs w:val="18"/>
          <w:i w:val="1"/>
          <w:iCs w:val="1"/>
          <w:color w:val="auto"/>
        </w:rPr>
        <w:t>www.itron.com</w:t>
      </w:r>
      <w:r>
        <w:rPr>
          <w:rFonts w:ascii="Arial" w:cs="Arial" w:eastAsia="Arial" w:hAnsi="Arial"/>
          <w:sz w:val="18"/>
          <w:szCs w:val="18"/>
          <w:color w:val="auto"/>
        </w:rPr>
        <w:t>.</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240" w:top="459" w:right="41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Anti-Hedging Policy</w:t>
      </w:r>
    </w:p>
    <w:p>
      <w:pPr>
        <w:spacing w:after="0" w:line="207" w:lineRule="exact"/>
        <w:rPr>
          <w:sz w:val="20"/>
          <w:szCs w:val="20"/>
          <w:color w:val="auto"/>
        </w:rPr>
      </w:pPr>
    </w:p>
    <w:p>
      <w:pPr>
        <w:ind w:left="200" w:right="340"/>
        <w:spacing w:after="0"/>
        <w:rPr>
          <w:sz w:val="20"/>
          <w:szCs w:val="20"/>
          <w:color w:val="auto"/>
        </w:rPr>
      </w:pPr>
      <w:r>
        <w:rPr>
          <w:rFonts w:ascii="Arial" w:cs="Arial" w:eastAsia="Arial" w:hAnsi="Arial"/>
          <w:sz w:val="18"/>
          <w:szCs w:val="18"/>
          <w:color w:val="auto"/>
        </w:rPr>
        <w:t xml:space="preserve">The Company has adopted an Anti-Hedging Policy that prohibits our directors, officers, and employees from entering into transactions involving our securities that are designed to hedge or offset any decrease in the market value of Itron securities.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 CD&amp;A – Anti-Hedging Policy</w:t>
      </w:r>
      <w:r>
        <w:rPr>
          <w:rFonts w:ascii="Arial" w:cs="Arial" w:eastAsia="Arial" w:hAnsi="Arial"/>
          <w:sz w:val="18"/>
          <w:szCs w:val="18"/>
          <w:color w:val="auto"/>
        </w:rPr>
        <w:t>” in this proxy statement for more information on this policy.</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Incentive Repayment (Clawback) Policy</w:t>
      </w:r>
    </w:p>
    <w:p>
      <w:pPr>
        <w:spacing w:after="0" w:line="193"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The Company has adopted a repayment or “clawback” policy, which provides that if a bonus or equity award (Award) is paid that is conditioned on meeting certain financial metrics, and, subsequently, there is a required financial restatement, which, had the correct information been known at the time, would have resulted in a lower Award, then the Board has the right to demand repayment of the excess amount of the Award, net of taxes, from an executive officer who has received an Award. If the Board (or its delegated committee) determines that fraud has resulted in a material financial restatement, it is required that the Board demand repayment from the executive officer engaged in the fraud of the full Award, net of taxes.</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Nominations by Shareholders</w:t>
      </w:r>
    </w:p>
    <w:p>
      <w:pPr>
        <w:spacing w:after="0" w:line="193"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In accordance with the Company’s Amended and Restated Bylaws, in order to nominate a director for election to the Board at an annual meeting of shareholders, a shareholder must deliver written notice of such nomination to the Corporate Secretary of the Company at the Company’s executive offices no fewer than 60 days nor more than 90 days prior to the date of the annual meeting (or if less than 60 days’ notice or prior public disclosure of the date of such annual meeting is given or made to the shareholders, not later than the tenth day following the day on which notice of the date of the annual meeting was mailed or public disclosure was made). The notice of a shareholder’s intention to nominate a director must include:</w:t>
      </w:r>
    </w:p>
    <w:p>
      <w:pPr>
        <w:sectPr>
          <w:pgSz w:w="11900" w:h="16838" w:orient="portrait"/>
          <w:cols w:equalWidth="0" w:num="1">
            <w:col w:w="11180"/>
          </w:cols>
          <w:pgMar w:left="240" w:top="459" w:right="479" w:bottom="1440" w:gutter="0" w:footer="0" w:header="0"/>
        </w:sectPr>
      </w:pPr>
    </w:p>
    <w:p>
      <w:pPr>
        <w:spacing w:after="0" w:line="113" w:lineRule="exact"/>
        <w:rPr>
          <w:sz w:val="20"/>
          <w:szCs w:val="20"/>
          <w:color w:val="auto"/>
        </w:rPr>
      </w:pPr>
    </w:p>
    <w:p>
      <w:pPr>
        <w:ind w:left="520"/>
        <w:spacing w:after="0"/>
        <w:rPr>
          <w:sz w:val="20"/>
          <w:szCs w:val="20"/>
          <w:color w:val="auto"/>
        </w:rPr>
      </w:pPr>
      <w:r>
        <w:rPr>
          <w:rFonts w:ascii="Arial" w:cs="Arial" w:eastAsia="Arial" w:hAnsi="Arial"/>
          <w:sz w:val="25"/>
          <w:szCs w:val="25"/>
          <w:color w:val="auto"/>
        </w:rPr>
        <w:t>•</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25"/>
          <w:szCs w:val="25"/>
          <w:color w:val="auto"/>
        </w:rPr>
        <w:t>•</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25"/>
          <w:szCs w:val="25"/>
          <w:color w:val="auto"/>
        </w:rPr>
        <w:t>•</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25"/>
          <w:szCs w:val="25"/>
          <w:color w:val="auto"/>
        </w:rPr>
        <w:t>•</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the name and address of the shareholder;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 representation that the shareholder is entitled to vote at the meeting at which directors will be elected;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 statement of the number of shares of the Company that are beneficially owned by the shareholder;</w:t>
      </w:r>
    </w:p>
    <w:p>
      <w:pPr>
        <w:spacing w:after="0" w:line="212"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a representation that the shareholder intends to appear in person or by proxy at the meeting to nominate the person or persons specified in the notice;</w:t>
      </w:r>
    </w:p>
    <w:p>
      <w:pPr>
        <w:spacing w:after="0" w:line="156" w:lineRule="exact"/>
        <w:rPr>
          <w:sz w:val="20"/>
          <w:szCs w:val="20"/>
          <w:color w:val="auto"/>
        </w:rPr>
      </w:pPr>
    </w:p>
    <w:p>
      <w:pPr>
        <w:sectPr>
          <w:pgSz w:w="11900" w:h="16838" w:orient="portrait"/>
          <w:cols w:equalWidth="0" w:num="2">
            <w:col w:w="620" w:space="340"/>
            <w:col w:w="10220"/>
          </w:cols>
          <w:pgMar w:left="240" w:top="459" w:right="47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and the following information with respect to the person nominated by the shareholder:</w:t>
      </w:r>
    </w:p>
    <w:p>
      <w:pPr>
        <w:sectPr>
          <w:pgSz w:w="11900" w:h="16838" w:orient="portrait"/>
          <w:cols w:equalWidth="0" w:num="1">
            <w:col w:w="11180"/>
          </w:cols>
          <w:pgMar w:left="240" w:top="459" w:right="479" w:bottom="1440" w:gutter="0" w:footer="0" w:header="0"/>
          <w:type w:val="continuous"/>
        </w:sectPr>
      </w:pPr>
    </w:p>
    <w:p>
      <w:pPr>
        <w:spacing w:after="0" w:line="226" w:lineRule="exact"/>
        <w:rPr>
          <w:sz w:val="20"/>
          <w:szCs w:val="20"/>
          <w:color w:val="auto"/>
        </w:rPr>
      </w:pPr>
    </w:p>
    <w:p>
      <w:pPr>
        <w:ind w:left="520"/>
        <w:spacing w:after="0"/>
        <w:rPr>
          <w:sz w:val="20"/>
          <w:szCs w:val="20"/>
          <w:color w:val="auto"/>
        </w:rPr>
      </w:pPr>
      <w:r>
        <w:rPr>
          <w:rFonts w:ascii="Arial" w:cs="Arial" w:eastAsia="Arial" w:hAnsi="Arial"/>
          <w:sz w:val="25"/>
          <w:szCs w:val="25"/>
          <w:color w:val="auto"/>
        </w:rPr>
        <w:t>•</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25"/>
          <w:szCs w:val="25"/>
          <w:color w:val="auto"/>
        </w:rPr>
        <w:t>•</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25"/>
          <w:szCs w:val="25"/>
          <w:color w:val="auto"/>
        </w:rPr>
        <w:t>•</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25"/>
          <w:szCs w:val="25"/>
          <w:color w:val="auto"/>
        </w:rPr>
        <w:t>•</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other information regarding such nominee as would be required in a proxy statement filed pursuant to applicable SEC rules;</w:t>
      </w:r>
    </w:p>
    <w:p>
      <w:pPr>
        <w:spacing w:after="0" w:line="223" w:lineRule="exact"/>
        <w:rPr>
          <w:sz w:val="20"/>
          <w:szCs w:val="20"/>
          <w:color w:val="auto"/>
        </w:rPr>
      </w:pPr>
    </w:p>
    <w:p>
      <w:pPr>
        <w:ind w:right="740"/>
        <w:spacing w:after="0" w:line="246" w:lineRule="auto"/>
        <w:rPr>
          <w:sz w:val="20"/>
          <w:szCs w:val="20"/>
          <w:color w:val="auto"/>
        </w:rPr>
      </w:pPr>
      <w:r>
        <w:rPr>
          <w:rFonts w:ascii="Arial" w:cs="Arial" w:eastAsia="Arial" w:hAnsi="Arial"/>
          <w:sz w:val="18"/>
          <w:szCs w:val="18"/>
          <w:color w:val="auto"/>
        </w:rPr>
        <w:t>a description of any arrangements or understandings between the shareholder and the nominee and any other persons (including their names), pursuant to which the nomination is made; and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consent of such nominee to serve as a director, if elected.</w:t>
      </w:r>
    </w:p>
    <w:p>
      <w:pPr>
        <w:spacing w:after="0" w:line="278" w:lineRule="exact"/>
        <w:rPr>
          <w:sz w:val="20"/>
          <w:szCs w:val="20"/>
          <w:color w:val="auto"/>
        </w:rPr>
      </w:pPr>
    </w:p>
    <w:p>
      <w:pPr>
        <w:sectPr>
          <w:pgSz w:w="11900" w:h="16838" w:orient="portrait"/>
          <w:cols w:equalWidth="0" w:num="2">
            <w:col w:w="620" w:space="340"/>
            <w:col w:w="10220"/>
          </w:cols>
          <w:pgMar w:left="240" w:top="459" w:right="479" w:bottom="1440" w:gutter="0" w:footer="0" w:header="0"/>
          <w:type w:val="continuous"/>
        </w:sectPr>
      </w:pPr>
    </w:p>
    <w:p>
      <w:pPr>
        <w:ind w:left="200"/>
        <w:spacing w:after="0"/>
        <w:rPr>
          <w:sz w:val="20"/>
          <w:szCs w:val="20"/>
          <w:color w:val="auto"/>
        </w:rPr>
      </w:pPr>
      <w:r>
        <w:rPr>
          <w:rFonts w:ascii="Arial" w:cs="Arial" w:eastAsia="Arial" w:hAnsi="Arial"/>
          <w:sz w:val="18"/>
          <w:szCs w:val="18"/>
          <w:color w:val="auto"/>
        </w:rPr>
        <w:t>Other directors and senior management of the Company may also recommend director nominees for consideration by the Nominating and Corporate Governance Committee. The Nominating and Corporate Governance Committee evaluates director nominees, including nominees that are submitted to the Company by a shareholder, taking into consideration the qualification criteria set forth under</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240" w:top="459" w:right="47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160"/>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ELECTION OF DIRECTORS – Director and Director Nominee Qualifications</w:t>
      </w:r>
      <w:r>
        <w:rPr>
          <w:rFonts w:ascii="Arial" w:cs="Arial" w:eastAsia="Arial" w:hAnsi="Arial"/>
          <w:sz w:val="17"/>
          <w:szCs w:val="17"/>
          <w:color w:val="auto"/>
        </w:rPr>
        <w:t>” in this proxy statement. In the event of a shareholder recommendation, the Nominating and Corporate Governance Committee screens and evaluates the person recommended in the same manner as other candidates. In addition, the Nominating and Corporate Governance Committee determines if the proposed director nominee will have sufficient time available to effectively carry out his or her Board duties and responsibilities. The Nominating and Corporate Governance Committee may then recommend the director candidate to the Board for its consideration, if deemed appropriate.</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Shareholder Communications with the Board</w:t>
      </w:r>
    </w:p>
    <w:p>
      <w:pPr>
        <w:spacing w:after="0" w:line="19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 xml:space="preserve">The Company’s Board provides a process whereby shareholders may contact the Board or any committee as a group or any committee Chair or individual director, by email addressed to </w:t>
      </w:r>
      <w:r>
        <w:rPr>
          <w:rFonts w:ascii="Arial" w:cs="Arial" w:eastAsia="Arial" w:hAnsi="Arial"/>
          <w:sz w:val="18"/>
          <w:szCs w:val="18"/>
          <w:i w:val="1"/>
          <w:iCs w:val="1"/>
          <w:color w:val="auto"/>
        </w:rPr>
        <w:t>boardofdirectors@itron.com</w:t>
      </w:r>
      <w:r>
        <w:rPr>
          <w:rFonts w:ascii="Arial" w:cs="Arial" w:eastAsia="Arial" w:hAnsi="Arial"/>
          <w:sz w:val="18"/>
          <w:szCs w:val="18"/>
          <w:color w:val="auto"/>
        </w:rPr>
        <w:t xml:space="preserve">. Shareholders should clearly specify in each communication the name of the director to whom the communication is addressed. Shareholders may also write to the Board or any committee as a group or any committee Chair or individual director by sending the communication to: Itron, Inc., Attn: Corporate Secretary, 2111 N. Molter Road, Liberty Lake, WA 99019. Communications may also be submitted through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by selecting “Investors,” “Corporate Governance,” and then “Contact the Board.”</w:t>
      </w:r>
    </w:p>
    <w:p>
      <w:pPr>
        <w:spacing w:after="0" w:line="165"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 xml:space="preserve">Shareholder communications are delivered directly to the Corporate Secretary of the Company, who then determines whether to forward such communications to the specified director addressees. You can access a description of the process that the Corporate Secretary uses for determining whether to forward shareholders’ communications to directors at our website, </w:t>
      </w:r>
      <w:r>
        <w:rPr>
          <w:rFonts w:ascii="Arial" w:cs="Arial" w:eastAsia="Arial" w:hAnsi="Arial"/>
          <w:sz w:val="18"/>
          <w:szCs w:val="18"/>
          <w:i w:val="1"/>
          <w:iCs w:val="1"/>
          <w:color w:val="auto"/>
        </w:rPr>
        <w:t>www.itron.com</w:t>
      </w:r>
      <w:r>
        <w:rPr>
          <w:rFonts w:ascii="Arial" w:cs="Arial" w:eastAsia="Arial" w:hAnsi="Arial"/>
          <w:sz w:val="18"/>
          <w:szCs w:val="18"/>
          <w:color w:val="auto"/>
        </w:rPr>
        <w:t>, by selecting “Investors,” “Corporate Governance,” and then “Contact the Board.”</w:t>
      </w:r>
    </w:p>
    <w:p>
      <w:pPr>
        <w:spacing w:after="0" w:line="175" w:lineRule="exact"/>
        <w:rPr>
          <w:sz w:val="20"/>
          <w:szCs w:val="20"/>
          <w:color w:val="auto"/>
        </w:rPr>
      </w:pPr>
    </w:p>
    <w:p>
      <w:pPr>
        <w:ind w:left="200" w:right="300"/>
        <w:spacing w:after="0" w:line="239" w:lineRule="auto"/>
        <w:rPr>
          <w:sz w:val="20"/>
          <w:szCs w:val="20"/>
          <w:color w:val="auto"/>
        </w:rPr>
      </w:pPr>
      <w:r>
        <w:rPr>
          <w:rFonts w:ascii="Arial" w:cs="Arial" w:eastAsia="Arial" w:hAnsi="Arial"/>
          <w:sz w:val="18"/>
          <w:szCs w:val="18"/>
          <w:color w:val="auto"/>
        </w:rPr>
        <w:t>Shareholders wishing to submit proposals for inclusion in the proxy statement relating to the 2020 annual shareholders meeting should follow the procedures specified under “</w:t>
      </w:r>
      <w:r>
        <w:rPr>
          <w:rFonts w:ascii="Arial" w:cs="Arial" w:eastAsia="Arial" w:hAnsi="Arial"/>
          <w:sz w:val="18"/>
          <w:szCs w:val="18"/>
          <w:i w:val="1"/>
          <w:iCs w:val="1"/>
          <w:color w:val="auto"/>
        </w:rPr>
        <w:t>SHAREHOLDER PROPOSALS FOR THE 2020 ANNUAL MEETING”</w:t>
      </w:r>
      <w:r>
        <w:rPr>
          <w:rFonts w:ascii="Arial" w:cs="Arial" w:eastAsia="Arial" w:hAnsi="Arial"/>
          <w:sz w:val="18"/>
          <w:szCs w:val="18"/>
          <w:color w:val="auto"/>
        </w:rPr>
        <w:t xml:space="preserve"> in this proxy statement. Shareholders wishing to nominate directors should follow the procedures specified under “</w:t>
      </w:r>
      <w:r>
        <w:rPr>
          <w:rFonts w:ascii="Arial" w:cs="Arial" w:eastAsia="Arial" w:hAnsi="Arial"/>
          <w:sz w:val="18"/>
          <w:szCs w:val="18"/>
          <w:i w:val="1"/>
          <w:iCs w:val="1"/>
          <w:color w:val="auto"/>
        </w:rPr>
        <w:t>CORPORATE GOVERNANCE</w:t>
      </w:r>
      <w:r>
        <w:rPr>
          <w:rFonts w:ascii="Arial" w:cs="Arial" w:eastAsia="Arial" w:hAnsi="Arial"/>
          <w:sz w:val="18"/>
          <w:szCs w:val="18"/>
          <w:color w:val="auto"/>
        </w:rPr>
        <w:t xml:space="preserve"> – </w:t>
      </w:r>
      <w:r>
        <w:rPr>
          <w:rFonts w:ascii="Arial" w:cs="Arial" w:eastAsia="Arial" w:hAnsi="Arial"/>
          <w:sz w:val="18"/>
          <w:szCs w:val="18"/>
          <w:i w:val="1"/>
          <w:iCs w:val="1"/>
          <w:color w:val="auto"/>
        </w:rPr>
        <w:t>Director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Nominations by Shareholders” </w:t>
      </w:r>
      <w:r>
        <w:rPr>
          <w:rFonts w:ascii="Arial" w:cs="Arial" w:eastAsia="Arial" w:hAnsi="Arial"/>
          <w:sz w:val="18"/>
          <w:szCs w:val="18"/>
          <w:color w:val="auto"/>
        </w:rPr>
        <w:t>in this proxy statement.</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PROPOSAL 2 – ADVISORY APPROVAL OF EXECUTIVE COMPENSATION (Say-on-Pay)</w:t>
      </w:r>
    </w:p>
    <w:p>
      <w:pPr>
        <w:spacing w:after="0" w:line="207"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We are asking our shareholders to approve a non-binding advisory resolution on the Company’s executive compensation programs for our named executive officers (NEOs) (commonly known as “say-on-pay”) as we have described them in this proxy statement. Although this advisory vote is non-binding, the Board and the Compensation Committee will take into account the outcome of the vote when considering future compensation decisions for our executives. As discussed in the Compensation Discussion and Analysis (CD&amp;A) section of this proxy statement, we believe our compensation programs are reasonable, competitive and strongly focused on pay-for-performance principles that will result in the creation of long-term shareholder value. Some of the features of our compensation programs that illustrate our philosophy are:</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significant portion of an NEO’s compensation is at-risk or performance-based and subject to the Company’s operating and</w:t>
      </w:r>
    </w:p>
    <w:p>
      <w:pPr>
        <w:spacing w:after="0" w:line="46" w:lineRule="exact"/>
        <w:rPr>
          <w:sz w:val="20"/>
          <w:szCs w:val="20"/>
          <w:color w:val="auto"/>
        </w:rPr>
      </w:pPr>
    </w:p>
    <w:p>
      <w:pPr>
        <w:ind w:left="960" w:right="40"/>
        <w:spacing w:after="0" w:line="236" w:lineRule="auto"/>
        <w:rPr>
          <w:sz w:val="20"/>
          <w:szCs w:val="20"/>
          <w:color w:val="auto"/>
        </w:rPr>
      </w:pPr>
      <w:r>
        <w:rPr>
          <w:rFonts w:ascii="Arial" w:cs="Arial" w:eastAsia="Arial" w:hAnsi="Arial"/>
          <w:sz w:val="18"/>
          <w:szCs w:val="18"/>
          <w:color w:val="auto"/>
        </w:rPr>
        <w:t>financial performance. We consider annual cash-based incentives, equity long-term incentives, and stock options to be performance-based, because each of these three elements is valuable to the executive only if performance goals are achieved and/or our share price improves. In fiscal year 2018, the executive compensation package (base salary and short- and long-term incentives at target) included 85% of at-risk compensation for the CEO and an average of 76% of at-risk compensation for the other NEOs. Our long-term incentive plan (LTIP) for equity awards granted under our Amended and Restated 2010 Stock Incentive Plan (A&amp;R 2010 Plan) or Second A&amp;R 2010 Plan, as applicable has three-year performance periods, with one-year averages determined each year for measurement purposes, to encourage NEOs to make decisions that align our long-term goals with shareholder interests and to discourage excessive risk taking.</w:t>
      </w:r>
    </w:p>
    <w:p>
      <w:pPr>
        <w:spacing w:after="0" w:line="67" w:lineRule="exact"/>
        <w:rPr>
          <w:sz w:val="20"/>
          <w:szCs w:val="20"/>
          <w:color w:val="auto"/>
        </w:rPr>
      </w:pPr>
    </w:p>
    <w:p>
      <w:pPr>
        <w:ind w:left="960" w:right="360"/>
        <w:spacing w:after="0" w:line="246" w:lineRule="auto"/>
        <w:rPr>
          <w:sz w:val="20"/>
          <w:szCs w:val="20"/>
          <w:color w:val="auto"/>
        </w:rPr>
      </w:pPr>
      <w:r>
        <w:rPr>
          <w:rFonts w:ascii="Arial" w:cs="Arial" w:eastAsia="Arial" w:hAnsi="Arial"/>
          <w:sz w:val="18"/>
          <w:szCs w:val="18"/>
          <w:color w:val="auto"/>
        </w:rPr>
        <w:t>Stock ownership guidelines require executive officers to acquire and hold certain amounts of Itron stock to further strengthen alignment of management’s interest with those of our shareholders.</w:t>
      </w:r>
    </w:p>
    <w:p>
      <w:pPr>
        <w:spacing w:after="0" w:line="102" w:lineRule="exact"/>
        <w:rPr>
          <w:sz w:val="20"/>
          <w:szCs w:val="20"/>
          <w:color w:val="auto"/>
        </w:rPr>
      </w:pPr>
    </w:p>
    <w:p>
      <w:pPr>
        <w:ind w:left="960" w:right="40"/>
        <w:spacing w:after="0" w:line="237" w:lineRule="auto"/>
        <w:rPr>
          <w:sz w:val="20"/>
          <w:szCs w:val="20"/>
          <w:color w:val="auto"/>
        </w:rPr>
      </w:pPr>
      <w:r>
        <w:rPr>
          <w:rFonts w:ascii="Arial" w:cs="Arial" w:eastAsia="Arial" w:hAnsi="Arial"/>
          <w:sz w:val="18"/>
          <w:szCs w:val="18"/>
          <w:color w:val="auto"/>
        </w:rPr>
        <w:t>We have established an Incentive Repayment (Clawback) Policy that covers awards under all of our incentive programs, and provides that if a bonus or equity award is paid that is conditional on meeting certain financial metrics, and subsequently, there is a required material financial restatement, which, had the correct information been known at the time, would have resulted in a lower award, then the Board (or its delegated committee) has the right to demand repayment of the excess amount of the award, net of taxes. If the Board (or its delegated committee) determines that fraud has resulted in a material financial restatement, it is required that the Board demand repayment of the full award, net of taxes.</w:t>
      </w:r>
    </w:p>
    <w:p>
      <w:pPr>
        <w:spacing w:after="0" w:line="110" w:lineRule="exact"/>
        <w:rPr>
          <w:sz w:val="20"/>
          <w:szCs w:val="20"/>
          <w:color w:val="auto"/>
        </w:rPr>
      </w:pPr>
    </w:p>
    <w:p>
      <w:pPr>
        <w:ind w:left="960"/>
        <w:spacing w:after="0" w:line="239" w:lineRule="auto"/>
        <w:rPr>
          <w:sz w:val="20"/>
          <w:szCs w:val="20"/>
          <w:color w:val="auto"/>
        </w:rPr>
      </w:pPr>
      <w:r>
        <w:rPr>
          <w:rFonts w:ascii="Arial" w:cs="Arial" w:eastAsia="Arial" w:hAnsi="Arial"/>
          <w:sz w:val="18"/>
          <w:szCs w:val="18"/>
          <w:color w:val="auto"/>
        </w:rPr>
        <w:t>We maintain our long-standing commitment to strong corporate governance by continuing our policies of (i) separate Board Chair and CEO roles, (ii) majority voting for directors, (iii) all independent Board members (except our CEO) and all independent committee members, (iv) executive sessions of independent directors after each quarterly Board meeting, and (v) prohibition on hedging or pledging of Itron stock by our executives.</w:t>
      </w:r>
    </w:p>
    <w:p>
      <w:pPr>
        <w:spacing w:after="0" w:line="107" w:lineRule="exact"/>
        <w:rPr>
          <w:sz w:val="20"/>
          <w:szCs w:val="20"/>
          <w:color w:val="auto"/>
        </w:rPr>
      </w:pPr>
    </w:p>
    <w:p>
      <w:pPr>
        <w:ind w:left="960" w:right="120"/>
        <w:spacing w:after="0" w:line="237" w:lineRule="auto"/>
        <w:rPr>
          <w:sz w:val="20"/>
          <w:szCs w:val="20"/>
          <w:color w:val="auto"/>
        </w:rPr>
      </w:pPr>
      <w:r>
        <w:rPr>
          <w:rFonts w:ascii="Arial" w:cs="Arial" w:eastAsia="Arial" w:hAnsi="Arial"/>
          <w:sz w:val="18"/>
          <w:szCs w:val="18"/>
          <w:color w:val="auto"/>
        </w:rPr>
        <w:t xml:space="preserve">The compensation of our NEOs varies depending upon the achievement of pre-established performance goals determined by the Compensation Committee (or the independent members of the Board, for the CEO), which are intended to serve as incentives for our executives. When performance does not meet the pre-established target goals, as was the case in prior years and in 2018, then the amount of compensation paid to our executives is correspondingly reduced or eliminated. Conversely, when the Company’s operating and financial performance meets or exceeds the pre-established performance metrics, then the amount of compensation paid to our executives increases.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The 2018 Executive Compensation Program in Detail</w:t>
      </w:r>
      <w:r>
        <w:rPr>
          <w:rFonts w:ascii="Arial" w:cs="Arial" w:eastAsia="Arial" w:hAnsi="Arial"/>
          <w:sz w:val="18"/>
          <w:szCs w:val="18"/>
          <w:color w:val="auto"/>
        </w:rPr>
        <w:t>” in the CD&amp;A.</w:t>
      </w:r>
    </w:p>
    <w:p>
      <w:pPr>
        <w:spacing w:after="0" w:line="18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40"/>
        <w:spacing w:after="0" w:line="257" w:lineRule="auto"/>
        <w:rPr>
          <w:sz w:val="20"/>
          <w:szCs w:val="20"/>
          <w:color w:val="auto"/>
        </w:rPr>
      </w:pPr>
      <w:r>
        <w:rPr>
          <w:rFonts w:ascii="Arial" w:cs="Arial" w:eastAsia="Arial" w:hAnsi="Arial"/>
          <w:sz w:val="17"/>
          <w:szCs w:val="17"/>
          <w:color w:val="auto"/>
        </w:rPr>
        <w:t>We believe our executive compensation policies have enabled us to retain and attract exceptional senior executives whose talent and experience have helped Itron become a leader in our industry. Our Compensation Committee (and for the CEO compensation also the independent members of the Board), which provides overall direction for our compensation programs, believes the fiscal year 2018 compensation paid to our NEOs is reasonable and appropriate and adequately reflects the Company’s overall performance in 2018.</w:t>
      </w:r>
    </w:p>
    <w:p>
      <w:pPr>
        <w:spacing w:after="0" w:line="162" w:lineRule="exact"/>
        <w:rPr>
          <w:sz w:val="20"/>
          <w:szCs w:val="20"/>
          <w:color w:val="auto"/>
        </w:rPr>
      </w:pPr>
    </w:p>
    <w:p>
      <w:pPr>
        <w:ind w:left="200" w:right="1180"/>
        <w:spacing w:after="0" w:line="246" w:lineRule="auto"/>
        <w:rPr>
          <w:sz w:val="20"/>
          <w:szCs w:val="20"/>
          <w:color w:val="auto"/>
        </w:rPr>
      </w:pPr>
      <w:r>
        <w:rPr>
          <w:rFonts w:ascii="Arial" w:cs="Arial" w:eastAsia="Arial" w:hAnsi="Arial"/>
          <w:sz w:val="18"/>
          <w:szCs w:val="18"/>
          <w:color w:val="auto"/>
        </w:rPr>
        <w:t>Shareholders are encouraged to read the full details of our executive compensation programs as described in the Executive Compensation section of this proxy statement.</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the reasons provided above, we recommend that the shareholders vote in favor of the following resolution:</w:t>
      </w:r>
    </w:p>
    <w:p>
      <w:pPr>
        <w:spacing w:after="0" w:line="171" w:lineRule="exact"/>
        <w:rPr>
          <w:sz w:val="20"/>
          <w:szCs w:val="20"/>
          <w:color w:val="auto"/>
        </w:rPr>
      </w:pPr>
    </w:p>
    <w:p>
      <w:pPr>
        <w:ind w:left="200" w:right="100"/>
        <w:spacing w:after="0"/>
        <w:rPr>
          <w:sz w:val="20"/>
          <w:szCs w:val="20"/>
          <w:color w:val="auto"/>
        </w:rPr>
      </w:pPr>
      <w:r>
        <w:rPr>
          <w:rFonts w:ascii="Arial" w:cs="Arial" w:eastAsia="Arial" w:hAnsi="Arial"/>
          <w:sz w:val="18"/>
          <w:szCs w:val="18"/>
          <w:color w:val="auto"/>
        </w:rPr>
        <w:t>RESOLVED, that the shareholders approve, on a non-binding advisory basis, the compensation of the Company’s named executive officers, as disclosed in the Compensation Discussion and Analysis and compensation tables along with the accompanying footnotes and narrative disclosures of the proxy statement.</w:t>
      </w:r>
    </w:p>
    <w:p>
      <w:pPr>
        <w:spacing w:after="0" w:line="18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The Board recommends that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2080260</wp:posOffset>
            </wp:positionH>
            <wp:positionV relativeFrom="paragraph">
              <wp:posOffset>-116205</wp:posOffset>
            </wp:positionV>
            <wp:extent cx="171450" cy="4457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1450" cy="445770"/>
                    </a:xfrm>
                    <a:prstGeom prst="rect">
                      <a:avLst/>
                    </a:prstGeom>
                    <a:noFill/>
                  </pic:spPr>
                </pic:pic>
              </a:graphicData>
            </a:graphic>
          </wp:anchor>
        </w:drawing>
      </w:r>
    </w:p>
    <w:p>
      <w:pPr>
        <w:ind w:left="3800"/>
        <w:spacing w:after="0"/>
        <w:rPr>
          <w:sz w:val="20"/>
          <w:szCs w:val="20"/>
          <w:color w:val="auto"/>
        </w:rPr>
      </w:pPr>
      <w:r>
        <w:rPr>
          <w:rFonts w:ascii="Arial" w:cs="Arial" w:eastAsia="Arial" w:hAnsi="Arial"/>
          <w:sz w:val="18"/>
          <w:szCs w:val="18"/>
          <w:b w:val="1"/>
          <w:bCs w:val="1"/>
          <w:color w:val="auto"/>
        </w:rPr>
        <w:t>vote “FOR” the approval of the compensation paid to</w:t>
      </w:r>
    </w:p>
    <w:p>
      <w:pPr>
        <w:ind w:left="3800"/>
        <w:spacing w:after="0"/>
        <w:rPr>
          <w:sz w:val="20"/>
          <w:szCs w:val="20"/>
          <w:color w:val="auto"/>
        </w:rPr>
      </w:pPr>
      <w:r>
        <w:rPr>
          <w:rFonts w:ascii="Arial" w:cs="Arial" w:eastAsia="Arial" w:hAnsi="Arial"/>
          <w:sz w:val="18"/>
          <w:szCs w:val="18"/>
          <w:b w:val="1"/>
          <w:bCs w:val="1"/>
          <w:color w:val="auto"/>
        </w:rPr>
        <w:t>our named executive officers in fiscal year 2018.</w:t>
      </w:r>
    </w:p>
    <w:p>
      <w:pPr>
        <w:spacing w:after="0" w:line="25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DISCUSSION &amp; ANALYSIS (CD&amp;A)</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This CD&amp;A explains our executive compensation program for our named executive officers (NEOs) listed below. The CD&amp;A also describes the process followed by the Compensation Committee of the Board (referred to as the Compensation Committee or the Committee in this CD&amp;A) for making pay decisions, as well as its rationale for specific decisions related to 2018.</w:t>
      </w:r>
    </w:p>
    <w:p>
      <w:pPr>
        <w:spacing w:after="0" w:line="208"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280" w:type="dxa"/>
            <w:vAlign w:val="bottom"/>
          </w:tcPr>
          <w:p>
            <w:pPr>
              <w:spacing w:after="0"/>
              <w:rPr>
                <w:sz w:val="20"/>
                <w:szCs w:val="20"/>
                <w:color w:val="auto"/>
              </w:rPr>
            </w:pPr>
          </w:p>
        </w:tc>
        <w:tc>
          <w:tcPr>
            <w:tcW w:w="7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Title</w:t>
            </w:r>
          </w:p>
        </w:tc>
      </w:tr>
      <w:tr>
        <w:trPr>
          <w:trHeight w:val="304"/>
        </w:trPr>
        <w:tc>
          <w:tcPr>
            <w:tcW w:w="2540" w:type="dxa"/>
            <w:vAlign w:val="bottom"/>
            <w:gridSpan w:val="3"/>
          </w:tcPr>
          <w:p>
            <w:pPr>
              <w:spacing w:after="0"/>
              <w:rPr>
                <w:sz w:val="20"/>
                <w:szCs w:val="20"/>
                <w:color w:val="auto"/>
              </w:rPr>
            </w:pPr>
            <w:r>
              <w:rPr>
                <w:rFonts w:ascii="Arial" w:cs="Arial" w:eastAsia="Arial" w:hAnsi="Arial"/>
                <w:sz w:val="18"/>
                <w:szCs w:val="18"/>
                <w:color w:val="auto"/>
              </w:rPr>
              <w:t>Philip C. Mezey</w:t>
            </w:r>
          </w:p>
        </w:tc>
        <w:tc>
          <w:tcPr>
            <w:tcW w:w="7600" w:type="dxa"/>
            <w:vAlign w:val="bottom"/>
            <w:gridSpan w:val="2"/>
          </w:tcPr>
          <w:p>
            <w:pPr>
              <w:spacing w:after="0"/>
              <w:rPr>
                <w:sz w:val="20"/>
                <w:szCs w:val="20"/>
                <w:color w:val="auto"/>
              </w:rPr>
            </w:pPr>
            <w:r>
              <w:rPr>
                <w:rFonts w:ascii="Arial" w:cs="Arial" w:eastAsia="Arial" w:hAnsi="Arial"/>
                <w:sz w:val="18"/>
                <w:szCs w:val="18"/>
                <w:color w:val="auto"/>
              </w:rPr>
              <w:t>President and CEO</w:t>
            </w:r>
          </w:p>
        </w:tc>
      </w:tr>
      <w:tr>
        <w:trPr>
          <w:trHeight w:val="311"/>
        </w:trPr>
        <w:tc>
          <w:tcPr>
            <w:tcW w:w="2540" w:type="dxa"/>
            <w:vAlign w:val="bottom"/>
            <w:gridSpan w:val="3"/>
          </w:tcPr>
          <w:p>
            <w:pPr>
              <w:spacing w:after="0"/>
              <w:rPr>
                <w:sz w:val="20"/>
                <w:szCs w:val="20"/>
                <w:color w:val="auto"/>
              </w:rPr>
            </w:pPr>
            <w:r>
              <w:rPr>
                <w:rFonts w:ascii="Arial" w:cs="Arial" w:eastAsia="Arial" w:hAnsi="Arial"/>
                <w:sz w:val="18"/>
                <w:szCs w:val="18"/>
                <w:color w:val="auto"/>
              </w:rPr>
              <w:t>Thomas L. Deitrich</w:t>
            </w:r>
          </w:p>
        </w:tc>
        <w:tc>
          <w:tcPr>
            <w:tcW w:w="7600" w:type="dxa"/>
            <w:vAlign w:val="bottom"/>
            <w:gridSpan w:val="2"/>
          </w:tcPr>
          <w:p>
            <w:pPr>
              <w:spacing w:after="0"/>
              <w:rPr>
                <w:sz w:val="20"/>
                <w:szCs w:val="20"/>
                <w:color w:val="auto"/>
              </w:rPr>
            </w:pPr>
            <w:r>
              <w:rPr>
                <w:rFonts w:ascii="Arial" w:cs="Arial" w:eastAsia="Arial" w:hAnsi="Arial"/>
                <w:sz w:val="18"/>
                <w:szCs w:val="18"/>
                <w:color w:val="auto"/>
              </w:rPr>
              <w:t>Executive Vice President and Chief Operating Officer (COO)</w:t>
            </w:r>
          </w:p>
        </w:tc>
      </w:tr>
      <w:tr>
        <w:trPr>
          <w:trHeight w:val="311"/>
        </w:trPr>
        <w:tc>
          <w:tcPr>
            <w:tcW w:w="2540" w:type="dxa"/>
            <w:vAlign w:val="bottom"/>
            <w:gridSpan w:val="3"/>
          </w:tcPr>
          <w:p>
            <w:pPr>
              <w:spacing w:after="0"/>
              <w:rPr>
                <w:sz w:val="20"/>
                <w:szCs w:val="20"/>
                <w:color w:val="auto"/>
              </w:rPr>
            </w:pPr>
            <w:r>
              <w:rPr>
                <w:rFonts w:ascii="Arial" w:cs="Arial" w:eastAsia="Arial" w:hAnsi="Arial"/>
                <w:sz w:val="18"/>
                <w:szCs w:val="18"/>
                <w:color w:val="auto"/>
              </w:rPr>
              <w:t>Joan S. Hooper</w:t>
            </w:r>
          </w:p>
        </w:tc>
        <w:tc>
          <w:tcPr>
            <w:tcW w:w="7600" w:type="dxa"/>
            <w:vAlign w:val="bottom"/>
            <w:gridSpan w:val="2"/>
          </w:tcPr>
          <w:p>
            <w:pPr>
              <w:spacing w:after="0"/>
              <w:rPr>
                <w:sz w:val="20"/>
                <w:szCs w:val="20"/>
                <w:color w:val="auto"/>
              </w:rPr>
            </w:pPr>
            <w:r>
              <w:rPr>
                <w:rFonts w:ascii="Arial" w:cs="Arial" w:eastAsia="Arial" w:hAnsi="Arial"/>
                <w:sz w:val="18"/>
                <w:szCs w:val="18"/>
                <w:color w:val="auto"/>
              </w:rPr>
              <w:t>Senior Vice President and CFO</w:t>
            </w:r>
          </w:p>
        </w:tc>
      </w:tr>
      <w:tr>
        <w:trPr>
          <w:trHeight w:val="311"/>
        </w:trPr>
        <w:tc>
          <w:tcPr>
            <w:tcW w:w="2540" w:type="dxa"/>
            <w:vAlign w:val="bottom"/>
            <w:gridSpan w:val="3"/>
          </w:tcPr>
          <w:p>
            <w:pPr>
              <w:spacing w:after="0"/>
              <w:rPr>
                <w:sz w:val="20"/>
                <w:szCs w:val="20"/>
                <w:color w:val="auto"/>
              </w:rPr>
            </w:pPr>
            <w:r>
              <w:rPr>
                <w:rFonts w:ascii="Arial" w:cs="Arial" w:eastAsia="Arial" w:hAnsi="Arial"/>
                <w:sz w:val="18"/>
                <w:szCs w:val="18"/>
                <w:color w:val="auto"/>
              </w:rPr>
              <w:t>Sarah E. Hlavinka*</w:t>
            </w:r>
          </w:p>
        </w:tc>
        <w:tc>
          <w:tcPr>
            <w:tcW w:w="7600" w:type="dxa"/>
            <w:vAlign w:val="bottom"/>
            <w:gridSpan w:val="2"/>
          </w:tcPr>
          <w:p>
            <w:pPr>
              <w:spacing w:after="0"/>
              <w:rPr>
                <w:sz w:val="20"/>
                <w:szCs w:val="20"/>
                <w:color w:val="auto"/>
              </w:rPr>
            </w:pPr>
            <w:r>
              <w:rPr>
                <w:rFonts w:ascii="Arial" w:cs="Arial" w:eastAsia="Arial" w:hAnsi="Arial"/>
                <w:sz w:val="18"/>
                <w:szCs w:val="18"/>
                <w:color w:val="auto"/>
              </w:rPr>
              <w:t>Senior Vice President, General Counsel and Corporate Secretary</w:t>
            </w:r>
          </w:p>
        </w:tc>
      </w:tr>
      <w:tr>
        <w:trPr>
          <w:trHeight w:val="311"/>
        </w:trPr>
        <w:tc>
          <w:tcPr>
            <w:tcW w:w="25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Michel C. Cadieux</w:t>
            </w:r>
          </w:p>
        </w:tc>
        <w:tc>
          <w:tcPr>
            <w:tcW w:w="7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Senior Vice President, Human Resources</w:t>
            </w:r>
          </w:p>
        </w:tc>
        <w:tc>
          <w:tcPr>
            <w:tcW w:w="100" w:type="dxa"/>
            <w:vAlign w:val="bottom"/>
          </w:tcPr>
          <w:p>
            <w:pPr>
              <w:spacing w:after="0"/>
              <w:rPr>
                <w:sz w:val="24"/>
                <w:szCs w:val="24"/>
                <w:color w:val="auto"/>
              </w:rPr>
            </w:pPr>
          </w:p>
        </w:tc>
      </w:tr>
    </w:tbl>
    <w:p>
      <w:pPr>
        <w:spacing w:after="0" w:line="45" w:lineRule="exact"/>
        <w:rPr>
          <w:sz w:val="20"/>
          <w:szCs w:val="20"/>
          <w:color w:val="auto"/>
        </w:rPr>
      </w:pPr>
    </w:p>
    <w:p>
      <w:pPr>
        <w:ind w:left="1280" w:hanging="428"/>
        <w:spacing w:after="0"/>
        <w:tabs>
          <w:tab w:leader="none" w:pos="12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On August 6, 2018, Ms. Hlavinka joined the Company as Senior Vice President, General Counsel and Corporate Secretary.</w:t>
      </w:r>
    </w:p>
    <w:p>
      <w:pPr>
        <w:spacing w:after="0" w:line="30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2019 Leadership Succession in Motion</w:t>
      </w:r>
    </w:p>
    <w:p>
      <w:pPr>
        <w:spacing w:after="0" w:line="189"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On January 22, 2019, Philip Mezey, the Company’s President and CEO and a member of the Board of Directors, informed the Board of his intention to retire from his positions. Mr. Mezey will continue to lead the Company as President and CEO and serve as a member of the Board until August 31, 2019, or until a successor is appointed. Upon the appointment of a successor, Mr. Mezey will remain with the Company as an advisor through December 31, 2019, to help facilitate a seamless transition. For more information, refer to the Form 8-K filed by the Company on January 22, 2019.</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Executive Summary</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Business Performance</w:t>
      </w:r>
    </w:p>
    <w:p>
      <w:pPr>
        <w:spacing w:after="0" w:line="19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In 2018, Itron continued to execute on strategic initiatives to deliver long-term value for our investors. We encountered supply chain headwinds throughout the year that impacted revenue and profitability. While we were able to mitigate some of the impact through cost controls, including reduced discretionary spending and the elimination of executive and management variable compensation, we fell short on our financial targets. Revenue, non-GAAP earnings per diluted share</w:t>
      </w:r>
      <w:r>
        <w:rPr>
          <w:rFonts w:ascii="Arial" w:cs="Arial" w:eastAsia="Arial" w:hAnsi="Arial"/>
          <w:sz w:val="15"/>
          <w:szCs w:val="15"/>
          <w:color w:val="auto"/>
        </w:rPr>
        <w:t>(1)</w:t>
      </w:r>
      <w:r>
        <w:rPr>
          <w:rFonts w:ascii="Arial" w:cs="Arial" w:eastAsia="Arial" w:hAnsi="Arial"/>
          <w:sz w:val="18"/>
          <w:szCs w:val="18"/>
          <w:color w:val="auto"/>
        </w:rPr>
        <w:t xml:space="preserve"> (EPS), and earnings before interest, tax, depreciation and amortization (Adjusted EBITDA)</w:t>
      </w:r>
      <w:r>
        <w:rPr>
          <w:rFonts w:ascii="Arial" w:cs="Arial" w:eastAsia="Arial" w:hAnsi="Arial"/>
          <w:sz w:val="15"/>
          <w:szCs w:val="15"/>
          <w:color w:val="auto"/>
        </w:rPr>
        <w:t>(1)(2)</w:t>
      </w:r>
      <w:r>
        <w:rPr>
          <w:rFonts w:ascii="Arial" w:cs="Arial" w:eastAsia="Arial" w:hAnsi="Arial"/>
          <w:sz w:val="18"/>
          <w:szCs w:val="18"/>
          <w:color w:val="auto"/>
        </w:rPr>
        <w:t xml:space="preserve"> metrics are all strongly embedded in our executive compensation program, which resulted in zero payment in 2018:</w:t>
      </w:r>
    </w:p>
    <w:p>
      <w:pPr>
        <w:spacing w:after="0" w:line="159" w:lineRule="exact"/>
        <w:rPr>
          <w:sz w:val="20"/>
          <w:szCs w:val="20"/>
          <w:color w:val="auto"/>
        </w:rPr>
      </w:pPr>
    </w:p>
    <w:p>
      <w:pPr>
        <w:ind w:left="1280" w:right="380"/>
        <w:spacing w:after="0" w:line="246" w:lineRule="auto"/>
        <w:rPr>
          <w:sz w:val="20"/>
          <w:szCs w:val="20"/>
          <w:color w:val="auto"/>
        </w:rPr>
      </w:pPr>
      <w:r>
        <w:rPr>
          <w:rFonts w:ascii="Arial" w:cs="Arial" w:eastAsia="Arial" w:hAnsi="Arial"/>
          <w:sz w:val="18"/>
          <w:szCs w:val="18"/>
          <w:color w:val="auto"/>
        </w:rPr>
        <w:t>Total Company consolidated revenue of $2.4 billion increased 18% from 2017, driven by the acquisition of Silver Spring Networks;</w:t>
      </w:r>
    </w:p>
    <w:p>
      <w:pPr>
        <w:spacing w:after="0" w:line="196" w:lineRule="exact"/>
        <w:rPr>
          <w:sz w:val="20"/>
          <w:szCs w:val="20"/>
          <w:color w:val="auto"/>
        </w:rPr>
      </w:pPr>
    </w:p>
    <w:p>
      <w:pPr>
        <w:ind w:left="1280" w:right="2600"/>
        <w:spacing w:after="0" w:line="504" w:lineRule="auto"/>
        <w:rPr>
          <w:sz w:val="20"/>
          <w:szCs w:val="20"/>
          <w:color w:val="auto"/>
        </w:rPr>
      </w:pPr>
      <w:r>
        <w:rPr>
          <w:rFonts w:ascii="Arial" w:cs="Arial" w:eastAsia="Arial" w:hAnsi="Arial"/>
          <w:sz w:val="18"/>
          <w:szCs w:val="18"/>
          <w:color w:val="auto"/>
        </w:rPr>
        <w:t>Total Company Adjusted EBITDA of $235.8 million improved by 2% percent over 2017; and Non-GAAP EPS of $2.65 decreased 13% from 2017.</w:t>
      </w:r>
    </w:p>
    <w:p>
      <w:pPr>
        <w:spacing w:after="0" w:line="1"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Despite the near-term headwinds that impacted 2018 financial results, Itron’s executive leadership team remained focused on the Company’s strategic vision to be a leading partner with utilities and cities to safely, securely and reliably deliver critical infrastructure services. We gained significant momentum on our strategy during the year. First, we strengthened our position in the Smart Energy and Smart City space with the acquisition of Silver Spring Networks. We are progressing well with synergy targets and the technology convergence roadmap to deliver a unified, highly-secure, value-generating solution that leaves no customer behind. Second, in October, we realigned our business segments to Device Solutions, Networked Solutions and Outcomes. This shift supports our strategy to accelerate growth in higher value network and outcomes-based solutions, while providing investors with valuable insight into our operations. Lastly, management continues to be focused on our commitment on expanding margins and executing on operational cost improvements through restructuring programs and other operational efficiency programs. Together, we expect these initiatives to deliver long-term value for our shareholders.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Highlights</w:t>
      </w:r>
    </w:p>
    <w:p>
      <w:pPr>
        <w:spacing w:after="0" w:line="193" w:lineRule="exact"/>
        <w:rPr>
          <w:sz w:val="20"/>
          <w:szCs w:val="20"/>
          <w:color w:val="auto"/>
        </w:rPr>
      </w:pPr>
    </w:p>
    <w:p>
      <w:pPr>
        <w:ind w:left="200" w:right="180"/>
        <w:spacing w:after="0" w:line="237" w:lineRule="auto"/>
        <w:rPr>
          <w:sz w:val="20"/>
          <w:szCs w:val="20"/>
          <w:color w:val="auto"/>
        </w:rPr>
      </w:pPr>
      <w:r>
        <w:rPr>
          <w:rFonts w:ascii="Arial" w:cs="Arial" w:eastAsia="Arial" w:hAnsi="Arial"/>
          <w:sz w:val="18"/>
          <w:szCs w:val="18"/>
          <w:color w:val="auto"/>
        </w:rPr>
        <w:t>Our executive compensation program has three primary elements: base salary, annual cash incentives (as part of our Executive Management Incentive Plan (EMIP)), and long-term equity incentives (as part of our Long-Term Incentive Plan (LTIP)). Each of these compensation elements serves a specific purpose in our compensation strategy. Base salary is an essential component to any market-competitive compensation program. Annual incentives reward the achievement of short-term goals, while long-term incentives drive our NEOs to focus on shareholder value creation. Based on our performance and consistent with the design of our program, the Compensation Committee made the following executive compensation decisions for fiscal 2018:</w:t>
      </w:r>
    </w:p>
    <w:p>
      <w:pPr>
        <w:spacing w:after="0" w:line="92" w:lineRule="exact"/>
        <w:rPr>
          <w:sz w:val="20"/>
          <w:szCs w:val="20"/>
          <w:color w:val="auto"/>
        </w:rPr>
      </w:pPr>
    </w:p>
    <w:p>
      <w:pPr>
        <w:ind w:left="1280" w:right="220"/>
        <w:spacing w:after="0" w:line="246" w:lineRule="auto"/>
        <w:rPr>
          <w:sz w:val="20"/>
          <w:szCs w:val="20"/>
          <w:color w:val="auto"/>
        </w:rPr>
      </w:pPr>
      <w:r>
        <w:rPr>
          <w:rFonts w:ascii="Arial" w:cs="Arial" w:eastAsia="Arial" w:hAnsi="Arial"/>
          <w:sz w:val="18"/>
          <w:szCs w:val="18"/>
          <w:color w:val="auto"/>
        </w:rPr>
        <w:t>None of the NEOs received base salary adjustments in 2018, except for Mr. Mezey, who received a 3% increase to better align his base salary with the market. See “</w:t>
      </w:r>
      <w:r>
        <w:rPr>
          <w:rFonts w:ascii="Arial" w:cs="Arial" w:eastAsia="Arial" w:hAnsi="Arial"/>
          <w:sz w:val="18"/>
          <w:szCs w:val="18"/>
          <w:i w:val="1"/>
          <w:iCs w:val="1"/>
          <w:color w:val="auto"/>
        </w:rPr>
        <w:t>Base Salary”</w:t>
      </w:r>
      <w:r>
        <w:rPr>
          <w:rFonts w:ascii="Arial" w:cs="Arial" w:eastAsia="Arial" w:hAnsi="Arial"/>
          <w:sz w:val="18"/>
          <w:szCs w:val="18"/>
          <w:color w:val="auto"/>
        </w:rPr>
        <w:t xml:space="preserve"> in this CD&amp;A for details</w:t>
      </w:r>
      <w:r>
        <w:rPr>
          <w:rFonts w:ascii="Arial" w:cs="Arial" w:eastAsia="Arial" w:hAnsi="Arial"/>
          <w:sz w:val="18"/>
          <w:szCs w:val="18"/>
          <w:i w:val="1"/>
          <w:iCs w:val="1"/>
          <w:color w:val="auto"/>
        </w:rPr>
        <w:t>.</w:t>
      </w:r>
    </w:p>
    <w:p>
      <w:pPr>
        <w:spacing w:after="0" w:line="100" w:lineRule="exact"/>
        <w:rPr>
          <w:sz w:val="20"/>
          <w:szCs w:val="20"/>
          <w:color w:val="auto"/>
        </w:rPr>
      </w:pPr>
    </w:p>
    <w:p>
      <w:pPr>
        <w:ind w:left="740" w:hanging="428"/>
        <w:spacing w:after="0"/>
        <w:tabs>
          <w:tab w:leader="none" w:pos="7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 schedule reconciling Adjusted EBITDA to net income and non-GAAP EPS to net income is available on page 40 of our 2018 Annual Report on Form 10-K.</w:t>
      </w:r>
    </w:p>
    <w:p>
      <w:pPr>
        <w:spacing w:after="0" w:line="365" w:lineRule="exact"/>
        <w:rPr>
          <w:rFonts w:ascii="Arial" w:cs="Arial" w:eastAsia="Arial" w:hAnsi="Arial"/>
          <w:sz w:val="14"/>
          <w:szCs w:val="14"/>
          <w:color w:val="auto"/>
        </w:rPr>
      </w:pPr>
    </w:p>
    <w:p>
      <w:pPr>
        <w:ind w:left="740" w:right="180" w:hanging="428"/>
        <w:spacing w:after="0" w:line="258" w:lineRule="auto"/>
        <w:tabs>
          <w:tab w:leader="none" w:pos="7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We define Adjusted EBITDA as net income (a) minus interest income, (b) plus interest expense, depreciation and amortization of intangible assets, restructuring, acquisition related expense, goodwill impairment and (c) excluding the tax expense or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-591185</wp:posOffset>
            </wp:positionV>
            <wp:extent cx="6997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0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240" w:top="459" w:right="5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77" w:lineRule="exact"/>
        <w:rPr>
          <w:sz w:val="20"/>
          <w:szCs w:val="20"/>
          <w:color w:val="auto"/>
        </w:rPr>
      </w:pPr>
    </w:p>
    <w:p>
      <w:pPr>
        <w:ind w:left="1280" w:right="40"/>
        <w:spacing w:after="0"/>
        <w:rPr>
          <w:sz w:val="20"/>
          <w:szCs w:val="20"/>
          <w:color w:val="auto"/>
        </w:rPr>
      </w:pPr>
      <w:r>
        <w:rPr>
          <w:rFonts w:ascii="Arial" w:cs="Arial" w:eastAsia="Arial" w:hAnsi="Arial"/>
          <w:sz w:val="18"/>
          <w:szCs w:val="18"/>
          <w:color w:val="auto"/>
        </w:rPr>
        <w:t xml:space="preserve">EMIP: 2018 financial and strategic results did not meet threshold performance levels, which resulted in an overall attainment percentage of 0%.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Annual Cash Incentives: The Executive Management Incentive Plan (EMIP)”</w:t>
      </w:r>
      <w:r>
        <w:rPr>
          <w:rFonts w:ascii="Arial" w:cs="Arial" w:eastAsia="Arial" w:hAnsi="Arial"/>
          <w:sz w:val="18"/>
          <w:szCs w:val="18"/>
          <w:color w:val="auto"/>
        </w:rPr>
        <w:t xml:space="preserve"> in this CD&amp;A for details.</w:t>
      </w:r>
    </w:p>
    <w:p>
      <w:pPr>
        <w:spacing w:after="0" w:line="135" w:lineRule="exact"/>
        <w:rPr>
          <w:sz w:val="20"/>
          <w:szCs w:val="20"/>
          <w:color w:val="auto"/>
        </w:rPr>
      </w:pPr>
    </w:p>
    <w:p>
      <w:pPr>
        <w:ind w:left="1280"/>
        <w:spacing w:after="0" w:line="238" w:lineRule="auto"/>
        <w:rPr>
          <w:sz w:val="20"/>
          <w:szCs w:val="20"/>
          <w:color w:val="auto"/>
        </w:rPr>
      </w:pPr>
      <w:r>
        <w:rPr>
          <w:rFonts w:ascii="Arial" w:cs="Arial" w:eastAsia="Arial" w:hAnsi="Arial"/>
          <w:sz w:val="18"/>
          <w:szCs w:val="18"/>
          <w:color w:val="auto"/>
        </w:rPr>
        <w:t xml:space="preserve">LTIP: Under the LTIP, NEOs receive 50% of their annual grant in the form of performance-based restricted stock units (PRSUs). Consistent with the terms of the LTIP, the NEOs earned 103.36% of their target PRSUs for the 2016-2018 performance cycle. This attainment is the combination of an average non-GAAP EPS target attainment of 90.67% and a total shareholder return (TSR) multiplier of 114%.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Long Term Incentives – A Closer Look at Performance-Based Restricted</w:t>
      </w:r>
      <w:r>
        <w:rPr>
          <w:rFonts w:ascii="Arial" w:cs="Arial" w:eastAsia="Arial" w:hAnsi="Arial"/>
          <w:sz w:val="18"/>
          <w:szCs w:val="18"/>
          <w:color w:val="auto"/>
        </w:rPr>
        <w:t xml:space="preserve"> </w:t>
      </w:r>
      <w:r>
        <w:rPr>
          <w:rFonts w:ascii="Arial" w:cs="Arial" w:eastAsia="Arial" w:hAnsi="Arial"/>
          <w:sz w:val="18"/>
          <w:szCs w:val="18"/>
          <w:i w:val="1"/>
          <w:iCs w:val="1"/>
          <w:color w:val="auto"/>
        </w:rPr>
        <w:t>Stock Units (PRSUs)</w:t>
      </w:r>
      <w:r>
        <w:rPr>
          <w:rFonts w:ascii="Arial" w:cs="Arial" w:eastAsia="Arial" w:hAnsi="Arial"/>
          <w:sz w:val="18"/>
          <w:szCs w:val="18"/>
          <w:color w:val="auto"/>
        </w:rPr>
        <w:t>” in this CD&amp;A for details.</w:t>
      </w:r>
    </w:p>
    <w:p>
      <w:pPr>
        <w:spacing w:after="0" w:line="357" w:lineRule="exact"/>
        <w:rPr>
          <w:sz w:val="20"/>
          <w:szCs w:val="20"/>
          <w:color w:val="auto"/>
        </w:rPr>
      </w:pPr>
    </w:p>
    <w:p>
      <w:pPr>
        <w:ind w:left="200" w:right="320"/>
        <w:spacing w:after="0"/>
        <w:rPr>
          <w:sz w:val="20"/>
          <w:szCs w:val="20"/>
          <w:color w:val="auto"/>
        </w:rPr>
      </w:pPr>
      <w:r>
        <w:rPr>
          <w:rFonts w:ascii="Arial" w:cs="Arial" w:eastAsia="Arial" w:hAnsi="Arial"/>
          <w:sz w:val="18"/>
          <w:szCs w:val="18"/>
          <w:color w:val="auto"/>
        </w:rPr>
        <w:t>These payouts are aligned with the Company’s business performance in 2018. The Compensation Committee believes that the design and structure of the Company’s incentive program provide a direct link between Company performance and pay outcomes for the executives, as described in greater detail in the following section.</w:t>
      </w:r>
    </w:p>
    <w:p>
      <w:pPr>
        <w:spacing w:after="0" w:line="158"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i w:val="1"/>
          <w:iCs w:val="1"/>
          <w:color w:val="auto"/>
        </w:rPr>
        <w:t xml:space="preserve">A Note About Onboarding Ms. Hlavinka: </w:t>
      </w:r>
      <w:r>
        <w:rPr>
          <w:rFonts w:ascii="Arial" w:cs="Arial" w:eastAsia="Arial" w:hAnsi="Arial"/>
          <w:sz w:val="18"/>
          <w:szCs w:val="18"/>
          <w:color w:val="auto"/>
        </w:rPr>
        <w:t>Ms. Hlavinka has more than 25 years of experience as a senior advisor and business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with broad-based experience and legal background in the information technology, service, manufacturing and healthcare industries. To ensure that we could hire Ms. Hlavinka and to make up for compensation and equity being forfeited from her prior employer, the Committee provided a one-time, sign-on bonus of $650,000 to Ms. Hlavinka when she joined the Company on August 6, 2018. Pursuant to her new hire arrangement, Ms. Hlavinka will be required to pay back all or a portion of this sign on bonus if she voluntarily terminates from Itron within two years from her date of hire. She also received a one-time, equity grant of Restricted Stock Units (RSUs) valued at $500,000. The RSUs vest one year from the anniversary date of the grant. These awards are one-time in nature and consistent with new hire arrangements for executives in similar roles.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Linking CEO Pay and Performance</w:t>
      </w:r>
    </w:p>
    <w:p>
      <w:pPr>
        <w:spacing w:after="0" w:line="193" w:lineRule="exact"/>
        <w:rPr>
          <w:sz w:val="20"/>
          <w:szCs w:val="20"/>
          <w:color w:val="auto"/>
        </w:rPr>
      </w:pPr>
    </w:p>
    <w:p>
      <w:pPr>
        <w:ind w:left="200" w:right="20"/>
        <w:spacing w:after="0"/>
        <w:rPr>
          <w:sz w:val="20"/>
          <w:szCs w:val="20"/>
          <w:color w:val="auto"/>
        </w:rPr>
      </w:pPr>
      <w:r>
        <w:rPr>
          <w:rFonts w:ascii="Arial" w:cs="Arial" w:eastAsia="Arial" w:hAnsi="Arial"/>
          <w:sz w:val="18"/>
          <w:szCs w:val="18"/>
          <w:color w:val="auto"/>
        </w:rPr>
        <w:t>A key component of our executive compensation philosophy is the link between compensation and overall business results and shareholder value creation. We strive to clearly communicate this to our shareholders and believe that looking at realizable pay in different contexts can illustrate this point effectively:</w:t>
      </w:r>
    </w:p>
    <w:p>
      <w:pPr>
        <w:spacing w:after="0" w:line="8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Realizable pay versus pay opportunity</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Realizable pay for performance relative to peers</w:t>
      </w:r>
    </w:p>
    <w:p>
      <w:pPr>
        <w:spacing w:after="0" w:line="361" w:lineRule="exact"/>
        <w:rPr>
          <w:sz w:val="20"/>
          <w:szCs w:val="20"/>
          <w:color w:val="auto"/>
        </w:rPr>
      </w:pPr>
    </w:p>
    <w:p>
      <w:pPr>
        <w:ind w:left="200"/>
        <w:spacing w:after="0" w:line="245" w:lineRule="auto"/>
        <w:rPr>
          <w:sz w:val="20"/>
          <w:szCs w:val="20"/>
          <w:color w:val="auto"/>
        </w:rPr>
      </w:pPr>
      <w:r>
        <w:rPr>
          <w:rFonts w:ascii="Arial" w:cs="Arial" w:eastAsia="Arial" w:hAnsi="Arial"/>
          <w:sz w:val="18"/>
          <w:szCs w:val="18"/>
          <w:i w:val="1"/>
          <w:iCs w:val="1"/>
          <w:color w:val="auto"/>
        </w:rPr>
        <w:t xml:space="preserve">CEO Realizable Pay versus Pay Opportunity. </w:t>
      </w:r>
      <w:r>
        <w:rPr>
          <w:rFonts w:ascii="Arial" w:cs="Arial" w:eastAsia="Arial" w:hAnsi="Arial"/>
          <w:sz w:val="18"/>
          <w:szCs w:val="18"/>
          <w:color w:val="auto"/>
        </w:rPr>
        <w:t>Many of the required disclosures concerning CEO compensation discuss pay elements or</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that may be earned by the CEO. Realizable pay, on the other hand, more closely considers actual compensation earned (or earnable) based on performance. To illustrate the differences, we compared pay opportunity to realizable pay on a year-by-year basis over the past three years; for this purpose, we use the following definitions: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Pay opportunity </w:t>
      </w:r>
      <w:r>
        <w:rPr>
          <w:rFonts w:ascii="Arial" w:cs="Arial" w:eastAsia="Arial" w:hAnsi="Arial"/>
          <w:sz w:val="18"/>
          <w:szCs w:val="18"/>
          <w:color w:val="auto"/>
        </w:rPr>
        <w:t>represents:</w:t>
      </w:r>
    </w:p>
    <w:p>
      <w:pPr>
        <w:spacing w:after="0" w:line="12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sum of base salary and target EMIP opportunity for each fiscal year; and</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grant date fair value of stock options, RSUs and PRSUs granted in each fiscal year.</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Realizable pay </w:t>
      </w:r>
      <w:r>
        <w:rPr>
          <w:rFonts w:ascii="Arial" w:cs="Arial" w:eastAsia="Arial" w:hAnsi="Arial"/>
          <w:sz w:val="18"/>
          <w:szCs w:val="18"/>
          <w:color w:val="auto"/>
        </w:rPr>
        <w:t>represents:</w:t>
      </w:r>
    </w:p>
    <w:p>
      <w:pPr>
        <w:spacing w:after="0" w:line="120" w:lineRule="exact"/>
        <w:rPr>
          <w:sz w:val="20"/>
          <w:szCs w:val="20"/>
          <w:color w:val="auto"/>
        </w:rPr>
      </w:pPr>
    </w:p>
    <w:p>
      <w:pPr>
        <w:ind w:left="5560" w:right="4680" w:hanging="4270"/>
        <w:spacing w:after="0" w:line="434" w:lineRule="auto"/>
        <w:rPr>
          <w:sz w:val="20"/>
          <w:szCs w:val="20"/>
          <w:color w:val="auto"/>
        </w:rPr>
      </w:pPr>
      <w:r>
        <w:rPr>
          <w:rFonts w:ascii="Arial" w:cs="Arial" w:eastAsia="Arial" w:hAnsi="Arial"/>
          <w:sz w:val="18"/>
          <w:szCs w:val="18"/>
          <w:color w:val="auto"/>
        </w:rPr>
        <w:t>The sum of base salary and actual EMIP paid for each fiscal year; -23-</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77" w:lineRule="exact"/>
        <w:rPr>
          <w:sz w:val="20"/>
          <w:szCs w:val="20"/>
          <w:color w:val="auto"/>
        </w:rPr>
      </w:pPr>
    </w:p>
    <w:p>
      <w:pPr>
        <w:ind w:left="1280"/>
        <w:spacing w:after="0" w:line="246" w:lineRule="auto"/>
        <w:rPr>
          <w:sz w:val="20"/>
          <w:szCs w:val="20"/>
          <w:color w:val="auto"/>
        </w:rPr>
      </w:pPr>
      <w:r>
        <w:rPr>
          <w:rFonts w:ascii="Arial" w:cs="Arial" w:eastAsia="Arial" w:hAnsi="Arial"/>
          <w:sz w:val="18"/>
          <w:szCs w:val="18"/>
          <w:color w:val="auto"/>
        </w:rPr>
        <w:t>The “in the money” value of any stock options granted in each fiscal year, valued as of their vesting date, or if unvested, as of December 31, 2018;</w:t>
      </w:r>
    </w:p>
    <w:p>
      <w:pPr>
        <w:spacing w:after="0" w:line="129" w:lineRule="exact"/>
        <w:rPr>
          <w:sz w:val="20"/>
          <w:szCs w:val="20"/>
          <w:color w:val="auto"/>
        </w:rPr>
      </w:pPr>
    </w:p>
    <w:p>
      <w:pPr>
        <w:ind w:left="1280" w:right="720"/>
        <w:spacing w:after="0" w:line="422" w:lineRule="auto"/>
        <w:rPr>
          <w:sz w:val="20"/>
          <w:szCs w:val="20"/>
          <w:color w:val="auto"/>
        </w:rPr>
      </w:pPr>
      <w:r>
        <w:rPr>
          <w:rFonts w:ascii="Arial" w:cs="Arial" w:eastAsia="Arial" w:hAnsi="Arial"/>
          <w:sz w:val="18"/>
          <w:szCs w:val="18"/>
          <w:color w:val="auto"/>
        </w:rPr>
        <w:t>The value of RSUs granted in each fiscal year valued at their vesting date, or if unvested, as of December 31, 2018; The number of PRSUs actually earned based on performance, valued as of December 31, 2018; and</w:t>
      </w:r>
    </w:p>
    <w:p>
      <w:pPr>
        <w:spacing w:after="0" w:line="1" w:lineRule="exact"/>
        <w:rPr>
          <w:sz w:val="20"/>
          <w:szCs w:val="20"/>
          <w:color w:val="auto"/>
        </w:rPr>
      </w:pPr>
    </w:p>
    <w:p>
      <w:pPr>
        <w:ind w:left="1280" w:right="60"/>
        <w:spacing w:after="0" w:line="246" w:lineRule="auto"/>
        <w:rPr>
          <w:sz w:val="20"/>
          <w:szCs w:val="20"/>
          <w:color w:val="auto"/>
        </w:rPr>
      </w:pPr>
      <w:r>
        <w:rPr>
          <w:rFonts w:ascii="Arial" w:cs="Arial" w:eastAsia="Arial" w:hAnsi="Arial"/>
          <w:sz w:val="18"/>
          <w:szCs w:val="18"/>
          <w:color w:val="auto"/>
        </w:rPr>
        <w:t>For outstanding PRSUs (uncompleted performance cycles), the estimated number of PRSUs based on performance to date, valued as of December 31, 2018.</w:t>
      </w:r>
    </w:p>
    <w:p>
      <w:pPr>
        <w:spacing w:after="0" w:line="351" w:lineRule="exact"/>
        <w:rPr>
          <w:sz w:val="20"/>
          <w:szCs w:val="20"/>
          <w:color w:val="auto"/>
        </w:rPr>
      </w:pPr>
    </w:p>
    <w:p>
      <w:pPr>
        <w:ind w:left="200" w:right="100"/>
        <w:spacing w:after="0" w:line="246" w:lineRule="auto"/>
        <w:rPr>
          <w:sz w:val="20"/>
          <w:szCs w:val="20"/>
          <w:color w:val="auto"/>
        </w:rPr>
      </w:pPr>
      <w:r>
        <w:rPr>
          <w:rFonts w:ascii="Arial" w:cs="Arial" w:eastAsia="Arial" w:hAnsi="Arial"/>
          <w:sz w:val="18"/>
          <w:szCs w:val="18"/>
          <w:color w:val="auto"/>
        </w:rPr>
        <w:t>The chart below illustrates Mr. Mezey’s realizable pay compared to his pay opportunity, as well as the corresponding year-end stock price for the last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125730</wp:posOffset>
            </wp:positionV>
            <wp:extent cx="4716780" cy="2693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716780" cy="269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0"/>
        <w:spacing w:after="0" w:line="241" w:lineRule="auto"/>
        <w:rPr>
          <w:sz w:val="20"/>
          <w:szCs w:val="20"/>
          <w:color w:val="auto"/>
        </w:rPr>
      </w:pPr>
      <w:r>
        <w:rPr>
          <w:rFonts w:ascii="Arial" w:cs="Arial" w:eastAsia="Arial" w:hAnsi="Arial"/>
          <w:sz w:val="18"/>
          <w:szCs w:val="18"/>
          <w:i w:val="1"/>
          <w:iCs w:val="1"/>
          <w:color w:val="auto"/>
        </w:rPr>
        <w:t xml:space="preserve">CEO Realizable Pay for Performance Relative to Peer Group. </w:t>
      </w:r>
      <w:r>
        <w:rPr>
          <w:rFonts w:ascii="Arial" w:cs="Arial" w:eastAsia="Arial" w:hAnsi="Arial"/>
          <w:sz w:val="18"/>
          <w:szCs w:val="18"/>
          <w:color w:val="auto"/>
        </w:rPr>
        <w:t>To provide another perspective, it is also helpful to understand the degree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alignment between CEO realizable pay and </w:t>
      </w:r>
      <w:r>
        <w:rPr>
          <w:rFonts w:ascii="Arial" w:cs="Arial" w:eastAsia="Arial" w:hAnsi="Arial"/>
          <w:sz w:val="18"/>
          <w:szCs w:val="18"/>
          <w:i w:val="1"/>
          <w:iCs w:val="1"/>
          <w:color w:val="auto"/>
        </w:rPr>
        <w:t>performance relative to our peer companies</w:t>
      </w:r>
      <w:r>
        <w:rPr>
          <w:rFonts w:ascii="Arial" w:cs="Arial" w:eastAsia="Arial" w:hAnsi="Arial"/>
          <w:sz w:val="18"/>
          <w:szCs w:val="18"/>
          <w:color w:val="auto"/>
        </w:rPr>
        <w:t xml:space="preserve">. </w:t>
      </w:r>
      <w:r>
        <w:rPr>
          <w:rFonts w:ascii="Arial" w:cs="Arial" w:eastAsia="Arial" w:hAnsi="Arial"/>
          <w:sz w:val="18"/>
          <w:szCs w:val="18"/>
          <w:i w:val="1"/>
          <w:iCs w:val="1"/>
          <w:color w:val="auto"/>
        </w:rPr>
        <w:t>See “Our Decision Making Process – The Role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Peer Companies” </w:t>
      </w:r>
      <w:r>
        <w:rPr>
          <w:rFonts w:ascii="Arial" w:cs="Arial" w:eastAsia="Arial" w:hAnsi="Arial"/>
          <w:sz w:val="18"/>
          <w:szCs w:val="18"/>
          <w:color w:val="auto"/>
        </w:rPr>
        <w:t>in this CD&amp;A for a list of the peer companies. To evaluate this alignment, we analyzed the relationship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realizable total direct compensation (TDC) for the CEO over 2015-2017 for the peer companies and for the Company, and TSR for the three years ended December 31, 2017. This time period was selected because it was most closely aligned with the compensation information available for our peer group companies for the years that Mr. Mezey has been our CEO.</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this purpose, realizable TDC is defined as the sum of:</w:t>
      </w:r>
    </w:p>
    <w:p>
      <w:pPr>
        <w:spacing w:after="0" w:line="9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Actual base salaries paid over the three-year period;</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Actual annual incentives (bonuses) paid over the three-year period;</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“In-the-money” value as of December 31, 2017 of any stock options granted over the three-year period;</w:t>
      </w:r>
    </w:p>
    <w:p>
      <w:pPr>
        <w:spacing w:after="0" w:line="157" w:lineRule="exact"/>
        <w:rPr>
          <w:sz w:val="20"/>
          <w:szCs w:val="20"/>
          <w:color w:val="auto"/>
        </w:rPr>
      </w:pPr>
    </w:p>
    <w:p>
      <w:pPr>
        <w:ind w:left="1280" w:right="100"/>
        <w:spacing w:after="0" w:line="246" w:lineRule="auto"/>
        <w:rPr>
          <w:sz w:val="20"/>
          <w:szCs w:val="20"/>
          <w:color w:val="auto"/>
        </w:rPr>
      </w:pPr>
      <w:r>
        <w:rPr>
          <w:rFonts w:ascii="Arial" w:cs="Arial" w:eastAsia="Arial" w:hAnsi="Arial"/>
          <w:sz w:val="18"/>
          <w:szCs w:val="18"/>
          <w:color w:val="auto"/>
        </w:rPr>
        <w:t>The value as of December 31, 2017 of any restricted shares granted (including vested and unvested shares) over the three-year period; and</w:t>
      </w:r>
    </w:p>
    <w:p>
      <w:pPr>
        <w:spacing w:after="0" w:line="17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77" w:lineRule="exact"/>
        <w:rPr>
          <w:sz w:val="20"/>
          <w:szCs w:val="20"/>
          <w:color w:val="auto"/>
        </w:rPr>
      </w:pPr>
    </w:p>
    <w:p>
      <w:pPr>
        <w:ind w:left="1280" w:right="140"/>
        <w:spacing w:after="0" w:line="210" w:lineRule="exact"/>
        <w:rPr>
          <w:sz w:val="20"/>
          <w:szCs w:val="20"/>
          <w:color w:val="auto"/>
        </w:rPr>
      </w:pPr>
      <w:r>
        <w:rPr>
          <w:rFonts w:ascii="Arial" w:cs="Arial" w:eastAsia="Arial" w:hAnsi="Arial"/>
          <w:sz w:val="18"/>
          <w:szCs w:val="18"/>
          <w:color w:val="auto"/>
        </w:rPr>
        <w:t>Cash-based long-term incentives awarded during the period, and the value as of December 31, 2017 of any performance shares granted over the three-year period (assuming target performance for cycles not completed).</w:t>
      </w:r>
    </w:p>
    <w:p>
      <w:pPr>
        <w:spacing w:after="0" w:line="221"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The chart below illustrates the percentile ranking of our three-year TSR and Mr. Mezey’s realizable TDC relative to our peer companies. As the chart indicates, during the three-year period our TSR performance was above the median of the peer companies and Mr. Mezey’s realizable TDC was below the median. Mr. Mezey’s realizable TDC was within an “alignment corridor” representing a strong correlation between compensation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222885</wp:posOffset>
            </wp:positionV>
            <wp:extent cx="3670300" cy="2675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670300" cy="267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Best Compensation Practices &amp; Policies</w:t>
      </w:r>
    </w:p>
    <w:p>
      <w:pPr>
        <w:spacing w:after="0" w:line="193" w:lineRule="exact"/>
        <w:rPr>
          <w:sz w:val="20"/>
          <w:szCs w:val="20"/>
          <w:color w:val="auto"/>
        </w:rPr>
      </w:pPr>
    </w:p>
    <w:p>
      <w:pPr>
        <w:ind w:left="200" w:right="580"/>
        <w:spacing w:after="0" w:line="246" w:lineRule="auto"/>
        <w:rPr>
          <w:sz w:val="20"/>
          <w:szCs w:val="20"/>
          <w:color w:val="auto"/>
        </w:rPr>
      </w:pPr>
      <w:r>
        <w:rPr>
          <w:rFonts w:ascii="Arial" w:cs="Arial" w:eastAsia="Arial" w:hAnsi="Arial"/>
          <w:sz w:val="18"/>
          <w:szCs w:val="18"/>
          <w:color w:val="auto"/>
        </w:rPr>
        <w:t>We also believe the following practices and policies promote sound compensation governance and are in the best interests of our shareholders and executives:</w:t>
      </w:r>
    </w:p>
    <w:p>
      <w:pPr>
        <w:spacing w:after="0" w:line="202" w:lineRule="exact"/>
        <w:rPr>
          <w:sz w:val="20"/>
          <w:szCs w:val="20"/>
          <w:color w:val="auto"/>
        </w:rPr>
      </w:pPr>
    </w:p>
    <w:tbl>
      <w:tblPr>
        <w:tblLayout w:type="fixed"/>
        <w:tblInd w:w="540" w:type="dxa"/>
        <w:tblCellMar>
          <w:top w:w="0" w:type="dxa"/>
          <w:left w:w="0" w:type="dxa"/>
          <w:bottom w:w="0" w:type="dxa"/>
          <w:right w:w="0" w:type="dxa"/>
        </w:tblCellMar>
      </w:tblPr>
      <w:tr>
        <w:trPr>
          <w:trHeight w:val="239"/>
        </w:trPr>
        <w:tc>
          <w:tcPr>
            <w:tcW w:w="4980" w:type="dxa"/>
            <w:vAlign w:val="bottom"/>
            <w:tcBorders>
              <w:bottom w:val="single" w:sz="8" w:color="auto"/>
            </w:tcBorders>
          </w:tcPr>
          <w:p>
            <w:pPr>
              <w:ind w:left="2060"/>
              <w:spacing w:after="0"/>
              <w:rPr>
                <w:sz w:val="20"/>
                <w:szCs w:val="20"/>
                <w:color w:val="auto"/>
              </w:rPr>
            </w:pPr>
            <w:r>
              <w:rPr>
                <w:rFonts w:ascii="Arial" w:cs="Arial" w:eastAsia="Arial" w:hAnsi="Arial"/>
                <w:sz w:val="18"/>
                <w:szCs w:val="18"/>
                <w:b w:val="1"/>
                <w:bCs w:val="1"/>
                <w:color w:val="auto"/>
              </w:rPr>
              <w:t>What We Do</w:t>
            </w:r>
          </w:p>
        </w:tc>
        <w:tc>
          <w:tcPr>
            <w:tcW w:w="2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860" w:type="dxa"/>
            <w:vAlign w:val="bottom"/>
            <w:tcBorders>
              <w:bottom w:val="single" w:sz="8" w:color="auto"/>
            </w:tcBorders>
          </w:tcPr>
          <w:p>
            <w:pPr>
              <w:ind w:left="1640"/>
              <w:spacing w:after="0"/>
              <w:rPr>
                <w:sz w:val="20"/>
                <w:szCs w:val="20"/>
                <w:color w:val="auto"/>
              </w:rPr>
            </w:pPr>
            <w:r>
              <w:rPr>
                <w:rFonts w:ascii="Arial" w:cs="Arial" w:eastAsia="Arial" w:hAnsi="Arial"/>
                <w:sz w:val="18"/>
                <w:szCs w:val="18"/>
                <w:b w:val="1"/>
                <w:bCs w:val="1"/>
                <w:color w:val="auto"/>
              </w:rPr>
              <w:t>What We Don’t Do</w:t>
            </w:r>
          </w:p>
        </w:tc>
      </w:tr>
      <w:tr>
        <w:trPr>
          <w:trHeight w:val="277"/>
        </w:trPr>
        <w:tc>
          <w:tcPr>
            <w:tcW w:w="49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Heavy emphasis on variable compensation</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6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employment agreements</w:t>
            </w:r>
          </w:p>
        </w:tc>
      </w:tr>
      <w:tr>
        <w:trPr>
          <w:trHeight w:val="318"/>
        </w:trPr>
        <w:tc>
          <w:tcPr>
            <w:tcW w:w="49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50% of annual long-term incentives are performance based</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6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“single trigger” change-in-control cash payments</w:t>
            </w:r>
          </w:p>
        </w:tc>
      </w:tr>
      <w:tr>
        <w:trPr>
          <w:trHeight w:val="324"/>
        </w:trPr>
        <w:tc>
          <w:tcPr>
            <w:tcW w:w="49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Rigorous stock ownership guidelines</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6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tax gross ups in our change-in-control agreements</w:t>
            </w:r>
          </w:p>
        </w:tc>
      </w:tr>
      <w:tr>
        <w:trPr>
          <w:trHeight w:val="324"/>
        </w:trPr>
        <w:tc>
          <w:tcPr>
            <w:tcW w:w="49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Repayment (Clawback) Policy</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6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option backdating or repricing</w:t>
            </w:r>
          </w:p>
        </w:tc>
      </w:tr>
      <w:tr>
        <w:trPr>
          <w:trHeight w:val="324"/>
        </w:trPr>
        <w:tc>
          <w:tcPr>
            <w:tcW w:w="49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Independent compensation consultant</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6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hedging or pledging</w:t>
            </w:r>
          </w:p>
        </w:tc>
      </w:tr>
      <w:tr>
        <w:trPr>
          <w:trHeight w:val="324"/>
        </w:trPr>
        <w:tc>
          <w:tcPr>
            <w:tcW w:w="49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Annual risk assessments</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6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special perquisites</w:t>
            </w:r>
          </w:p>
        </w:tc>
      </w:tr>
      <w:tr>
        <w:trPr>
          <w:trHeight w:val="345"/>
        </w:trPr>
        <w:tc>
          <w:tcPr>
            <w:tcW w:w="4980" w:type="dxa"/>
            <w:vAlign w:val="bottom"/>
          </w:tcPr>
          <w:p>
            <w:pPr>
              <w:spacing w:after="0"/>
              <w:rPr>
                <w:sz w:val="24"/>
                <w:szCs w:val="2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4860" w:type="dxa"/>
            <w:vAlign w:val="bottom"/>
          </w:tcPr>
          <w:p>
            <w:pPr>
              <w:spacing w:after="0"/>
              <w:rPr>
                <w:sz w:val="24"/>
                <w:szCs w:val="24"/>
                <w:color w:val="auto"/>
              </w:rPr>
            </w:pPr>
          </w:p>
        </w:tc>
      </w:tr>
    </w:tbl>
    <w:p>
      <w:pPr>
        <w:sectPr>
          <w:pgSz w:w="11900" w:h="16838" w:orient="portrait"/>
          <w:cols w:equalWidth="0" w:num="1">
            <w:col w:w="11060"/>
          </w:cols>
          <w:pgMar w:left="240" w:top="459" w:right="5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2018 Say-On-Pay &amp; Shareholder Engagement</w:t>
      </w:r>
    </w:p>
    <w:p>
      <w:pPr>
        <w:spacing w:after="0" w:line="207" w:lineRule="exact"/>
        <w:rPr>
          <w:sz w:val="20"/>
          <w:szCs w:val="20"/>
          <w:color w:val="auto"/>
        </w:rPr>
      </w:pPr>
    </w:p>
    <w:p>
      <w:pPr>
        <w:jc w:val="both"/>
        <w:ind w:left="200" w:right="200"/>
        <w:spacing w:after="0"/>
        <w:rPr>
          <w:sz w:val="20"/>
          <w:szCs w:val="20"/>
          <w:color w:val="auto"/>
        </w:rPr>
      </w:pPr>
      <w:r>
        <w:rPr>
          <w:rFonts w:ascii="Arial" w:cs="Arial" w:eastAsia="Arial" w:hAnsi="Arial"/>
          <w:sz w:val="18"/>
          <w:szCs w:val="18"/>
          <w:color w:val="auto"/>
        </w:rPr>
        <w:t>Each year, we carefully consider the results of our shareholder say-on-pay vote from the preceding year. We also take into account the feedback we receive from our major shareholders, which is solicited by the Board Chair, and the Chair of the Compensation Committee, either in person or via telephone.</w:t>
      </w:r>
    </w:p>
    <w:p>
      <w:pPr>
        <w:spacing w:after="0" w:line="162"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In 2018, approximately 95% of the votes cast supported our executive compensation decisions. Since 2012, the Board has regularly conducted proactive outreach meetings with the company’s largest shareholders. During 2018, the Company offered meetings to shareholders representing 45% of shares outstanding, and directors met with shareholders representing 15% of shares outstanding to discuss topics including Company strategy and performance, governance, and executive compensation. Overall, our shareholders are highly supportive of our executive compensation program and its direction. Based on the positive feedback we received from our major shareholders, in addition to the vote result in 2018, we did not make substantive changes to the structure of our program. We will continue to keep an open dialogue with our shareholders to help ensure that we have a regular pulse on investor perspectives.</w:t>
      </w:r>
    </w:p>
    <w:p>
      <w:pPr>
        <w:spacing w:after="0" w:line="39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What Guides Our Program</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Compensation Philosophy &amp; Objectives</w:t>
      </w:r>
    </w:p>
    <w:p>
      <w:pPr>
        <w:spacing w:after="0" w:line="207"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The philosophy underlying our executive compensation program is to employ the best leaders in our industry to ensure we execute on our business goals, promote both short-and long-term profitable growth of the Company, and create long-term shareholder value, all grounded in the following guiding principles:</w:t>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Pay for Performance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ind w:right="460"/>
        <w:spacing w:after="0"/>
        <w:rPr>
          <w:sz w:val="20"/>
          <w:szCs w:val="20"/>
          <w:color w:val="auto"/>
        </w:rPr>
      </w:pPr>
      <w:r>
        <w:rPr>
          <w:rFonts w:ascii="Arial" w:cs="Arial" w:eastAsia="Arial" w:hAnsi="Arial"/>
          <w:sz w:val="18"/>
          <w:szCs w:val="18"/>
          <w:color w:val="auto"/>
        </w:rPr>
        <w:t>A significant portion of an executive’s total compensation should be variable (“at risk”) and dependent upon the attainment of certain specific and measurable annual and long-term business performance objectives.</w:t>
      </w:r>
    </w:p>
    <w:p>
      <w:pPr>
        <w:spacing w:after="0" w:line="200" w:lineRule="exact"/>
        <w:rPr>
          <w:sz w:val="20"/>
          <w:szCs w:val="20"/>
          <w:color w:val="auto"/>
        </w:rPr>
      </w:pPr>
    </w:p>
    <w:p>
      <w:pPr>
        <w:sectPr>
          <w:pgSz w:w="11900" w:h="16838" w:orient="portrait"/>
          <w:cols w:equalWidth="0" w:num="2">
            <w:col w:w="3360" w:space="720"/>
            <w:col w:w="7120"/>
          </w:cols>
          <w:pgMar w:left="240" w:top="459" w:right="459" w:bottom="1440" w:gutter="0" w:footer="0" w:header="0"/>
          <w:type w:val="continuous"/>
        </w:sectPr>
      </w:pPr>
    </w:p>
    <w:p>
      <w:pPr>
        <w:spacing w:after="0" w:line="48"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Shareholder Alignment</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right="560"/>
        <w:spacing w:after="0"/>
        <w:rPr>
          <w:sz w:val="20"/>
          <w:szCs w:val="20"/>
          <w:color w:val="auto"/>
        </w:rPr>
      </w:pPr>
      <w:r>
        <w:rPr>
          <w:rFonts w:ascii="Arial" w:cs="Arial" w:eastAsia="Arial" w:hAnsi="Arial"/>
          <w:sz w:val="18"/>
          <w:szCs w:val="18"/>
          <w:color w:val="auto"/>
        </w:rPr>
        <w:t>Executives should be compensated through pay elements (base salaries and annual- and long-term incentives) designed to align executive compensation to the creation of long-term value for our shareholders.</w:t>
      </w:r>
    </w:p>
    <w:p>
      <w:pPr>
        <w:spacing w:after="0" w:line="200" w:lineRule="exact"/>
        <w:rPr>
          <w:sz w:val="20"/>
          <w:szCs w:val="20"/>
          <w:color w:val="auto"/>
        </w:rPr>
      </w:pPr>
    </w:p>
    <w:p>
      <w:pPr>
        <w:sectPr>
          <w:pgSz w:w="11900" w:h="16838" w:orient="portrait"/>
          <w:cols w:equalWidth="0" w:num="2">
            <w:col w:w="3360" w:space="720"/>
            <w:col w:w="7120"/>
          </w:cols>
          <w:pgMar w:left="240" w:top="459" w:right="459" w:bottom="1440" w:gutter="0" w:footer="0" w:header="0"/>
          <w:type w:val="continuous"/>
        </w:sectPr>
      </w:pPr>
    </w:p>
    <w:p>
      <w:pPr>
        <w:spacing w:after="0" w:line="48"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Competitiveness</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Target compensation should be set at the median of market to ensure that compensation is at a level that is competitive with that being offered to individuals holding comparable positions at other companies with which we compete for business and leadership talent.</w:t>
      </w:r>
    </w:p>
    <w:p>
      <w:pPr>
        <w:spacing w:after="0" w:line="200" w:lineRule="exact"/>
        <w:rPr>
          <w:sz w:val="20"/>
          <w:szCs w:val="20"/>
          <w:color w:val="auto"/>
        </w:rPr>
      </w:pPr>
    </w:p>
    <w:p>
      <w:pPr>
        <w:sectPr>
          <w:pgSz w:w="11900" w:h="16838" w:orient="portrait"/>
          <w:cols w:equalWidth="0" w:num="2">
            <w:col w:w="3360" w:space="720"/>
            <w:col w:w="7120"/>
          </w:cols>
          <w:pgMar w:left="240" w:top="459" w:right="459" w:bottom="1440" w:gutter="0" w:footer="0" w:header="0"/>
          <w:type w:val="continuous"/>
        </w:sectPr>
      </w:pPr>
    </w:p>
    <w:p>
      <w:pPr>
        <w:spacing w:after="0" w:line="47"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Attraction and Retention</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The executive compensation program should enable the Company to attract highly-talented people with exceptional leadership capabilities and retain high-caliber talent. When required, the Company may adjust individual elements of compensation to accomplish this goal.</w:t>
      </w:r>
    </w:p>
    <w:p>
      <w:pPr>
        <w:spacing w:after="0" w:line="134" w:lineRule="exact"/>
        <w:rPr>
          <w:sz w:val="20"/>
          <w:szCs w:val="20"/>
          <w:color w:val="auto"/>
        </w:rPr>
      </w:pPr>
    </w:p>
    <w:p>
      <w:pPr>
        <w:sectPr>
          <w:pgSz w:w="11900" w:h="16838" w:orient="portrait"/>
          <w:cols w:equalWidth="0" w:num="2">
            <w:col w:w="3360" w:space="720"/>
            <w:col w:w="7120"/>
          </w:cols>
          <w:pgMar w:left="240" w:top="459" w:right="459" w:bottom="1440" w:gutter="0" w:footer="0" w:header="0"/>
          <w:type w:val="continuous"/>
        </w:sectPr>
      </w:pPr>
    </w:p>
    <w:p>
      <w:pPr>
        <w:jc w:val="center"/>
        <w:ind w:right="-23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200"/>
          </w:cols>
          <w:pgMar w:left="240" w:top="459" w:right="45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Principal Elements of Pay: Total Direct Compensation (TDC)</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compensation philosophy is supported by the following principal pay elements:</w:t>
      </w:r>
    </w:p>
    <w:p>
      <w:pPr>
        <w:spacing w:after="0" w:line="220" w:lineRule="exact"/>
        <w:rPr>
          <w:sz w:val="20"/>
          <w:szCs w:val="20"/>
          <w:color w:val="auto"/>
        </w:rPr>
      </w:pPr>
    </w:p>
    <w:tbl>
      <w:tblPr>
        <w:tblLayout w:type="fixed"/>
        <w:tblInd w:w="210" w:type="dxa"/>
        <w:tblCellMar>
          <w:top w:w="0" w:type="dxa"/>
          <w:left w:w="0" w:type="dxa"/>
          <w:bottom w:w="0" w:type="dxa"/>
          <w:right w:w="0" w:type="dxa"/>
        </w:tblCellMar>
      </w:tblPr>
      <w:tr>
        <w:trPr>
          <w:trHeight w:val="401"/>
        </w:trPr>
        <w:tc>
          <w:tcPr>
            <w:tcW w:w="160" w:type="dxa"/>
            <w:vAlign w:val="bottom"/>
            <w:tcBorders>
              <w:top w:val="single" w:sz="8" w:color="auto"/>
              <w:left w:val="single" w:sz="8" w:color="auto"/>
            </w:tcBorders>
            <w:shd w:val="clear" w:color="auto" w:fill="8C8C8C"/>
          </w:tcPr>
          <w:p>
            <w:pPr>
              <w:spacing w:after="0"/>
              <w:rPr>
                <w:sz w:val="24"/>
                <w:szCs w:val="24"/>
                <w:color w:val="auto"/>
              </w:rPr>
            </w:pPr>
          </w:p>
        </w:tc>
        <w:tc>
          <w:tcPr>
            <w:tcW w:w="1620" w:type="dxa"/>
            <w:vAlign w:val="bottom"/>
            <w:tcBorders>
              <w:top w:val="single" w:sz="8" w:color="auto"/>
              <w:right w:val="single" w:sz="8" w:color="auto"/>
            </w:tcBorders>
            <w:shd w:val="clear" w:color="auto" w:fill="8C8C8C"/>
          </w:tcPr>
          <w:p>
            <w:pPr>
              <w:spacing w:after="0"/>
              <w:rPr>
                <w:sz w:val="20"/>
                <w:szCs w:val="20"/>
                <w:color w:val="auto"/>
              </w:rPr>
            </w:pPr>
            <w:r>
              <w:rPr>
                <w:rFonts w:ascii="Arial" w:cs="Arial" w:eastAsia="Arial" w:hAnsi="Arial"/>
                <w:sz w:val="16"/>
                <w:szCs w:val="16"/>
                <w:b w:val="1"/>
                <w:bCs w:val="1"/>
                <w:color w:val="FFFFFF"/>
              </w:rPr>
              <w:t>Pay Element</w:t>
            </w:r>
          </w:p>
        </w:tc>
        <w:tc>
          <w:tcPr>
            <w:tcW w:w="1200" w:type="dxa"/>
            <w:vAlign w:val="bottom"/>
            <w:tcBorders>
              <w:top w:val="single" w:sz="8" w:color="auto"/>
              <w:right w:val="single" w:sz="8" w:color="auto"/>
            </w:tcBorders>
            <w:gridSpan w:val="2"/>
            <w:shd w:val="clear" w:color="auto" w:fill="8C8C8C"/>
          </w:tcPr>
          <w:p>
            <w:pPr>
              <w:ind w:left="80"/>
              <w:spacing w:after="0"/>
              <w:rPr>
                <w:sz w:val="20"/>
                <w:szCs w:val="20"/>
                <w:color w:val="auto"/>
              </w:rPr>
            </w:pPr>
            <w:r>
              <w:rPr>
                <w:rFonts w:ascii="Arial" w:cs="Arial" w:eastAsia="Arial" w:hAnsi="Arial"/>
                <w:sz w:val="16"/>
                <w:szCs w:val="16"/>
                <w:b w:val="1"/>
                <w:bCs w:val="1"/>
                <w:color w:val="FFFFFF"/>
              </w:rPr>
              <w:t>How Its</w:t>
            </w:r>
          </w:p>
        </w:tc>
        <w:tc>
          <w:tcPr>
            <w:tcW w:w="4080" w:type="dxa"/>
            <w:vAlign w:val="bottom"/>
            <w:tcBorders>
              <w:top w:val="single" w:sz="8" w:color="auto"/>
              <w:right w:val="single" w:sz="8" w:color="auto"/>
            </w:tcBorders>
            <w:shd w:val="clear" w:color="auto" w:fill="8C8C8C"/>
          </w:tcPr>
          <w:p>
            <w:pPr>
              <w:ind w:left="100"/>
              <w:spacing w:after="0"/>
              <w:rPr>
                <w:sz w:val="20"/>
                <w:szCs w:val="20"/>
                <w:color w:val="auto"/>
              </w:rPr>
            </w:pPr>
            <w:r>
              <w:rPr>
                <w:rFonts w:ascii="Arial" w:cs="Arial" w:eastAsia="Arial" w:hAnsi="Arial"/>
                <w:sz w:val="16"/>
                <w:szCs w:val="16"/>
                <w:b w:val="1"/>
                <w:bCs w:val="1"/>
                <w:color w:val="FFFFFF"/>
              </w:rPr>
              <w:t>What It Does</w:t>
            </w:r>
          </w:p>
        </w:tc>
        <w:tc>
          <w:tcPr>
            <w:tcW w:w="3980" w:type="dxa"/>
            <w:vAlign w:val="bottom"/>
            <w:tcBorders>
              <w:top w:val="single" w:sz="8" w:color="auto"/>
              <w:right w:val="single" w:sz="8" w:color="auto"/>
            </w:tcBorders>
            <w:shd w:val="clear" w:color="auto" w:fill="8C8C8C"/>
          </w:tcPr>
          <w:p>
            <w:pPr>
              <w:ind w:left="120"/>
              <w:spacing w:after="0"/>
              <w:rPr>
                <w:sz w:val="20"/>
                <w:szCs w:val="20"/>
                <w:color w:val="auto"/>
              </w:rPr>
            </w:pPr>
            <w:r>
              <w:rPr>
                <w:rFonts w:ascii="Arial" w:cs="Arial" w:eastAsia="Arial" w:hAnsi="Arial"/>
                <w:sz w:val="16"/>
                <w:szCs w:val="16"/>
                <w:b w:val="1"/>
                <w:bCs w:val="1"/>
                <w:color w:val="FFFFFF"/>
              </w:rPr>
              <w:t>How It Links to Performance</w:t>
            </w:r>
          </w:p>
        </w:tc>
        <w:tc>
          <w:tcPr>
            <w:tcW w:w="0" w:type="dxa"/>
            <w:vAlign w:val="bottom"/>
          </w:tcPr>
          <w:p>
            <w:pPr>
              <w:spacing w:after="0"/>
              <w:rPr>
                <w:sz w:val="1"/>
                <w:szCs w:val="1"/>
                <w:color w:val="auto"/>
              </w:rPr>
            </w:pPr>
          </w:p>
        </w:tc>
      </w:tr>
      <w:tr>
        <w:trPr>
          <w:trHeight w:val="215"/>
        </w:trPr>
        <w:tc>
          <w:tcPr>
            <w:tcW w:w="160" w:type="dxa"/>
            <w:vAlign w:val="bottom"/>
            <w:tcBorders>
              <w:left w:val="single" w:sz="8" w:color="auto"/>
            </w:tcBorders>
            <w:shd w:val="clear" w:color="auto" w:fill="8C8C8C"/>
          </w:tcPr>
          <w:p>
            <w:pPr>
              <w:spacing w:after="0"/>
              <w:rPr>
                <w:sz w:val="18"/>
                <w:szCs w:val="18"/>
                <w:color w:val="auto"/>
              </w:rPr>
            </w:pPr>
          </w:p>
        </w:tc>
        <w:tc>
          <w:tcPr>
            <w:tcW w:w="1620" w:type="dxa"/>
            <w:vAlign w:val="bottom"/>
            <w:tcBorders>
              <w:right w:val="single" w:sz="8" w:color="auto"/>
            </w:tcBorders>
            <w:shd w:val="clear" w:color="auto" w:fill="8C8C8C"/>
          </w:tcPr>
          <w:p>
            <w:pPr>
              <w:spacing w:after="0"/>
              <w:rPr>
                <w:sz w:val="18"/>
                <w:szCs w:val="18"/>
                <w:color w:val="auto"/>
              </w:rPr>
            </w:pPr>
          </w:p>
        </w:tc>
        <w:tc>
          <w:tcPr>
            <w:tcW w:w="1200" w:type="dxa"/>
            <w:vAlign w:val="bottom"/>
            <w:tcBorders>
              <w:right w:val="single" w:sz="8" w:color="auto"/>
            </w:tcBorders>
            <w:gridSpan w:val="2"/>
            <w:shd w:val="clear" w:color="auto" w:fill="8C8C8C"/>
          </w:tcPr>
          <w:p>
            <w:pPr>
              <w:ind w:left="80"/>
              <w:spacing w:after="0"/>
              <w:rPr>
                <w:sz w:val="20"/>
                <w:szCs w:val="20"/>
                <w:color w:val="auto"/>
              </w:rPr>
            </w:pPr>
            <w:r>
              <w:rPr>
                <w:rFonts w:ascii="Arial" w:cs="Arial" w:eastAsia="Arial" w:hAnsi="Arial"/>
                <w:sz w:val="16"/>
                <w:szCs w:val="16"/>
                <w:b w:val="1"/>
                <w:bCs w:val="1"/>
                <w:color w:val="FFFFFF"/>
              </w:rPr>
              <w:t>Paid</w:t>
            </w:r>
          </w:p>
        </w:tc>
        <w:tc>
          <w:tcPr>
            <w:tcW w:w="4080" w:type="dxa"/>
            <w:vAlign w:val="bottom"/>
            <w:tcBorders>
              <w:right w:val="single" w:sz="8" w:color="auto"/>
            </w:tcBorders>
            <w:shd w:val="clear" w:color="auto" w:fill="8C8C8C"/>
          </w:tcPr>
          <w:p>
            <w:pPr>
              <w:spacing w:after="0"/>
              <w:rPr>
                <w:sz w:val="18"/>
                <w:szCs w:val="18"/>
                <w:color w:val="auto"/>
              </w:rPr>
            </w:pPr>
          </w:p>
        </w:tc>
        <w:tc>
          <w:tcPr>
            <w:tcW w:w="3980" w:type="dxa"/>
            <w:vAlign w:val="bottom"/>
            <w:tcBorders>
              <w:right w:val="single" w:sz="8" w:color="auto"/>
            </w:tcBorders>
            <w:shd w:val="clear" w:color="auto" w:fill="8C8C8C"/>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160" w:type="dxa"/>
            <w:vAlign w:val="bottom"/>
            <w:tcBorders>
              <w:left w:val="single" w:sz="8" w:color="auto"/>
              <w:bottom w:val="single" w:sz="8" w:color="auto"/>
            </w:tcBorders>
            <w:shd w:val="clear" w:color="auto" w:fill="8C8C8C"/>
          </w:tcPr>
          <w:p>
            <w:pPr>
              <w:spacing w:after="0"/>
              <w:rPr>
                <w:sz w:val="8"/>
                <w:szCs w:val="8"/>
                <w:color w:val="auto"/>
              </w:rPr>
            </w:pPr>
          </w:p>
        </w:tc>
        <w:tc>
          <w:tcPr>
            <w:tcW w:w="1620" w:type="dxa"/>
            <w:vAlign w:val="bottom"/>
            <w:tcBorders>
              <w:bottom w:val="single" w:sz="8" w:color="auto"/>
              <w:right w:val="single" w:sz="8" w:color="auto"/>
            </w:tcBorders>
            <w:shd w:val="clear" w:color="auto" w:fill="8C8C8C"/>
          </w:tcPr>
          <w:p>
            <w:pPr>
              <w:spacing w:after="0"/>
              <w:rPr>
                <w:sz w:val="8"/>
                <w:szCs w:val="8"/>
                <w:color w:val="auto"/>
              </w:rPr>
            </w:pPr>
          </w:p>
        </w:tc>
        <w:tc>
          <w:tcPr>
            <w:tcW w:w="420" w:type="dxa"/>
            <w:vAlign w:val="bottom"/>
            <w:tcBorders>
              <w:bottom w:val="single" w:sz="8" w:color="auto"/>
            </w:tcBorders>
            <w:shd w:val="clear" w:color="auto" w:fill="8C8C8C"/>
          </w:tcPr>
          <w:p>
            <w:pPr>
              <w:spacing w:after="0"/>
              <w:rPr>
                <w:sz w:val="8"/>
                <w:szCs w:val="8"/>
                <w:color w:val="auto"/>
              </w:rPr>
            </w:pPr>
          </w:p>
        </w:tc>
        <w:tc>
          <w:tcPr>
            <w:tcW w:w="780" w:type="dxa"/>
            <w:vAlign w:val="bottom"/>
            <w:tcBorders>
              <w:bottom w:val="single" w:sz="8" w:color="auto"/>
              <w:right w:val="single" w:sz="8" w:color="auto"/>
            </w:tcBorders>
            <w:shd w:val="clear" w:color="auto" w:fill="8C8C8C"/>
          </w:tcPr>
          <w:p>
            <w:pPr>
              <w:spacing w:after="0"/>
              <w:rPr>
                <w:sz w:val="8"/>
                <w:szCs w:val="8"/>
                <w:color w:val="auto"/>
              </w:rPr>
            </w:pPr>
          </w:p>
        </w:tc>
        <w:tc>
          <w:tcPr>
            <w:tcW w:w="4080" w:type="dxa"/>
            <w:vAlign w:val="bottom"/>
            <w:tcBorders>
              <w:bottom w:val="single" w:sz="8" w:color="auto"/>
              <w:right w:val="single" w:sz="8" w:color="auto"/>
            </w:tcBorders>
            <w:shd w:val="clear" w:color="auto" w:fill="8C8C8C"/>
          </w:tcPr>
          <w:p>
            <w:pPr>
              <w:spacing w:after="0"/>
              <w:rPr>
                <w:sz w:val="8"/>
                <w:szCs w:val="8"/>
                <w:color w:val="auto"/>
              </w:rPr>
            </w:pPr>
          </w:p>
        </w:tc>
        <w:tc>
          <w:tcPr>
            <w:tcW w:w="3980" w:type="dxa"/>
            <w:vAlign w:val="bottom"/>
            <w:tcBorders>
              <w:bottom w:val="single" w:sz="8" w:color="auto"/>
              <w:right w:val="single" w:sz="8" w:color="auto"/>
            </w:tcBorders>
            <w:shd w:val="clear" w:color="auto" w:fill="8C8C8C"/>
          </w:tcPr>
          <w:p>
            <w:pPr>
              <w:spacing w:after="0"/>
              <w:rPr>
                <w:sz w:val="8"/>
                <w:szCs w:val="8"/>
                <w:color w:val="auto"/>
              </w:rPr>
            </w:pPr>
          </w:p>
        </w:tc>
        <w:tc>
          <w:tcPr>
            <w:tcW w:w="0" w:type="dxa"/>
            <w:vAlign w:val="bottom"/>
          </w:tcPr>
          <w:p>
            <w:pPr>
              <w:spacing w:after="0"/>
              <w:rPr>
                <w:sz w:val="1"/>
                <w:szCs w:val="1"/>
                <w:color w:val="auto"/>
              </w:rPr>
            </w:pPr>
          </w:p>
        </w:tc>
      </w:tr>
      <w:tr>
        <w:trPr>
          <w:trHeight w:val="293"/>
        </w:trPr>
        <w:tc>
          <w:tcPr>
            <w:tcW w:w="160" w:type="dxa"/>
            <w:vAlign w:val="bottom"/>
            <w:tcBorders>
              <w:left w:val="single" w:sz="8" w:color="auto"/>
            </w:tcBorders>
            <w:shd w:val="clear" w:color="auto" w:fill="D8D8D8"/>
          </w:tcPr>
          <w:p>
            <w:pPr>
              <w:spacing w:after="0"/>
              <w:rPr>
                <w:sz w:val="24"/>
                <w:szCs w:val="24"/>
                <w:color w:val="auto"/>
              </w:rPr>
            </w:pPr>
          </w:p>
        </w:tc>
        <w:tc>
          <w:tcPr>
            <w:tcW w:w="1620" w:type="dxa"/>
            <w:vAlign w:val="bottom"/>
            <w:tcBorders>
              <w:right w:val="single" w:sz="8" w:color="auto"/>
            </w:tcBorders>
            <w:shd w:val="clear" w:color="auto" w:fill="D8D8D8"/>
          </w:tcPr>
          <w:p>
            <w:pPr>
              <w:spacing w:after="0"/>
              <w:rPr>
                <w:sz w:val="20"/>
                <w:szCs w:val="20"/>
                <w:color w:val="auto"/>
              </w:rPr>
            </w:pPr>
            <w:r>
              <w:rPr>
                <w:rFonts w:ascii="Arial" w:cs="Arial" w:eastAsia="Arial" w:hAnsi="Arial"/>
                <w:sz w:val="16"/>
                <w:szCs w:val="16"/>
                <w:b w:val="1"/>
                <w:bCs w:val="1"/>
                <w:color w:val="auto"/>
              </w:rPr>
              <w:t>Base Salary</w:t>
            </w:r>
          </w:p>
        </w:tc>
        <w:tc>
          <w:tcPr>
            <w:tcW w:w="1200" w:type="dxa"/>
            <w:vAlign w:val="bottom"/>
            <w:tcBorders>
              <w:right w:val="single" w:sz="8" w:color="auto"/>
            </w:tcBorders>
            <w:gridSpan w:val="2"/>
            <w:shd w:val="clear" w:color="auto" w:fill="D8D8D8"/>
          </w:tcPr>
          <w:p>
            <w:pPr>
              <w:ind w:left="80"/>
              <w:spacing w:after="0"/>
              <w:rPr>
                <w:sz w:val="20"/>
                <w:szCs w:val="20"/>
                <w:color w:val="auto"/>
              </w:rPr>
            </w:pPr>
            <w:r>
              <w:rPr>
                <w:rFonts w:ascii="Arial" w:cs="Arial" w:eastAsia="Arial" w:hAnsi="Arial"/>
                <w:sz w:val="16"/>
                <w:szCs w:val="16"/>
                <w:b w:val="1"/>
                <w:bCs w:val="1"/>
                <w:color w:val="auto"/>
              </w:rPr>
              <w:t>Cash</w:t>
            </w:r>
          </w:p>
        </w:tc>
        <w:tc>
          <w:tcPr>
            <w:tcW w:w="40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Provides a competitive fixed rate of pay relative to</w:t>
            </w:r>
          </w:p>
        </w:tc>
        <w:tc>
          <w:tcPr>
            <w:tcW w:w="39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Based on job scope, level of responsibilities,</w:t>
            </w:r>
          </w:p>
        </w:tc>
        <w:tc>
          <w:tcPr>
            <w:tcW w:w="0" w:type="dxa"/>
            <w:vAlign w:val="bottom"/>
          </w:tcPr>
          <w:p>
            <w:pPr>
              <w:spacing w:after="0"/>
              <w:rPr>
                <w:sz w:val="1"/>
                <w:szCs w:val="1"/>
                <w:color w:val="auto"/>
              </w:rPr>
            </w:pPr>
          </w:p>
        </w:tc>
      </w:tr>
      <w:tr>
        <w:trPr>
          <w:trHeight w:val="209"/>
        </w:trPr>
        <w:tc>
          <w:tcPr>
            <w:tcW w:w="160" w:type="dxa"/>
            <w:vAlign w:val="bottom"/>
            <w:tcBorders>
              <w:left w:val="single" w:sz="8" w:color="auto"/>
            </w:tcBorders>
            <w:shd w:val="clear" w:color="auto" w:fill="D8D8D8"/>
          </w:tcPr>
          <w:p>
            <w:pPr>
              <w:spacing w:after="0"/>
              <w:rPr>
                <w:sz w:val="18"/>
                <w:szCs w:val="18"/>
                <w:color w:val="auto"/>
              </w:rPr>
            </w:pPr>
          </w:p>
        </w:tc>
        <w:tc>
          <w:tcPr>
            <w:tcW w:w="1620" w:type="dxa"/>
            <w:vAlign w:val="bottom"/>
            <w:tcBorders>
              <w:right w:val="single" w:sz="8" w:color="auto"/>
            </w:tcBorders>
            <w:shd w:val="clear" w:color="auto" w:fill="D8D8D8"/>
          </w:tcPr>
          <w:p>
            <w:pPr>
              <w:spacing w:after="0"/>
              <w:rPr>
                <w:sz w:val="18"/>
                <w:szCs w:val="18"/>
                <w:color w:val="auto"/>
              </w:rPr>
            </w:pPr>
          </w:p>
        </w:tc>
        <w:tc>
          <w:tcPr>
            <w:tcW w:w="1200" w:type="dxa"/>
            <w:vAlign w:val="bottom"/>
            <w:tcBorders>
              <w:right w:val="single" w:sz="8" w:color="auto"/>
            </w:tcBorders>
            <w:gridSpan w:val="2"/>
            <w:shd w:val="clear" w:color="auto" w:fill="D8D8D8"/>
          </w:tcPr>
          <w:p>
            <w:pPr>
              <w:ind w:left="80"/>
              <w:spacing w:after="0"/>
              <w:rPr>
                <w:sz w:val="20"/>
                <w:szCs w:val="20"/>
                <w:color w:val="auto"/>
              </w:rPr>
            </w:pPr>
            <w:r>
              <w:rPr>
                <w:rFonts w:ascii="Arial" w:cs="Arial" w:eastAsia="Arial" w:hAnsi="Arial"/>
                <w:sz w:val="16"/>
                <w:szCs w:val="16"/>
                <w:b w:val="1"/>
                <w:bCs w:val="1"/>
                <w:color w:val="auto"/>
              </w:rPr>
              <w:t>(Fixed)</w:t>
            </w:r>
          </w:p>
        </w:tc>
        <w:tc>
          <w:tcPr>
            <w:tcW w:w="40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similar positions in the market, and enables the</w:t>
            </w:r>
          </w:p>
        </w:tc>
        <w:tc>
          <w:tcPr>
            <w:tcW w:w="39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individual performance, experience, and market</w:t>
            </w:r>
          </w:p>
        </w:tc>
        <w:tc>
          <w:tcPr>
            <w:tcW w:w="0" w:type="dxa"/>
            <w:vAlign w:val="bottom"/>
          </w:tcPr>
          <w:p>
            <w:pPr>
              <w:spacing w:after="0"/>
              <w:rPr>
                <w:sz w:val="1"/>
                <w:szCs w:val="1"/>
                <w:color w:val="auto"/>
              </w:rPr>
            </w:pPr>
          </w:p>
        </w:tc>
      </w:tr>
      <w:tr>
        <w:trPr>
          <w:trHeight w:val="194"/>
        </w:trPr>
        <w:tc>
          <w:tcPr>
            <w:tcW w:w="160" w:type="dxa"/>
            <w:vAlign w:val="bottom"/>
            <w:tcBorders>
              <w:left w:val="single" w:sz="8" w:color="auto"/>
              <w:bottom w:val="single" w:sz="8" w:color="auto"/>
            </w:tcBorders>
            <w:shd w:val="clear" w:color="auto" w:fill="D8D8D8"/>
          </w:tcPr>
          <w:p>
            <w:pPr>
              <w:spacing w:after="0"/>
              <w:rPr>
                <w:sz w:val="16"/>
                <w:szCs w:val="16"/>
                <w:color w:val="auto"/>
              </w:rPr>
            </w:pPr>
          </w:p>
        </w:tc>
        <w:tc>
          <w:tcPr>
            <w:tcW w:w="1620" w:type="dxa"/>
            <w:vAlign w:val="bottom"/>
            <w:tcBorders>
              <w:bottom w:val="single" w:sz="8" w:color="auto"/>
              <w:right w:val="single" w:sz="8" w:color="auto"/>
            </w:tcBorders>
            <w:shd w:val="clear" w:color="auto" w:fill="D8D8D8"/>
          </w:tcPr>
          <w:p>
            <w:pPr>
              <w:spacing w:after="0"/>
              <w:rPr>
                <w:sz w:val="16"/>
                <w:szCs w:val="16"/>
                <w:color w:val="auto"/>
              </w:rPr>
            </w:pPr>
          </w:p>
        </w:tc>
        <w:tc>
          <w:tcPr>
            <w:tcW w:w="420" w:type="dxa"/>
            <w:vAlign w:val="bottom"/>
            <w:tcBorders>
              <w:bottom w:val="single" w:sz="8" w:color="auto"/>
            </w:tcBorders>
            <w:shd w:val="clear" w:color="auto" w:fill="D8D8D8"/>
          </w:tcPr>
          <w:p>
            <w:pPr>
              <w:spacing w:after="0"/>
              <w:rPr>
                <w:sz w:val="16"/>
                <w:szCs w:val="16"/>
                <w:color w:val="auto"/>
              </w:rPr>
            </w:pPr>
          </w:p>
        </w:tc>
        <w:tc>
          <w:tcPr>
            <w:tcW w:w="780" w:type="dxa"/>
            <w:vAlign w:val="bottom"/>
            <w:tcBorders>
              <w:bottom w:val="single" w:sz="8" w:color="auto"/>
              <w:right w:val="single" w:sz="8" w:color="auto"/>
            </w:tcBorders>
            <w:shd w:val="clear" w:color="auto" w:fill="D8D8D8"/>
          </w:tcPr>
          <w:p>
            <w:pPr>
              <w:spacing w:after="0"/>
              <w:rPr>
                <w:sz w:val="16"/>
                <w:szCs w:val="16"/>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Company to attract and retain critical executive talent</w:t>
            </w:r>
          </w:p>
        </w:tc>
        <w:tc>
          <w:tcPr>
            <w:tcW w:w="3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levels</w:t>
            </w:r>
          </w:p>
        </w:tc>
        <w:tc>
          <w:tcPr>
            <w:tcW w:w="0" w:type="dxa"/>
            <w:vAlign w:val="bottom"/>
          </w:tcPr>
          <w:p>
            <w:pPr>
              <w:spacing w:after="0"/>
              <w:rPr>
                <w:sz w:val="1"/>
                <w:szCs w:val="1"/>
                <w:color w:val="auto"/>
              </w:rPr>
            </w:pPr>
          </w:p>
        </w:tc>
      </w:tr>
      <w:tr>
        <w:trPr>
          <w:trHeight w:val="293"/>
        </w:trPr>
        <w:tc>
          <w:tcPr>
            <w:tcW w:w="160" w:type="dxa"/>
            <w:vAlign w:val="bottom"/>
            <w:tcBorders>
              <w:left w:val="single" w:sz="8" w:color="auto"/>
            </w:tcBorders>
            <w:shd w:val="clear" w:color="auto" w:fill="D8D8D8"/>
          </w:tcPr>
          <w:p>
            <w:pPr>
              <w:spacing w:after="0"/>
              <w:rPr>
                <w:sz w:val="24"/>
                <w:szCs w:val="24"/>
                <w:color w:val="auto"/>
              </w:rPr>
            </w:pPr>
          </w:p>
        </w:tc>
        <w:tc>
          <w:tcPr>
            <w:tcW w:w="1620" w:type="dxa"/>
            <w:vAlign w:val="bottom"/>
            <w:tcBorders>
              <w:right w:val="single" w:sz="8" w:color="auto"/>
            </w:tcBorders>
            <w:shd w:val="clear" w:color="auto" w:fill="D8D8D8"/>
          </w:tcPr>
          <w:p>
            <w:pPr>
              <w:spacing w:after="0"/>
              <w:rPr>
                <w:sz w:val="20"/>
                <w:szCs w:val="20"/>
                <w:color w:val="auto"/>
              </w:rPr>
            </w:pPr>
            <w:r>
              <w:rPr>
                <w:rFonts w:ascii="Arial" w:cs="Arial" w:eastAsia="Arial" w:hAnsi="Arial"/>
                <w:sz w:val="16"/>
                <w:szCs w:val="16"/>
                <w:b w:val="1"/>
                <w:bCs w:val="1"/>
                <w:color w:val="auto"/>
              </w:rPr>
              <w:t>Annual Cash</w:t>
            </w:r>
          </w:p>
        </w:tc>
        <w:tc>
          <w:tcPr>
            <w:tcW w:w="1200" w:type="dxa"/>
            <w:vAlign w:val="bottom"/>
            <w:tcBorders>
              <w:right w:val="single" w:sz="8" w:color="auto"/>
            </w:tcBorders>
            <w:gridSpan w:val="2"/>
            <w:shd w:val="clear" w:color="auto" w:fill="D8D8D8"/>
          </w:tcPr>
          <w:p>
            <w:pPr>
              <w:ind w:left="80"/>
              <w:spacing w:after="0"/>
              <w:rPr>
                <w:sz w:val="20"/>
                <w:szCs w:val="20"/>
                <w:color w:val="auto"/>
              </w:rPr>
            </w:pPr>
            <w:r>
              <w:rPr>
                <w:rFonts w:ascii="Arial" w:cs="Arial" w:eastAsia="Arial" w:hAnsi="Arial"/>
                <w:sz w:val="16"/>
                <w:szCs w:val="16"/>
                <w:b w:val="1"/>
                <w:bCs w:val="1"/>
                <w:color w:val="auto"/>
              </w:rPr>
              <w:t>Cash</w:t>
            </w:r>
          </w:p>
        </w:tc>
        <w:tc>
          <w:tcPr>
            <w:tcW w:w="40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Focuses executives on achieving annual financial and</w:t>
            </w:r>
          </w:p>
        </w:tc>
        <w:tc>
          <w:tcPr>
            <w:tcW w:w="39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Payouts: 0% to 180% of target based on</w:t>
            </w:r>
          </w:p>
        </w:tc>
        <w:tc>
          <w:tcPr>
            <w:tcW w:w="0" w:type="dxa"/>
            <w:vAlign w:val="bottom"/>
          </w:tcPr>
          <w:p>
            <w:pPr>
              <w:spacing w:after="0"/>
              <w:rPr>
                <w:sz w:val="1"/>
                <w:szCs w:val="1"/>
                <w:color w:val="auto"/>
              </w:rPr>
            </w:pPr>
          </w:p>
        </w:tc>
      </w:tr>
      <w:tr>
        <w:trPr>
          <w:trHeight w:val="223"/>
        </w:trPr>
        <w:tc>
          <w:tcPr>
            <w:tcW w:w="160" w:type="dxa"/>
            <w:vAlign w:val="bottom"/>
            <w:tcBorders>
              <w:left w:val="single" w:sz="8" w:color="auto"/>
            </w:tcBorders>
            <w:shd w:val="clear" w:color="auto" w:fill="D8D8D8"/>
          </w:tcPr>
          <w:p>
            <w:pPr>
              <w:spacing w:after="0"/>
              <w:rPr>
                <w:sz w:val="19"/>
                <w:szCs w:val="19"/>
                <w:color w:val="auto"/>
              </w:rPr>
            </w:pPr>
          </w:p>
        </w:tc>
        <w:tc>
          <w:tcPr>
            <w:tcW w:w="1620" w:type="dxa"/>
            <w:vAlign w:val="bottom"/>
            <w:tcBorders>
              <w:right w:val="single" w:sz="8" w:color="auto"/>
            </w:tcBorders>
            <w:shd w:val="clear" w:color="auto" w:fill="D8D8D8"/>
          </w:tcPr>
          <w:p>
            <w:pPr>
              <w:spacing w:after="0"/>
              <w:rPr>
                <w:sz w:val="20"/>
                <w:szCs w:val="20"/>
                <w:color w:val="auto"/>
              </w:rPr>
            </w:pPr>
            <w:r>
              <w:rPr>
                <w:rFonts w:ascii="Arial" w:cs="Arial" w:eastAsia="Arial" w:hAnsi="Arial"/>
                <w:sz w:val="16"/>
                <w:szCs w:val="16"/>
                <w:b w:val="1"/>
                <w:bCs w:val="1"/>
                <w:color w:val="auto"/>
              </w:rPr>
              <w:t>Incentive (EMIP)</w:t>
            </w:r>
          </w:p>
        </w:tc>
        <w:tc>
          <w:tcPr>
            <w:tcW w:w="1200" w:type="dxa"/>
            <w:vAlign w:val="bottom"/>
            <w:tcBorders>
              <w:right w:val="single" w:sz="8" w:color="auto"/>
            </w:tcBorders>
            <w:gridSpan w:val="2"/>
            <w:shd w:val="clear" w:color="auto" w:fill="D8D8D8"/>
          </w:tcPr>
          <w:p>
            <w:pPr>
              <w:ind w:left="80"/>
              <w:spacing w:after="0"/>
              <w:rPr>
                <w:sz w:val="20"/>
                <w:szCs w:val="20"/>
                <w:color w:val="auto"/>
              </w:rPr>
            </w:pPr>
            <w:r>
              <w:rPr>
                <w:rFonts w:ascii="Arial" w:cs="Arial" w:eastAsia="Arial" w:hAnsi="Arial"/>
                <w:sz w:val="16"/>
                <w:szCs w:val="16"/>
                <w:b w:val="1"/>
                <w:bCs w:val="1"/>
                <w:color w:val="auto"/>
              </w:rPr>
              <w:t>(Variable)</w:t>
            </w:r>
          </w:p>
        </w:tc>
        <w:tc>
          <w:tcPr>
            <w:tcW w:w="40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strategic goals that drive long-term shareholder value</w:t>
            </w:r>
          </w:p>
        </w:tc>
        <w:tc>
          <w:tcPr>
            <w:tcW w:w="398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financial results and strategic goal attainment</w:t>
            </w:r>
          </w:p>
        </w:tc>
        <w:tc>
          <w:tcPr>
            <w:tcW w:w="0" w:type="dxa"/>
            <w:vAlign w:val="bottom"/>
          </w:tcPr>
          <w:p>
            <w:pPr>
              <w:spacing w:after="0"/>
              <w:rPr>
                <w:sz w:val="1"/>
                <w:szCs w:val="1"/>
                <w:color w:val="auto"/>
              </w:rPr>
            </w:pPr>
          </w:p>
        </w:tc>
      </w:tr>
      <w:tr>
        <w:trPr>
          <w:trHeight w:val="189"/>
        </w:trPr>
        <w:tc>
          <w:tcPr>
            <w:tcW w:w="160" w:type="dxa"/>
            <w:vAlign w:val="bottom"/>
            <w:tcBorders>
              <w:left w:val="single" w:sz="8" w:color="auto"/>
            </w:tcBorders>
            <w:shd w:val="clear" w:color="auto" w:fill="D8D8D8"/>
          </w:tcPr>
          <w:p>
            <w:pPr>
              <w:spacing w:after="0"/>
              <w:rPr>
                <w:sz w:val="16"/>
                <w:szCs w:val="16"/>
                <w:color w:val="auto"/>
              </w:rPr>
            </w:pPr>
          </w:p>
        </w:tc>
        <w:tc>
          <w:tcPr>
            <w:tcW w:w="1620" w:type="dxa"/>
            <w:vAlign w:val="bottom"/>
            <w:tcBorders>
              <w:right w:val="single" w:sz="8" w:color="auto"/>
            </w:tcBorders>
            <w:shd w:val="clear" w:color="auto" w:fill="D8D8D8"/>
          </w:tcPr>
          <w:p>
            <w:pPr>
              <w:spacing w:after="0"/>
              <w:rPr>
                <w:sz w:val="16"/>
                <w:szCs w:val="16"/>
                <w:color w:val="auto"/>
              </w:rPr>
            </w:pPr>
          </w:p>
        </w:tc>
        <w:tc>
          <w:tcPr>
            <w:tcW w:w="420" w:type="dxa"/>
            <w:vAlign w:val="bottom"/>
            <w:shd w:val="clear" w:color="auto" w:fill="D8D8D8"/>
          </w:tcPr>
          <w:p>
            <w:pPr>
              <w:spacing w:after="0"/>
              <w:rPr>
                <w:sz w:val="16"/>
                <w:szCs w:val="16"/>
                <w:color w:val="auto"/>
              </w:rPr>
            </w:pPr>
          </w:p>
        </w:tc>
        <w:tc>
          <w:tcPr>
            <w:tcW w:w="780" w:type="dxa"/>
            <w:vAlign w:val="bottom"/>
            <w:tcBorders>
              <w:right w:val="single" w:sz="8" w:color="auto"/>
            </w:tcBorders>
            <w:shd w:val="clear" w:color="auto" w:fill="D8D8D8"/>
          </w:tcPr>
          <w:p>
            <w:pPr>
              <w:spacing w:after="0"/>
              <w:rPr>
                <w:sz w:val="16"/>
                <w:szCs w:val="16"/>
                <w:color w:val="auto"/>
              </w:rPr>
            </w:pPr>
          </w:p>
        </w:tc>
        <w:tc>
          <w:tcPr>
            <w:tcW w:w="408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against pre-established goals, subject to the</w:t>
            </w:r>
          </w:p>
        </w:tc>
        <w:tc>
          <w:tcPr>
            <w:tcW w:w="0" w:type="dxa"/>
            <w:vAlign w:val="bottom"/>
          </w:tcPr>
          <w:p>
            <w:pPr>
              <w:spacing w:after="0"/>
              <w:rPr>
                <w:sz w:val="1"/>
                <w:szCs w:val="1"/>
                <w:color w:val="auto"/>
              </w:rPr>
            </w:pPr>
          </w:p>
        </w:tc>
      </w:tr>
      <w:tr>
        <w:trPr>
          <w:trHeight w:val="189"/>
        </w:trPr>
        <w:tc>
          <w:tcPr>
            <w:tcW w:w="160" w:type="dxa"/>
            <w:vAlign w:val="bottom"/>
            <w:tcBorders>
              <w:left w:val="single" w:sz="8" w:color="auto"/>
            </w:tcBorders>
            <w:shd w:val="clear" w:color="auto" w:fill="D8D8D8"/>
          </w:tcPr>
          <w:p>
            <w:pPr>
              <w:spacing w:after="0"/>
              <w:rPr>
                <w:sz w:val="16"/>
                <w:szCs w:val="16"/>
                <w:color w:val="auto"/>
              </w:rPr>
            </w:pPr>
          </w:p>
        </w:tc>
        <w:tc>
          <w:tcPr>
            <w:tcW w:w="1620" w:type="dxa"/>
            <w:vAlign w:val="bottom"/>
            <w:tcBorders>
              <w:right w:val="single" w:sz="8" w:color="auto"/>
            </w:tcBorders>
            <w:shd w:val="clear" w:color="auto" w:fill="D8D8D8"/>
          </w:tcPr>
          <w:p>
            <w:pPr>
              <w:spacing w:after="0"/>
              <w:rPr>
                <w:sz w:val="16"/>
                <w:szCs w:val="16"/>
                <w:color w:val="auto"/>
              </w:rPr>
            </w:pPr>
          </w:p>
        </w:tc>
        <w:tc>
          <w:tcPr>
            <w:tcW w:w="420" w:type="dxa"/>
            <w:vAlign w:val="bottom"/>
            <w:shd w:val="clear" w:color="auto" w:fill="D8D8D8"/>
          </w:tcPr>
          <w:p>
            <w:pPr>
              <w:spacing w:after="0"/>
              <w:rPr>
                <w:sz w:val="16"/>
                <w:szCs w:val="16"/>
                <w:color w:val="auto"/>
              </w:rPr>
            </w:pPr>
          </w:p>
        </w:tc>
        <w:tc>
          <w:tcPr>
            <w:tcW w:w="780" w:type="dxa"/>
            <w:vAlign w:val="bottom"/>
            <w:tcBorders>
              <w:right w:val="single" w:sz="8" w:color="auto"/>
            </w:tcBorders>
            <w:shd w:val="clear" w:color="auto" w:fill="D8D8D8"/>
          </w:tcPr>
          <w:p>
            <w:pPr>
              <w:spacing w:after="0"/>
              <w:rPr>
                <w:sz w:val="16"/>
                <w:szCs w:val="16"/>
                <w:color w:val="auto"/>
              </w:rPr>
            </w:pPr>
          </w:p>
        </w:tc>
        <w:tc>
          <w:tcPr>
            <w:tcW w:w="408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achievement of a threshold Adjusted EBITDA</w:t>
            </w:r>
          </w:p>
        </w:tc>
        <w:tc>
          <w:tcPr>
            <w:tcW w:w="0" w:type="dxa"/>
            <w:vAlign w:val="bottom"/>
          </w:tcPr>
          <w:p>
            <w:pPr>
              <w:spacing w:after="0"/>
              <w:rPr>
                <w:sz w:val="1"/>
                <w:szCs w:val="1"/>
                <w:color w:val="auto"/>
              </w:rPr>
            </w:pPr>
          </w:p>
        </w:tc>
      </w:tr>
      <w:tr>
        <w:trPr>
          <w:trHeight w:val="189"/>
        </w:trPr>
        <w:tc>
          <w:tcPr>
            <w:tcW w:w="160" w:type="dxa"/>
            <w:vAlign w:val="bottom"/>
            <w:tcBorders>
              <w:left w:val="single" w:sz="8" w:color="auto"/>
            </w:tcBorders>
            <w:shd w:val="clear" w:color="auto" w:fill="D8D8D8"/>
          </w:tcPr>
          <w:p>
            <w:pPr>
              <w:spacing w:after="0"/>
              <w:rPr>
                <w:sz w:val="16"/>
                <w:szCs w:val="16"/>
                <w:color w:val="auto"/>
              </w:rPr>
            </w:pPr>
          </w:p>
        </w:tc>
        <w:tc>
          <w:tcPr>
            <w:tcW w:w="1620" w:type="dxa"/>
            <w:vAlign w:val="bottom"/>
            <w:tcBorders>
              <w:right w:val="single" w:sz="8" w:color="auto"/>
            </w:tcBorders>
            <w:shd w:val="clear" w:color="auto" w:fill="D8D8D8"/>
          </w:tcPr>
          <w:p>
            <w:pPr>
              <w:spacing w:after="0"/>
              <w:rPr>
                <w:sz w:val="16"/>
                <w:szCs w:val="16"/>
                <w:color w:val="auto"/>
              </w:rPr>
            </w:pPr>
          </w:p>
        </w:tc>
        <w:tc>
          <w:tcPr>
            <w:tcW w:w="420" w:type="dxa"/>
            <w:vAlign w:val="bottom"/>
            <w:shd w:val="clear" w:color="auto" w:fill="D8D8D8"/>
          </w:tcPr>
          <w:p>
            <w:pPr>
              <w:spacing w:after="0"/>
              <w:rPr>
                <w:sz w:val="16"/>
                <w:szCs w:val="16"/>
                <w:color w:val="auto"/>
              </w:rPr>
            </w:pPr>
          </w:p>
        </w:tc>
        <w:tc>
          <w:tcPr>
            <w:tcW w:w="780" w:type="dxa"/>
            <w:vAlign w:val="bottom"/>
            <w:tcBorders>
              <w:right w:val="single" w:sz="8" w:color="auto"/>
            </w:tcBorders>
            <w:shd w:val="clear" w:color="auto" w:fill="D8D8D8"/>
          </w:tcPr>
          <w:p>
            <w:pPr>
              <w:spacing w:after="0"/>
              <w:rPr>
                <w:sz w:val="16"/>
                <w:szCs w:val="16"/>
                <w:color w:val="auto"/>
              </w:rPr>
            </w:pPr>
          </w:p>
        </w:tc>
        <w:tc>
          <w:tcPr>
            <w:tcW w:w="408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goal</w:t>
            </w:r>
          </w:p>
        </w:tc>
        <w:tc>
          <w:tcPr>
            <w:tcW w:w="0" w:type="dxa"/>
            <w:vAlign w:val="bottom"/>
          </w:tcPr>
          <w:p>
            <w:pPr>
              <w:spacing w:after="0"/>
              <w:rPr>
                <w:sz w:val="1"/>
                <w:szCs w:val="1"/>
                <w:color w:val="auto"/>
              </w:rPr>
            </w:pPr>
          </w:p>
        </w:tc>
      </w:tr>
      <w:tr>
        <w:trPr>
          <w:trHeight w:val="189"/>
        </w:trPr>
        <w:tc>
          <w:tcPr>
            <w:tcW w:w="160" w:type="dxa"/>
            <w:vAlign w:val="bottom"/>
            <w:tcBorders>
              <w:left w:val="single" w:sz="8" w:color="auto"/>
            </w:tcBorders>
            <w:shd w:val="clear" w:color="auto" w:fill="D8D8D8"/>
          </w:tcPr>
          <w:p>
            <w:pPr>
              <w:spacing w:after="0"/>
              <w:rPr>
                <w:sz w:val="16"/>
                <w:szCs w:val="16"/>
                <w:color w:val="auto"/>
              </w:rPr>
            </w:pPr>
          </w:p>
        </w:tc>
        <w:tc>
          <w:tcPr>
            <w:tcW w:w="1620" w:type="dxa"/>
            <w:vAlign w:val="bottom"/>
            <w:tcBorders>
              <w:right w:val="single" w:sz="8" w:color="auto"/>
            </w:tcBorders>
            <w:shd w:val="clear" w:color="auto" w:fill="D8D8D8"/>
          </w:tcPr>
          <w:p>
            <w:pPr>
              <w:spacing w:after="0"/>
              <w:rPr>
                <w:sz w:val="16"/>
                <w:szCs w:val="16"/>
                <w:color w:val="auto"/>
              </w:rPr>
            </w:pPr>
          </w:p>
        </w:tc>
        <w:tc>
          <w:tcPr>
            <w:tcW w:w="420" w:type="dxa"/>
            <w:vAlign w:val="bottom"/>
            <w:shd w:val="clear" w:color="auto" w:fill="D8D8D8"/>
          </w:tcPr>
          <w:p>
            <w:pPr>
              <w:spacing w:after="0"/>
              <w:rPr>
                <w:sz w:val="16"/>
                <w:szCs w:val="16"/>
                <w:color w:val="auto"/>
              </w:rPr>
            </w:pPr>
          </w:p>
        </w:tc>
        <w:tc>
          <w:tcPr>
            <w:tcW w:w="780" w:type="dxa"/>
            <w:vAlign w:val="bottom"/>
            <w:tcBorders>
              <w:right w:val="single" w:sz="8" w:color="auto"/>
            </w:tcBorders>
            <w:shd w:val="clear" w:color="auto" w:fill="D8D8D8"/>
          </w:tcPr>
          <w:p>
            <w:pPr>
              <w:spacing w:after="0"/>
              <w:rPr>
                <w:sz w:val="16"/>
                <w:szCs w:val="16"/>
                <w:color w:val="auto"/>
              </w:rPr>
            </w:pPr>
          </w:p>
        </w:tc>
        <w:tc>
          <w:tcPr>
            <w:tcW w:w="408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   If the threshold Adjusted EBITDA goal is not</w:t>
            </w:r>
          </w:p>
        </w:tc>
        <w:tc>
          <w:tcPr>
            <w:tcW w:w="0" w:type="dxa"/>
            <w:vAlign w:val="bottom"/>
          </w:tcPr>
          <w:p>
            <w:pPr>
              <w:spacing w:after="0"/>
              <w:rPr>
                <w:sz w:val="1"/>
                <w:szCs w:val="1"/>
                <w:color w:val="auto"/>
              </w:rPr>
            </w:pPr>
          </w:p>
        </w:tc>
      </w:tr>
      <w:tr>
        <w:trPr>
          <w:trHeight w:val="189"/>
        </w:trPr>
        <w:tc>
          <w:tcPr>
            <w:tcW w:w="160" w:type="dxa"/>
            <w:vAlign w:val="bottom"/>
            <w:tcBorders>
              <w:left w:val="single" w:sz="8" w:color="auto"/>
            </w:tcBorders>
            <w:shd w:val="clear" w:color="auto" w:fill="D8D8D8"/>
          </w:tcPr>
          <w:p>
            <w:pPr>
              <w:spacing w:after="0"/>
              <w:rPr>
                <w:sz w:val="16"/>
                <w:szCs w:val="16"/>
                <w:color w:val="auto"/>
              </w:rPr>
            </w:pPr>
          </w:p>
        </w:tc>
        <w:tc>
          <w:tcPr>
            <w:tcW w:w="1620" w:type="dxa"/>
            <w:vAlign w:val="bottom"/>
            <w:tcBorders>
              <w:right w:val="single" w:sz="8" w:color="auto"/>
            </w:tcBorders>
            <w:shd w:val="clear" w:color="auto" w:fill="D8D8D8"/>
          </w:tcPr>
          <w:p>
            <w:pPr>
              <w:spacing w:after="0"/>
              <w:rPr>
                <w:sz w:val="16"/>
                <w:szCs w:val="16"/>
                <w:color w:val="auto"/>
              </w:rPr>
            </w:pPr>
          </w:p>
        </w:tc>
        <w:tc>
          <w:tcPr>
            <w:tcW w:w="420" w:type="dxa"/>
            <w:vAlign w:val="bottom"/>
            <w:shd w:val="clear" w:color="auto" w:fill="D8D8D8"/>
          </w:tcPr>
          <w:p>
            <w:pPr>
              <w:spacing w:after="0"/>
              <w:rPr>
                <w:sz w:val="16"/>
                <w:szCs w:val="16"/>
                <w:color w:val="auto"/>
              </w:rPr>
            </w:pPr>
          </w:p>
        </w:tc>
        <w:tc>
          <w:tcPr>
            <w:tcW w:w="780" w:type="dxa"/>
            <w:vAlign w:val="bottom"/>
            <w:tcBorders>
              <w:right w:val="single" w:sz="8" w:color="auto"/>
            </w:tcBorders>
            <w:shd w:val="clear" w:color="auto" w:fill="D8D8D8"/>
          </w:tcPr>
          <w:p>
            <w:pPr>
              <w:spacing w:after="0"/>
              <w:rPr>
                <w:sz w:val="16"/>
                <w:szCs w:val="16"/>
                <w:color w:val="auto"/>
              </w:rPr>
            </w:pPr>
          </w:p>
        </w:tc>
        <w:tc>
          <w:tcPr>
            <w:tcW w:w="408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700"/>
              <w:spacing w:after="0"/>
              <w:rPr>
                <w:sz w:val="20"/>
                <w:szCs w:val="20"/>
                <w:color w:val="auto"/>
              </w:rPr>
            </w:pPr>
            <w:r>
              <w:rPr>
                <w:rFonts w:ascii="Arial" w:cs="Arial" w:eastAsia="Arial" w:hAnsi="Arial"/>
                <w:sz w:val="16"/>
                <w:szCs w:val="16"/>
                <w:color w:val="auto"/>
              </w:rPr>
              <w:t>achieved, no portion of the EMIP award will</w:t>
            </w:r>
          </w:p>
        </w:tc>
        <w:tc>
          <w:tcPr>
            <w:tcW w:w="0" w:type="dxa"/>
            <w:vAlign w:val="bottom"/>
          </w:tcPr>
          <w:p>
            <w:pPr>
              <w:spacing w:after="0"/>
              <w:rPr>
                <w:sz w:val="1"/>
                <w:szCs w:val="1"/>
                <w:color w:val="auto"/>
              </w:rPr>
            </w:pPr>
          </w:p>
        </w:tc>
      </w:tr>
      <w:tr>
        <w:trPr>
          <w:trHeight w:val="195"/>
        </w:trPr>
        <w:tc>
          <w:tcPr>
            <w:tcW w:w="160" w:type="dxa"/>
            <w:vAlign w:val="bottom"/>
            <w:tcBorders>
              <w:left w:val="single" w:sz="8" w:color="auto"/>
            </w:tcBorders>
            <w:shd w:val="clear" w:color="auto" w:fill="D8D8D8"/>
          </w:tcPr>
          <w:p>
            <w:pPr>
              <w:spacing w:after="0"/>
              <w:rPr>
                <w:sz w:val="16"/>
                <w:szCs w:val="16"/>
                <w:color w:val="auto"/>
              </w:rPr>
            </w:pPr>
          </w:p>
        </w:tc>
        <w:tc>
          <w:tcPr>
            <w:tcW w:w="1620" w:type="dxa"/>
            <w:vAlign w:val="bottom"/>
            <w:tcBorders>
              <w:right w:val="single" w:sz="8" w:color="auto"/>
            </w:tcBorders>
            <w:shd w:val="clear" w:color="auto" w:fill="D8D8D8"/>
          </w:tcPr>
          <w:p>
            <w:pPr>
              <w:spacing w:after="0"/>
              <w:rPr>
                <w:sz w:val="16"/>
                <w:szCs w:val="16"/>
                <w:color w:val="auto"/>
              </w:rPr>
            </w:pPr>
          </w:p>
        </w:tc>
        <w:tc>
          <w:tcPr>
            <w:tcW w:w="420" w:type="dxa"/>
            <w:vAlign w:val="bottom"/>
            <w:shd w:val="clear" w:color="auto" w:fill="D8D8D8"/>
          </w:tcPr>
          <w:p>
            <w:pPr>
              <w:spacing w:after="0"/>
              <w:rPr>
                <w:sz w:val="16"/>
                <w:szCs w:val="16"/>
                <w:color w:val="auto"/>
              </w:rPr>
            </w:pPr>
          </w:p>
        </w:tc>
        <w:tc>
          <w:tcPr>
            <w:tcW w:w="780" w:type="dxa"/>
            <w:vAlign w:val="bottom"/>
            <w:tcBorders>
              <w:right w:val="single" w:sz="8" w:color="auto"/>
            </w:tcBorders>
            <w:shd w:val="clear" w:color="auto" w:fill="D8D8D8"/>
          </w:tcPr>
          <w:p>
            <w:pPr>
              <w:spacing w:after="0"/>
              <w:rPr>
                <w:sz w:val="16"/>
                <w:szCs w:val="16"/>
                <w:color w:val="auto"/>
              </w:rPr>
            </w:pPr>
          </w:p>
        </w:tc>
        <w:tc>
          <w:tcPr>
            <w:tcW w:w="408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700"/>
              <w:spacing w:after="0"/>
              <w:rPr>
                <w:sz w:val="20"/>
                <w:szCs w:val="20"/>
                <w:color w:val="auto"/>
              </w:rPr>
            </w:pPr>
            <w:r>
              <w:rPr>
                <w:rFonts w:ascii="Arial" w:cs="Arial" w:eastAsia="Arial" w:hAnsi="Arial"/>
                <w:sz w:val="16"/>
                <w:szCs w:val="16"/>
                <w:color w:val="auto"/>
              </w:rPr>
              <w:t>be paid</w:t>
            </w:r>
          </w:p>
        </w:tc>
        <w:tc>
          <w:tcPr>
            <w:tcW w:w="0" w:type="dxa"/>
            <w:vAlign w:val="bottom"/>
          </w:tcPr>
          <w:p>
            <w:pPr>
              <w:spacing w:after="0"/>
              <w:rPr>
                <w:sz w:val="1"/>
                <w:szCs w:val="1"/>
                <w:color w:val="auto"/>
              </w:rPr>
            </w:pPr>
          </w:p>
        </w:tc>
      </w:tr>
      <w:tr>
        <w:trPr>
          <w:trHeight w:val="359"/>
        </w:trPr>
        <w:tc>
          <w:tcPr>
            <w:tcW w:w="160" w:type="dxa"/>
            <w:vAlign w:val="bottom"/>
            <w:tcBorders>
              <w:left w:val="single" w:sz="8" w:color="auto"/>
            </w:tcBorders>
            <w:shd w:val="clear" w:color="auto" w:fill="D8D8D8"/>
          </w:tcPr>
          <w:p>
            <w:pPr>
              <w:spacing w:after="0"/>
              <w:rPr>
                <w:sz w:val="24"/>
                <w:szCs w:val="24"/>
                <w:color w:val="auto"/>
              </w:rPr>
            </w:pPr>
          </w:p>
        </w:tc>
        <w:tc>
          <w:tcPr>
            <w:tcW w:w="1620" w:type="dxa"/>
            <w:vAlign w:val="bottom"/>
            <w:tcBorders>
              <w:right w:val="single" w:sz="8" w:color="auto"/>
            </w:tcBorders>
            <w:shd w:val="clear" w:color="auto" w:fill="D8D8D8"/>
          </w:tcPr>
          <w:p>
            <w:pPr>
              <w:spacing w:after="0"/>
              <w:rPr>
                <w:sz w:val="24"/>
                <w:szCs w:val="24"/>
                <w:color w:val="auto"/>
              </w:rPr>
            </w:pPr>
          </w:p>
        </w:tc>
        <w:tc>
          <w:tcPr>
            <w:tcW w:w="420" w:type="dxa"/>
            <w:vAlign w:val="bottom"/>
            <w:shd w:val="clear" w:color="auto" w:fill="D8D8D8"/>
          </w:tcPr>
          <w:p>
            <w:pPr>
              <w:spacing w:after="0"/>
              <w:rPr>
                <w:sz w:val="24"/>
                <w:szCs w:val="24"/>
                <w:color w:val="auto"/>
              </w:rPr>
            </w:pPr>
          </w:p>
        </w:tc>
        <w:tc>
          <w:tcPr>
            <w:tcW w:w="780" w:type="dxa"/>
            <w:vAlign w:val="bottom"/>
            <w:tcBorders>
              <w:right w:val="single" w:sz="8" w:color="auto"/>
            </w:tcBorders>
            <w:shd w:val="clear" w:color="auto" w:fill="D8D8D8"/>
          </w:tcPr>
          <w:p>
            <w:pPr>
              <w:spacing w:after="0"/>
              <w:rPr>
                <w:sz w:val="24"/>
                <w:szCs w:val="24"/>
                <w:color w:val="auto"/>
              </w:rPr>
            </w:pPr>
          </w:p>
        </w:tc>
        <w:tc>
          <w:tcPr>
            <w:tcW w:w="4080" w:type="dxa"/>
            <w:vAlign w:val="bottom"/>
            <w:tcBorders>
              <w:right w:val="single" w:sz="8" w:color="auto"/>
            </w:tcBorders>
          </w:tcPr>
          <w:p>
            <w:pPr>
              <w:spacing w:after="0"/>
              <w:rPr>
                <w:sz w:val="24"/>
                <w:szCs w:val="24"/>
                <w:color w:val="auto"/>
              </w:rPr>
            </w:pPr>
          </w:p>
        </w:tc>
        <w:tc>
          <w:tcPr>
            <w:tcW w:w="39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Financial metrics: Total Company consolidated</w:t>
            </w:r>
          </w:p>
        </w:tc>
        <w:tc>
          <w:tcPr>
            <w:tcW w:w="0" w:type="dxa"/>
            <w:vAlign w:val="bottom"/>
          </w:tcPr>
          <w:p>
            <w:pPr>
              <w:spacing w:after="0"/>
              <w:rPr>
                <w:sz w:val="1"/>
                <w:szCs w:val="1"/>
                <w:color w:val="auto"/>
              </w:rPr>
            </w:pPr>
          </w:p>
        </w:tc>
      </w:tr>
      <w:tr>
        <w:trPr>
          <w:trHeight w:val="195"/>
        </w:trPr>
        <w:tc>
          <w:tcPr>
            <w:tcW w:w="160" w:type="dxa"/>
            <w:vAlign w:val="bottom"/>
            <w:tcBorders>
              <w:left w:val="single" w:sz="8" w:color="auto"/>
            </w:tcBorders>
            <w:shd w:val="clear" w:color="auto" w:fill="D8D8D8"/>
          </w:tcPr>
          <w:p>
            <w:pPr>
              <w:spacing w:after="0"/>
              <w:rPr>
                <w:sz w:val="16"/>
                <w:szCs w:val="16"/>
                <w:color w:val="auto"/>
              </w:rPr>
            </w:pPr>
          </w:p>
        </w:tc>
        <w:tc>
          <w:tcPr>
            <w:tcW w:w="1620" w:type="dxa"/>
            <w:vAlign w:val="bottom"/>
            <w:tcBorders>
              <w:right w:val="single" w:sz="8" w:color="auto"/>
            </w:tcBorders>
            <w:shd w:val="clear" w:color="auto" w:fill="D8D8D8"/>
          </w:tcPr>
          <w:p>
            <w:pPr>
              <w:spacing w:after="0"/>
              <w:rPr>
                <w:sz w:val="16"/>
                <w:szCs w:val="16"/>
                <w:color w:val="auto"/>
              </w:rPr>
            </w:pPr>
          </w:p>
        </w:tc>
        <w:tc>
          <w:tcPr>
            <w:tcW w:w="420" w:type="dxa"/>
            <w:vAlign w:val="bottom"/>
            <w:shd w:val="clear" w:color="auto" w:fill="D8D8D8"/>
          </w:tcPr>
          <w:p>
            <w:pPr>
              <w:spacing w:after="0"/>
              <w:rPr>
                <w:sz w:val="16"/>
                <w:szCs w:val="16"/>
                <w:color w:val="auto"/>
              </w:rPr>
            </w:pPr>
          </w:p>
        </w:tc>
        <w:tc>
          <w:tcPr>
            <w:tcW w:w="780" w:type="dxa"/>
            <w:vAlign w:val="bottom"/>
            <w:tcBorders>
              <w:right w:val="single" w:sz="8" w:color="auto"/>
            </w:tcBorders>
            <w:shd w:val="clear" w:color="auto" w:fill="D8D8D8"/>
          </w:tcPr>
          <w:p>
            <w:pPr>
              <w:spacing w:after="0"/>
              <w:rPr>
                <w:sz w:val="16"/>
                <w:szCs w:val="16"/>
                <w:color w:val="auto"/>
              </w:rPr>
            </w:pPr>
          </w:p>
        </w:tc>
        <w:tc>
          <w:tcPr>
            <w:tcW w:w="408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revenue and Adjusted EBITDA</w:t>
            </w:r>
          </w:p>
        </w:tc>
        <w:tc>
          <w:tcPr>
            <w:tcW w:w="0" w:type="dxa"/>
            <w:vAlign w:val="bottom"/>
          </w:tcPr>
          <w:p>
            <w:pPr>
              <w:spacing w:after="0"/>
              <w:rPr>
                <w:sz w:val="1"/>
                <w:szCs w:val="1"/>
                <w:color w:val="auto"/>
              </w:rPr>
            </w:pPr>
          </w:p>
        </w:tc>
      </w:tr>
      <w:tr>
        <w:trPr>
          <w:trHeight w:val="359"/>
        </w:trPr>
        <w:tc>
          <w:tcPr>
            <w:tcW w:w="160" w:type="dxa"/>
            <w:vAlign w:val="bottom"/>
            <w:tcBorders>
              <w:left w:val="single" w:sz="8" w:color="auto"/>
            </w:tcBorders>
            <w:shd w:val="clear" w:color="auto" w:fill="D8D8D8"/>
          </w:tcPr>
          <w:p>
            <w:pPr>
              <w:spacing w:after="0"/>
              <w:rPr>
                <w:sz w:val="24"/>
                <w:szCs w:val="24"/>
                <w:color w:val="auto"/>
              </w:rPr>
            </w:pPr>
          </w:p>
        </w:tc>
        <w:tc>
          <w:tcPr>
            <w:tcW w:w="1620" w:type="dxa"/>
            <w:vAlign w:val="bottom"/>
            <w:tcBorders>
              <w:right w:val="single" w:sz="8" w:color="auto"/>
            </w:tcBorders>
            <w:shd w:val="clear" w:color="auto" w:fill="D8D8D8"/>
          </w:tcPr>
          <w:p>
            <w:pPr>
              <w:spacing w:after="0"/>
              <w:rPr>
                <w:sz w:val="24"/>
                <w:szCs w:val="24"/>
                <w:color w:val="auto"/>
              </w:rPr>
            </w:pPr>
          </w:p>
        </w:tc>
        <w:tc>
          <w:tcPr>
            <w:tcW w:w="420" w:type="dxa"/>
            <w:vAlign w:val="bottom"/>
            <w:shd w:val="clear" w:color="auto" w:fill="D8D8D8"/>
          </w:tcPr>
          <w:p>
            <w:pPr>
              <w:spacing w:after="0"/>
              <w:rPr>
                <w:sz w:val="24"/>
                <w:szCs w:val="24"/>
                <w:color w:val="auto"/>
              </w:rPr>
            </w:pPr>
          </w:p>
        </w:tc>
        <w:tc>
          <w:tcPr>
            <w:tcW w:w="780" w:type="dxa"/>
            <w:vAlign w:val="bottom"/>
            <w:tcBorders>
              <w:right w:val="single" w:sz="8" w:color="auto"/>
            </w:tcBorders>
            <w:shd w:val="clear" w:color="auto" w:fill="D8D8D8"/>
          </w:tcPr>
          <w:p>
            <w:pPr>
              <w:spacing w:after="0"/>
              <w:rPr>
                <w:sz w:val="24"/>
                <w:szCs w:val="24"/>
                <w:color w:val="auto"/>
              </w:rPr>
            </w:pPr>
          </w:p>
        </w:tc>
        <w:tc>
          <w:tcPr>
            <w:tcW w:w="4080" w:type="dxa"/>
            <w:vAlign w:val="bottom"/>
            <w:tcBorders>
              <w:right w:val="single" w:sz="8" w:color="auto"/>
            </w:tcBorders>
          </w:tcPr>
          <w:p>
            <w:pPr>
              <w:spacing w:after="0"/>
              <w:rPr>
                <w:sz w:val="24"/>
                <w:szCs w:val="24"/>
                <w:color w:val="auto"/>
              </w:rPr>
            </w:pPr>
          </w:p>
        </w:tc>
        <w:tc>
          <w:tcPr>
            <w:tcW w:w="39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Strategic goals: tied to specific strategic</w:t>
            </w:r>
          </w:p>
        </w:tc>
        <w:tc>
          <w:tcPr>
            <w:tcW w:w="0" w:type="dxa"/>
            <w:vAlign w:val="bottom"/>
          </w:tcPr>
          <w:p>
            <w:pPr>
              <w:spacing w:after="0"/>
              <w:rPr>
                <w:sz w:val="1"/>
                <w:szCs w:val="1"/>
                <w:color w:val="auto"/>
              </w:rPr>
            </w:pPr>
          </w:p>
        </w:tc>
      </w:tr>
      <w:tr>
        <w:trPr>
          <w:trHeight w:val="208"/>
        </w:trPr>
        <w:tc>
          <w:tcPr>
            <w:tcW w:w="160" w:type="dxa"/>
            <w:vAlign w:val="bottom"/>
            <w:tcBorders>
              <w:left w:val="single" w:sz="8" w:color="auto"/>
              <w:bottom w:val="single" w:sz="8" w:color="auto"/>
            </w:tcBorders>
            <w:shd w:val="clear" w:color="auto" w:fill="D8D8D8"/>
          </w:tcPr>
          <w:p>
            <w:pPr>
              <w:spacing w:after="0"/>
              <w:rPr>
                <w:sz w:val="18"/>
                <w:szCs w:val="18"/>
                <w:color w:val="auto"/>
              </w:rPr>
            </w:pPr>
          </w:p>
        </w:tc>
        <w:tc>
          <w:tcPr>
            <w:tcW w:w="1620" w:type="dxa"/>
            <w:vAlign w:val="bottom"/>
            <w:tcBorders>
              <w:bottom w:val="single" w:sz="8" w:color="auto"/>
              <w:right w:val="single" w:sz="8" w:color="auto"/>
            </w:tcBorders>
            <w:shd w:val="clear" w:color="auto" w:fill="D8D8D8"/>
          </w:tcPr>
          <w:p>
            <w:pPr>
              <w:spacing w:after="0"/>
              <w:rPr>
                <w:sz w:val="18"/>
                <w:szCs w:val="18"/>
                <w:color w:val="auto"/>
              </w:rPr>
            </w:pPr>
          </w:p>
        </w:tc>
        <w:tc>
          <w:tcPr>
            <w:tcW w:w="420" w:type="dxa"/>
            <w:vAlign w:val="bottom"/>
            <w:tcBorders>
              <w:bottom w:val="single" w:sz="8" w:color="auto"/>
            </w:tcBorders>
            <w:shd w:val="clear" w:color="auto" w:fill="D8D8D8"/>
          </w:tcPr>
          <w:p>
            <w:pPr>
              <w:spacing w:after="0"/>
              <w:rPr>
                <w:sz w:val="18"/>
                <w:szCs w:val="18"/>
                <w:color w:val="auto"/>
              </w:rPr>
            </w:pPr>
          </w:p>
        </w:tc>
        <w:tc>
          <w:tcPr>
            <w:tcW w:w="780" w:type="dxa"/>
            <w:vAlign w:val="bottom"/>
            <w:tcBorders>
              <w:bottom w:val="single" w:sz="8" w:color="auto"/>
              <w:right w:val="single" w:sz="8" w:color="auto"/>
            </w:tcBorders>
            <w:shd w:val="clear" w:color="auto" w:fill="D8D8D8"/>
          </w:tcPr>
          <w:p>
            <w:pPr>
              <w:spacing w:after="0"/>
              <w:rPr>
                <w:sz w:val="18"/>
                <w:szCs w:val="18"/>
                <w:color w:val="auto"/>
              </w:rPr>
            </w:pPr>
          </w:p>
        </w:tc>
        <w:tc>
          <w:tcPr>
            <w:tcW w:w="4080" w:type="dxa"/>
            <w:vAlign w:val="bottom"/>
            <w:tcBorders>
              <w:bottom w:val="single" w:sz="8" w:color="auto"/>
              <w:right w:val="single" w:sz="8" w:color="auto"/>
            </w:tcBorders>
          </w:tcPr>
          <w:p>
            <w:pPr>
              <w:spacing w:after="0"/>
              <w:rPr>
                <w:sz w:val="18"/>
                <w:szCs w:val="18"/>
                <w:color w:val="auto"/>
              </w:rPr>
            </w:pPr>
          </w:p>
        </w:tc>
        <w:tc>
          <w:tcPr>
            <w:tcW w:w="398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6"/>
                <w:szCs w:val="16"/>
                <w:color w:val="auto"/>
              </w:rPr>
              <w:t>objectives</w:t>
            </w:r>
          </w:p>
        </w:tc>
        <w:tc>
          <w:tcPr>
            <w:tcW w:w="0" w:type="dxa"/>
            <w:vAlign w:val="bottom"/>
          </w:tcPr>
          <w:p>
            <w:pPr>
              <w:spacing w:after="0"/>
              <w:rPr>
                <w:sz w:val="1"/>
                <w:szCs w:val="1"/>
                <w:color w:val="auto"/>
              </w:rPr>
            </w:pPr>
          </w:p>
        </w:tc>
      </w:tr>
      <w:tr>
        <w:trPr>
          <w:trHeight w:val="293"/>
        </w:trPr>
        <w:tc>
          <w:tcPr>
            <w:tcW w:w="160" w:type="dxa"/>
            <w:vAlign w:val="bottom"/>
            <w:tcBorders>
              <w:left w:val="single" w:sz="8" w:color="auto"/>
            </w:tcBorders>
            <w:shd w:val="clear" w:color="auto" w:fill="D8D8D8"/>
          </w:tcPr>
          <w:p>
            <w:pPr>
              <w:spacing w:after="0"/>
              <w:rPr>
                <w:sz w:val="24"/>
                <w:szCs w:val="24"/>
                <w:color w:val="auto"/>
              </w:rPr>
            </w:pPr>
          </w:p>
        </w:tc>
        <w:tc>
          <w:tcPr>
            <w:tcW w:w="1620" w:type="dxa"/>
            <w:vAlign w:val="bottom"/>
            <w:tcBorders>
              <w:right w:val="single" w:sz="8" w:color="auto"/>
            </w:tcBorders>
            <w:shd w:val="clear" w:color="auto" w:fill="D8D8D8"/>
          </w:tcPr>
          <w:p>
            <w:pPr>
              <w:spacing w:after="0"/>
              <w:rPr>
                <w:sz w:val="20"/>
                <w:szCs w:val="20"/>
                <w:color w:val="auto"/>
              </w:rPr>
            </w:pPr>
            <w:r>
              <w:rPr>
                <w:rFonts w:ascii="Arial" w:cs="Arial" w:eastAsia="Arial" w:hAnsi="Arial"/>
                <w:sz w:val="16"/>
                <w:szCs w:val="16"/>
                <w:b w:val="1"/>
                <w:bCs w:val="1"/>
                <w:color w:val="auto"/>
              </w:rPr>
              <w:t>Long-Term</w:t>
            </w:r>
          </w:p>
        </w:tc>
        <w:tc>
          <w:tcPr>
            <w:tcW w:w="1200" w:type="dxa"/>
            <w:vAlign w:val="bottom"/>
            <w:tcBorders>
              <w:right w:val="single" w:sz="8" w:color="auto"/>
            </w:tcBorders>
            <w:gridSpan w:val="2"/>
            <w:shd w:val="clear" w:color="auto" w:fill="D8D8D8"/>
          </w:tcPr>
          <w:p>
            <w:pPr>
              <w:ind w:left="80"/>
              <w:spacing w:after="0"/>
              <w:rPr>
                <w:sz w:val="20"/>
                <w:szCs w:val="20"/>
                <w:color w:val="auto"/>
              </w:rPr>
            </w:pPr>
            <w:r>
              <w:rPr>
                <w:rFonts w:ascii="Arial" w:cs="Arial" w:eastAsia="Arial" w:hAnsi="Arial"/>
                <w:sz w:val="16"/>
                <w:szCs w:val="16"/>
                <w:b w:val="1"/>
                <w:bCs w:val="1"/>
                <w:color w:val="auto"/>
              </w:rPr>
              <w:t>Equity</w:t>
            </w:r>
          </w:p>
        </w:tc>
        <w:tc>
          <w:tcPr>
            <w:tcW w:w="40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Provides incentives for executives to execute on</w:t>
            </w:r>
          </w:p>
        </w:tc>
        <w:tc>
          <w:tcPr>
            <w:tcW w:w="3980" w:type="dxa"/>
            <w:vAlign w:val="bottom"/>
            <w:tcBorders>
              <w:right w:val="single" w:sz="8" w:color="auto"/>
            </w:tcBorders>
          </w:tcPr>
          <w:p>
            <w:pPr>
              <w:ind w:left="120"/>
              <w:spacing w:after="0"/>
              <w:rPr>
                <w:sz w:val="20"/>
                <w:szCs w:val="20"/>
                <w:color w:val="auto"/>
              </w:rPr>
            </w:pPr>
            <w:r>
              <w:rPr>
                <w:rFonts w:ascii="Arial" w:cs="Arial" w:eastAsia="Arial" w:hAnsi="Arial"/>
                <w:sz w:val="16"/>
                <w:szCs w:val="16"/>
                <w:i w:val="1"/>
                <w:iCs w:val="1"/>
                <w:color w:val="auto"/>
              </w:rPr>
              <w:t>See below</w:t>
            </w:r>
          </w:p>
        </w:tc>
        <w:tc>
          <w:tcPr>
            <w:tcW w:w="0" w:type="dxa"/>
            <w:vAlign w:val="bottom"/>
          </w:tcPr>
          <w:p>
            <w:pPr>
              <w:spacing w:after="0"/>
              <w:rPr>
                <w:sz w:val="1"/>
                <w:szCs w:val="1"/>
                <w:color w:val="auto"/>
              </w:rPr>
            </w:pPr>
          </w:p>
        </w:tc>
      </w:tr>
      <w:tr>
        <w:trPr>
          <w:trHeight w:val="189"/>
        </w:trPr>
        <w:tc>
          <w:tcPr>
            <w:tcW w:w="160" w:type="dxa"/>
            <w:vAlign w:val="bottom"/>
            <w:tcBorders>
              <w:left w:val="single" w:sz="8" w:color="auto"/>
            </w:tcBorders>
            <w:shd w:val="clear" w:color="auto" w:fill="D8D8D8"/>
          </w:tcPr>
          <w:p>
            <w:pPr>
              <w:spacing w:after="0"/>
              <w:rPr>
                <w:sz w:val="16"/>
                <w:szCs w:val="16"/>
                <w:color w:val="auto"/>
              </w:rPr>
            </w:pPr>
          </w:p>
        </w:tc>
        <w:tc>
          <w:tcPr>
            <w:tcW w:w="1620" w:type="dxa"/>
            <w:vAlign w:val="bottom"/>
            <w:tcBorders>
              <w:right w:val="single" w:sz="8" w:color="auto"/>
            </w:tcBorders>
            <w:shd w:val="clear" w:color="auto" w:fill="D8D8D8"/>
          </w:tcPr>
          <w:p>
            <w:pPr>
              <w:spacing w:after="0"/>
              <w:rPr>
                <w:sz w:val="20"/>
                <w:szCs w:val="20"/>
                <w:color w:val="auto"/>
              </w:rPr>
            </w:pPr>
            <w:r>
              <w:rPr>
                <w:rFonts w:ascii="Arial" w:cs="Arial" w:eastAsia="Arial" w:hAnsi="Arial"/>
                <w:sz w:val="16"/>
                <w:szCs w:val="16"/>
                <w:b w:val="1"/>
                <w:bCs w:val="1"/>
                <w:color w:val="auto"/>
              </w:rPr>
              <w:t>Incentive Plan</w:t>
            </w:r>
          </w:p>
        </w:tc>
        <w:tc>
          <w:tcPr>
            <w:tcW w:w="1200" w:type="dxa"/>
            <w:vAlign w:val="bottom"/>
            <w:tcBorders>
              <w:right w:val="single" w:sz="8" w:color="auto"/>
            </w:tcBorders>
            <w:gridSpan w:val="2"/>
            <w:shd w:val="clear" w:color="auto" w:fill="D8D8D8"/>
          </w:tcPr>
          <w:p>
            <w:pPr>
              <w:ind w:left="80"/>
              <w:spacing w:after="0"/>
              <w:rPr>
                <w:sz w:val="20"/>
                <w:szCs w:val="20"/>
                <w:color w:val="auto"/>
              </w:rPr>
            </w:pPr>
            <w:r>
              <w:rPr>
                <w:rFonts w:ascii="Arial" w:cs="Arial" w:eastAsia="Arial" w:hAnsi="Arial"/>
                <w:sz w:val="16"/>
                <w:szCs w:val="16"/>
                <w:b w:val="1"/>
                <w:bCs w:val="1"/>
                <w:color w:val="auto"/>
              </w:rPr>
              <w:t>(Variable)</w:t>
            </w:r>
          </w:p>
        </w:tc>
        <w:tc>
          <w:tcPr>
            <w:tcW w:w="40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longer-term financial/strategic growth goals that drive</w:t>
            </w:r>
          </w:p>
        </w:tc>
        <w:tc>
          <w:tcPr>
            <w:tcW w:w="39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60" w:type="dxa"/>
            <w:vAlign w:val="bottom"/>
            <w:tcBorders>
              <w:left w:val="single" w:sz="8" w:color="auto"/>
            </w:tcBorders>
            <w:shd w:val="clear" w:color="auto" w:fill="D8D8D8"/>
          </w:tcPr>
          <w:p>
            <w:pPr>
              <w:spacing w:after="0"/>
              <w:rPr>
                <w:sz w:val="18"/>
                <w:szCs w:val="18"/>
                <w:color w:val="auto"/>
              </w:rPr>
            </w:pPr>
          </w:p>
        </w:tc>
        <w:tc>
          <w:tcPr>
            <w:tcW w:w="1620" w:type="dxa"/>
            <w:vAlign w:val="bottom"/>
            <w:tcBorders>
              <w:right w:val="single" w:sz="8" w:color="auto"/>
            </w:tcBorders>
            <w:shd w:val="clear" w:color="auto" w:fill="D8D8D8"/>
          </w:tcPr>
          <w:p>
            <w:pPr>
              <w:spacing w:after="0"/>
              <w:rPr>
                <w:sz w:val="20"/>
                <w:szCs w:val="20"/>
                <w:color w:val="auto"/>
              </w:rPr>
            </w:pPr>
            <w:r>
              <w:rPr>
                <w:rFonts w:ascii="Arial" w:cs="Arial" w:eastAsia="Arial" w:hAnsi="Arial"/>
                <w:sz w:val="16"/>
                <w:szCs w:val="16"/>
                <w:b w:val="1"/>
                <w:bCs w:val="1"/>
                <w:color w:val="auto"/>
              </w:rPr>
              <w:t>(LTIP)</w:t>
            </w:r>
          </w:p>
        </w:tc>
        <w:tc>
          <w:tcPr>
            <w:tcW w:w="420" w:type="dxa"/>
            <w:vAlign w:val="bottom"/>
            <w:shd w:val="clear" w:color="auto" w:fill="D8D8D8"/>
          </w:tcPr>
          <w:p>
            <w:pPr>
              <w:spacing w:after="0"/>
              <w:rPr>
                <w:sz w:val="18"/>
                <w:szCs w:val="18"/>
                <w:color w:val="auto"/>
              </w:rPr>
            </w:pPr>
          </w:p>
        </w:tc>
        <w:tc>
          <w:tcPr>
            <w:tcW w:w="780" w:type="dxa"/>
            <w:vAlign w:val="bottom"/>
            <w:tcBorders>
              <w:right w:val="single" w:sz="8" w:color="auto"/>
            </w:tcBorders>
            <w:shd w:val="clear" w:color="auto" w:fill="D8D8D8"/>
          </w:tcPr>
          <w:p>
            <w:pPr>
              <w:spacing w:after="0"/>
              <w:rPr>
                <w:sz w:val="18"/>
                <w:szCs w:val="18"/>
                <w:color w:val="auto"/>
              </w:rPr>
            </w:pPr>
          </w:p>
        </w:tc>
        <w:tc>
          <w:tcPr>
            <w:tcW w:w="40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shareholder value creation and support the Company’s</w:t>
            </w:r>
          </w:p>
        </w:tc>
        <w:tc>
          <w:tcPr>
            <w:tcW w:w="3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60" w:type="dxa"/>
            <w:vAlign w:val="bottom"/>
            <w:tcBorders>
              <w:left w:val="single" w:sz="8" w:color="auto"/>
              <w:bottom w:val="single" w:sz="8" w:color="auto"/>
            </w:tcBorders>
            <w:shd w:val="clear" w:color="auto" w:fill="D8D8D8"/>
          </w:tcPr>
          <w:p>
            <w:pPr>
              <w:spacing w:after="0"/>
              <w:rPr>
                <w:sz w:val="16"/>
                <w:szCs w:val="16"/>
                <w:color w:val="auto"/>
              </w:rPr>
            </w:pPr>
          </w:p>
        </w:tc>
        <w:tc>
          <w:tcPr>
            <w:tcW w:w="1620" w:type="dxa"/>
            <w:vAlign w:val="bottom"/>
            <w:tcBorders>
              <w:bottom w:val="single" w:sz="8" w:color="auto"/>
              <w:right w:val="single" w:sz="8" w:color="auto"/>
            </w:tcBorders>
            <w:shd w:val="clear" w:color="auto" w:fill="D8D8D8"/>
          </w:tcPr>
          <w:p>
            <w:pPr>
              <w:spacing w:after="0"/>
              <w:rPr>
                <w:sz w:val="16"/>
                <w:szCs w:val="16"/>
                <w:color w:val="auto"/>
              </w:rPr>
            </w:pPr>
          </w:p>
        </w:tc>
        <w:tc>
          <w:tcPr>
            <w:tcW w:w="420" w:type="dxa"/>
            <w:vAlign w:val="bottom"/>
            <w:tcBorders>
              <w:bottom w:val="single" w:sz="8" w:color="auto"/>
            </w:tcBorders>
            <w:shd w:val="clear" w:color="auto" w:fill="D8D8D8"/>
          </w:tcPr>
          <w:p>
            <w:pPr>
              <w:spacing w:after="0"/>
              <w:rPr>
                <w:sz w:val="16"/>
                <w:szCs w:val="16"/>
                <w:color w:val="auto"/>
              </w:rPr>
            </w:pPr>
          </w:p>
        </w:tc>
        <w:tc>
          <w:tcPr>
            <w:tcW w:w="780" w:type="dxa"/>
            <w:vAlign w:val="bottom"/>
            <w:tcBorders>
              <w:bottom w:val="single" w:sz="8" w:color="auto"/>
              <w:right w:val="single" w:sz="8" w:color="auto"/>
            </w:tcBorders>
            <w:shd w:val="clear" w:color="auto" w:fill="D8D8D8"/>
          </w:tcPr>
          <w:p>
            <w:pPr>
              <w:spacing w:after="0"/>
              <w:rPr>
                <w:sz w:val="16"/>
                <w:szCs w:val="16"/>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retention strategy</w:t>
            </w:r>
          </w:p>
        </w:tc>
        <w:tc>
          <w:tcPr>
            <w:tcW w:w="39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160" w:type="dxa"/>
            <w:vAlign w:val="bottom"/>
            <w:tcBorders>
              <w:left w:val="single" w:sz="8" w:color="auto"/>
              <w:bottom w:val="single" w:sz="8" w:color="D8D8D8"/>
            </w:tcBorders>
            <w:shd w:val="clear" w:color="auto" w:fill="D8D8D8"/>
          </w:tcPr>
          <w:p>
            <w:pPr>
              <w:spacing w:after="0"/>
              <w:rPr>
                <w:sz w:val="24"/>
                <w:szCs w:val="24"/>
                <w:color w:val="auto"/>
              </w:rPr>
            </w:pPr>
          </w:p>
        </w:tc>
        <w:tc>
          <w:tcPr>
            <w:tcW w:w="2040" w:type="dxa"/>
            <w:vAlign w:val="bottom"/>
            <w:tcBorders>
              <w:bottom w:val="single" w:sz="8" w:color="auto"/>
            </w:tcBorders>
            <w:gridSpan w:val="2"/>
            <w:shd w:val="clear" w:color="auto" w:fill="D8D8D8"/>
          </w:tcPr>
          <w:p>
            <w:pPr>
              <w:spacing w:after="0"/>
              <w:rPr>
                <w:sz w:val="20"/>
                <w:szCs w:val="20"/>
                <w:color w:val="auto"/>
              </w:rPr>
            </w:pPr>
            <w:r>
              <w:rPr>
                <w:rFonts w:ascii="Arial" w:cs="Arial" w:eastAsia="Arial" w:hAnsi="Arial"/>
                <w:sz w:val="16"/>
                <w:szCs w:val="16"/>
                <w:b w:val="1"/>
                <w:bCs w:val="1"/>
                <w:i w:val="1"/>
                <w:iCs w:val="1"/>
                <w:color w:val="auto"/>
              </w:rPr>
              <w:t>50% of Annual LTIP Grant:</w:t>
            </w:r>
          </w:p>
        </w:tc>
        <w:tc>
          <w:tcPr>
            <w:tcW w:w="780" w:type="dxa"/>
            <w:vAlign w:val="bottom"/>
            <w:tcBorders>
              <w:bottom w:val="single" w:sz="8" w:color="D8D8D8"/>
              <w:right w:val="single" w:sz="8" w:color="auto"/>
            </w:tcBorders>
            <w:shd w:val="clear" w:color="auto" w:fill="D8D8D8"/>
          </w:tcPr>
          <w:p>
            <w:pPr>
              <w:spacing w:after="0"/>
              <w:rPr>
                <w:sz w:val="24"/>
                <w:szCs w:val="24"/>
                <w:color w:val="auto"/>
              </w:rPr>
            </w:pPr>
          </w:p>
        </w:tc>
        <w:tc>
          <w:tcPr>
            <w:tcW w:w="40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Rewards achievement of financial goals measured</w:t>
            </w:r>
          </w:p>
        </w:tc>
        <w:tc>
          <w:tcPr>
            <w:tcW w:w="39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Payouts: 0% to 200% of a target based on</w:t>
            </w:r>
          </w:p>
        </w:tc>
        <w:tc>
          <w:tcPr>
            <w:tcW w:w="0" w:type="dxa"/>
            <w:vAlign w:val="bottom"/>
          </w:tcPr>
          <w:p>
            <w:pPr>
              <w:spacing w:after="0"/>
              <w:rPr>
                <w:sz w:val="1"/>
                <w:szCs w:val="1"/>
                <w:color w:val="auto"/>
              </w:rPr>
            </w:pPr>
          </w:p>
        </w:tc>
      </w:tr>
      <w:tr>
        <w:trPr>
          <w:trHeight w:val="182"/>
        </w:trPr>
        <w:tc>
          <w:tcPr>
            <w:tcW w:w="160" w:type="dxa"/>
            <w:vAlign w:val="bottom"/>
            <w:tcBorders>
              <w:left w:val="single" w:sz="8" w:color="auto"/>
            </w:tcBorders>
            <w:shd w:val="clear" w:color="auto" w:fill="D8D8D8"/>
          </w:tcPr>
          <w:p>
            <w:pPr>
              <w:spacing w:after="0"/>
              <w:rPr>
                <w:sz w:val="15"/>
                <w:szCs w:val="15"/>
                <w:color w:val="auto"/>
              </w:rPr>
            </w:pPr>
          </w:p>
        </w:tc>
        <w:tc>
          <w:tcPr>
            <w:tcW w:w="2820" w:type="dxa"/>
            <w:vAlign w:val="bottom"/>
            <w:tcBorders>
              <w:right w:val="single" w:sz="8" w:color="auto"/>
            </w:tcBorders>
            <w:gridSpan w:val="3"/>
            <w:shd w:val="clear" w:color="auto" w:fill="D8D8D8"/>
          </w:tcPr>
          <w:p>
            <w:pPr>
              <w:spacing w:after="0" w:line="182" w:lineRule="exact"/>
              <w:rPr>
                <w:sz w:val="20"/>
                <w:szCs w:val="20"/>
                <w:color w:val="auto"/>
              </w:rPr>
            </w:pPr>
            <w:r>
              <w:rPr>
                <w:rFonts w:ascii="Arial" w:cs="Arial" w:eastAsia="Arial" w:hAnsi="Arial"/>
                <w:sz w:val="16"/>
                <w:szCs w:val="16"/>
                <w:i w:val="1"/>
                <w:iCs w:val="1"/>
                <w:color w:val="auto"/>
              </w:rPr>
              <w:t>Performance-Based Restricted</w:t>
            </w:r>
          </w:p>
        </w:tc>
        <w:tc>
          <w:tcPr>
            <w:tcW w:w="408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6"/>
                <w:szCs w:val="16"/>
                <w:color w:val="auto"/>
              </w:rPr>
              <w:t>over a three-year performance period</w:t>
            </w:r>
          </w:p>
        </w:tc>
        <w:tc>
          <w:tcPr>
            <w:tcW w:w="3980" w:type="dxa"/>
            <w:vAlign w:val="bottom"/>
            <w:tcBorders>
              <w:right w:val="single" w:sz="8" w:color="auto"/>
            </w:tcBorders>
          </w:tcPr>
          <w:p>
            <w:pPr>
              <w:ind w:left="380"/>
              <w:spacing w:after="0" w:line="182" w:lineRule="exact"/>
              <w:rPr>
                <w:sz w:val="20"/>
                <w:szCs w:val="20"/>
                <w:color w:val="auto"/>
              </w:rPr>
            </w:pPr>
            <w:r>
              <w:rPr>
                <w:rFonts w:ascii="Arial" w:cs="Arial" w:eastAsia="Arial" w:hAnsi="Arial"/>
                <w:sz w:val="16"/>
                <w:szCs w:val="16"/>
                <w:color w:val="auto"/>
              </w:rPr>
              <w:t>results against pre-established financial goals</w:t>
            </w:r>
          </w:p>
        </w:tc>
        <w:tc>
          <w:tcPr>
            <w:tcW w:w="0" w:type="dxa"/>
            <w:vAlign w:val="bottom"/>
          </w:tcPr>
          <w:p>
            <w:pPr>
              <w:spacing w:after="0"/>
              <w:rPr>
                <w:sz w:val="1"/>
                <w:szCs w:val="1"/>
                <w:color w:val="auto"/>
              </w:rPr>
            </w:pPr>
          </w:p>
        </w:tc>
      </w:tr>
      <w:tr>
        <w:trPr>
          <w:trHeight w:val="224"/>
        </w:trPr>
        <w:tc>
          <w:tcPr>
            <w:tcW w:w="160" w:type="dxa"/>
            <w:vAlign w:val="bottom"/>
            <w:tcBorders>
              <w:left w:val="single" w:sz="8" w:color="auto"/>
            </w:tcBorders>
            <w:shd w:val="clear" w:color="auto" w:fill="D8D8D8"/>
          </w:tcPr>
          <w:p>
            <w:pPr>
              <w:spacing w:after="0"/>
              <w:rPr>
                <w:sz w:val="19"/>
                <w:szCs w:val="19"/>
                <w:color w:val="auto"/>
              </w:rPr>
            </w:pPr>
          </w:p>
        </w:tc>
        <w:tc>
          <w:tcPr>
            <w:tcW w:w="1620" w:type="dxa"/>
            <w:vAlign w:val="bottom"/>
            <w:tcBorders>
              <w:right w:val="single" w:sz="8" w:color="D8D8D8"/>
            </w:tcBorders>
            <w:shd w:val="clear" w:color="auto" w:fill="D8D8D8"/>
          </w:tcPr>
          <w:p>
            <w:pPr>
              <w:spacing w:after="0"/>
              <w:rPr>
                <w:sz w:val="20"/>
                <w:szCs w:val="20"/>
                <w:color w:val="auto"/>
              </w:rPr>
            </w:pPr>
            <w:r>
              <w:rPr>
                <w:rFonts w:ascii="Arial" w:cs="Arial" w:eastAsia="Arial" w:hAnsi="Arial"/>
                <w:sz w:val="16"/>
                <w:szCs w:val="16"/>
                <w:i w:val="1"/>
                <w:iCs w:val="1"/>
                <w:color w:val="auto"/>
              </w:rPr>
              <w:t>Stock Units (PRSUs)</w:t>
            </w:r>
          </w:p>
        </w:tc>
        <w:tc>
          <w:tcPr>
            <w:tcW w:w="420" w:type="dxa"/>
            <w:vAlign w:val="bottom"/>
            <w:shd w:val="clear" w:color="auto" w:fill="D8D8D8"/>
          </w:tcPr>
          <w:p>
            <w:pPr>
              <w:spacing w:after="0"/>
              <w:rPr>
                <w:sz w:val="19"/>
                <w:szCs w:val="19"/>
                <w:color w:val="auto"/>
              </w:rPr>
            </w:pPr>
          </w:p>
        </w:tc>
        <w:tc>
          <w:tcPr>
            <w:tcW w:w="780" w:type="dxa"/>
            <w:vAlign w:val="bottom"/>
            <w:tcBorders>
              <w:right w:val="single" w:sz="8" w:color="auto"/>
            </w:tcBorders>
            <w:shd w:val="clear" w:color="auto" w:fill="D8D8D8"/>
          </w:tcPr>
          <w:p>
            <w:pPr>
              <w:spacing w:after="0"/>
              <w:rPr>
                <w:sz w:val="19"/>
                <w:szCs w:val="19"/>
                <w:color w:val="auto"/>
              </w:rPr>
            </w:pPr>
          </w:p>
        </w:tc>
        <w:tc>
          <w:tcPr>
            <w:tcW w:w="4080" w:type="dxa"/>
            <w:vAlign w:val="bottom"/>
            <w:tcBorders>
              <w:right w:val="single" w:sz="8" w:color="auto"/>
            </w:tcBorders>
          </w:tcPr>
          <w:p>
            <w:pPr>
              <w:spacing w:after="0"/>
              <w:rPr>
                <w:sz w:val="19"/>
                <w:szCs w:val="19"/>
                <w:color w:val="auto"/>
              </w:rPr>
            </w:pPr>
          </w:p>
        </w:tc>
        <w:tc>
          <w:tcPr>
            <w:tcW w:w="398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and relative TSR performance</w:t>
            </w:r>
          </w:p>
        </w:tc>
        <w:tc>
          <w:tcPr>
            <w:tcW w:w="0" w:type="dxa"/>
            <w:vAlign w:val="bottom"/>
          </w:tcPr>
          <w:p>
            <w:pPr>
              <w:spacing w:after="0"/>
              <w:rPr>
                <w:sz w:val="1"/>
                <w:szCs w:val="1"/>
                <w:color w:val="auto"/>
              </w:rPr>
            </w:pPr>
          </w:p>
        </w:tc>
      </w:tr>
      <w:tr>
        <w:trPr>
          <w:trHeight w:val="359"/>
        </w:trPr>
        <w:tc>
          <w:tcPr>
            <w:tcW w:w="160" w:type="dxa"/>
            <w:vAlign w:val="bottom"/>
            <w:tcBorders>
              <w:left w:val="single" w:sz="8" w:color="auto"/>
            </w:tcBorders>
            <w:shd w:val="clear" w:color="auto" w:fill="D8D8D8"/>
          </w:tcPr>
          <w:p>
            <w:pPr>
              <w:spacing w:after="0"/>
              <w:rPr>
                <w:sz w:val="24"/>
                <w:szCs w:val="24"/>
                <w:color w:val="auto"/>
              </w:rPr>
            </w:pPr>
          </w:p>
        </w:tc>
        <w:tc>
          <w:tcPr>
            <w:tcW w:w="1620" w:type="dxa"/>
            <w:vAlign w:val="bottom"/>
            <w:tcBorders>
              <w:right w:val="single" w:sz="8" w:color="D8D8D8"/>
            </w:tcBorders>
            <w:shd w:val="clear" w:color="auto" w:fill="D8D8D8"/>
          </w:tcPr>
          <w:p>
            <w:pPr>
              <w:spacing w:after="0"/>
              <w:rPr>
                <w:sz w:val="24"/>
                <w:szCs w:val="24"/>
                <w:color w:val="auto"/>
              </w:rPr>
            </w:pPr>
          </w:p>
        </w:tc>
        <w:tc>
          <w:tcPr>
            <w:tcW w:w="420" w:type="dxa"/>
            <w:vAlign w:val="bottom"/>
            <w:shd w:val="clear" w:color="auto" w:fill="D8D8D8"/>
          </w:tcPr>
          <w:p>
            <w:pPr>
              <w:spacing w:after="0"/>
              <w:rPr>
                <w:sz w:val="24"/>
                <w:szCs w:val="24"/>
                <w:color w:val="auto"/>
              </w:rPr>
            </w:pPr>
          </w:p>
        </w:tc>
        <w:tc>
          <w:tcPr>
            <w:tcW w:w="780" w:type="dxa"/>
            <w:vAlign w:val="bottom"/>
            <w:tcBorders>
              <w:right w:val="single" w:sz="8" w:color="auto"/>
            </w:tcBorders>
            <w:shd w:val="clear" w:color="auto" w:fill="D8D8D8"/>
          </w:tcPr>
          <w:p>
            <w:pPr>
              <w:spacing w:after="0"/>
              <w:rPr>
                <w:sz w:val="24"/>
                <w:szCs w:val="24"/>
                <w:color w:val="auto"/>
              </w:rPr>
            </w:pPr>
          </w:p>
        </w:tc>
        <w:tc>
          <w:tcPr>
            <w:tcW w:w="4080" w:type="dxa"/>
            <w:vAlign w:val="bottom"/>
            <w:tcBorders>
              <w:right w:val="single" w:sz="8" w:color="auto"/>
            </w:tcBorders>
          </w:tcPr>
          <w:p>
            <w:pPr>
              <w:spacing w:after="0"/>
              <w:rPr>
                <w:sz w:val="24"/>
                <w:szCs w:val="24"/>
                <w:color w:val="auto"/>
              </w:rPr>
            </w:pPr>
          </w:p>
        </w:tc>
        <w:tc>
          <w:tcPr>
            <w:tcW w:w="39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Financial metrics: Non-GAAP EPS and relative</w:t>
            </w:r>
          </w:p>
        </w:tc>
        <w:tc>
          <w:tcPr>
            <w:tcW w:w="0" w:type="dxa"/>
            <w:vAlign w:val="bottom"/>
          </w:tcPr>
          <w:p>
            <w:pPr>
              <w:spacing w:after="0"/>
              <w:rPr>
                <w:sz w:val="1"/>
                <w:szCs w:val="1"/>
                <w:color w:val="auto"/>
              </w:rPr>
            </w:pPr>
          </w:p>
        </w:tc>
      </w:tr>
      <w:tr>
        <w:trPr>
          <w:trHeight w:val="208"/>
        </w:trPr>
        <w:tc>
          <w:tcPr>
            <w:tcW w:w="160" w:type="dxa"/>
            <w:vAlign w:val="bottom"/>
            <w:tcBorders>
              <w:left w:val="single" w:sz="8" w:color="auto"/>
              <w:bottom w:val="single" w:sz="8" w:color="auto"/>
            </w:tcBorders>
            <w:shd w:val="clear" w:color="auto" w:fill="D8D8D8"/>
          </w:tcPr>
          <w:p>
            <w:pPr>
              <w:spacing w:after="0"/>
              <w:rPr>
                <w:sz w:val="18"/>
                <w:szCs w:val="18"/>
                <w:color w:val="auto"/>
              </w:rPr>
            </w:pPr>
          </w:p>
        </w:tc>
        <w:tc>
          <w:tcPr>
            <w:tcW w:w="1620" w:type="dxa"/>
            <w:vAlign w:val="bottom"/>
            <w:tcBorders>
              <w:bottom w:val="single" w:sz="8" w:color="auto"/>
              <w:right w:val="single" w:sz="8" w:color="D8D8D8"/>
            </w:tcBorders>
            <w:shd w:val="clear" w:color="auto" w:fill="D8D8D8"/>
          </w:tcPr>
          <w:p>
            <w:pPr>
              <w:spacing w:after="0"/>
              <w:rPr>
                <w:sz w:val="18"/>
                <w:szCs w:val="18"/>
                <w:color w:val="auto"/>
              </w:rPr>
            </w:pPr>
          </w:p>
        </w:tc>
        <w:tc>
          <w:tcPr>
            <w:tcW w:w="420" w:type="dxa"/>
            <w:vAlign w:val="bottom"/>
            <w:tcBorders>
              <w:bottom w:val="single" w:sz="8" w:color="auto"/>
            </w:tcBorders>
            <w:shd w:val="clear" w:color="auto" w:fill="D8D8D8"/>
          </w:tcPr>
          <w:p>
            <w:pPr>
              <w:spacing w:after="0"/>
              <w:rPr>
                <w:sz w:val="18"/>
                <w:szCs w:val="18"/>
                <w:color w:val="auto"/>
              </w:rPr>
            </w:pPr>
          </w:p>
        </w:tc>
        <w:tc>
          <w:tcPr>
            <w:tcW w:w="780" w:type="dxa"/>
            <w:vAlign w:val="bottom"/>
            <w:tcBorders>
              <w:bottom w:val="single" w:sz="8" w:color="auto"/>
              <w:right w:val="single" w:sz="8" w:color="auto"/>
            </w:tcBorders>
            <w:shd w:val="clear" w:color="auto" w:fill="D8D8D8"/>
          </w:tcPr>
          <w:p>
            <w:pPr>
              <w:spacing w:after="0"/>
              <w:rPr>
                <w:sz w:val="18"/>
                <w:szCs w:val="18"/>
                <w:color w:val="auto"/>
              </w:rPr>
            </w:pPr>
          </w:p>
        </w:tc>
        <w:tc>
          <w:tcPr>
            <w:tcW w:w="4080" w:type="dxa"/>
            <w:vAlign w:val="bottom"/>
            <w:tcBorders>
              <w:bottom w:val="single" w:sz="8" w:color="auto"/>
              <w:right w:val="single" w:sz="8" w:color="auto"/>
            </w:tcBorders>
          </w:tcPr>
          <w:p>
            <w:pPr>
              <w:spacing w:after="0"/>
              <w:rPr>
                <w:sz w:val="18"/>
                <w:szCs w:val="18"/>
                <w:color w:val="auto"/>
              </w:rPr>
            </w:pPr>
          </w:p>
        </w:tc>
        <w:tc>
          <w:tcPr>
            <w:tcW w:w="398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6"/>
                <w:szCs w:val="16"/>
                <w:color w:val="auto"/>
              </w:rPr>
              <w:t>TSR</w:t>
            </w:r>
          </w:p>
        </w:tc>
        <w:tc>
          <w:tcPr>
            <w:tcW w:w="0" w:type="dxa"/>
            <w:vAlign w:val="bottom"/>
          </w:tcPr>
          <w:p>
            <w:pPr>
              <w:spacing w:after="0"/>
              <w:rPr>
                <w:sz w:val="1"/>
                <w:szCs w:val="1"/>
                <w:color w:val="auto"/>
              </w:rPr>
            </w:pPr>
          </w:p>
        </w:tc>
      </w:tr>
      <w:tr>
        <w:trPr>
          <w:trHeight w:val="284"/>
        </w:trPr>
        <w:tc>
          <w:tcPr>
            <w:tcW w:w="160" w:type="dxa"/>
            <w:vAlign w:val="bottom"/>
            <w:tcBorders>
              <w:left w:val="single" w:sz="8" w:color="auto"/>
            </w:tcBorders>
            <w:shd w:val="clear" w:color="auto" w:fill="D8D8D8"/>
          </w:tcPr>
          <w:p>
            <w:pPr>
              <w:spacing w:after="0"/>
              <w:rPr>
                <w:sz w:val="24"/>
                <w:szCs w:val="24"/>
                <w:color w:val="auto"/>
              </w:rPr>
            </w:pPr>
          </w:p>
        </w:tc>
        <w:tc>
          <w:tcPr>
            <w:tcW w:w="2820" w:type="dxa"/>
            <w:vAlign w:val="bottom"/>
            <w:tcBorders>
              <w:right w:val="single" w:sz="8" w:color="auto"/>
            </w:tcBorders>
            <w:gridSpan w:val="3"/>
            <w:shd w:val="clear" w:color="auto" w:fill="D8D8D8"/>
          </w:tcPr>
          <w:p>
            <w:pPr>
              <w:spacing w:after="0"/>
              <w:rPr>
                <w:sz w:val="20"/>
                <w:szCs w:val="20"/>
                <w:color w:val="auto"/>
              </w:rPr>
            </w:pPr>
            <w:r>
              <w:rPr>
                <w:rFonts w:ascii="Arial" w:cs="Arial" w:eastAsia="Arial" w:hAnsi="Arial"/>
                <w:sz w:val="16"/>
                <w:szCs w:val="16"/>
                <w:b w:val="1"/>
                <w:bCs w:val="1"/>
                <w:i w:val="1"/>
                <w:iCs w:val="1"/>
                <w:color w:val="auto"/>
              </w:rPr>
              <w:t>25% of Annual LTIP Grant:</w:t>
            </w:r>
          </w:p>
        </w:tc>
        <w:tc>
          <w:tcPr>
            <w:tcW w:w="40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Rewards for stock price appreciation</w:t>
            </w:r>
          </w:p>
        </w:tc>
        <w:tc>
          <w:tcPr>
            <w:tcW w:w="39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Exercise price: 100% of fair market value on the</w:t>
            </w:r>
          </w:p>
        </w:tc>
        <w:tc>
          <w:tcPr>
            <w:tcW w:w="0" w:type="dxa"/>
            <w:vAlign w:val="bottom"/>
          </w:tcPr>
          <w:p>
            <w:pPr>
              <w:spacing w:after="0"/>
              <w:rPr>
                <w:sz w:val="1"/>
                <w:szCs w:val="1"/>
                <w:color w:val="auto"/>
              </w:rPr>
            </w:pPr>
          </w:p>
        </w:tc>
      </w:tr>
      <w:tr>
        <w:trPr>
          <w:trHeight w:val="217"/>
        </w:trPr>
        <w:tc>
          <w:tcPr>
            <w:tcW w:w="160" w:type="dxa"/>
            <w:vAlign w:val="bottom"/>
            <w:tcBorders>
              <w:top w:val="single" w:sz="8" w:color="D8D8D8"/>
              <w:left w:val="single" w:sz="8" w:color="auto"/>
            </w:tcBorders>
            <w:shd w:val="clear" w:color="auto" w:fill="D8D8D8"/>
          </w:tcPr>
          <w:p>
            <w:pPr>
              <w:spacing w:after="0"/>
              <w:rPr>
                <w:sz w:val="18"/>
                <w:szCs w:val="18"/>
                <w:color w:val="auto"/>
              </w:rPr>
            </w:pPr>
          </w:p>
        </w:tc>
        <w:tc>
          <w:tcPr>
            <w:tcW w:w="1620" w:type="dxa"/>
            <w:vAlign w:val="bottom"/>
            <w:tcBorders>
              <w:top w:val="single" w:sz="8" w:color="auto"/>
              <w:right w:val="single" w:sz="8" w:color="D8D8D8"/>
            </w:tcBorders>
            <w:shd w:val="clear" w:color="auto" w:fill="D8D8D8"/>
          </w:tcPr>
          <w:p>
            <w:pPr>
              <w:spacing w:after="0"/>
              <w:rPr>
                <w:sz w:val="20"/>
                <w:szCs w:val="20"/>
                <w:color w:val="auto"/>
              </w:rPr>
            </w:pPr>
            <w:r>
              <w:rPr>
                <w:rFonts w:ascii="Arial" w:cs="Arial" w:eastAsia="Arial" w:hAnsi="Arial"/>
                <w:sz w:val="16"/>
                <w:szCs w:val="16"/>
                <w:i w:val="1"/>
                <w:iCs w:val="1"/>
                <w:color w:val="auto"/>
              </w:rPr>
              <w:t>Stock Options</w:t>
            </w:r>
          </w:p>
        </w:tc>
        <w:tc>
          <w:tcPr>
            <w:tcW w:w="420" w:type="dxa"/>
            <w:vAlign w:val="bottom"/>
            <w:tcBorders>
              <w:top w:val="single" w:sz="8" w:color="auto"/>
            </w:tcBorders>
            <w:shd w:val="clear" w:color="auto" w:fill="D8D8D8"/>
          </w:tcPr>
          <w:p>
            <w:pPr>
              <w:spacing w:after="0"/>
              <w:rPr>
                <w:sz w:val="18"/>
                <w:szCs w:val="18"/>
                <w:color w:val="auto"/>
              </w:rPr>
            </w:pPr>
          </w:p>
        </w:tc>
        <w:tc>
          <w:tcPr>
            <w:tcW w:w="780" w:type="dxa"/>
            <w:vAlign w:val="bottom"/>
            <w:tcBorders>
              <w:top w:val="single" w:sz="8" w:color="D8D8D8"/>
              <w:right w:val="single" w:sz="8" w:color="auto"/>
            </w:tcBorders>
            <w:shd w:val="clear" w:color="auto" w:fill="D8D8D8"/>
          </w:tcPr>
          <w:p>
            <w:pPr>
              <w:spacing w:after="0"/>
              <w:rPr>
                <w:sz w:val="18"/>
                <w:szCs w:val="18"/>
                <w:color w:val="auto"/>
              </w:rPr>
            </w:pPr>
          </w:p>
        </w:tc>
        <w:tc>
          <w:tcPr>
            <w:tcW w:w="4080" w:type="dxa"/>
            <w:vAlign w:val="bottom"/>
            <w:tcBorders>
              <w:right w:val="single" w:sz="8" w:color="auto"/>
            </w:tcBorders>
          </w:tcPr>
          <w:p>
            <w:pPr>
              <w:spacing w:after="0"/>
              <w:rPr>
                <w:sz w:val="18"/>
                <w:szCs w:val="18"/>
                <w:color w:val="auto"/>
              </w:rPr>
            </w:pPr>
          </w:p>
        </w:tc>
        <w:tc>
          <w:tcPr>
            <w:tcW w:w="398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grant date</w:t>
            </w:r>
          </w:p>
        </w:tc>
        <w:tc>
          <w:tcPr>
            <w:tcW w:w="0" w:type="dxa"/>
            <w:vAlign w:val="bottom"/>
          </w:tcPr>
          <w:p>
            <w:pPr>
              <w:spacing w:after="0"/>
              <w:rPr>
                <w:sz w:val="1"/>
                <w:szCs w:val="1"/>
                <w:color w:val="auto"/>
              </w:rPr>
            </w:pPr>
          </w:p>
        </w:tc>
      </w:tr>
      <w:tr>
        <w:trPr>
          <w:trHeight w:val="359"/>
        </w:trPr>
        <w:tc>
          <w:tcPr>
            <w:tcW w:w="160" w:type="dxa"/>
            <w:vAlign w:val="bottom"/>
            <w:tcBorders>
              <w:left w:val="single" w:sz="8" w:color="auto"/>
            </w:tcBorders>
            <w:shd w:val="clear" w:color="auto" w:fill="D8D8D8"/>
          </w:tcPr>
          <w:p>
            <w:pPr>
              <w:spacing w:after="0"/>
              <w:rPr>
                <w:sz w:val="24"/>
                <w:szCs w:val="24"/>
                <w:color w:val="auto"/>
              </w:rPr>
            </w:pPr>
          </w:p>
        </w:tc>
        <w:tc>
          <w:tcPr>
            <w:tcW w:w="1620" w:type="dxa"/>
            <w:vAlign w:val="bottom"/>
            <w:tcBorders>
              <w:right w:val="single" w:sz="8" w:color="D8D8D8"/>
            </w:tcBorders>
            <w:shd w:val="clear" w:color="auto" w:fill="D8D8D8"/>
          </w:tcPr>
          <w:p>
            <w:pPr>
              <w:spacing w:after="0"/>
              <w:rPr>
                <w:sz w:val="24"/>
                <w:szCs w:val="24"/>
                <w:color w:val="auto"/>
              </w:rPr>
            </w:pPr>
          </w:p>
        </w:tc>
        <w:tc>
          <w:tcPr>
            <w:tcW w:w="420" w:type="dxa"/>
            <w:vAlign w:val="bottom"/>
            <w:shd w:val="clear" w:color="auto" w:fill="D8D8D8"/>
          </w:tcPr>
          <w:p>
            <w:pPr>
              <w:spacing w:after="0"/>
              <w:rPr>
                <w:sz w:val="24"/>
                <w:szCs w:val="24"/>
                <w:color w:val="auto"/>
              </w:rPr>
            </w:pPr>
          </w:p>
        </w:tc>
        <w:tc>
          <w:tcPr>
            <w:tcW w:w="780" w:type="dxa"/>
            <w:vAlign w:val="bottom"/>
            <w:tcBorders>
              <w:right w:val="single" w:sz="8" w:color="auto"/>
            </w:tcBorders>
            <w:shd w:val="clear" w:color="auto" w:fill="D8D8D8"/>
          </w:tcPr>
          <w:p>
            <w:pPr>
              <w:spacing w:after="0"/>
              <w:rPr>
                <w:sz w:val="24"/>
                <w:szCs w:val="24"/>
                <w:color w:val="auto"/>
              </w:rPr>
            </w:pPr>
          </w:p>
        </w:tc>
        <w:tc>
          <w:tcPr>
            <w:tcW w:w="4080" w:type="dxa"/>
            <w:vAlign w:val="bottom"/>
            <w:tcBorders>
              <w:right w:val="single" w:sz="8" w:color="auto"/>
            </w:tcBorders>
          </w:tcPr>
          <w:p>
            <w:pPr>
              <w:spacing w:after="0"/>
              <w:rPr>
                <w:sz w:val="24"/>
                <w:szCs w:val="24"/>
                <w:color w:val="auto"/>
              </w:rPr>
            </w:pPr>
          </w:p>
        </w:tc>
        <w:tc>
          <w:tcPr>
            <w:tcW w:w="39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Vesting: 1/3 per year on the anniversary of the</w:t>
            </w:r>
          </w:p>
        </w:tc>
        <w:tc>
          <w:tcPr>
            <w:tcW w:w="0" w:type="dxa"/>
            <w:vAlign w:val="bottom"/>
          </w:tcPr>
          <w:p>
            <w:pPr>
              <w:spacing w:after="0"/>
              <w:rPr>
                <w:sz w:val="1"/>
                <w:szCs w:val="1"/>
                <w:color w:val="auto"/>
              </w:rPr>
            </w:pPr>
          </w:p>
        </w:tc>
      </w:tr>
      <w:tr>
        <w:trPr>
          <w:trHeight w:val="195"/>
        </w:trPr>
        <w:tc>
          <w:tcPr>
            <w:tcW w:w="160" w:type="dxa"/>
            <w:vAlign w:val="bottom"/>
            <w:tcBorders>
              <w:left w:val="single" w:sz="8" w:color="auto"/>
            </w:tcBorders>
            <w:shd w:val="clear" w:color="auto" w:fill="D8D8D8"/>
          </w:tcPr>
          <w:p>
            <w:pPr>
              <w:spacing w:after="0"/>
              <w:rPr>
                <w:sz w:val="16"/>
                <w:szCs w:val="16"/>
                <w:color w:val="auto"/>
              </w:rPr>
            </w:pPr>
          </w:p>
        </w:tc>
        <w:tc>
          <w:tcPr>
            <w:tcW w:w="1620" w:type="dxa"/>
            <w:vAlign w:val="bottom"/>
            <w:tcBorders>
              <w:right w:val="single" w:sz="8" w:color="D8D8D8"/>
            </w:tcBorders>
            <w:shd w:val="clear" w:color="auto" w:fill="D8D8D8"/>
          </w:tcPr>
          <w:p>
            <w:pPr>
              <w:spacing w:after="0"/>
              <w:rPr>
                <w:sz w:val="16"/>
                <w:szCs w:val="16"/>
                <w:color w:val="auto"/>
              </w:rPr>
            </w:pPr>
          </w:p>
        </w:tc>
        <w:tc>
          <w:tcPr>
            <w:tcW w:w="420" w:type="dxa"/>
            <w:vAlign w:val="bottom"/>
            <w:shd w:val="clear" w:color="auto" w:fill="D8D8D8"/>
          </w:tcPr>
          <w:p>
            <w:pPr>
              <w:spacing w:after="0"/>
              <w:rPr>
                <w:sz w:val="16"/>
                <w:szCs w:val="16"/>
                <w:color w:val="auto"/>
              </w:rPr>
            </w:pPr>
          </w:p>
        </w:tc>
        <w:tc>
          <w:tcPr>
            <w:tcW w:w="780" w:type="dxa"/>
            <w:vAlign w:val="bottom"/>
            <w:tcBorders>
              <w:right w:val="single" w:sz="8" w:color="auto"/>
            </w:tcBorders>
            <w:shd w:val="clear" w:color="auto" w:fill="D8D8D8"/>
          </w:tcPr>
          <w:p>
            <w:pPr>
              <w:spacing w:after="0"/>
              <w:rPr>
                <w:sz w:val="16"/>
                <w:szCs w:val="16"/>
                <w:color w:val="auto"/>
              </w:rPr>
            </w:pPr>
          </w:p>
        </w:tc>
        <w:tc>
          <w:tcPr>
            <w:tcW w:w="408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grant date</w:t>
            </w:r>
          </w:p>
        </w:tc>
        <w:tc>
          <w:tcPr>
            <w:tcW w:w="0" w:type="dxa"/>
            <w:vAlign w:val="bottom"/>
          </w:tcPr>
          <w:p>
            <w:pPr>
              <w:spacing w:after="0"/>
              <w:rPr>
                <w:sz w:val="1"/>
                <w:szCs w:val="1"/>
                <w:color w:val="auto"/>
              </w:rPr>
            </w:pPr>
          </w:p>
        </w:tc>
      </w:tr>
      <w:tr>
        <w:trPr>
          <w:trHeight w:val="378"/>
        </w:trPr>
        <w:tc>
          <w:tcPr>
            <w:tcW w:w="160" w:type="dxa"/>
            <w:vAlign w:val="bottom"/>
            <w:tcBorders>
              <w:left w:val="single" w:sz="8" w:color="auto"/>
              <w:bottom w:val="single" w:sz="8" w:color="auto"/>
            </w:tcBorders>
            <w:shd w:val="clear" w:color="auto" w:fill="D8D8D8"/>
          </w:tcPr>
          <w:p>
            <w:pPr>
              <w:spacing w:after="0"/>
              <w:rPr>
                <w:sz w:val="24"/>
                <w:szCs w:val="24"/>
                <w:color w:val="auto"/>
              </w:rPr>
            </w:pPr>
          </w:p>
        </w:tc>
        <w:tc>
          <w:tcPr>
            <w:tcW w:w="1620" w:type="dxa"/>
            <w:vAlign w:val="bottom"/>
            <w:tcBorders>
              <w:bottom w:val="single" w:sz="8" w:color="auto"/>
              <w:right w:val="single" w:sz="8" w:color="D8D8D8"/>
            </w:tcBorders>
            <w:shd w:val="clear" w:color="auto" w:fill="D8D8D8"/>
          </w:tcPr>
          <w:p>
            <w:pPr>
              <w:spacing w:after="0"/>
              <w:rPr>
                <w:sz w:val="24"/>
                <w:szCs w:val="24"/>
                <w:color w:val="auto"/>
              </w:rPr>
            </w:pPr>
          </w:p>
        </w:tc>
        <w:tc>
          <w:tcPr>
            <w:tcW w:w="420" w:type="dxa"/>
            <w:vAlign w:val="bottom"/>
            <w:tcBorders>
              <w:bottom w:val="single" w:sz="8" w:color="auto"/>
            </w:tcBorders>
            <w:shd w:val="clear" w:color="auto" w:fill="D8D8D8"/>
          </w:tcPr>
          <w:p>
            <w:pPr>
              <w:spacing w:after="0"/>
              <w:rPr>
                <w:sz w:val="24"/>
                <w:szCs w:val="24"/>
                <w:color w:val="auto"/>
              </w:rPr>
            </w:pPr>
          </w:p>
        </w:tc>
        <w:tc>
          <w:tcPr>
            <w:tcW w:w="780" w:type="dxa"/>
            <w:vAlign w:val="bottom"/>
            <w:tcBorders>
              <w:bottom w:val="single" w:sz="8" w:color="auto"/>
              <w:right w:val="single" w:sz="8" w:color="auto"/>
            </w:tcBorders>
            <w:shd w:val="clear" w:color="auto" w:fill="D8D8D8"/>
          </w:tcPr>
          <w:p>
            <w:pPr>
              <w:spacing w:after="0"/>
              <w:rPr>
                <w:sz w:val="24"/>
                <w:szCs w:val="24"/>
                <w:color w:val="auto"/>
              </w:rPr>
            </w:pPr>
          </w:p>
        </w:tc>
        <w:tc>
          <w:tcPr>
            <w:tcW w:w="4080" w:type="dxa"/>
            <w:vAlign w:val="bottom"/>
            <w:tcBorders>
              <w:bottom w:val="single" w:sz="8" w:color="auto"/>
              <w:right w:val="single" w:sz="8" w:color="auto"/>
            </w:tcBorders>
          </w:tcPr>
          <w:p>
            <w:pPr>
              <w:spacing w:after="0"/>
              <w:rPr>
                <w:sz w:val="24"/>
                <w:szCs w:val="24"/>
                <w:color w:val="auto"/>
              </w:rPr>
            </w:pPr>
          </w:p>
        </w:tc>
        <w:tc>
          <w:tcPr>
            <w:tcW w:w="3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Exercise term: 10 years</w:t>
            </w:r>
          </w:p>
        </w:tc>
        <w:tc>
          <w:tcPr>
            <w:tcW w:w="0" w:type="dxa"/>
            <w:vAlign w:val="bottom"/>
          </w:tcPr>
          <w:p>
            <w:pPr>
              <w:spacing w:after="0"/>
              <w:rPr>
                <w:sz w:val="1"/>
                <w:szCs w:val="1"/>
                <w:color w:val="auto"/>
              </w:rPr>
            </w:pPr>
          </w:p>
        </w:tc>
      </w:tr>
      <w:tr>
        <w:trPr>
          <w:trHeight w:val="284"/>
        </w:trPr>
        <w:tc>
          <w:tcPr>
            <w:tcW w:w="160" w:type="dxa"/>
            <w:vAlign w:val="bottom"/>
            <w:tcBorders>
              <w:left w:val="single" w:sz="8" w:color="auto"/>
              <w:bottom w:val="single" w:sz="8" w:color="D8D8D8"/>
            </w:tcBorders>
            <w:shd w:val="clear" w:color="auto" w:fill="D8D8D8"/>
          </w:tcPr>
          <w:p>
            <w:pPr>
              <w:spacing w:after="0"/>
              <w:rPr>
                <w:sz w:val="24"/>
                <w:szCs w:val="24"/>
                <w:color w:val="auto"/>
              </w:rPr>
            </w:pPr>
          </w:p>
        </w:tc>
        <w:tc>
          <w:tcPr>
            <w:tcW w:w="2040" w:type="dxa"/>
            <w:vAlign w:val="bottom"/>
            <w:tcBorders>
              <w:bottom w:val="single" w:sz="8" w:color="auto"/>
            </w:tcBorders>
            <w:gridSpan w:val="2"/>
            <w:shd w:val="clear" w:color="auto" w:fill="D8D8D8"/>
          </w:tcPr>
          <w:p>
            <w:pPr>
              <w:spacing w:after="0"/>
              <w:rPr>
                <w:sz w:val="20"/>
                <w:szCs w:val="20"/>
                <w:color w:val="auto"/>
              </w:rPr>
            </w:pPr>
            <w:r>
              <w:rPr>
                <w:rFonts w:ascii="Arial" w:cs="Arial" w:eastAsia="Arial" w:hAnsi="Arial"/>
                <w:sz w:val="16"/>
                <w:szCs w:val="16"/>
                <w:b w:val="1"/>
                <w:bCs w:val="1"/>
                <w:i w:val="1"/>
                <w:iCs w:val="1"/>
                <w:color w:val="auto"/>
              </w:rPr>
              <w:t>25% of Annual LTIP Grant:</w:t>
            </w:r>
          </w:p>
        </w:tc>
        <w:tc>
          <w:tcPr>
            <w:tcW w:w="780" w:type="dxa"/>
            <w:vAlign w:val="bottom"/>
            <w:tcBorders>
              <w:bottom w:val="single" w:sz="8" w:color="D8D8D8"/>
              <w:right w:val="single" w:sz="8" w:color="auto"/>
            </w:tcBorders>
            <w:shd w:val="clear" w:color="auto" w:fill="D8D8D8"/>
          </w:tcPr>
          <w:p>
            <w:pPr>
              <w:spacing w:after="0"/>
              <w:rPr>
                <w:sz w:val="24"/>
                <w:szCs w:val="24"/>
                <w:color w:val="auto"/>
              </w:rPr>
            </w:pPr>
          </w:p>
        </w:tc>
        <w:tc>
          <w:tcPr>
            <w:tcW w:w="40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Supports retention</w:t>
            </w:r>
          </w:p>
        </w:tc>
        <w:tc>
          <w:tcPr>
            <w:tcW w:w="39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Vesting: 1/3 per year on the anniversary of the</w:t>
            </w:r>
          </w:p>
        </w:tc>
        <w:tc>
          <w:tcPr>
            <w:tcW w:w="0" w:type="dxa"/>
            <w:vAlign w:val="bottom"/>
          </w:tcPr>
          <w:p>
            <w:pPr>
              <w:spacing w:after="0"/>
              <w:rPr>
                <w:sz w:val="1"/>
                <w:szCs w:val="1"/>
                <w:color w:val="auto"/>
              </w:rPr>
            </w:pPr>
          </w:p>
        </w:tc>
      </w:tr>
      <w:tr>
        <w:trPr>
          <w:trHeight w:val="182"/>
        </w:trPr>
        <w:tc>
          <w:tcPr>
            <w:tcW w:w="160" w:type="dxa"/>
            <w:vAlign w:val="bottom"/>
            <w:tcBorders>
              <w:left w:val="single" w:sz="8" w:color="auto"/>
            </w:tcBorders>
            <w:shd w:val="clear" w:color="auto" w:fill="D8D8D8"/>
          </w:tcPr>
          <w:p>
            <w:pPr>
              <w:spacing w:after="0"/>
              <w:rPr>
                <w:sz w:val="15"/>
                <w:szCs w:val="15"/>
                <w:color w:val="auto"/>
              </w:rPr>
            </w:pPr>
          </w:p>
        </w:tc>
        <w:tc>
          <w:tcPr>
            <w:tcW w:w="2820" w:type="dxa"/>
            <w:vAlign w:val="bottom"/>
            <w:tcBorders>
              <w:right w:val="single" w:sz="8" w:color="auto"/>
            </w:tcBorders>
            <w:gridSpan w:val="3"/>
            <w:shd w:val="clear" w:color="auto" w:fill="D8D8D8"/>
          </w:tcPr>
          <w:p>
            <w:pPr>
              <w:spacing w:after="0" w:line="182" w:lineRule="exact"/>
              <w:rPr>
                <w:sz w:val="20"/>
                <w:szCs w:val="20"/>
                <w:color w:val="auto"/>
              </w:rPr>
            </w:pPr>
            <w:r>
              <w:rPr>
                <w:rFonts w:ascii="Arial" w:cs="Arial" w:eastAsia="Arial" w:hAnsi="Arial"/>
                <w:sz w:val="16"/>
                <w:szCs w:val="16"/>
                <w:i w:val="1"/>
                <w:iCs w:val="1"/>
                <w:color w:val="auto"/>
              </w:rPr>
              <w:t>Time-Vested Restricted Stock</w:t>
            </w:r>
          </w:p>
        </w:tc>
        <w:tc>
          <w:tcPr>
            <w:tcW w:w="408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380"/>
              <w:spacing w:after="0" w:line="182" w:lineRule="exact"/>
              <w:rPr>
                <w:sz w:val="20"/>
                <w:szCs w:val="20"/>
                <w:color w:val="auto"/>
              </w:rPr>
            </w:pPr>
            <w:r>
              <w:rPr>
                <w:rFonts w:ascii="Arial" w:cs="Arial" w:eastAsia="Arial" w:hAnsi="Arial"/>
                <w:sz w:val="16"/>
                <w:szCs w:val="16"/>
                <w:color w:val="auto"/>
              </w:rPr>
              <w:t>grant date</w:t>
            </w:r>
          </w:p>
        </w:tc>
        <w:tc>
          <w:tcPr>
            <w:tcW w:w="0" w:type="dxa"/>
            <w:vAlign w:val="bottom"/>
          </w:tcPr>
          <w:p>
            <w:pPr>
              <w:spacing w:after="0"/>
              <w:rPr>
                <w:sz w:val="1"/>
                <w:szCs w:val="1"/>
                <w:color w:val="auto"/>
              </w:rPr>
            </w:pPr>
          </w:p>
        </w:tc>
      </w:tr>
      <w:tr>
        <w:trPr>
          <w:trHeight w:val="211"/>
        </w:trPr>
        <w:tc>
          <w:tcPr>
            <w:tcW w:w="160" w:type="dxa"/>
            <w:vAlign w:val="bottom"/>
            <w:tcBorders>
              <w:left w:val="single" w:sz="8" w:color="auto"/>
            </w:tcBorders>
            <w:shd w:val="clear" w:color="auto" w:fill="D8D8D8"/>
          </w:tcPr>
          <w:p>
            <w:pPr>
              <w:spacing w:after="0"/>
              <w:rPr>
                <w:sz w:val="18"/>
                <w:szCs w:val="18"/>
                <w:color w:val="auto"/>
              </w:rPr>
            </w:pPr>
          </w:p>
        </w:tc>
        <w:tc>
          <w:tcPr>
            <w:tcW w:w="1620" w:type="dxa"/>
            <w:vAlign w:val="bottom"/>
            <w:tcBorders>
              <w:right w:val="single" w:sz="8" w:color="D8D8D8"/>
            </w:tcBorders>
            <w:shd w:val="clear" w:color="auto" w:fill="D8D8D8"/>
          </w:tcPr>
          <w:p>
            <w:pPr>
              <w:spacing w:after="0"/>
              <w:rPr>
                <w:sz w:val="20"/>
                <w:szCs w:val="20"/>
                <w:color w:val="auto"/>
              </w:rPr>
            </w:pPr>
            <w:r>
              <w:rPr>
                <w:rFonts w:ascii="Arial" w:cs="Arial" w:eastAsia="Arial" w:hAnsi="Arial"/>
                <w:sz w:val="16"/>
                <w:szCs w:val="16"/>
                <w:i w:val="1"/>
                <w:iCs w:val="1"/>
                <w:color w:val="auto"/>
              </w:rPr>
              <w:t>Units (RSUs)</w:t>
            </w:r>
          </w:p>
        </w:tc>
        <w:tc>
          <w:tcPr>
            <w:tcW w:w="420" w:type="dxa"/>
            <w:vAlign w:val="bottom"/>
            <w:shd w:val="clear" w:color="auto" w:fill="D8D8D8"/>
          </w:tcPr>
          <w:p>
            <w:pPr>
              <w:spacing w:after="0"/>
              <w:rPr>
                <w:sz w:val="18"/>
                <w:szCs w:val="18"/>
                <w:color w:val="auto"/>
              </w:rPr>
            </w:pPr>
          </w:p>
        </w:tc>
        <w:tc>
          <w:tcPr>
            <w:tcW w:w="780" w:type="dxa"/>
            <w:vAlign w:val="bottom"/>
            <w:tcBorders>
              <w:right w:val="single" w:sz="8" w:color="auto"/>
            </w:tcBorders>
            <w:shd w:val="clear" w:color="auto" w:fill="D8D8D8"/>
          </w:tcPr>
          <w:p>
            <w:pPr>
              <w:spacing w:after="0"/>
              <w:rPr>
                <w:sz w:val="18"/>
                <w:szCs w:val="18"/>
                <w:color w:val="auto"/>
              </w:rPr>
            </w:pPr>
          </w:p>
        </w:tc>
        <w:tc>
          <w:tcPr>
            <w:tcW w:w="4080" w:type="dxa"/>
            <w:vAlign w:val="bottom"/>
            <w:tcBorders>
              <w:right w:val="single" w:sz="8" w:color="auto"/>
            </w:tcBorders>
          </w:tcPr>
          <w:p>
            <w:pPr>
              <w:spacing w:after="0"/>
              <w:rPr>
                <w:sz w:val="18"/>
                <w:szCs w:val="18"/>
                <w:color w:val="auto"/>
              </w:rPr>
            </w:pPr>
          </w:p>
        </w:tc>
        <w:tc>
          <w:tcPr>
            <w:tcW w:w="39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Paid in Itron shares at vesting</w:t>
            </w:r>
          </w:p>
        </w:tc>
        <w:tc>
          <w:tcPr>
            <w:tcW w:w="0" w:type="dxa"/>
            <w:vAlign w:val="bottom"/>
          </w:tcPr>
          <w:p>
            <w:pPr>
              <w:spacing w:after="0"/>
              <w:rPr>
                <w:sz w:val="1"/>
                <w:szCs w:val="1"/>
                <w:color w:val="auto"/>
              </w:rPr>
            </w:pPr>
          </w:p>
        </w:tc>
      </w:tr>
      <w:tr>
        <w:trPr>
          <w:trHeight w:val="202"/>
        </w:trPr>
        <w:tc>
          <w:tcPr>
            <w:tcW w:w="160" w:type="dxa"/>
            <w:vAlign w:val="bottom"/>
            <w:tcBorders>
              <w:left w:val="single" w:sz="8" w:color="auto"/>
              <w:bottom w:val="single" w:sz="8" w:color="auto"/>
            </w:tcBorders>
            <w:shd w:val="clear" w:color="auto" w:fill="D8D8D8"/>
          </w:tcPr>
          <w:p>
            <w:pPr>
              <w:spacing w:after="0"/>
              <w:rPr>
                <w:sz w:val="17"/>
                <w:szCs w:val="17"/>
                <w:color w:val="auto"/>
              </w:rPr>
            </w:pPr>
          </w:p>
        </w:tc>
        <w:tc>
          <w:tcPr>
            <w:tcW w:w="1620" w:type="dxa"/>
            <w:vAlign w:val="bottom"/>
            <w:tcBorders>
              <w:bottom w:val="single" w:sz="8" w:color="auto"/>
              <w:right w:val="single" w:sz="8" w:color="D8D8D8"/>
            </w:tcBorders>
            <w:shd w:val="clear" w:color="auto" w:fill="D8D8D8"/>
          </w:tcPr>
          <w:p>
            <w:pPr>
              <w:spacing w:after="0"/>
              <w:rPr>
                <w:sz w:val="17"/>
                <w:szCs w:val="17"/>
                <w:color w:val="auto"/>
              </w:rPr>
            </w:pPr>
          </w:p>
        </w:tc>
        <w:tc>
          <w:tcPr>
            <w:tcW w:w="420" w:type="dxa"/>
            <w:vAlign w:val="bottom"/>
            <w:tcBorders>
              <w:bottom w:val="single" w:sz="8" w:color="auto"/>
            </w:tcBorders>
            <w:shd w:val="clear" w:color="auto" w:fill="D8D8D8"/>
          </w:tcPr>
          <w:p>
            <w:pPr>
              <w:spacing w:after="0"/>
              <w:rPr>
                <w:sz w:val="17"/>
                <w:szCs w:val="17"/>
                <w:color w:val="auto"/>
              </w:rPr>
            </w:pPr>
          </w:p>
        </w:tc>
        <w:tc>
          <w:tcPr>
            <w:tcW w:w="780" w:type="dxa"/>
            <w:vAlign w:val="bottom"/>
            <w:tcBorders>
              <w:bottom w:val="single" w:sz="8" w:color="auto"/>
              <w:right w:val="single" w:sz="8" w:color="auto"/>
            </w:tcBorders>
            <w:shd w:val="clear" w:color="auto" w:fill="D8D8D8"/>
          </w:tcPr>
          <w:p>
            <w:pPr>
              <w:spacing w:after="0"/>
              <w:rPr>
                <w:sz w:val="17"/>
                <w:szCs w:val="17"/>
                <w:color w:val="auto"/>
              </w:rPr>
            </w:pPr>
          </w:p>
        </w:tc>
        <w:tc>
          <w:tcPr>
            <w:tcW w:w="4080" w:type="dxa"/>
            <w:vAlign w:val="bottom"/>
            <w:tcBorders>
              <w:bottom w:val="single" w:sz="8" w:color="auto"/>
              <w:right w:val="single" w:sz="8" w:color="auto"/>
            </w:tcBorders>
          </w:tcPr>
          <w:p>
            <w:pPr>
              <w:spacing w:after="0"/>
              <w:rPr>
                <w:sz w:val="17"/>
                <w:szCs w:val="17"/>
                <w:color w:val="auto"/>
              </w:rPr>
            </w:pPr>
          </w:p>
        </w:tc>
        <w:tc>
          <w:tcPr>
            <w:tcW w:w="398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240" w:top="459" w:right="4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 Mix</w:t>
      </w:r>
    </w:p>
    <w:p>
      <w:pPr>
        <w:spacing w:after="0" w:line="207" w:lineRule="exact"/>
        <w:rPr>
          <w:sz w:val="20"/>
          <w:szCs w:val="20"/>
          <w:color w:val="auto"/>
        </w:rPr>
      </w:pPr>
    </w:p>
    <w:p>
      <w:pPr>
        <w:ind w:left="200" w:right="320"/>
        <w:spacing w:after="0" w:line="246" w:lineRule="auto"/>
        <w:rPr>
          <w:sz w:val="20"/>
          <w:szCs w:val="20"/>
          <w:color w:val="auto"/>
        </w:rPr>
      </w:pPr>
      <w:r>
        <w:rPr>
          <w:rFonts w:ascii="Arial" w:cs="Arial" w:eastAsia="Arial" w:hAnsi="Arial"/>
          <w:sz w:val="18"/>
          <w:szCs w:val="18"/>
          <w:color w:val="auto"/>
        </w:rPr>
        <w:t>The charts below show the target annual TDC of our CEO and our other NEOs for fiscal 2018. These charts illustrate that a majority of NEO TDC is variable (85% for our CEO and an average of 76% for our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142875</wp:posOffset>
            </wp:positionV>
            <wp:extent cx="4973955" cy="19380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973955" cy="1938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Decision Making Process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Role of the Compensation Committee</w:t>
      </w:r>
    </w:p>
    <w:p>
      <w:pPr>
        <w:spacing w:after="0" w:line="207"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 xml:space="preserve">The Compensation Committee oversees the executive compensation program for our NEOs. The Committee is comprised of independent, non-employee members of the Board. The Committee works very closely with its independent consultant and management to examine the effectiveness of the Company’s executive compensation program throughout the year. Details of the Committee’s authority and responsibilities are specified in the Compensation Committee’s charter, which may be accessed at our website, </w:t>
      </w:r>
      <w:r>
        <w:rPr>
          <w:rFonts w:ascii="Arial" w:cs="Arial" w:eastAsia="Arial" w:hAnsi="Arial"/>
          <w:sz w:val="18"/>
          <w:szCs w:val="18"/>
          <w:i w:val="1"/>
          <w:iCs w:val="1"/>
          <w:color w:val="auto"/>
        </w:rPr>
        <w:t>www.itron.com</w:t>
      </w:r>
      <w:r>
        <w:rPr>
          <w:rFonts w:ascii="Arial" w:cs="Arial" w:eastAsia="Arial" w:hAnsi="Arial"/>
          <w:sz w:val="18"/>
          <w:szCs w:val="18"/>
          <w:color w:val="auto"/>
        </w:rPr>
        <w:t>, by selecting “Investors,” and then “Corporate Governance.”</w:t>
      </w:r>
    </w:p>
    <w:p>
      <w:pPr>
        <w:spacing w:after="0" w:line="162" w:lineRule="exact"/>
        <w:rPr>
          <w:sz w:val="20"/>
          <w:szCs w:val="20"/>
          <w:color w:val="auto"/>
        </w:rPr>
      </w:pPr>
    </w:p>
    <w:p>
      <w:pPr>
        <w:ind w:left="200" w:right="120"/>
        <w:spacing w:after="0" w:line="246" w:lineRule="auto"/>
        <w:rPr>
          <w:sz w:val="20"/>
          <w:szCs w:val="20"/>
          <w:color w:val="auto"/>
        </w:rPr>
      </w:pPr>
      <w:r>
        <w:rPr>
          <w:rFonts w:ascii="Arial" w:cs="Arial" w:eastAsia="Arial" w:hAnsi="Arial"/>
          <w:sz w:val="18"/>
          <w:szCs w:val="18"/>
          <w:color w:val="auto"/>
        </w:rPr>
        <w:t>The Committee makes all final compensation and equity award decisions regarding our NEOs, except for the CEO, whose compensation is determined by the independent members of the full Board, based upon recommendations of the Committee.</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Role of Management</w:t>
      </w:r>
    </w:p>
    <w:p>
      <w:pPr>
        <w:spacing w:after="0" w:line="207" w:lineRule="exact"/>
        <w:rPr>
          <w:sz w:val="20"/>
          <w:szCs w:val="20"/>
          <w:color w:val="auto"/>
        </w:rPr>
      </w:pPr>
    </w:p>
    <w:p>
      <w:pPr>
        <w:ind w:left="200" w:right="240"/>
        <w:spacing w:after="0"/>
        <w:rPr>
          <w:sz w:val="20"/>
          <w:szCs w:val="20"/>
          <w:color w:val="auto"/>
        </w:rPr>
      </w:pPr>
      <w:r>
        <w:rPr>
          <w:rFonts w:ascii="Arial" w:cs="Arial" w:eastAsia="Arial" w:hAnsi="Arial"/>
          <w:sz w:val="18"/>
          <w:szCs w:val="18"/>
          <w:color w:val="auto"/>
        </w:rPr>
        <w:t>Members of our management team attend regular meetings where executive compensation, Company and individual performance, and competitive compensation levels and practices are discussed and evaluated. Only the Committee members are allowed to vote on decisions regarding NEO compensation.</w:t>
      </w:r>
    </w:p>
    <w:p>
      <w:pPr>
        <w:spacing w:after="0" w:line="162" w:lineRule="exact"/>
        <w:rPr>
          <w:sz w:val="20"/>
          <w:szCs w:val="20"/>
          <w:color w:val="auto"/>
        </w:rPr>
      </w:pPr>
    </w:p>
    <w:p>
      <w:pPr>
        <w:ind w:left="200" w:right="360"/>
        <w:spacing w:after="0"/>
        <w:rPr>
          <w:sz w:val="20"/>
          <w:szCs w:val="20"/>
          <w:color w:val="auto"/>
        </w:rPr>
      </w:pPr>
      <w:r>
        <w:rPr>
          <w:rFonts w:ascii="Arial" w:cs="Arial" w:eastAsia="Arial" w:hAnsi="Arial"/>
          <w:sz w:val="18"/>
          <w:szCs w:val="18"/>
          <w:color w:val="auto"/>
        </w:rPr>
        <w:t>The CEO reviews his recommendations pertaining to other executives (non-NEO) pay with the Committee providing transparency and oversight. Decisions on non-NEO pay are made by the CEO. The CEO does not participate in the deliberations of the Committee regarding his own compensation. Independent members of the Board make all final determinations regarding CEO compensation.</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Role of the Independent Consultant</w:t>
      </w:r>
    </w:p>
    <w:p>
      <w:pPr>
        <w:spacing w:after="0" w:line="207"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The Committee engages an independent compensation consultant to provide expertise on competitive pay practices, program design, and an objective assessment of any inherent risks of any programs. Pursuant to authority granted to it under its charter, the Committee has hired F.W. Cook as its independent consultant. F.W. Cook reports directly to the Committee and does not provide any additional services to management. The Committee has conducted an independence assessment of F.W. Cook in accordance with SEC rules.</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Role of Peer Companies</w:t>
      </w:r>
    </w:p>
    <w:p>
      <w:pPr>
        <w:spacing w:after="0" w:line="207" w:lineRule="exact"/>
        <w:rPr>
          <w:sz w:val="20"/>
          <w:szCs w:val="20"/>
          <w:color w:val="auto"/>
        </w:rPr>
      </w:pPr>
    </w:p>
    <w:p>
      <w:pPr>
        <w:ind w:left="200" w:right="220"/>
        <w:spacing w:after="0" w:line="238" w:lineRule="auto"/>
        <w:rPr>
          <w:sz w:val="20"/>
          <w:szCs w:val="20"/>
          <w:color w:val="auto"/>
        </w:rPr>
      </w:pPr>
      <w:r>
        <w:rPr>
          <w:rFonts w:ascii="Arial" w:cs="Arial" w:eastAsia="Arial" w:hAnsi="Arial"/>
          <w:sz w:val="18"/>
          <w:szCs w:val="18"/>
          <w:color w:val="auto"/>
        </w:rPr>
        <w:t>For some of our direct competitors who are not publicly held, or are smaller business units within a conglomerate, there is limited compensation information available. As a result, our peer companies for purposes of benchmarking executive compensation (Peer Companies) generally consist of direct competitors for which public information is available, who are part of the same broad Standard &amp; Poor’s (S&amp;P) industry classifications of technology hardware and equipment or in software and services, and who are similar in size and scope of global operations as Itron. The Committee reviews the Peer Companies on an annual basis.</w:t>
      </w:r>
    </w:p>
    <w:p>
      <w:pPr>
        <w:spacing w:after="0" w:line="162" w:lineRule="exact"/>
        <w:rPr>
          <w:sz w:val="20"/>
          <w:szCs w:val="20"/>
          <w:color w:val="auto"/>
        </w:rPr>
      </w:pPr>
    </w:p>
    <w:p>
      <w:pPr>
        <w:ind w:left="200" w:right="240"/>
        <w:spacing w:after="0" w:line="238" w:lineRule="auto"/>
        <w:rPr>
          <w:sz w:val="20"/>
          <w:szCs w:val="20"/>
          <w:color w:val="auto"/>
        </w:rPr>
      </w:pPr>
      <w:r>
        <w:rPr>
          <w:rFonts w:ascii="Arial" w:cs="Arial" w:eastAsia="Arial" w:hAnsi="Arial"/>
          <w:sz w:val="18"/>
          <w:szCs w:val="18"/>
          <w:color w:val="auto"/>
        </w:rPr>
        <w:t>For the purposes of setting 2018 compensation, the Committee conducted an in-depth assessment of potential comparators to evaluate the degree to which the current Peer Companies have kept pace with Itron’s growth and evolution. The Committee also took into consideration the broader marketplace to identify appropriate and relevant additions and removals from the current Peer Companies considering the acquisition of Silver Spring Networks and other recent peer company developments. As a result of this review, and with the support of F.W. Cook, the following changes were made to the Peer Companies:</w:t>
      </w:r>
    </w:p>
    <w:p>
      <w:pPr>
        <w:spacing w:after="0" w:line="181" w:lineRule="exact"/>
        <w:rPr>
          <w:sz w:val="20"/>
          <w:szCs w:val="20"/>
          <w:color w:val="auto"/>
        </w:rPr>
      </w:pPr>
    </w:p>
    <w:tbl>
      <w:tblPr>
        <w:tblLayout w:type="fixed"/>
        <w:tblInd w:w="540" w:type="dxa"/>
        <w:tblCellMar>
          <w:top w:w="0" w:type="dxa"/>
          <w:left w:w="0" w:type="dxa"/>
          <w:bottom w:w="0" w:type="dxa"/>
          <w:right w:w="0" w:type="dxa"/>
        </w:tblCellMar>
      </w:tblPr>
      <w:tr>
        <w:trPr>
          <w:trHeight w:val="239"/>
        </w:trPr>
        <w:tc>
          <w:tcPr>
            <w:tcW w:w="5280" w:type="dxa"/>
            <w:vAlign w:val="bottom"/>
            <w:tcBorders>
              <w:bottom w:val="single" w:sz="8" w:color="auto"/>
            </w:tcBorders>
          </w:tcPr>
          <w:p>
            <w:pPr>
              <w:ind w:left="2220"/>
              <w:spacing w:after="0"/>
              <w:rPr>
                <w:sz w:val="20"/>
                <w:szCs w:val="20"/>
                <w:color w:val="auto"/>
              </w:rPr>
            </w:pPr>
            <w:r>
              <w:rPr>
                <w:rFonts w:ascii="Arial" w:cs="Arial" w:eastAsia="Arial" w:hAnsi="Arial"/>
                <w:sz w:val="18"/>
                <w:szCs w:val="18"/>
                <w:b w:val="1"/>
                <w:bCs w:val="1"/>
                <w:color w:val="auto"/>
              </w:rPr>
              <w:t>Additions</w:t>
            </w:r>
          </w:p>
        </w:tc>
        <w:tc>
          <w:tcPr>
            <w:tcW w:w="220" w:type="dxa"/>
            <w:vAlign w:val="bottom"/>
          </w:tcPr>
          <w:p>
            <w:pPr>
              <w:spacing w:after="0"/>
              <w:rPr>
                <w:sz w:val="20"/>
                <w:szCs w:val="20"/>
                <w:color w:val="auto"/>
              </w:rPr>
            </w:pPr>
          </w:p>
        </w:tc>
        <w:tc>
          <w:tcPr>
            <w:tcW w:w="4860" w:type="dxa"/>
            <w:vAlign w:val="bottom"/>
            <w:tcBorders>
              <w:bottom w:val="single" w:sz="8" w:color="auto"/>
            </w:tcBorders>
          </w:tcPr>
          <w:p>
            <w:pPr>
              <w:ind w:left="2000"/>
              <w:spacing w:after="0"/>
              <w:rPr>
                <w:sz w:val="20"/>
                <w:szCs w:val="20"/>
                <w:color w:val="auto"/>
              </w:rPr>
            </w:pPr>
            <w:r>
              <w:rPr>
                <w:rFonts w:ascii="Arial" w:cs="Arial" w:eastAsia="Arial" w:hAnsi="Arial"/>
                <w:sz w:val="18"/>
                <w:szCs w:val="18"/>
                <w:b w:val="1"/>
                <w:bCs w:val="1"/>
                <w:color w:val="auto"/>
              </w:rPr>
              <w:t>Removals</w:t>
            </w:r>
          </w:p>
        </w:tc>
      </w:tr>
      <w:tr>
        <w:trPr>
          <w:trHeight w:val="303"/>
        </w:trPr>
        <w:tc>
          <w:tcPr>
            <w:tcW w:w="550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F5 Networks, Inc.: provides application networking products</w:t>
            </w:r>
          </w:p>
        </w:tc>
        <w:tc>
          <w:tcPr>
            <w:tcW w:w="486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Ciber, Inc.: entered Chapter 11 bankruptcy in April 2017</w:t>
            </w:r>
          </w:p>
        </w:tc>
      </w:tr>
      <w:tr>
        <w:trPr>
          <w:trHeight w:val="217"/>
        </w:trPr>
        <w:tc>
          <w:tcPr>
            <w:tcW w:w="5500" w:type="dxa"/>
            <w:vAlign w:val="bottom"/>
            <w:gridSpan w:val="2"/>
          </w:tcPr>
          <w:p>
            <w:pPr>
              <w:spacing w:after="0"/>
              <w:rPr>
                <w:sz w:val="20"/>
                <w:szCs w:val="20"/>
                <w:color w:val="auto"/>
              </w:rPr>
            </w:pPr>
            <w:r>
              <w:rPr>
                <w:rFonts w:ascii="Arial" w:cs="Arial" w:eastAsia="Arial" w:hAnsi="Arial"/>
                <w:sz w:val="18"/>
                <w:szCs w:val="18"/>
                <w:color w:val="auto"/>
              </w:rPr>
              <w:t>and solutions</w:t>
            </w:r>
          </w:p>
        </w:tc>
        <w:tc>
          <w:tcPr>
            <w:tcW w:w="4860" w:type="dxa"/>
            <w:vAlign w:val="bottom"/>
          </w:tcPr>
          <w:p>
            <w:pPr>
              <w:spacing w:after="0"/>
              <w:rPr>
                <w:sz w:val="18"/>
                <w:szCs w:val="18"/>
                <w:color w:val="auto"/>
              </w:rPr>
            </w:pPr>
          </w:p>
        </w:tc>
      </w:tr>
      <w:tr>
        <w:trPr>
          <w:trHeight w:val="310"/>
        </w:trPr>
        <w:tc>
          <w:tcPr>
            <w:tcW w:w="550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ITT Inc.: an industrial manufacturer that provides products such</w:t>
            </w:r>
          </w:p>
        </w:tc>
        <w:tc>
          <w:tcPr>
            <w:tcW w:w="486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ESCO Technologies: Too small</w:t>
            </w:r>
          </w:p>
        </w:tc>
      </w:tr>
      <w:tr>
        <w:trPr>
          <w:trHeight w:val="217"/>
        </w:trPr>
        <w:tc>
          <w:tcPr>
            <w:tcW w:w="5500" w:type="dxa"/>
            <w:vAlign w:val="bottom"/>
            <w:gridSpan w:val="2"/>
          </w:tcPr>
          <w:p>
            <w:pPr>
              <w:spacing w:after="0"/>
              <w:rPr>
                <w:sz w:val="20"/>
                <w:szCs w:val="20"/>
                <w:color w:val="auto"/>
              </w:rPr>
            </w:pPr>
            <w:r>
              <w:rPr>
                <w:rFonts w:ascii="Arial" w:cs="Arial" w:eastAsia="Arial" w:hAnsi="Arial"/>
                <w:sz w:val="18"/>
                <w:szCs w:val="18"/>
                <w:color w:val="auto"/>
              </w:rPr>
              <w:t>as pumps and valves</w:t>
            </w:r>
          </w:p>
        </w:tc>
        <w:tc>
          <w:tcPr>
            <w:tcW w:w="4860" w:type="dxa"/>
            <w:vAlign w:val="bottom"/>
          </w:tcPr>
          <w:p>
            <w:pPr>
              <w:spacing w:after="0"/>
              <w:rPr>
                <w:sz w:val="18"/>
                <w:szCs w:val="18"/>
                <w:color w:val="auto"/>
              </w:rPr>
            </w:pPr>
          </w:p>
        </w:tc>
      </w:tr>
      <w:tr>
        <w:trPr>
          <w:trHeight w:val="310"/>
        </w:trPr>
        <w:tc>
          <w:tcPr>
            <w:tcW w:w="550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Keysight Technologies, Inc.: provides electronic measurement</w:t>
            </w:r>
          </w:p>
        </w:tc>
        <w:tc>
          <w:tcPr>
            <w:tcW w:w="486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OSI Systems: Too small</w:t>
            </w:r>
          </w:p>
        </w:tc>
      </w:tr>
      <w:tr>
        <w:trPr>
          <w:trHeight w:val="217"/>
        </w:trPr>
        <w:tc>
          <w:tcPr>
            <w:tcW w:w="5500" w:type="dxa"/>
            <w:vAlign w:val="bottom"/>
            <w:gridSpan w:val="2"/>
          </w:tcPr>
          <w:p>
            <w:pPr>
              <w:spacing w:after="0"/>
              <w:rPr>
                <w:sz w:val="20"/>
                <w:szCs w:val="20"/>
                <w:color w:val="auto"/>
              </w:rPr>
            </w:pPr>
            <w:r>
              <w:rPr>
                <w:rFonts w:ascii="Arial" w:cs="Arial" w:eastAsia="Arial" w:hAnsi="Arial"/>
                <w:sz w:val="18"/>
                <w:szCs w:val="18"/>
                <w:color w:val="auto"/>
              </w:rPr>
              <w:t>devices</w:t>
            </w:r>
          </w:p>
        </w:tc>
        <w:tc>
          <w:tcPr>
            <w:tcW w:w="4860" w:type="dxa"/>
            <w:vAlign w:val="bottom"/>
          </w:tcPr>
          <w:p>
            <w:pPr>
              <w:spacing w:after="0"/>
              <w:rPr>
                <w:sz w:val="18"/>
                <w:szCs w:val="18"/>
                <w:color w:val="auto"/>
              </w:rPr>
            </w:pPr>
          </w:p>
        </w:tc>
      </w:tr>
      <w:tr>
        <w:trPr>
          <w:trHeight w:val="310"/>
        </w:trPr>
        <w:tc>
          <w:tcPr>
            <w:tcW w:w="550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PTC Inc.: provides software and solutions that allow customers</w:t>
            </w:r>
          </w:p>
        </w:tc>
        <w:tc>
          <w:tcPr>
            <w:tcW w:w="486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AMETEK: Too large</w:t>
            </w:r>
          </w:p>
        </w:tc>
      </w:tr>
      <w:tr>
        <w:trPr>
          <w:trHeight w:val="217"/>
        </w:trPr>
        <w:tc>
          <w:tcPr>
            <w:tcW w:w="5500" w:type="dxa"/>
            <w:vAlign w:val="bottom"/>
            <w:gridSpan w:val="2"/>
          </w:tcPr>
          <w:p>
            <w:pPr>
              <w:spacing w:after="0"/>
              <w:rPr>
                <w:sz w:val="20"/>
                <w:szCs w:val="20"/>
                <w:color w:val="auto"/>
              </w:rPr>
            </w:pPr>
            <w:r>
              <w:rPr>
                <w:rFonts w:ascii="Arial" w:cs="Arial" w:eastAsia="Arial" w:hAnsi="Arial"/>
                <w:sz w:val="18"/>
                <w:szCs w:val="18"/>
                <w:color w:val="auto"/>
              </w:rPr>
              <w:t>to better connect to their products</w:t>
            </w:r>
          </w:p>
        </w:tc>
        <w:tc>
          <w:tcPr>
            <w:tcW w:w="4860" w:type="dxa"/>
            <w:vAlign w:val="bottom"/>
          </w:tcPr>
          <w:p>
            <w:pPr>
              <w:spacing w:after="0"/>
              <w:rPr>
                <w:sz w:val="18"/>
                <w:szCs w:val="18"/>
                <w:color w:val="auto"/>
              </w:rPr>
            </w:pPr>
          </w:p>
        </w:tc>
      </w:tr>
      <w:tr>
        <w:trPr>
          <w:trHeight w:val="310"/>
        </w:trPr>
        <w:tc>
          <w:tcPr>
            <w:tcW w:w="550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NetScout Systems, Inc.: business-to-business company that</w:t>
            </w:r>
          </w:p>
        </w:tc>
        <w:tc>
          <w:tcPr>
            <w:tcW w:w="486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Juniper Networks: Too large</w:t>
            </w:r>
          </w:p>
        </w:tc>
      </w:tr>
      <w:tr>
        <w:trPr>
          <w:trHeight w:val="217"/>
        </w:trPr>
        <w:tc>
          <w:tcPr>
            <w:tcW w:w="5500" w:type="dxa"/>
            <w:vAlign w:val="bottom"/>
            <w:gridSpan w:val="2"/>
          </w:tcPr>
          <w:p>
            <w:pPr>
              <w:spacing w:after="0"/>
              <w:rPr>
                <w:sz w:val="20"/>
                <w:szCs w:val="20"/>
                <w:color w:val="auto"/>
              </w:rPr>
            </w:pPr>
            <w:r>
              <w:rPr>
                <w:rFonts w:ascii="Arial" w:cs="Arial" w:eastAsia="Arial" w:hAnsi="Arial"/>
                <w:sz w:val="18"/>
                <w:szCs w:val="18"/>
                <w:color w:val="auto"/>
              </w:rPr>
              <w:t>provides operational and performance analytics to customers</w:t>
            </w:r>
          </w:p>
        </w:tc>
        <w:tc>
          <w:tcPr>
            <w:tcW w:w="4860" w:type="dxa"/>
            <w:vAlign w:val="bottom"/>
          </w:tcPr>
          <w:p>
            <w:pPr>
              <w:spacing w:after="0"/>
              <w:rPr>
                <w:sz w:val="18"/>
                <w:szCs w:val="18"/>
                <w:color w:val="auto"/>
              </w:rPr>
            </w:pPr>
          </w:p>
        </w:tc>
      </w:tr>
    </w:tbl>
    <w:p>
      <w:pPr>
        <w:spacing w:after="0" w:line="200" w:lineRule="exact"/>
        <w:rPr>
          <w:sz w:val="20"/>
          <w:szCs w:val="20"/>
          <w:color w:val="auto"/>
        </w:rPr>
      </w:pPr>
    </w:p>
    <w:p>
      <w:pPr>
        <w:spacing w:after="0" w:line="26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000" w:type="dxa"/>
            <w:vAlign w:val="bottom"/>
            <w:tcBorders>
              <w:right w:val="single" w:sz="8" w:color="auto"/>
            </w:tcBorders>
          </w:tcPr>
          <w:p>
            <w:pPr>
              <w:ind w:left="440"/>
              <w:spacing w:after="0"/>
              <w:rPr>
                <w:sz w:val="20"/>
                <w:szCs w:val="20"/>
                <w:color w:val="auto"/>
              </w:rPr>
            </w:pPr>
            <w:r>
              <w:rPr>
                <w:rFonts w:ascii="Arial" w:cs="Arial" w:eastAsia="Arial" w:hAnsi="Arial"/>
                <w:sz w:val="18"/>
                <w:szCs w:val="18"/>
                <w:b w:val="1"/>
                <w:bCs w:val="1"/>
                <w:color w:val="auto"/>
              </w:rPr>
              <w:t>Peer Companies</w:t>
            </w:r>
          </w:p>
        </w:tc>
        <w:tc>
          <w:tcPr>
            <w:tcW w:w="320" w:type="dxa"/>
            <w:vAlign w:val="bottom"/>
            <w:tcBorders>
              <w:top w:val="single" w:sz="8" w:color="auto"/>
            </w:tcBorders>
          </w:tcPr>
          <w:p>
            <w:pPr>
              <w:spacing w:after="0"/>
              <w:rPr>
                <w:sz w:val="19"/>
                <w:szCs w:val="19"/>
                <w:color w:val="auto"/>
              </w:rPr>
            </w:pPr>
          </w:p>
        </w:tc>
        <w:tc>
          <w:tcPr>
            <w:tcW w:w="3020" w:type="dxa"/>
            <w:vAlign w:val="bottom"/>
            <w:tcBorders>
              <w:top w:val="single" w:sz="8" w:color="auto"/>
              <w:right w:val="single" w:sz="8" w:color="auto"/>
            </w:tcBorders>
            <w:gridSpan w:val="4"/>
          </w:tcPr>
          <w:p>
            <w:pPr>
              <w:ind w:left="180"/>
              <w:spacing w:after="0"/>
              <w:rPr>
                <w:sz w:val="20"/>
                <w:szCs w:val="20"/>
                <w:color w:val="auto"/>
              </w:rPr>
            </w:pPr>
            <w:r>
              <w:rPr>
                <w:rFonts w:ascii="Arial" w:cs="Arial" w:eastAsia="Arial" w:hAnsi="Arial"/>
                <w:sz w:val="18"/>
                <w:szCs w:val="18"/>
                <w:b w:val="1"/>
                <w:bCs w:val="1"/>
                <w:color w:val="auto"/>
              </w:rPr>
              <w:t>Peer Data as of 12-31-2017**</w:t>
            </w:r>
          </w:p>
        </w:tc>
      </w:tr>
      <w:tr>
        <w:trPr>
          <w:trHeight w:val="196"/>
        </w:trPr>
        <w:tc>
          <w:tcPr>
            <w:tcW w:w="20" w:type="dxa"/>
            <w:vAlign w:val="bottom"/>
          </w:tcPr>
          <w:p>
            <w:pPr>
              <w:spacing w:after="0"/>
              <w:rPr>
                <w:sz w:val="17"/>
                <w:szCs w:val="17"/>
                <w:color w:val="auto"/>
              </w:rPr>
            </w:pPr>
          </w:p>
        </w:tc>
        <w:tc>
          <w:tcPr>
            <w:tcW w:w="2680" w:type="dxa"/>
            <w:vAlign w:val="bottom"/>
            <w:tcBorders>
              <w:top w:val="single" w:sz="8" w:color="auto"/>
            </w:tcBorders>
          </w:tcPr>
          <w:p>
            <w:pPr>
              <w:spacing w:after="0"/>
              <w:rPr>
                <w:sz w:val="17"/>
                <w:szCs w:val="17"/>
                <w:color w:val="auto"/>
              </w:rPr>
            </w:pPr>
          </w:p>
        </w:tc>
        <w:tc>
          <w:tcPr>
            <w:tcW w:w="5000" w:type="dxa"/>
            <w:vAlign w:val="bottom"/>
            <w:tcBorders>
              <w:top w:val="single" w:sz="8" w:color="auto"/>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gridSpan w:val="2"/>
          </w:tcPr>
          <w:p>
            <w:pPr>
              <w:ind w:left="520"/>
              <w:spacing w:after="0" w:line="196" w:lineRule="exact"/>
              <w:rPr>
                <w:sz w:val="20"/>
                <w:szCs w:val="20"/>
                <w:color w:val="auto"/>
              </w:rPr>
            </w:pPr>
            <w:r>
              <w:rPr>
                <w:rFonts w:ascii="Arial" w:cs="Arial" w:eastAsia="Arial" w:hAnsi="Arial"/>
                <w:sz w:val="18"/>
                <w:szCs w:val="18"/>
                <w:b w:val="1"/>
                <w:bCs w:val="1"/>
                <w:color w:val="auto"/>
              </w:rPr>
              <w:t>$ Millions</w:t>
            </w:r>
          </w:p>
        </w:tc>
        <w:tc>
          <w:tcPr>
            <w:tcW w:w="220" w:type="dxa"/>
            <w:vAlign w:val="bottom"/>
            <w:tcBorders>
              <w:right w:val="single" w:sz="8" w:color="auto"/>
            </w:tcBorders>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Diebold Nixdorf, Inc.*</w:t>
            </w:r>
          </w:p>
        </w:tc>
        <w:tc>
          <w:tcPr>
            <w:tcW w:w="5000" w:type="dxa"/>
            <w:vAlign w:val="bottom"/>
            <w:tcBorders>
              <w:right w:val="single" w:sz="8" w:color="auto"/>
            </w:tcBorders>
            <w:shd w:val="clear" w:color="auto" w:fill="CCEEFF"/>
          </w:tcPr>
          <w:p>
            <w:pPr>
              <w:ind w:left="700"/>
              <w:spacing w:after="0" w:line="201" w:lineRule="exact"/>
              <w:rPr>
                <w:sz w:val="20"/>
                <w:szCs w:val="20"/>
                <w:color w:val="auto"/>
              </w:rPr>
            </w:pPr>
            <w:r>
              <w:rPr>
                <w:rFonts w:ascii="Arial" w:cs="Arial" w:eastAsia="Arial" w:hAnsi="Arial"/>
                <w:sz w:val="18"/>
                <w:szCs w:val="18"/>
                <w:color w:val="auto"/>
              </w:rPr>
              <w:t>PTC Inc.</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40" w:type="dxa"/>
            <w:vAlign w:val="bottom"/>
            <w:tcBorders>
              <w:right w:val="single" w:sz="8" w:color="auto"/>
            </w:tcBorders>
            <w:gridSpan w:val="2"/>
            <w:shd w:val="clear" w:color="auto" w:fill="CCEEFF"/>
          </w:tcPr>
          <w:p>
            <w:pPr>
              <w:jc w:val="center"/>
              <w:ind w:right="80"/>
              <w:spacing w:after="0" w:line="201" w:lineRule="exact"/>
              <w:rPr>
                <w:sz w:val="20"/>
                <w:szCs w:val="20"/>
                <w:color w:val="auto"/>
              </w:rPr>
            </w:pPr>
            <w:r>
              <w:rPr>
                <w:rFonts w:ascii="Arial" w:cs="Arial" w:eastAsia="Arial" w:hAnsi="Arial"/>
                <w:sz w:val="18"/>
                <w:szCs w:val="18"/>
                <w:color w:val="auto"/>
                <w:w w:val="98"/>
              </w:rPr>
              <w:t>Market</w:t>
            </w:r>
          </w:p>
        </w:tc>
      </w:tr>
      <w:tr>
        <w:trPr>
          <w:trHeight w:val="215"/>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EPAM Systems, Inc.*</w:t>
            </w:r>
          </w:p>
        </w:tc>
        <w:tc>
          <w:tcPr>
            <w:tcW w:w="500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Roper Technologies Inc.*</w:t>
            </w:r>
          </w:p>
        </w:tc>
        <w:tc>
          <w:tcPr>
            <w:tcW w:w="32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i w:val="1"/>
                <w:iCs w:val="1"/>
                <w:color w:val="auto"/>
                <w:w w:val="99"/>
              </w:rPr>
              <w:t>Percentile</w:t>
            </w:r>
          </w:p>
        </w:tc>
        <w:tc>
          <w:tcPr>
            <w:tcW w:w="1000" w:type="dxa"/>
            <w:vAlign w:val="bottom"/>
          </w:tcPr>
          <w:p>
            <w:pPr>
              <w:ind w:left="220"/>
              <w:spacing w:after="0"/>
              <w:rPr>
                <w:sz w:val="20"/>
                <w:szCs w:val="20"/>
                <w:color w:val="auto"/>
              </w:rPr>
            </w:pPr>
            <w:r>
              <w:rPr>
                <w:rFonts w:ascii="Arial" w:cs="Arial" w:eastAsia="Arial" w:hAnsi="Arial"/>
                <w:sz w:val="18"/>
                <w:szCs w:val="18"/>
                <w:color w:val="auto"/>
              </w:rPr>
              <w:t>Revenue</w:t>
            </w:r>
          </w:p>
        </w:tc>
        <w:tc>
          <w:tcPr>
            <w:tcW w:w="940" w:type="dxa"/>
            <w:vAlign w:val="bottom"/>
            <w:tcBorders>
              <w:right w:val="single" w:sz="8" w:color="auto"/>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Cap</w:t>
            </w:r>
          </w:p>
        </w:tc>
      </w:tr>
      <w:tr>
        <w:trPr>
          <w:trHeight w:val="203"/>
        </w:trPr>
        <w:tc>
          <w:tcPr>
            <w:tcW w:w="20" w:type="dxa"/>
            <w:vAlign w:val="bottom"/>
          </w:tcPr>
          <w:p>
            <w:pPr>
              <w:spacing w:after="0"/>
              <w:rPr>
                <w:sz w:val="17"/>
                <w:szCs w:val="17"/>
                <w:color w:val="auto"/>
              </w:rPr>
            </w:pPr>
          </w:p>
        </w:tc>
        <w:tc>
          <w:tcPr>
            <w:tcW w:w="26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F5 Networks, Inc.*</w:t>
            </w:r>
          </w:p>
        </w:tc>
        <w:tc>
          <w:tcPr>
            <w:tcW w:w="5000" w:type="dxa"/>
            <w:vAlign w:val="bottom"/>
            <w:tcBorders>
              <w:right w:val="single" w:sz="8" w:color="auto"/>
            </w:tcBorders>
            <w:shd w:val="clear" w:color="auto" w:fill="CCEEFF"/>
          </w:tcPr>
          <w:p>
            <w:pPr>
              <w:ind w:left="700"/>
              <w:spacing w:after="0" w:line="203" w:lineRule="exact"/>
              <w:rPr>
                <w:sz w:val="20"/>
                <w:szCs w:val="20"/>
                <w:color w:val="auto"/>
              </w:rPr>
            </w:pPr>
            <w:r>
              <w:rPr>
                <w:rFonts w:ascii="Arial" w:cs="Arial" w:eastAsia="Arial" w:hAnsi="Arial"/>
                <w:sz w:val="18"/>
                <w:szCs w:val="18"/>
                <w:color w:val="auto"/>
              </w:rPr>
              <w:t>Teradyne Inc.</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center"/>
              <w:ind w:right="90"/>
              <w:spacing w:after="0" w:line="203" w:lineRule="exact"/>
              <w:rPr>
                <w:sz w:val="20"/>
                <w:szCs w:val="20"/>
                <w:color w:val="auto"/>
              </w:rPr>
            </w:pPr>
            <w:r>
              <w:rPr>
                <w:rFonts w:ascii="Arial" w:cs="Arial" w:eastAsia="Arial" w:hAnsi="Arial"/>
                <w:sz w:val="18"/>
                <w:szCs w:val="18"/>
                <w:i w:val="1"/>
                <w:iCs w:val="1"/>
                <w:color w:val="auto"/>
              </w:rPr>
              <w:t>25</w:t>
            </w:r>
            <w:r>
              <w:rPr>
                <w:rFonts w:ascii="Arial" w:cs="Arial" w:eastAsia="Arial" w:hAnsi="Arial"/>
                <w:sz w:val="15"/>
                <w:szCs w:val="15"/>
                <w:i w:val="1"/>
                <w:iCs w:val="1"/>
                <w:color w:val="auto"/>
              </w:rPr>
              <w:t>th</w:t>
            </w:r>
          </w:p>
        </w:tc>
        <w:tc>
          <w:tcPr>
            <w:tcW w:w="1000" w:type="dxa"/>
            <w:vAlign w:val="bottom"/>
            <w:shd w:val="clear" w:color="auto" w:fill="CCEEFF"/>
          </w:tcPr>
          <w:p>
            <w:pPr>
              <w:jc w:val="center"/>
              <w:ind w:left="50"/>
              <w:spacing w:after="0" w:line="203" w:lineRule="exact"/>
              <w:rPr>
                <w:sz w:val="20"/>
                <w:szCs w:val="20"/>
                <w:color w:val="auto"/>
              </w:rPr>
            </w:pPr>
            <w:r>
              <w:rPr>
                <w:rFonts w:ascii="Arial" w:cs="Arial" w:eastAsia="Arial" w:hAnsi="Arial"/>
                <w:sz w:val="18"/>
                <w:szCs w:val="18"/>
                <w:color w:val="auto"/>
                <w:w w:val="98"/>
              </w:rPr>
              <w:t>$1,455</w:t>
            </w:r>
          </w:p>
        </w:tc>
        <w:tc>
          <w:tcPr>
            <w:tcW w:w="720" w:type="dxa"/>
            <w:vAlign w:val="bottom"/>
            <w:shd w:val="clear" w:color="auto" w:fill="CCEEFF"/>
          </w:tcPr>
          <w:p>
            <w:pPr>
              <w:jc w:val="center"/>
              <w:ind w:left="50"/>
              <w:spacing w:after="0" w:line="203" w:lineRule="exact"/>
              <w:rPr>
                <w:sz w:val="20"/>
                <w:szCs w:val="20"/>
                <w:color w:val="auto"/>
              </w:rPr>
            </w:pPr>
            <w:r>
              <w:rPr>
                <w:rFonts w:ascii="Arial" w:cs="Arial" w:eastAsia="Arial" w:hAnsi="Arial"/>
                <w:sz w:val="18"/>
                <w:szCs w:val="18"/>
                <w:color w:val="auto"/>
                <w:w w:val="98"/>
              </w:rPr>
              <w:t>$2,638</w:t>
            </w:r>
          </w:p>
        </w:tc>
        <w:tc>
          <w:tcPr>
            <w:tcW w:w="220" w:type="dxa"/>
            <w:vAlign w:val="bottom"/>
            <w:tcBorders>
              <w:right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spacing w:after="0" w:line="202" w:lineRule="exact"/>
              <w:rPr>
                <w:sz w:val="20"/>
                <w:szCs w:val="20"/>
                <w:color w:val="auto"/>
              </w:rPr>
            </w:pPr>
            <w:r>
              <w:rPr>
                <w:rFonts w:ascii="Arial" w:cs="Arial" w:eastAsia="Arial" w:hAnsi="Arial"/>
                <w:sz w:val="18"/>
                <w:szCs w:val="18"/>
                <w:color w:val="auto"/>
              </w:rPr>
              <w:t>FLIR Systems, Inc.</w:t>
            </w:r>
          </w:p>
        </w:tc>
        <w:tc>
          <w:tcPr>
            <w:tcW w:w="5000" w:type="dxa"/>
            <w:vAlign w:val="bottom"/>
            <w:tcBorders>
              <w:right w:val="single" w:sz="8" w:color="auto"/>
            </w:tcBorders>
          </w:tcPr>
          <w:p>
            <w:pPr>
              <w:ind w:left="700"/>
              <w:spacing w:after="0" w:line="202" w:lineRule="exact"/>
              <w:rPr>
                <w:sz w:val="20"/>
                <w:szCs w:val="20"/>
                <w:color w:val="auto"/>
              </w:rPr>
            </w:pPr>
            <w:r>
              <w:rPr>
                <w:rFonts w:ascii="Arial" w:cs="Arial" w:eastAsia="Arial" w:hAnsi="Arial"/>
                <w:sz w:val="18"/>
                <w:szCs w:val="18"/>
                <w:color w:val="auto"/>
              </w:rPr>
              <w:t>Trimble Inc.*</w:t>
            </w:r>
          </w:p>
        </w:tc>
        <w:tc>
          <w:tcPr>
            <w:tcW w:w="320" w:type="dxa"/>
            <w:vAlign w:val="bottom"/>
          </w:tcPr>
          <w:p>
            <w:pPr>
              <w:spacing w:after="0"/>
              <w:rPr>
                <w:sz w:val="17"/>
                <w:szCs w:val="17"/>
                <w:color w:val="auto"/>
              </w:rPr>
            </w:pPr>
          </w:p>
        </w:tc>
        <w:tc>
          <w:tcPr>
            <w:tcW w:w="1080" w:type="dxa"/>
            <w:vAlign w:val="bottom"/>
          </w:tcPr>
          <w:p>
            <w:pPr>
              <w:jc w:val="center"/>
              <w:ind w:right="90"/>
              <w:spacing w:after="0" w:line="202" w:lineRule="exact"/>
              <w:rPr>
                <w:sz w:val="20"/>
                <w:szCs w:val="20"/>
                <w:color w:val="auto"/>
              </w:rPr>
            </w:pPr>
            <w:r>
              <w:rPr>
                <w:rFonts w:ascii="Arial" w:cs="Arial" w:eastAsia="Arial" w:hAnsi="Arial"/>
                <w:sz w:val="18"/>
                <w:szCs w:val="18"/>
                <w:i w:val="1"/>
                <w:iCs w:val="1"/>
                <w:color w:val="auto"/>
              </w:rPr>
              <w:t>50</w:t>
            </w:r>
            <w:r>
              <w:rPr>
                <w:rFonts w:ascii="Arial" w:cs="Arial" w:eastAsia="Arial" w:hAnsi="Arial"/>
                <w:sz w:val="15"/>
                <w:szCs w:val="15"/>
                <w:i w:val="1"/>
                <w:iCs w:val="1"/>
                <w:color w:val="auto"/>
              </w:rPr>
              <w:t>th</w:t>
            </w:r>
          </w:p>
        </w:tc>
        <w:tc>
          <w:tcPr>
            <w:tcW w:w="1000" w:type="dxa"/>
            <w:vAlign w:val="bottom"/>
          </w:tcPr>
          <w:p>
            <w:pPr>
              <w:jc w:val="center"/>
              <w:ind w:left="50"/>
              <w:spacing w:after="0" w:line="202" w:lineRule="exact"/>
              <w:rPr>
                <w:sz w:val="20"/>
                <w:szCs w:val="20"/>
                <w:color w:val="auto"/>
              </w:rPr>
            </w:pPr>
            <w:r>
              <w:rPr>
                <w:rFonts w:ascii="Arial" w:cs="Arial" w:eastAsia="Arial" w:hAnsi="Arial"/>
                <w:sz w:val="18"/>
                <w:szCs w:val="18"/>
                <w:color w:val="auto"/>
                <w:w w:val="98"/>
              </w:rPr>
              <w:t>$2,361</w:t>
            </w:r>
          </w:p>
        </w:tc>
        <w:tc>
          <w:tcPr>
            <w:tcW w:w="720" w:type="dxa"/>
            <w:vAlign w:val="bottom"/>
          </w:tcPr>
          <w:p>
            <w:pPr>
              <w:jc w:val="center"/>
              <w:ind w:left="50"/>
              <w:spacing w:after="0" w:line="202" w:lineRule="exact"/>
              <w:rPr>
                <w:sz w:val="20"/>
                <w:szCs w:val="20"/>
                <w:color w:val="auto"/>
              </w:rPr>
            </w:pPr>
            <w:r>
              <w:rPr>
                <w:rFonts w:ascii="Arial" w:cs="Arial" w:eastAsia="Arial" w:hAnsi="Arial"/>
                <w:sz w:val="18"/>
                <w:szCs w:val="18"/>
                <w:color w:val="auto"/>
                <w:w w:val="98"/>
              </w:rPr>
              <w:t>$6,067</w:t>
            </w:r>
          </w:p>
        </w:tc>
        <w:tc>
          <w:tcPr>
            <w:tcW w:w="220" w:type="dxa"/>
            <w:vAlign w:val="bottom"/>
            <w:tcBorders>
              <w:right w:val="single" w:sz="8" w:color="auto"/>
            </w:tcBorders>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ITT Inc.</w:t>
            </w:r>
          </w:p>
        </w:tc>
        <w:tc>
          <w:tcPr>
            <w:tcW w:w="5000" w:type="dxa"/>
            <w:vAlign w:val="bottom"/>
            <w:tcBorders>
              <w:right w:val="single" w:sz="8" w:color="auto"/>
            </w:tcBorders>
            <w:shd w:val="clear" w:color="auto" w:fill="CCEEFF"/>
          </w:tcPr>
          <w:p>
            <w:pPr>
              <w:ind w:left="700"/>
              <w:spacing w:after="0" w:line="202" w:lineRule="exact"/>
              <w:rPr>
                <w:sz w:val="20"/>
                <w:szCs w:val="20"/>
                <w:color w:val="auto"/>
              </w:rPr>
            </w:pPr>
            <w:r>
              <w:rPr>
                <w:rFonts w:ascii="Arial" w:cs="Arial" w:eastAsia="Arial" w:hAnsi="Arial"/>
                <w:sz w:val="18"/>
                <w:szCs w:val="18"/>
                <w:color w:val="auto"/>
              </w:rPr>
              <w:t>Unisys Corporation*</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center"/>
              <w:ind w:right="90"/>
              <w:spacing w:after="0" w:line="202" w:lineRule="exact"/>
              <w:rPr>
                <w:sz w:val="20"/>
                <w:szCs w:val="20"/>
                <w:color w:val="auto"/>
              </w:rPr>
            </w:pPr>
            <w:r>
              <w:rPr>
                <w:rFonts w:ascii="Arial" w:cs="Arial" w:eastAsia="Arial" w:hAnsi="Arial"/>
                <w:sz w:val="18"/>
                <w:szCs w:val="18"/>
                <w:i w:val="1"/>
                <w:iCs w:val="1"/>
                <w:color w:val="auto"/>
              </w:rPr>
              <w:t>75</w:t>
            </w:r>
            <w:r>
              <w:rPr>
                <w:rFonts w:ascii="Arial" w:cs="Arial" w:eastAsia="Arial" w:hAnsi="Arial"/>
                <w:sz w:val="15"/>
                <w:szCs w:val="15"/>
                <w:i w:val="1"/>
                <w:iCs w:val="1"/>
                <w:color w:val="auto"/>
              </w:rPr>
              <w:t>th</w:t>
            </w:r>
          </w:p>
        </w:tc>
        <w:tc>
          <w:tcPr>
            <w:tcW w:w="1000" w:type="dxa"/>
            <w:vAlign w:val="bottom"/>
            <w:shd w:val="clear" w:color="auto" w:fill="CCEEFF"/>
          </w:tcPr>
          <w:p>
            <w:pPr>
              <w:jc w:val="center"/>
              <w:ind w:left="50"/>
              <w:spacing w:after="0" w:line="202" w:lineRule="exact"/>
              <w:rPr>
                <w:sz w:val="20"/>
                <w:szCs w:val="20"/>
                <w:color w:val="auto"/>
              </w:rPr>
            </w:pPr>
            <w:r>
              <w:rPr>
                <w:rFonts w:ascii="Arial" w:cs="Arial" w:eastAsia="Arial" w:hAnsi="Arial"/>
                <w:sz w:val="18"/>
                <w:szCs w:val="18"/>
                <w:color w:val="auto"/>
                <w:w w:val="98"/>
              </w:rPr>
              <w:t>$3,322</w:t>
            </w:r>
          </w:p>
        </w:tc>
        <w:tc>
          <w:tcPr>
            <w:tcW w:w="720" w:type="dxa"/>
            <w:vAlign w:val="bottom"/>
            <w:shd w:val="clear" w:color="auto" w:fill="CCEEFF"/>
          </w:tcPr>
          <w:p>
            <w:pPr>
              <w:jc w:val="center"/>
              <w:ind w:left="50"/>
              <w:spacing w:after="0" w:line="202" w:lineRule="exact"/>
              <w:rPr>
                <w:sz w:val="20"/>
                <w:szCs w:val="20"/>
                <w:color w:val="auto"/>
              </w:rPr>
            </w:pPr>
            <w:r>
              <w:rPr>
                <w:rFonts w:ascii="Arial" w:cs="Arial" w:eastAsia="Arial" w:hAnsi="Arial"/>
                <w:sz w:val="18"/>
                <w:szCs w:val="18"/>
                <w:color w:val="auto"/>
                <w:w w:val="98"/>
              </w:rPr>
              <w:t>$8,213</w:t>
            </w:r>
          </w:p>
        </w:tc>
        <w:tc>
          <w:tcPr>
            <w:tcW w:w="220" w:type="dxa"/>
            <w:vAlign w:val="bottom"/>
            <w:tcBorders>
              <w:right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spacing w:after="0" w:line="202" w:lineRule="exact"/>
              <w:rPr>
                <w:sz w:val="20"/>
                <w:szCs w:val="20"/>
                <w:color w:val="auto"/>
              </w:rPr>
            </w:pPr>
            <w:r>
              <w:rPr>
                <w:rFonts w:ascii="Arial" w:cs="Arial" w:eastAsia="Arial" w:hAnsi="Arial"/>
                <w:sz w:val="18"/>
                <w:szCs w:val="18"/>
                <w:color w:val="auto"/>
              </w:rPr>
              <w:t>Keysight Technologies, Inc.*</w:t>
            </w:r>
          </w:p>
        </w:tc>
        <w:tc>
          <w:tcPr>
            <w:tcW w:w="5000" w:type="dxa"/>
            <w:vAlign w:val="bottom"/>
            <w:tcBorders>
              <w:right w:val="single" w:sz="8" w:color="auto"/>
            </w:tcBorders>
          </w:tcPr>
          <w:p>
            <w:pPr>
              <w:ind w:left="700"/>
              <w:spacing w:after="0" w:line="202" w:lineRule="exact"/>
              <w:rPr>
                <w:sz w:val="20"/>
                <w:szCs w:val="20"/>
                <w:color w:val="auto"/>
              </w:rPr>
            </w:pPr>
            <w:r>
              <w:rPr>
                <w:rFonts w:ascii="Arial" w:cs="Arial" w:eastAsia="Arial" w:hAnsi="Arial"/>
                <w:sz w:val="18"/>
                <w:szCs w:val="18"/>
                <w:color w:val="auto"/>
              </w:rPr>
              <w:t>Watts Water Technologies, Inc</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Mueller Water Products, Inc.</w:t>
            </w:r>
          </w:p>
        </w:tc>
        <w:tc>
          <w:tcPr>
            <w:tcW w:w="5000" w:type="dxa"/>
            <w:vAlign w:val="bottom"/>
            <w:tcBorders>
              <w:right w:val="single" w:sz="8" w:color="auto"/>
            </w:tcBorders>
            <w:shd w:val="clear" w:color="auto" w:fill="CCEEFF"/>
          </w:tcPr>
          <w:p>
            <w:pPr>
              <w:ind w:left="700"/>
              <w:spacing w:after="0" w:line="202" w:lineRule="exact"/>
              <w:rPr>
                <w:sz w:val="20"/>
                <w:szCs w:val="20"/>
                <w:color w:val="auto"/>
              </w:rPr>
            </w:pPr>
            <w:r>
              <w:rPr>
                <w:rFonts w:ascii="Arial" w:cs="Arial" w:eastAsia="Arial" w:hAnsi="Arial"/>
                <w:sz w:val="18"/>
                <w:szCs w:val="18"/>
                <w:color w:val="auto"/>
              </w:rPr>
              <w:t>Xylem Inc.</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Itron</w:t>
            </w:r>
          </w:p>
        </w:tc>
        <w:tc>
          <w:tcPr>
            <w:tcW w:w="1000" w:type="dxa"/>
            <w:vAlign w:val="bottom"/>
            <w:shd w:val="clear" w:color="auto" w:fill="CCEEFF"/>
          </w:tcPr>
          <w:p>
            <w:pPr>
              <w:jc w:val="center"/>
              <w:ind w:left="50"/>
              <w:spacing w:after="0" w:line="202" w:lineRule="exact"/>
              <w:rPr>
                <w:sz w:val="20"/>
                <w:szCs w:val="20"/>
                <w:color w:val="auto"/>
              </w:rPr>
            </w:pPr>
            <w:r>
              <w:rPr>
                <w:rFonts w:ascii="Arial" w:cs="Arial" w:eastAsia="Arial" w:hAnsi="Arial"/>
                <w:sz w:val="18"/>
                <w:szCs w:val="18"/>
                <w:color w:val="auto"/>
                <w:w w:val="98"/>
              </w:rPr>
              <w:t>$2,018</w:t>
            </w:r>
          </w:p>
        </w:tc>
        <w:tc>
          <w:tcPr>
            <w:tcW w:w="720" w:type="dxa"/>
            <w:vAlign w:val="bottom"/>
            <w:shd w:val="clear" w:color="auto" w:fill="CCEEFF"/>
          </w:tcPr>
          <w:p>
            <w:pPr>
              <w:jc w:val="center"/>
              <w:ind w:left="50"/>
              <w:spacing w:after="0" w:line="202" w:lineRule="exact"/>
              <w:rPr>
                <w:sz w:val="20"/>
                <w:szCs w:val="20"/>
                <w:color w:val="auto"/>
              </w:rPr>
            </w:pPr>
            <w:r>
              <w:rPr>
                <w:rFonts w:ascii="Arial" w:cs="Arial" w:eastAsia="Arial" w:hAnsi="Arial"/>
                <w:sz w:val="18"/>
                <w:szCs w:val="18"/>
                <w:color w:val="auto"/>
                <w:w w:val="98"/>
              </w:rPr>
              <w:t>$2,641</w:t>
            </w:r>
          </w:p>
        </w:tc>
        <w:tc>
          <w:tcPr>
            <w:tcW w:w="220" w:type="dxa"/>
            <w:vAlign w:val="bottom"/>
            <w:tcBorders>
              <w:right w:val="single" w:sz="8" w:color="auto"/>
            </w:tcBorders>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2680" w:type="dxa"/>
            <w:vAlign w:val="bottom"/>
          </w:tcPr>
          <w:p>
            <w:pPr>
              <w:spacing w:after="0" w:line="201" w:lineRule="exact"/>
              <w:rPr>
                <w:sz w:val="20"/>
                <w:szCs w:val="20"/>
                <w:color w:val="auto"/>
              </w:rPr>
            </w:pPr>
            <w:r>
              <w:rPr>
                <w:rFonts w:ascii="Arial" w:cs="Arial" w:eastAsia="Arial" w:hAnsi="Arial"/>
                <w:sz w:val="18"/>
                <w:szCs w:val="18"/>
                <w:color w:val="auto"/>
              </w:rPr>
              <w:t>NetScout Systems, Inc.*</w:t>
            </w:r>
          </w:p>
        </w:tc>
        <w:tc>
          <w:tcPr>
            <w:tcW w:w="5000" w:type="dxa"/>
            <w:vAlign w:val="bottom"/>
            <w:tcBorders>
              <w:right w:val="single" w:sz="8" w:color="auto"/>
            </w:tcBorders>
          </w:tcPr>
          <w:p>
            <w:pPr>
              <w:ind w:left="700"/>
              <w:spacing w:after="0" w:line="201" w:lineRule="exact"/>
              <w:rPr>
                <w:sz w:val="20"/>
                <w:szCs w:val="20"/>
                <w:color w:val="auto"/>
              </w:rPr>
            </w:pPr>
            <w:r>
              <w:rPr>
                <w:rFonts w:ascii="Arial" w:cs="Arial" w:eastAsia="Arial" w:hAnsi="Arial"/>
                <w:sz w:val="18"/>
                <w:szCs w:val="18"/>
                <w:color w:val="auto"/>
              </w:rPr>
              <w:t>Zebra Technologies Corp*</w:t>
            </w:r>
          </w:p>
        </w:tc>
        <w:tc>
          <w:tcPr>
            <w:tcW w:w="320" w:type="dxa"/>
            <w:vAlign w:val="bottom"/>
          </w:tcPr>
          <w:p>
            <w:pPr>
              <w:spacing w:after="0"/>
              <w:rPr>
                <w:sz w:val="17"/>
                <w:szCs w:val="17"/>
                <w:color w:val="auto"/>
              </w:rPr>
            </w:pPr>
          </w:p>
        </w:tc>
        <w:tc>
          <w:tcPr>
            <w:tcW w:w="1080" w:type="dxa"/>
            <w:vAlign w:val="bottom"/>
          </w:tcPr>
          <w:p>
            <w:pPr>
              <w:jc w:val="center"/>
              <w:ind w:right="70"/>
              <w:spacing w:after="0" w:line="201" w:lineRule="exact"/>
              <w:rPr>
                <w:sz w:val="20"/>
                <w:szCs w:val="20"/>
                <w:color w:val="auto"/>
              </w:rPr>
            </w:pPr>
            <w:r>
              <w:rPr>
                <w:rFonts w:ascii="Arial" w:cs="Arial" w:eastAsia="Arial" w:hAnsi="Arial"/>
                <w:sz w:val="18"/>
                <w:szCs w:val="18"/>
                <w:color w:val="auto"/>
                <w:w w:val="99"/>
              </w:rPr>
              <w:t>Percentile</w:t>
            </w: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000" w:type="dxa"/>
            <w:vAlign w:val="bottom"/>
            <w:tcBorders>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Rank</w:t>
            </w:r>
          </w:p>
        </w:tc>
        <w:tc>
          <w:tcPr>
            <w:tcW w:w="1000" w:type="dxa"/>
            <w:vAlign w:val="bottom"/>
            <w:tcBorders>
              <w:bottom w:val="single" w:sz="8" w:color="auto"/>
            </w:tcBorders>
          </w:tcPr>
          <w:p>
            <w:pPr>
              <w:jc w:val="center"/>
              <w:ind w:left="70"/>
              <w:spacing w:after="0" w:line="203" w:lineRule="exact"/>
              <w:rPr>
                <w:sz w:val="20"/>
                <w:szCs w:val="20"/>
                <w:color w:val="auto"/>
              </w:rPr>
            </w:pPr>
            <w:r>
              <w:rPr>
                <w:rFonts w:ascii="Arial" w:cs="Arial" w:eastAsia="Arial" w:hAnsi="Arial"/>
                <w:sz w:val="18"/>
                <w:szCs w:val="18"/>
                <w:color w:val="auto"/>
                <w:w w:val="99"/>
              </w:rPr>
              <w:t>38%</w:t>
            </w:r>
          </w:p>
        </w:tc>
        <w:tc>
          <w:tcPr>
            <w:tcW w:w="720" w:type="dxa"/>
            <w:vAlign w:val="bottom"/>
            <w:tcBorders>
              <w:bottom w:val="single" w:sz="8" w:color="auto"/>
            </w:tcBorders>
          </w:tcPr>
          <w:p>
            <w:pPr>
              <w:jc w:val="center"/>
              <w:ind w:left="70"/>
              <w:spacing w:after="0" w:line="203" w:lineRule="exact"/>
              <w:rPr>
                <w:sz w:val="20"/>
                <w:szCs w:val="20"/>
                <w:color w:val="auto"/>
              </w:rPr>
            </w:pPr>
            <w:r>
              <w:rPr>
                <w:rFonts w:ascii="Arial" w:cs="Arial" w:eastAsia="Arial" w:hAnsi="Arial"/>
                <w:sz w:val="18"/>
                <w:szCs w:val="18"/>
                <w:color w:val="auto"/>
                <w:w w:val="99"/>
              </w:rPr>
              <w:t>25%</w:t>
            </w:r>
          </w:p>
        </w:tc>
        <w:tc>
          <w:tcPr>
            <w:tcW w:w="220" w:type="dxa"/>
            <w:vAlign w:val="bottom"/>
            <w:tcBorders>
              <w:bottom w:val="single" w:sz="8" w:color="auto"/>
              <w:right w:val="single" w:sz="8" w:color="auto"/>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680" w:type="dxa"/>
            <w:vAlign w:val="bottom"/>
            <w:tcBorders>
              <w:bottom w:val="single" w:sz="8" w:color="auto"/>
            </w:tcBorders>
          </w:tcPr>
          <w:p>
            <w:pPr>
              <w:spacing w:after="0"/>
              <w:rPr>
                <w:sz w:val="17"/>
                <w:szCs w:val="17"/>
                <w:color w:val="auto"/>
              </w:rPr>
            </w:pPr>
          </w:p>
        </w:tc>
        <w:tc>
          <w:tcPr>
            <w:tcW w:w="50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r>
    </w:tbl>
    <w:p>
      <w:pPr>
        <w:spacing w:after="0" w:line="167" w:lineRule="exact"/>
        <w:rPr>
          <w:sz w:val="20"/>
          <w:szCs w:val="20"/>
          <w:color w:val="auto"/>
        </w:rPr>
      </w:pPr>
    </w:p>
    <w:p>
      <w:pPr>
        <w:ind w:left="740" w:hanging="428"/>
        <w:spacing w:after="0"/>
        <w:tabs>
          <w:tab w:leader="none" w:pos="7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Software and services included in their business mix.</w:t>
      </w:r>
    </w:p>
    <w:p>
      <w:pPr>
        <w:spacing w:after="0" w:line="123" w:lineRule="exact"/>
        <w:rPr>
          <w:sz w:val="20"/>
          <w:szCs w:val="20"/>
          <w:color w:val="auto"/>
        </w:rPr>
      </w:pPr>
    </w:p>
    <w:p>
      <w:pPr>
        <w:ind w:left="740" w:hanging="428"/>
        <w:spacing w:after="0"/>
        <w:tabs>
          <w:tab w:leader="none" w:pos="7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Financial figures do not include the effect of the Silver Spring Networks acquisition, which closed after the end of 2017.</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240" w:top="459" w:right="4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For each of the Peer Companies, data regarding base salaries, annual incentives, and long-term incentives was obtained from their annual proxy statements and reviewed by Pearl Meyer. This data was supplemented with survey data prepared by Radford Survey &amp; Consulting (Radford Survey), which provides compensation market information on more than 700 technology companies, aggregated and presented anonymously. The Radford Survey data was narrowed to those technology companies with revenues between $1 billion and $3 billion, similar to Itron.</w:t>
      </w:r>
    </w:p>
    <w:p>
      <w:pPr>
        <w:spacing w:after="0" w:line="176"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With the support of F.W. Cook, the Committee evaluates this data for informational purposes when establishing a range of competitive compensation for our NEOs. For each NEO, the Committee determines the salary range, annual incentive target, and long-term incentive taking into consideration market data for the position being evaluated. However, market data is not the sole determinant of the Company’s practices or executive compensation levels. The Committee also takes into account the experience, performance, responsibilities, and contributions to the Company by each NEO when making its decisions. For the CEO, the Committee makes a recommendation to the full Board, and the independent members of the Board review and approve the CEO’s compensation.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The 2018 Executive Compensation Program in Detail</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Base Salary</w:t>
      </w:r>
    </w:p>
    <w:p>
      <w:pPr>
        <w:spacing w:after="0" w:line="126"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Base salary represents annual fixed compensation and is a standard element of compensation necessary to attract and retain executive leadership talent. In making base salary decisions, the Committee considers the CEO’s recommendations, as well as each NEO’s position and level of responsibility within the Company. The Committee takes into account factors such as relevant market data as well as individual performance and contributions. The Committee recommended approval of a base salary increase for the CEO, and the independent members of the Board approved the CEO annual base salary rate as follows:</w:t>
      </w:r>
    </w:p>
    <w:p>
      <w:pPr>
        <w:spacing w:after="0" w:line="176"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4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NEO</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60" w:type="dxa"/>
            <w:vAlign w:val="bottom"/>
            <w:gridSpan w:val="2"/>
          </w:tcPr>
          <w:p>
            <w:pPr>
              <w:jc w:val="center"/>
              <w:ind w:left="81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25"/>
        </w:trPr>
        <w:tc>
          <w:tcPr>
            <w:tcW w:w="4880" w:type="dxa"/>
            <w:vAlign w:val="bottom"/>
            <w:gridSpan w:val="2"/>
            <w:vMerge w:val="continue"/>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660" w:type="dxa"/>
            <w:vAlign w:val="bottom"/>
            <w:gridSpan w:val="2"/>
          </w:tcPr>
          <w:p>
            <w:pPr>
              <w:jc w:val="center"/>
              <w:ind w:left="83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Philip C. Mezey*</w:t>
            </w:r>
          </w:p>
        </w:tc>
        <w:tc>
          <w:tcPr>
            <w:tcW w:w="8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800,000</w:t>
            </w:r>
          </w:p>
        </w:tc>
        <w:tc>
          <w:tcPr>
            <w:tcW w:w="9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$825,000</w:t>
            </w:r>
          </w:p>
        </w:tc>
        <w:tc>
          <w:tcPr>
            <w:tcW w:w="9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Thomas L. Deitrich</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550,000</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550,000</w:t>
            </w:r>
          </w:p>
        </w:tc>
        <w:tc>
          <w:tcPr>
            <w:tcW w:w="1660" w:type="dxa"/>
            <w:vAlign w:val="bottom"/>
            <w:gridSpan w:val="2"/>
          </w:tcPr>
          <w:p>
            <w:pPr>
              <w:jc w:val="center"/>
              <w:ind w:left="830"/>
              <w:spacing w:after="0" w:line="202" w:lineRule="exact"/>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Joan S. Hooper</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485,000</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485,000</w:t>
            </w:r>
          </w:p>
        </w:tc>
        <w:tc>
          <w:tcPr>
            <w:tcW w:w="1660" w:type="dxa"/>
            <w:vAlign w:val="bottom"/>
            <w:gridSpan w:val="2"/>
            <w:shd w:val="clear" w:color="auto" w:fill="CCEEFF"/>
          </w:tcPr>
          <w:p>
            <w:pPr>
              <w:jc w:val="center"/>
              <w:ind w:left="830"/>
              <w:spacing w:after="0" w:line="202" w:lineRule="exact"/>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Sarah E. Hlavinka**</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475,000</w:t>
            </w:r>
          </w:p>
        </w:tc>
        <w:tc>
          <w:tcPr>
            <w:tcW w:w="920" w:type="dxa"/>
            <w:vAlign w:val="bottom"/>
          </w:tcPr>
          <w:p>
            <w:pPr>
              <w:spacing w:after="0"/>
              <w:rPr>
                <w:sz w:val="17"/>
                <w:szCs w:val="17"/>
                <w:color w:val="auto"/>
              </w:rPr>
            </w:pPr>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Michel C. Cadieux</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400,000</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400,000</w:t>
            </w:r>
          </w:p>
        </w:tc>
        <w:tc>
          <w:tcPr>
            <w:tcW w:w="1660" w:type="dxa"/>
            <w:vAlign w:val="bottom"/>
            <w:gridSpan w:val="2"/>
            <w:shd w:val="clear" w:color="auto" w:fill="CCEEFF"/>
          </w:tcPr>
          <w:p>
            <w:pPr>
              <w:jc w:val="center"/>
              <w:ind w:left="830"/>
              <w:spacing w:after="0" w:line="202" w:lineRule="exact"/>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146050</wp:posOffset>
            </wp:positionV>
            <wp:extent cx="6997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5" w:lineRule="exact"/>
        <w:rPr>
          <w:sz w:val="20"/>
          <w:szCs w:val="20"/>
          <w:color w:val="auto"/>
        </w:rPr>
      </w:pPr>
    </w:p>
    <w:p>
      <w:pPr>
        <w:ind w:left="740" w:hanging="428"/>
        <w:spacing w:after="0"/>
        <w:tabs>
          <w:tab w:leader="none" w:pos="7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Mr. Mezey received an increase to better align his base salary with the market.</w:t>
      </w:r>
    </w:p>
    <w:p>
      <w:pPr>
        <w:spacing w:after="0" w:line="1" w:lineRule="exact"/>
        <w:rPr>
          <w:sz w:val="20"/>
          <w:szCs w:val="20"/>
          <w:color w:val="auto"/>
        </w:rPr>
      </w:pPr>
    </w:p>
    <w:p>
      <w:pPr>
        <w:ind w:left="740" w:hanging="428"/>
        <w:spacing w:after="0"/>
        <w:tabs>
          <w:tab w:leader="none" w:pos="7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Ms. Hlavinka’s annual salary as Senior Vice President, General Counsel and Corporate Secretary was set at $475,000 when she was hired on August 6, 2018.</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80"/>
          </w:cols>
          <w:pgMar w:left="24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Annual Cash Incentives: The Executive Management Incentive Plan (EMIP)</w:t>
      </w:r>
    </w:p>
    <w:p>
      <w:pPr>
        <w:spacing w:after="0" w:line="207"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The 2018 EMIP provided our NEOs the opportunity to earn a performance-based annual cash bonus. Actual bonus payouts depend on the achievement of pre-established performance objectives and can range from 0% to 180% of target award amounts. Target annual bonus opportunities are expressed as a percentage of base salary and were established by the NEO’s level of responsibility and his or her ability to impact overall results. The Committee also considers market data in setting target award amounts. 2018 target award opportunities remained unchanged from 2017 target award opportunities and were as follows:</w:t>
      </w:r>
    </w:p>
    <w:p>
      <w:pPr>
        <w:spacing w:after="0" w:line="176"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8"/>
              </w:rPr>
              <w:t>Target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8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EMIP</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3800" w:type="dxa"/>
            <w:vAlign w:val="bottom"/>
            <w:gridSpan w:val="2"/>
          </w:tcPr>
          <w:p>
            <w:pPr>
              <w:jc w:val="center"/>
              <w:ind w:left="2870"/>
              <w:spacing w:after="0" w:line="202" w:lineRule="exact"/>
              <w:rPr>
                <w:sz w:val="20"/>
                <w:szCs w:val="20"/>
                <w:color w:val="auto"/>
              </w:rPr>
            </w:pPr>
            <w:r>
              <w:rPr>
                <w:rFonts w:ascii="Arial" w:cs="Arial" w:eastAsia="Arial" w:hAnsi="Arial"/>
                <w:sz w:val="18"/>
                <w:szCs w:val="18"/>
                <w:b w:val="1"/>
                <w:bCs w:val="1"/>
                <w:color w:val="auto"/>
                <w:w w:val="99"/>
              </w:rPr>
              <w:t>(as a % of</w:t>
            </w:r>
          </w:p>
        </w:tc>
        <w:tc>
          <w:tcPr>
            <w:tcW w:w="0" w:type="dxa"/>
            <w:vAlign w:val="bottom"/>
          </w:tcPr>
          <w:p>
            <w:pPr>
              <w:spacing w:after="0"/>
              <w:rPr>
                <w:sz w:val="1"/>
                <w:szCs w:val="1"/>
                <w:color w:val="auto"/>
              </w:rPr>
            </w:pPr>
          </w:p>
        </w:tc>
      </w:tr>
      <w:tr>
        <w:trPr>
          <w:trHeight w:val="203"/>
        </w:trPr>
        <w:tc>
          <w:tcPr>
            <w:tcW w:w="6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NEO</w:t>
            </w:r>
          </w:p>
        </w:tc>
        <w:tc>
          <w:tcPr>
            <w:tcW w:w="2960" w:type="dxa"/>
            <w:vAlign w:val="bottom"/>
          </w:tcPr>
          <w:p>
            <w:pPr>
              <w:spacing w:after="0"/>
              <w:rPr>
                <w:sz w:val="17"/>
                <w:szCs w:val="17"/>
                <w:color w:val="auto"/>
              </w:rPr>
            </w:pPr>
          </w:p>
        </w:tc>
        <w:tc>
          <w:tcPr>
            <w:tcW w:w="8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Base</w:t>
            </w:r>
          </w:p>
        </w:tc>
        <w:tc>
          <w:tcPr>
            <w:tcW w:w="0" w:type="dxa"/>
            <w:vAlign w:val="bottom"/>
          </w:tcPr>
          <w:p>
            <w:pPr>
              <w:spacing w:after="0"/>
              <w:rPr>
                <w:sz w:val="1"/>
                <w:szCs w:val="1"/>
                <w:color w:val="auto"/>
              </w:rPr>
            </w:pPr>
          </w:p>
        </w:tc>
      </w:tr>
      <w:tr>
        <w:trPr>
          <w:trHeight w:val="225"/>
        </w:trPr>
        <w:tc>
          <w:tcPr>
            <w:tcW w:w="6340" w:type="dxa"/>
            <w:vAlign w:val="bottom"/>
            <w:gridSpan w:val="2"/>
            <w:vMerge w:val="continue"/>
          </w:tcPr>
          <w:p>
            <w:pPr>
              <w:spacing w:after="0"/>
              <w:rPr>
                <w:sz w:val="19"/>
                <w:szCs w:val="19"/>
                <w:color w:val="auto"/>
              </w:rPr>
            </w:pPr>
          </w:p>
        </w:tc>
        <w:tc>
          <w:tcPr>
            <w:tcW w:w="296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9"/>
              </w:rPr>
              <w:t>Salary)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20" w:type="dxa"/>
            <w:vAlign w:val="bottom"/>
            <w:tcBorders>
              <w:top w:val="single" w:sz="8" w:color="auto"/>
            </w:tcBorders>
            <w:shd w:val="clear" w:color="auto" w:fill="D8D8D8"/>
          </w:tcPr>
          <w:p>
            <w:pPr>
              <w:spacing w:after="0" w:line="196" w:lineRule="exact"/>
              <w:rPr>
                <w:sz w:val="20"/>
                <w:szCs w:val="20"/>
                <w:color w:val="auto"/>
              </w:rPr>
            </w:pPr>
            <w:r>
              <w:rPr>
                <w:rFonts w:ascii="Arial" w:cs="Arial" w:eastAsia="Arial" w:hAnsi="Arial"/>
                <w:sz w:val="18"/>
                <w:szCs w:val="18"/>
                <w:color w:val="auto"/>
              </w:rPr>
              <w:t>Philip C. Mezey</w:t>
            </w:r>
          </w:p>
        </w:tc>
        <w:tc>
          <w:tcPr>
            <w:tcW w:w="2960" w:type="dxa"/>
            <w:vAlign w:val="bottom"/>
            <w:tcBorders>
              <w:top w:val="single" w:sz="8" w:color="D8D8D8"/>
            </w:tcBorders>
            <w:shd w:val="clear" w:color="auto" w:fill="D8D8D8"/>
          </w:tcPr>
          <w:p>
            <w:pPr>
              <w:spacing w:after="0"/>
              <w:rPr>
                <w:sz w:val="17"/>
                <w:szCs w:val="17"/>
                <w:color w:val="auto"/>
              </w:rPr>
            </w:pPr>
          </w:p>
        </w:tc>
        <w:tc>
          <w:tcPr>
            <w:tcW w:w="840" w:type="dxa"/>
            <w:vAlign w:val="bottom"/>
            <w:tcBorders>
              <w:top w:val="single" w:sz="8" w:color="auto"/>
            </w:tcBorders>
            <w:shd w:val="clear" w:color="auto" w:fill="D8D8D8"/>
          </w:tcPr>
          <w:p>
            <w:pPr>
              <w:jc w:val="center"/>
              <w:spacing w:after="0" w:line="196" w:lineRule="exact"/>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spacing w:after="0" w:line="202" w:lineRule="exact"/>
              <w:rPr>
                <w:sz w:val="20"/>
                <w:szCs w:val="20"/>
                <w:color w:val="auto"/>
              </w:rPr>
            </w:pPr>
            <w:r>
              <w:rPr>
                <w:rFonts w:ascii="Arial" w:cs="Arial" w:eastAsia="Arial" w:hAnsi="Arial"/>
                <w:sz w:val="18"/>
                <w:szCs w:val="18"/>
                <w:color w:val="auto"/>
              </w:rPr>
              <w:t>Thomas L. Deitrich</w:t>
            </w:r>
          </w:p>
        </w:tc>
        <w:tc>
          <w:tcPr>
            <w:tcW w:w="3800" w:type="dxa"/>
            <w:vAlign w:val="bottom"/>
            <w:gridSpan w:val="2"/>
          </w:tcPr>
          <w:p>
            <w:pPr>
              <w:jc w:val="center"/>
              <w:ind w:left="2850"/>
              <w:spacing w:after="0" w:line="202"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Joan S. Hooper</w:t>
            </w:r>
          </w:p>
        </w:tc>
        <w:tc>
          <w:tcPr>
            <w:tcW w:w="3800" w:type="dxa"/>
            <w:vAlign w:val="bottom"/>
            <w:gridSpan w:val="2"/>
            <w:shd w:val="clear" w:color="auto" w:fill="D8D8D8"/>
          </w:tcPr>
          <w:p>
            <w:pPr>
              <w:jc w:val="center"/>
              <w:ind w:left="2870"/>
              <w:spacing w:after="0" w:line="202" w:lineRule="exact"/>
              <w:rPr>
                <w:sz w:val="20"/>
                <w:szCs w:val="20"/>
                <w:color w:val="auto"/>
              </w:rPr>
            </w:pPr>
            <w:r>
              <w:rPr>
                <w:rFonts w:ascii="Arial" w:cs="Arial" w:eastAsia="Arial" w:hAnsi="Arial"/>
                <w:sz w:val="18"/>
                <w:szCs w:val="18"/>
                <w:color w:val="auto"/>
                <w:w w:val="99"/>
              </w:rPr>
              <w:t>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spacing w:after="0" w:line="202" w:lineRule="exact"/>
              <w:rPr>
                <w:sz w:val="20"/>
                <w:szCs w:val="20"/>
                <w:color w:val="auto"/>
              </w:rPr>
            </w:pPr>
            <w:r>
              <w:rPr>
                <w:rFonts w:ascii="Arial" w:cs="Arial" w:eastAsia="Arial" w:hAnsi="Arial"/>
                <w:sz w:val="18"/>
                <w:szCs w:val="18"/>
                <w:color w:val="auto"/>
              </w:rPr>
              <w:t>Sarah E. Hlavinka*</w:t>
            </w:r>
          </w:p>
        </w:tc>
        <w:tc>
          <w:tcPr>
            <w:tcW w:w="3800" w:type="dxa"/>
            <w:vAlign w:val="bottom"/>
            <w:gridSpan w:val="2"/>
          </w:tcPr>
          <w:p>
            <w:pPr>
              <w:jc w:val="center"/>
              <w:ind w:left="2870"/>
              <w:spacing w:after="0" w:line="202" w:lineRule="exact"/>
              <w:rPr>
                <w:sz w:val="20"/>
                <w:szCs w:val="20"/>
                <w:color w:val="auto"/>
              </w:rPr>
            </w:pPr>
            <w:r>
              <w:rPr>
                <w:rFonts w:ascii="Arial" w:cs="Arial" w:eastAsia="Arial" w:hAnsi="Arial"/>
                <w:sz w:val="18"/>
                <w:szCs w:val="18"/>
                <w:color w:val="auto"/>
                <w:w w:val="99"/>
              </w:rPr>
              <w:t>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Michel C. Cadieux</w:t>
            </w:r>
          </w:p>
        </w:tc>
        <w:tc>
          <w:tcPr>
            <w:tcW w:w="3800" w:type="dxa"/>
            <w:vAlign w:val="bottom"/>
            <w:gridSpan w:val="2"/>
            <w:shd w:val="clear" w:color="auto" w:fill="D8D8D8"/>
          </w:tcPr>
          <w:p>
            <w:pPr>
              <w:jc w:val="center"/>
              <w:ind w:left="2870"/>
              <w:spacing w:after="0" w:line="202" w:lineRule="exact"/>
              <w:rPr>
                <w:sz w:val="20"/>
                <w:szCs w:val="20"/>
                <w:color w:val="auto"/>
              </w:rPr>
            </w:pPr>
            <w:r>
              <w:rPr>
                <w:rFonts w:ascii="Arial" w:cs="Arial" w:eastAsia="Arial" w:hAnsi="Arial"/>
                <w:sz w:val="18"/>
                <w:szCs w:val="18"/>
                <w:color w:val="auto"/>
                <w:w w:val="99"/>
              </w:rPr>
              <w:t>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146050</wp:posOffset>
            </wp:positionV>
            <wp:extent cx="6997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5" w:lineRule="exact"/>
        <w:rPr>
          <w:sz w:val="20"/>
          <w:szCs w:val="20"/>
          <w:color w:val="auto"/>
        </w:rPr>
      </w:pPr>
    </w:p>
    <w:p>
      <w:pPr>
        <w:ind w:left="740" w:hanging="428"/>
        <w:spacing w:after="0"/>
        <w:tabs>
          <w:tab w:leader="none" w:pos="7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Ms. Hlavinka’s 2018 EMIP target award opportunity was set at 75% when she was hired on August 6, 2018.</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xml:space="preserve">2018 Performance Objectives. </w:t>
      </w:r>
      <w:r>
        <w:rPr>
          <w:rFonts w:ascii="Arial" w:cs="Arial" w:eastAsia="Arial" w:hAnsi="Arial"/>
          <w:sz w:val="18"/>
          <w:szCs w:val="18"/>
          <w:color w:val="auto"/>
        </w:rPr>
        <w:t>An individual NEO’s EMIP award is based on a combination of financial and strategic objectives.</w:t>
      </w:r>
    </w:p>
    <w:p>
      <w:pPr>
        <w:spacing w:after="0" w:line="238" w:lineRule="exact"/>
        <w:rPr>
          <w:sz w:val="20"/>
          <w:szCs w:val="20"/>
          <w:color w:val="auto"/>
        </w:rPr>
      </w:pPr>
    </w:p>
    <w:tbl>
      <w:tblPr>
        <w:tblLayout w:type="fixed"/>
        <w:tblInd w:w="610" w:type="dxa"/>
        <w:tblCellMar>
          <w:top w:w="0" w:type="dxa"/>
          <w:left w:w="0" w:type="dxa"/>
          <w:bottom w:w="0" w:type="dxa"/>
          <w:right w:w="0" w:type="dxa"/>
        </w:tblCellMar>
      </w:tblPr>
      <w:tr>
        <w:trPr>
          <w:trHeight w:val="193"/>
        </w:trPr>
        <w:tc>
          <w:tcPr>
            <w:tcW w:w="2780" w:type="dxa"/>
            <w:vAlign w:val="bottom"/>
            <w:tcBorders>
              <w:top w:val="single" w:sz="8" w:color="auto"/>
              <w:left w:val="single" w:sz="8" w:color="auto"/>
              <w:right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880" w:type="dxa"/>
            <w:vAlign w:val="bottom"/>
            <w:tcBorders>
              <w:top w:val="single" w:sz="8" w:color="auto"/>
              <w:right w:val="single" w:sz="8" w:color="auto"/>
            </w:tcBorders>
          </w:tcPr>
          <w:p>
            <w:pPr>
              <w:spacing w:after="0"/>
              <w:rPr>
                <w:sz w:val="16"/>
                <w:szCs w:val="16"/>
                <w:color w:val="auto"/>
              </w:rPr>
            </w:pPr>
          </w:p>
        </w:tc>
        <w:tc>
          <w:tcPr>
            <w:tcW w:w="1980" w:type="dxa"/>
            <w:vAlign w:val="bottom"/>
            <w:tcBorders>
              <w:top w:val="single" w:sz="8" w:color="auto"/>
              <w:right w:val="single" w:sz="8" w:color="auto"/>
            </w:tcBorders>
          </w:tcPr>
          <w:p>
            <w:pPr>
              <w:jc w:val="center"/>
              <w:ind w:left="330"/>
              <w:spacing w:after="0" w:line="194" w:lineRule="exact"/>
              <w:rPr>
                <w:sz w:val="20"/>
                <w:szCs w:val="20"/>
                <w:color w:val="auto"/>
              </w:rPr>
            </w:pPr>
            <w:r>
              <w:rPr>
                <w:rFonts w:ascii="Arial" w:cs="Arial" w:eastAsia="Arial" w:hAnsi="Arial"/>
                <w:sz w:val="18"/>
                <w:szCs w:val="18"/>
                <w:b w:val="1"/>
                <w:bCs w:val="1"/>
                <w:color w:val="auto"/>
                <w:w w:val="99"/>
              </w:rPr>
              <w:t>EMIP</w:t>
            </w:r>
          </w:p>
        </w:tc>
        <w:tc>
          <w:tcPr>
            <w:tcW w:w="0" w:type="dxa"/>
            <w:vAlign w:val="bottom"/>
          </w:tcPr>
          <w:p>
            <w:pPr>
              <w:spacing w:after="0"/>
              <w:rPr>
                <w:sz w:val="1"/>
                <w:szCs w:val="1"/>
                <w:color w:val="auto"/>
              </w:rPr>
            </w:pPr>
          </w:p>
        </w:tc>
      </w:tr>
      <w:tr>
        <w:trPr>
          <w:trHeight w:val="225"/>
        </w:trPr>
        <w:tc>
          <w:tcPr>
            <w:tcW w:w="278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9"/>
              </w:rPr>
              <w:t>Performance Objectives</w:t>
            </w:r>
          </w:p>
        </w:tc>
        <w:tc>
          <w:tcPr>
            <w:tcW w:w="4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8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8"/>
                <w:szCs w:val="18"/>
                <w:b w:val="1"/>
                <w:bCs w:val="1"/>
                <w:color w:val="auto"/>
              </w:rPr>
              <w:t>Performance Metrics &amp; Weightings</w:t>
            </w:r>
          </w:p>
        </w:tc>
        <w:tc>
          <w:tcPr>
            <w:tcW w:w="1980" w:type="dxa"/>
            <w:vAlign w:val="bottom"/>
            <w:tcBorders>
              <w:bottom w:val="single" w:sz="8" w:color="auto"/>
              <w:right w:val="single" w:sz="8" w:color="auto"/>
            </w:tcBorders>
          </w:tcPr>
          <w:p>
            <w:pPr>
              <w:jc w:val="center"/>
              <w:ind w:left="330"/>
              <w:spacing w:after="0"/>
              <w:rPr>
                <w:sz w:val="20"/>
                <w:szCs w:val="20"/>
                <w:color w:val="auto"/>
              </w:rPr>
            </w:pPr>
            <w:r>
              <w:rPr>
                <w:rFonts w:ascii="Arial" w:cs="Arial" w:eastAsia="Arial" w:hAnsi="Arial"/>
                <w:sz w:val="18"/>
                <w:szCs w:val="18"/>
                <w:b w:val="1"/>
                <w:bCs w:val="1"/>
                <w:color w:val="auto"/>
              </w:rPr>
              <w:t>Weighting</w:t>
            </w:r>
          </w:p>
        </w:tc>
        <w:tc>
          <w:tcPr>
            <w:tcW w:w="0" w:type="dxa"/>
            <w:vAlign w:val="bottom"/>
          </w:tcPr>
          <w:p>
            <w:pPr>
              <w:spacing w:after="0"/>
              <w:rPr>
                <w:sz w:val="1"/>
                <w:szCs w:val="1"/>
                <w:color w:val="auto"/>
              </w:rPr>
            </w:pPr>
          </w:p>
        </w:tc>
      </w:tr>
      <w:tr>
        <w:trPr>
          <w:trHeight w:val="196"/>
        </w:trPr>
        <w:tc>
          <w:tcPr>
            <w:tcW w:w="2780" w:type="dxa"/>
            <w:vAlign w:val="bottom"/>
            <w:tcBorders>
              <w:left w:val="single" w:sz="8" w:color="auto"/>
              <w:bottom w:val="single" w:sz="8" w:color="CCEEFF"/>
              <w:right w:val="single" w:sz="8" w:color="auto"/>
            </w:tcBorders>
            <w:vMerge w:val="restart"/>
            <w:shd w:val="clear" w:color="auto" w:fill="CCEEFF"/>
          </w:tcPr>
          <w:p>
            <w:pPr>
              <w:jc w:val="center"/>
              <w:ind w:left="30"/>
              <w:spacing w:after="0"/>
              <w:rPr>
                <w:sz w:val="20"/>
                <w:szCs w:val="20"/>
                <w:color w:val="auto"/>
              </w:rPr>
            </w:pPr>
            <w:r>
              <w:rPr>
                <w:rFonts w:ascii="Arial" w:cs="Arial" w:eastAsia="Arial" w:hAnsi="Arial"/>
                <w:sz w:val="18"/>
                <w:szCs w:val="18"/>
                <w:color w:val="auto"/>
              </w:rPr>
              <w:t>Financial (80%)</w:t>
            </w:r>
          </w:p>
        </w:tc>
        <w:tc>
          <w:tcPr>
            <w:tcW w:w="480" w:type="dxa"/>
            <w:vAlign w:val="bottom"/>
            <w:tcBorders>
              <w:bottom w:val="single" w:sz="8" w:color="auto"/>
            </w:tcBorders>
            <w:shd w:val="clear" w:color="auto" w:fill="CCEEFF"/>
          </w:tcPr>
          <w:p>
            <w:pPr>
              <w:spacing w:after="0"/>
              <w:rPr>
                <w:sz w:val="17"/>
                <w:szCs w:val="17"/>
                <w:color w:val="auto"/>
              </w:rPr>
            </w:pPr>
          </w:p>
        </w:tc>
        <w:tc>
          <w:tcPr>
            <w:tcW w:w="5020" w:type="dxa"/>
            <w:vAlign w:val="bottom"/>
            <w:tcBorders>
              <w:bottom w:val="single" w:sz="8" w:color="auto"/>
              <w:right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  Total Company Consolidated Revenue</w:t>
            </w:r>
          </w:p>
        </w:tc>
        <w:tc>
          <w:tcPr>
            <w:tcW w:w="1980" w:type="dxa"/>
            <w:vAlign w:val="bottom"/>
            <w:tcBorders>
              <w:bottom w:val="single" w:sz="8" w:color="auto"/>
              <w:right w:val="single" w:sz="8" w:color="auto"/>
            </w:tcBorders>
            <w:shd w:val="clear" w:color="auto" w:fill="CCEEFF"/>
          </w:tcPr>
          <w:p>
            <w:pPr>
              <w:jc w:val="center"/>
              <w:ind w:left="370"/>
              <w:spacing w:after="0" w:line="196" w:lineRule="exact"/>
              <w:rPr>
                <w:sz w:val="20"/>
                <w:szCs w:val="20"/>
                <w:color w:val="auto"/>
              </w:rPr>
            </w:pPr>
            <w:r>
              <w:rPr>
                <w:rFonts w:ascii="Arial" w:cs="Arial" w:eastAsia="Arial" w:hAnsi="Arial"/>
                <w:sz w:val="18"/>
                <w:szCs w:val="18"/>
                <w:color w:val="auto"/>
                <w:w w:val="99"/>
              </w:rPr>
              <w:t>40%</w:t>
            </w:r>
          </w:p>
        </w:tc>
        <w:tc>
          <w:tcPr>
            <w:tcW w:w="0" w:type="dxa"/>
            <w:vAlign w:val="bottom"/>
          </w:tcPr>
          <w:p>
            <w:pPr>
              <w:spacing w:after="0"/>
              <w:rPr>
                <w:sz w:val="1"/>
                <w:szCs w:val="1"/>
                <w:color w:val="auto"/>
              </w:rPr>
            </w:pPr>
          </w:p>
        </w:tc>
      </w:tr>
      <w:tr>
        <w:trPr>
          <w:trHeight w:val="102"/>
        </w:trPr>
        <w:tc>
          <w:tcPr>
            <w:tcW w:w="2780" w:type="dxa"/>
            <w:vAlign w:val="bottom"/>
            <w:tcBorders>
              <w:left w:val="single" w:sz="8" w:color="auto"/>
              <w:right w:val="single" w:sz="8" w:color="auto"/>
            </w:tcBorders>
            <w:vMerge w:val="continue"/>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0"/>
              </w:rPr>
              <w:t>•</w:t>
            </w:r>
          </w:p>
        </w:tc>
        <w:tc>
          <w:tcPr>
            <w:tcW w:w="4880" w:type="dxa"/>
            <w:vAlign w:val="bottom"/>
            <w:tcBorders>
              <w:right w:val="single" w:sz="8" w:color="auto"/>
            </w:tcBorders>
            <w:vMerge w:val="restart"/>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Company Adjusted EBITDA*</w:t>
            </w:r>
          </w:p>
        </w:tc>
        <w:tc>
          <w:tcPr>
            <w:tcW w:w="1980" w:type="dxa"/>
            <w:vAlign w:val="bottom"/>
            <w:tcBorders>
              <w:right w:val="single" w:sz="8" w:color="auto"/>
            </w:tcBorders>
            <w:vMerge w:val="restart"/>
            <w:shd w:val="clear" w:color="auto" w:fill="CCEEFF"/>
          </w:tcPr>
          <w:p>
            <w:pPr>
              <w:jc w:val="center"/>
              <w:ind w:left="370"/>
              <w:spacing w:after="0" w:line="196" w:lineRule="exact"/>
              <w:rPr>
                <w:sz w:val="20"/>
                <w:szCs w:val="20"/>
                <w:color w:val="auto"/>
              </w:rPr>
            </w:pPr>
            <w:r>
              <w:rPr>
                <w:rFonts w:ascii="Arial" w:cs="Arial" w:eastAsia="Arial" w:hAnsi="Arial"/>
                <w:sz w:val="18"/>
                <w:szCs w:val="18"/>
                <w:color w:val="auto"/>
                <w:w w:val="99"/>
              </w:rPr>
              <w:t>40%</w:t>
            </w:r>
          </w:p>
        </w:tc>
        <w:tc>
          <w:tcPr>
            <w:tcW w:w="0" w:type="dxa"/>
            <w:vAlign w:val="bottom"/>
          </w:tcPr>
          <w:p>
            <w:pPr>
              <w:spacing w:after="0"/>
              <w:rPr>
                <w:sz w:val="1"/>
                <w:szCs w:val="1"/>
                <w:color w:val="auto"/>
              </w:rPr>
            </w:pPr>
          </w:p>
        </w:tc>
      </w:tr>
      <w:tr>
        <w:trPr>
          <w:trHeight w:val="95"/>
        </w:trPr>
        <w:tc>
          <w:tcPr>
            <w:tcW w:w="2780" w:type="dxa"/>
            <w:vAlign w:val="bottom"/>
            <w:tcBorders>
              <w:left w:val="single" w:sz="8" w:color="auto"/>
              <w:bottom w:val="single" w:sz="8" w:color="auto"/>
              <w:right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spacing w:after="0"/>
              <w:rPr>
                <w:sz w:val="8"/>
                <w:szCs w:val="8"/>
                <w:color w:val="auto"/>
              </w:rPr>
            </w:pPr>
          </w:p>
        </w:tc>
        <w:tc>
          <w:tcPr>
            <w:tcW w:w="140" w:type="dxa"/>
            <w:vAlign w:val="bottom"/>
            <w:tcBorders>
              <w:bottom w:val="single" w:sz="8" w:color="auto"/>
            </w:tcBorders>
            <w:vMerge w:val="continue"/>
            <w:shd w:val="clear" w:color="auto" w:fill="CCEEFF"/>
          </w:tcPr>
          <w:p>
            <w:pPr>
              <w:spacing w:after="0"/>
              <w:rPr>
                <w:sz w:val="8"/>
                <w:szCs w:val="8"/>
                <w:color w:val="auto"/>
              </w:rPr>
            </w:pPr>
          </w:p>
        </w:tc>
        <w:tc>
          <w:tcPr>
            <w:tcW w:w="4880" w:type="dxa"/>
            <w:vAlign w:val="bottom"/>
            <w:tcBorders>
              <w:bottom w:val="single" w:sz="8" w:color="auto"/>
              <w:right w:val="single" w:sz="8" w:color="auto"/>
            </w:tcBorders>
            <w:vMerge w:val="continue"/>
            <w:shd w:val="clear" w:color="auto" w:fill="CCEEFF"/>
          </w:tcPr>
          <w:p>
            <w:pPr>
              <w:spacing w:after="0"/>
              <w:rPr>
                <w:sz w:val="8"/>
                <w:szCs w:val="8"/>
                <w:color w:val="auto"/>
              </w:rPr>
            </w:pPr>
          </w:p>
        </w:tc>
        <w:tc>
          <w:tcPr>
            <w:tcW w:w="1980" w:type="dxa"/>
            <w:vAlign w:val="bottom"/>
            <w:tcBorders>
              <w:bottom w:val="single" w:sz="8" w:color="auto"/>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780" w:type="dxa"/>
            <w:vAlign w:val="bottom"/>
            <w:tcBorders>
              <w:left w:val="single" w:sz="8" w:color="auto"/>
              <w:bottom w:val="single" w:sz="8" w:color="auto"/>
              <w:right w:val="single" w:sz="8" w:color="auto"/>
            </w:tcBorders>
          </w:tcPr>
          <w:p>
            <w:pPr>
              <w:jc w:val="center"/>
              <w:ind w:left="50"/>
              <w:spacing w:after="0" w:line="196" w:lineRule="exact"/>
              <w:rPr>
                <w:sz w:val="20"/>
                <w:szCs w:val="20"/>
                <w:color w:val="auto"/>
              </w:rPr>
            </w:pPr>
            <w:r>
              <w:rPr>
                <w:rFonts w:ascii="Arial" w:cs="Arial" w:eastAsia="Arial" w:hAnsi="Arial"/>
                <w:sz w:val="18"/>
                <w:szCs w:val="18"/>
                <w:color w:val="auto"/>
                <w:w w:val="99"/>
              </w:rPr>
              <w:t>Strategic (20%)</w:t>
            </w:r>
          </w:p>
        </w:tc>
        <w:tc>
          <w:tcPr>
            <w:tcW w:w="62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48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Strategic Goals</w:t>
            </w:r>
          </w:p>
        </w:tc>
        <w:tc>
          <w:tcPr>
            <w:tcW w:w="1980" w:type="dxa"/>
            <w:vAlign w:val="bottom"/>
            <w:tcBorders>
              <w:bottom w:val="single" w:sz="8" w:color="auto"/>
              <w:right w:val="single" w:sz="8" w:color="auto"/>
            </w:tcBorders>
          </w:tcPr>
          <w:p>
            <w:pPr>
              <w:jc w:val="center"/>
              <w:ind w:left="370"/>
              <w:spacing w:after="0" w:line="196" w:lineRule="exact"/>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196"/>
        </w:trPr>
        <w:tc>
          <w:tcPr>
            <w:tcW w:w="2780" w:type="dxa"/>
            <w:vAlign w:val="bottom"/>
            <w:tcBorders>
              <w:left w:val="single" w:sz="8" w:color="auto"/>
              <w:bottom w:val="single" w:sz="8" w:color="auto"/>
              <w:right w:val="single" w:sz="8" w:color="auto"/>
            </w:tcBorders>
            <w:shd w:val="clear" w:color="auto" w:fill="CCEEFF"/>
          </w:tcPr>
          <w:p>
            <w:pPr>
              <w:jc w:val="center"/>
              <w:ind w:left="30"/>
              <w:spacing w:after="0" w:line="196" w:lineRule="exact"/>
              <w:rPr>
                <w:sz w:val="20"/>
                <w:szCs w:val="20"/>
                <w:color w:val="auto"/>
              </w:rPr>
            </w:pPr>
            <w:r>
              <w:rPr>
                <w:rFonts w:ascii="Arial" w:cs="Arial" w:eastAsia="Arial" w:hAnsi="Arial"/>
                <w:sz w:val="18"/>
                <w:szCs w:val="18"/>
                <w:color w:val="auto"/>
                <w:w w:val="94"/>
              </w:rPr>
              <w:t>Total</w:t>
            </w:r>
          </w:p>
        </w:tc>
        <w:tc>
          <w:tcPr>
            <w:tcW w:w="4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4880" w:type="dxa"/>
            <w:vAlign w:val="bottom"/>
            <w:tcBorders>
              <w:bottom w:val="single" w:sz="8" w:color="auto"/>
              <w:right w:val="single" w:sz="8" w:color="auto"/>
            </w:tcBorders>
            <w:shd w:val="clear" w:color="auto" w:fill="CCEEFF"/>
          </w:tcPr>
          <w:p>
            <w:pPr>
              <w:spacing w:after="0"/>
              <w:rPr>
                <w:sz w:val="17"/>
                <w:szCs w:val="17"/>
                <w:color w:val="auto"/>
              </w:rPr>
            </w:pPr>
          </w:p>
        </w:tc>
        <w:tc>
          <w:tcPr>
            <w:tcW w:w="1980" w:type="dxa"/>
            <w:vAlign w:val="bottom"/>
            <w:tcBorders>
              <w:bottom w:val="single" w:sz="8" w:color="auto"/>
              <w:right w:val="single" w:sz="8" w:color="auto"/>
            </w:tcBorders>
            <w:shd w:val="clear" w:color="auto" w:fill="CCEEFF"/>
          </w:tcPr>
          <w:p>
            <w:pPr>
              <w:jc w:val="center"/>
              <w:ind w:left="350"/>
              <w:spacing w:after="0" w:line="196"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If the threshold Adjusted EBITDA goal shown on the table below is not achieved, no portion of the EMIP award will be paid.</w:t>
      </w:r>
    </w:p>
    <w:p>
      <w:pPr>
        <w:spacing w:after="0" w:line="185"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In 2018, we used total Company consolidated revenue and Adjusted EBITDA as the financial performance metrics in the EMIP because we believe it is important to focus on both top line growth (revenue), as well as profitability. Total Company Adjusted EBITDA provides a more useful illustration of our financial performance and the ongoing operations of our business, since the adjustments exclude certain expenses that are not indicative of our recurring core operating results. This facilitates better comparisons to our historical performance and our competitors’ operating results. To continue our focus on profits and sales performance, the weighting of the financial performance objectives (which represent 80% of a NEO’s EMIP award) for 2018 was 50% total Company Adjusted EBITDA and 50% total Company consolidated revenue. A schedule reconciling Adjusted EBITDA to net income and non-GAAP EPS to GAAP EPS is available on page 40 of our 2018 Annual Report on Form 10-K.</w:t>
      </w:r>
    </w:p>
    <w:p>
      <w:pPr>
        <w:spacing w:after="0" w:line="168" w:lineRule="exact"/>
        <w:rPr>
          <w:sz w:val="20"/>
          <w:szCs w:val="20"/>
          <w:color w:val="auto"/>
        </w:rPr>
      </w:pPr>
    </w:p>
    <w:p>
      <w:pPr>
        <w:ind w:left="200" w:right="240"/>
        <w:spacing w:after="0" w:line="237" w:lineRule="auto"/>
        <w:rPr>
          <w:sz w:val="20"/>
          <w:szCs w:val="20"/>
          <w:color w:val="auto"/>
        </w:rPr>
      </w:pPr>
      <w:r>
        <w:rPr>
          <w:rFonts w:ascii="Arial" w:cs="Arial" w:eastAsia="Arial" w:hAnsi="Arial"/>
          <w:sz w:val="18"/>
          <w:szCs w:val="18"/>
          <w:color w:val="auto"/>
        </w:rPr>
        <w:t>Each year, the Committee reviews the financial performance and considers adjustments for items that are not reflective of normal operating performance for that year. These adjustments are items that the Committee believes are fair to both participants and shareholders, encourage appropriate actions that foster the long-term health of the business, and are consistent with the objectives underlying our predetermined performance goals. Such exclusions may consist of the costs and financial effects of restructuring, acquisitions and dispositions, selected legal costs and settlements, and the effects of foreign currency translation. No adjustments were made in 2018.</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440"/>
        <w:spacing w:after="0" w:line="267" w:lineRule="auto"/>
        <w:rPr>
          <w:sz w:val="20"/>
          <w:szCs w:val="20"/>
          <w:color w:val="auto"/>
        </w:rPr>
      </w:pPr>
      <w:r>
        <w:rPr>
          <w:rFonts w:ascii="Arial" w:cs="Arial" w:eastAsia="Arial" w:hAnsi="Arial"/>
          <w:sz w:val="18"/>
          <w:szCs w:val="18"/>
          <w:i w:val="1"/>
          <w:iCs w:val="1"/>
          <w:color w:val="auto"/>
        </w:rPr>
        <w:t xml:space="preserve">2018 Financial Performance Levels &amp; Results. </w:t>
      </w:r>
      <w:r>
        <w:rPr>
          <w:rFonts w:ascii="Arial" w:cs="Arial" w:eastAsia="Arial" w:hAnsi="Arial"/>
          <w:sz w:val="18"/>
          <w:szCs w:val="18"/>
          <w:color w:val="auto"/>
        </w:rPr>
        <w:t>The following table shows the performance necessary to achieve threshold, target and</w:t>
      </w:r>
      <w:r>
        <w:rPr>
          <w:rFonts w:ascii="Arial" w:cs="Arial" w:eastAsia="Arial" w:hAnsi="Arial"/>
          <w:sz w:val="18"/>
          <w:szCs w:val="18"/>
          <w:i w:val="1"/>
          <w:iCs w:val="1"/>
          <w:color w:val="auto"/>
        </w:rPr>
        <w:t xml:space="preserve"> </w:t>
      </w:r>
      <w:r>
        <w:rPr>
          <w:rFonts w:ascii="Arial" w:cs="Arial" w:eastAsia="Arial" w:hAnsi="Arial"/>
          <w:sz w:val="18"/>
          <w:szCs w:val="18"/>
          <w:color w:val="auto"/>
        </w:rPr>
        <w:t>maximum bonus payout amounts, along with actual results for 2018:</w:t>
      </w:r>
    </w:p>
    <w:p>
      <w:pPr>
        <w:spacing w:after="0" w:line="200" w:lineRule="exact"/>
        <w:rPr>
          <w:sz w:val="20"/>
          <w:szCs w:val="20"/>
          <w:color w:val="auto"/>
        </w:rPr>
      </w:pPr>
    </w:p>
    <w:p>
      <w:pPr>
        <w:spacing w:after="0" w:line="23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gridSpan w:val="3"/>
          </w:tcPr>
          <w:p>
            <w:pPr>
              <w:ind w:left="60"/>
              <w:spacing w:after="0"/>
              <w:rPr>
                <w:sz w:val="20"/>
                <w:szCs w:val="20"/>
                <w:color w:val="auto"/>
              </w:rPr>
            </w:pPr>
            <w:r>
              <w:rPr>
                <w:rFonts w:ascii="Arial" w:cs="Arial" w:eastAsia="Arial" w:hAnsi="Arial"/>
                <w:sz w:val="18"/>
                <w:szCs w:val="18"/>
                <w:b w:val="1"/>
                <w:bCs w:val="1"/>
                <w:color w:val="auto"/>
              </w:rPr>
              <w:t>Actual</w:t>
            </w:r>
          </w:p>
        </w:tc>
      </w:tr>
      <w:tr>
        <w:trPr>
          <w:trHeight w:val="225"/>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Threshold</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Target</w:t>
            </w:r>
          </w:p>
        </w:tc>
        <w:tc>
          <w:tcPr>
            <w:tcW w:w="5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Maximum</w:t>
            </w:r>
          </w:p>
        </w:tc>
        <w:tc>
          <w:tcPr>
            <w:tcW w:w="1180" w:type="dxa"/>
            <w:vAlign w:val="bottom"/>
            <w:gridSpan w:val="4"/>
          </w:tcPr>
          <w:p>
            <w:pPr>
              <w:ind w:left="380"/>
              <w:spacing w:after="0"/>
              <w:rPr>
                <w:sz w:val="20"/>
                <w:szCs w:val="20"/>
                <w:color w:val="auto"/>
              </w:rPr>
            </w:pPr>
            <w:r>
              <w:rPr>
                <w:rFonts w:ascii="Arial" w:cs="Arial" w:eastAsia="Arial" w:hAnsi="Arial"/>
                <w:sz w:val="18"/>
                <w:szCs w:val="18"/>
                <w:b w:val="1"/>
                <w:bCs w:val="1"/>
                <w:color w:val="auto"/>
              </w:rPr>
              <w:t>Results</w:t>
            </w:r>
          </w:p>
        </w:tc>
      </w:tr>
      <w:tr>
        <w:trPr>
          <w:trHeight w:val="196"/>
        </w:trPr>
        <w:tc>
          <w:tcPr>
            <w:tcW w:w="20" w:type="dxa"/>
            <w:vAlign w:val="bottom"/>
          </w:tcPr>
          <w:p>
            <w:pPr>
              <w:spacing w:after="0"/>
              <w:rPr>
                <w:sz w:val="17"/>
                <w:szCs w:val="17"/>
                <w:color w:val="auto"/>
              </w:rPr>
            </w:pPr>
          </w:p>
        </w:tc>
        <w:tc>
          <w:tcPr>
            <w:tcW w:w="4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Company Consolidated Revenue</w:t>
            </w:r>
          </w:p>
        </w:tc>
        <w:tc>
          <w:tcPr>
            <w:tcW w:w="15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2,187.0</w:t>
            </w: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2,430.0</w:t>
            </w:r>
          </w:p>
        </w:tc>
        <w:tc>
          <w:tcPr>
            <w:tcW w:w="5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2,673.0</w:t>
            </w:r>
          </w:p>
        </w:tc>
        <w:tc>
          <w:tcPr>
            <w:tcW w:w="3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w w:val="72"/>
              </w:rPr>
              <w:t>NA*</w:t>
            </w:r>
          </w:p>
        </w:tc>
        <w:tc>
          <w:tcPr>
            <w:tcW w:w="140" w:type="dxa"/>
            <w:vAlign w:val="bottom"/>
            <w:tcBorders>
              <w:top w:val="single" w:sz="8" w:color="CCEEFF"/>
            </w:tcBorders>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Total Company Adjusted EBITDA</w:t>
            </w:r>
          </w:p>
        </w:tc>
        <w:tc>
          <w:tcPr>
            <w:tcW w:w="174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257.8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286.4</w:t>
            </w:r>
          </w:p>
        </w:tc>
        <w:tc>
          <w:tcPr>
            <w:tcW w:w="70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315.1</w:t>
            </w:r>
          </w:p>
        </w:tc>
        <w:tc>
          <w:tcPr>
            <w:tcW w:w="6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NA*</w:t>
            </w:r>
          </w:p>
        </w:tc>
      </w:tr>
    </w:tbl>
    <w:p>
      <w:pPr>
        <w:spacing w:after="0" w:line="9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 Payouts are linearly interpolated for performance between threshold, target and maximum.</w:t>
      </w:r>
    </w:p>
    <w:p>
      <w:pPr>
        <w:spacing w:after="0" w:line="109" w:lineRule="exact"/>
        <w:rPr>
          <w:sz w:val="20"/>
          <w:szCs w:val="20"/>
          <w:color w:val="auto"/>
        </w:rPr>
      </w:pPr>
    </w:p>
    <w:p>
      <w:pPr>
        <w:ind w:left="300" w:hanging="96"/>
        <w:spacing w:after="0"/>
        <w:tabs>
          <w:tab w:leader="none" w:pos="300" w:val="left"/>
        </w:tabs>
        <w:numPr>
          <w:ilvl w:val="0"/>
          <w:numId w:val="38"/>
        </w:numPr>
        <w:rPr>
          <w:rFonts w:ascii="Arial" w:cs="Arial" w:eastAsia="Arial" w:hAnsi="Arial"/>
          <w:sz w:val="14"/>
          <w:szCs w:val="14"/>
          <w:i w:val="1"/>
          <w:iCs w:val="1"/>
          <w:color w:val="auto"/>
        </w:rPr>
      </w:pPr>
      <w:r>
        <w:rPr>
          <w:rFonts w:ascii="Arial" w:cs="Arial" w:eastAsia="Arial" w:hAnsi="Arial"/>
          <w:sz w:val="14"/>
          <w:szCs w:val="14"/>
          <w:color w:val="auto"/>
        </w:rPr>
        <w:t>No portion of the EMIP was paid in 2018 because the threshold Adjusted EBITDA goal was not achieved.</w:t>
      </w:r>
    </w:p>
    <w:p>
      <w:pPr>
        <w:spacing w:after="0" w:line="167" w:lineRule="exact"/>
        <w:rPr>
          <w:sz w:val="20"/>
          <w:szCs w:val="20"/>
          <w:color w:val="auto"/>
        </w:rPr>
      </w:pPr>
    </w:p>
    <w:p>
      <w:pPr>
        <w:ind w:left="200" w:right="140"/>
        <w:spacing w:after="0" w:line="245" w:lineRule="auto"/>
        <w:rPr>
          <w:sz w:val="20"/>
          <w:szCs w:val="20"/>
          <w:color w:val="auto"/>
        </w:rPr>
      </w:pPr>
      <w:r>
        <w:rPr>
          <w:rFonts w:ascii="Arial" w:cs="Arial" w:eastAsia="Arial" w:hAnsi="Arial"/>
          <w:sz w:val="18"/>
          <w:szCs w:val="18"/>
          <w:i w:val="1"/>
          <w:iCs w:val="1"/>
          <w:color w:val="auto"/>
        </w:rPr>
        <w:t xml:space="preserve">2018 Strategic Goals &amp; Achievements. </w:t>
      </w:r>
      <w:r>
        <w:rPr>
          <w:rFonts w:ascii="Arial" w:cs="Arial" w:eastAsia="Arial" w:hAnsi="Arial"/>
          <w:sz w:val="18"/>
          <w:szCs w:val="18"/>
          <w:color w:val="auto"/>
        </w:rPr>
        <w:t>The strategic goals for the NEOs, as determined in consultation with the CEO and reviewed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 generally encompass objectives as they relate to both the individual business segments and the entire Company. For 2018, they were developed to continue to strengthen our operational results through objectives that align to predictability, profitability, and growth.</w:t>
      </w:r>
    </w:p>
    <w:p>
      <w:pPr>
        <w:spacing w:after="0" w:line="159"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Approved strategic goals included meeting return on invested capital targets, growth in Software and Services revenue and margin, cost of non-quality targets, improvement in predictability of quarterly financial results, and new business obtained by cross selling legacy Itron and Silver Spring Networks projects. The Company made progress across the strategic initiatives and achieved or partially achieved some of the strategic targets. Even though partial results were achieved for the strategic goals, no portion of the EMIP was paid in 2018 because the threshold Adjusted EBITDA goal was not achieved.</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Long-Term Incentives</w:t>
      </w:r>
    </w:p>
    <w:p>
      <w:pPr>
        <w:spacing w:after="0" w:line="207" w:lineRule="exact"/>
        <w:rPr>
          <w:sz w:val="20"/>
          <w:szCs w:val="20"/>
          <w:color w:val="auto"/>
        </w:rPr>
      </w:pPr>
    </w:p>
    <w:p>
      <w:pPr>
        <w:ind w:left="200" w:right="360"/>
        <w:spacing w:after="0" w:line="246" w:lineRule="auto"/>
        <w:rPr>
          <w:sz w:val="20"/>
          <w:szCs w:val="20"/>
          <w:color w:val="auto"/>
        </w:rPr>
      </w:pPr>
      <w:r>
        <w:rPr>
          <w:rFonts w:ascii="Arial" w:cs="Arial" w:eastAsia="Arial" w:hAnsi="Arial"/>
          <w:sz w:val="18"/>
          <w:szCs w:val="18"/>
          <w:color w:val="auto"/>
        </w:rPr>
        <w:t>The NEOs are eligible for long-term incentives, all of which were issued under the terms of our Amended and Restated 2010 Plan. For fiscal year 2018, annual long-term incentives were granted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125730</wp:posOffset>
            </wp:positionV>
            <wp:extent cx="4751070" cy="23323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751070" cy="2332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240" w:top="459" w:right="4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120"/>
        <w:spacing w:after="0" w:line="267" w:lineRule="auto"/>
        <w:rPr>
          <w:sz w:val="20"/>
          <w:szCs w:val="20"/>
          <w:color w:val="auto"/>
        </w:rPr>
      </w:pPr>
      <w:r>
        <w:rPr>
          <w:rFonts w:ascii="Arial" w:cs="Arial" w:eastAsia="Arial" w:hAnsi="Arial"/>
          <w:sz w:val="18"/>
          <w:szCs w:val="18"/>
          <w:i w:val="1"/>
          <w:iCs w:val="1"/>
          <w:color w:val="auto"/>
        </w:rPr>
        <w:t xml:space="preserve">2018 Target Long-Term Incentive Award Grants. </w:t>
      </w:r>
      <w:r>
        <w:rPr>
          <w:rFonts w:ascii="Arial" w:cs="Arial" w:eastAsia="Arial" w:hAnsi="Arial"/>
          <w:sz w:val="18"/>
          <w:szCs w:val="18"/>
          <w:color w:val="auto"/>
        </w:rPr>
        <w:t>The table below shows the long-term incentive award values granted for fiscal 2018 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the NEOs:</w:t>
      </w:r>
    </w:p>
    <w:p>
      <w:pPr>
        <w:spacing w:after="0" w:line="200" w:lineRule="exact"/>
        <w:rPr>
          <w:sz w:val="20"/>
          <w:szCs w:val="20"/>
          <w:color w:val="auto"/>
        </w:rPr>
      </w:pPr>
    </w:p>
    <w:p>
      <w:pPr>
        <w:spacing w:after="0" w:line="236"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2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NEO</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PRSUs**</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Stock</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9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rPr>
              <w:t>(at Target)</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Options*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RSUs**</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Philip C. Mezey</w:t>
            </w:r>
            <w:r>
              <w:rPr>
                <w:rFonts w:ascii="Arial" w:cs="Arial" w:eastAsia="Arial" w:hAnsi="Arial"/>
                <w:sz w:val="11"/>
                <w:szCs w:val="11"/>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1,800,000</w:t>
            </w: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900,000</w:t>
            </w:r>
          </w:p>
        </w:tc>
        <w:tc>
          <w:tcPr>
            <w:tcW w:w="5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900,000</w:t>
            </w: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3,600,000</w:t>
            </w:r>
          </w:p>
        </w:tc>
        <w:tc>
          <w:tcPr>
            <w:tcW w:w="3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20" w:type="dxa"/>
            <w:vAlign w:val="bottom"/>
          </w:tcPr>
          <w:p>
            <w:pPr>
              <w:spacing w:after="0" w:line="202" w:lineRule="exact"/>
              <w:rPr>
                <w:sz w:val="20"/>
                <w:szCs w:val="20"/>
                <w:color w:val="auto"/>
              </w:rPr>
            </w:pPr>
            <w:r>
              <w:rPr>
                <w:rFonts w:ascii="Arial" w:cs="Arial" w:eastAsia="Arial" w:hAnsi="Arial"/>
                <w:sz w:val="18"/>
                <w:szCs w:val="18"/>
                <w:color w:val="auto"/>
              </w:rPr>
              <w:t>Thomas L. Deitrich</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1,000,000</w:t>
            </w: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500,000</w:t>
            </w:r>
          </w:p>
        </w:tc>
        <w:tc>
          <w:tcPr>
            <w:tcW w:w="7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500,000</w:t>
            </w: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2,000,000</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Joan S. Hooper</w:t>
            </w:r>
            <w:r>
              <w:rPr>
                <w:rFonts w:ascii="Arial" w:cs="Arial" w:eastAsia="Arial" w:hAnsi="Arial"/>
                <w:sz w:val="11"/>
                <w:szCs w:val="11"/>
                <w:color w:val="auto"/>
              </w:rPr>
              <w:t>††</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500,000</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250,000</w:t>
            </w:r>
          </w:p>
        </w:tc>
        <w:tc>
          <w:tcPr>
            <w:tcW w:w="74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500,000</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1,250,000</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20" w:type="dxa"/>
            <w:vAlign w:val="bottom"/>
          </w:tcPr>
          <w:p>
            <w:pPr>
              <w:spacing w:after="0" w:line="202" w:lineRule="exact"/>
              <w:rPr>
                <w:sz w:val="20"/>
                <w:szCs w:val="20"/>
                <w:color w:val="auto"/>
              </w:rPr>
            </w:pPr>
            <w:r>
              <w:rPr>
                <w:rFonts w:ascii="Arial" w:cs="Arial" w:eastAsia="Arial" w:hAnsi="Arial"/>
                <w:sz w:val="18"/>
                <w:szCs w:val="18"/>
                <w:color w:val="auto"/>
              </w:rPr>
              <w:t>Sarah E. Hlavinka</w:t>
            </w:r>
            <w:r>
              <w:rPr>
                <w:rFonts w:ascii="Arial" w:cs="Arial" w:eastAsia="Arial" w:hAnsi="Arial"/>
                <w:sz w:val="11"/>
                <w:szCs w:val="11"/>
                <w:color w:val="auto"/>
              </w:rPr>
              <w:t>†††</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400,000</w:t>
            </w: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200,000</w:t>
            </w:r>
          </w:p>
        </w:tc>
        <w:tc>
          <w:tcPr>
            <w:tcW w:w="7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200,000</w:t>
            </w: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800,000</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Michel C. Cadieux</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400,000</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200,000</w:t>
            </w:r>
          </w:p>
        </w:tc>
        <w:tc>
          <w:tcPr>
            <w:tcW w:w="74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200,000</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800,000</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171450</wp:posOffset>
            </wp:positionV>
            <wp:extent cx="6997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9" w:lineRule="exact"/>
        <w:rPr>
          <w:sz w:val="20"/>
          <w:szCs w:val="20"/>
          <w:color w:val="auto"/>
        </w:rPr>
      </w:pPr>
    </w:p>
    <w:p>
      <w:pPr>
        <w:ind w:left="740" w:hanging="428"/>
        <w:spacing w:after="0"/>
        <w:tabs>
          <w:tab w:leader="none" w:pos="7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Individual award amounts were calculated based on Black-Scholes values.</w:t>
      </w:r>
    </w:p>
    <w:p>
      <w:pPr>
        <w:spacing w:after="0" w:line="1" w:lineRule="exact"/>
        <w:rPr>
          <w:sz w:val="20"/>
          <w:szCs w:val="20"/>
          <w:color w:val="auto"/>
        </w:rPr>
      </w:pPr>
    </w:p>
    <w:p>
      <w:pPr>
        <w:ind w:left="740" w:hanging="428"/>
        <w:spacing w:after="0"/>
        <w:tabs>
          <w:tab w:leader="none" w:pos="7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Award amounts for PRSUs and RSUs were determined based on the closing price of our common stock on the date of grant on February 22, 2018 for all other</w:t>
      </w:r>
    </w:p>
    <w:p>
      <w:pPr>
        <w:spacing w:after="0" w:line="1" w:lineRule="exact"/>
        <w:rPr>
          <w:sz w:val="20"/>
          <w:szCs w:val="20"/>
          <w:color w:val="auto"/>
        </w:rPr>
      </w:pPr>
    </w:p>
    <w:p>
      <w:pPr>
        <w:ind w:left="740" w:right="80"/>
        <w:spacing w:after="0" w:line="243" w:lineRule="auto"/>
        <w:rPr>
          <w:sz w:val="20"/>
          <w:szCs w:val="20"/>
          <w:color w:val="auto"/>
        </w:rPr>
      </w:pPr>
      <w:r>
        <w:rPr>
          <w:rFonts w:ascii="Arial" w:cs="Arial" w:eastAsia="Arial" w:hAnsi="Arial"/>
          <w:sz w:val="14"/>
          <w:szCs w:val="14"/>
          <w:color w:val="auto"/>
        </w:rPr>
        <w:t>NEOs, except that award values for Ms. Hlavinka were determined based on the closing price of our common stock on September 12, 2018 in connection with her new hire. The additional RSU award granted to Ms. Hooper was determined based on the closing price of our common stock on the date of the grant on May 9, 2018.</w:t>
      </w:r>
    </w:p>
    <w:p>
      <w:pPr>
        <w:spacing w:after="0" w:line="160" w:lineRule="exact"/>
        <w:rPr>
          <w:sz w:val="20"/>
          <w:szCs w:val="20"/>
          <w:color w:val="auto"/>
        </w:rPr>
      </w:pPr>
    </w:p>
    <w:p>
      <w:pPr>
        <w:ind w:left="740" w:hanging="428"/>
        <w:spacing w:after="0"/>
        <w:tabs>
          <w:tab w:leader="none" w:pos="740" w:val="left"/>
        </w:tabs>
        <w:numPr>
          <w:ilvl w:val="0"/>
          <w:numId w:val="41"/>
        </w:numPr>
        <w:rPr>
          <w:rFonts w:ascii="Arial" w:cs="Arial" w:eastAsia="Arial" w:hAnsi="Arial"/>
          <w:sz w:val="9"/>
          <w:szCs w:val="9"/>
          <w:color w:val="auto"/>
        </w:rPr>
      </w:pPr>
      <w:r>
        <w:rPr>
          <w:rFonts w:ascii="Arial" w:cs="Arial" w:eastAsia="Arial" w:hAnsi="Arial"/>
          <w:sz w:val="14"/>
          <w:szCs w:val="14"/>
          <w:color w:val="auto"/>
        </w:rPr>
        <w:t>For 2018, the Committee increased Mr. Mezey’s target award value by $400,000 to better align his compensation with the market.</w:t>
      </w:r>
    </w:p>
    <w:p>
      <w:pPr>
        <w:spacing w:after="0" w:line="1" w:lineRule="exact"/>
        <w:rPr>
          <w:sz w:val="20"/>
          <w:szCs w:val="20"/>
          <w:color w:val="auto"/>
        </w:rPr>
      </w:pPr>
    </w:p>
    <w:p>
      <w:pPr>
        <w:ind w:left="740" w:right="180" w:hanging="428"/>
        <w:spacing w:after="0" w:line="241" w:lineRule="auto"/>
        <w:tabs>
          <w:tab w:leader="none" w:pos="740" w:val="left"/>
        </w:tabs>
        <w:numPr>
          <w:ilvl w:val="0"/>
          <w:numId w:val="42"/>
        </w:numPr>
        <w:rPr>
          <w:rFonts w:ascii="Arial" w:cs="Arial" w:eastAsia="Arial" w:hAnsi="Arial"/>
          <w:sz w:val="9"/>
          <w:szCs w:val="9"/>
          <w:color w:val="auto"/>
        </w:rPr>
      </w:pPr>
      <w:r>
        <w:rPr>
          <w:rFonts w:ascii="Arial" w:cs="Arial" w:eastAsia="Arial" w:hAnsi="Arial"/>
          <w:sz w:val="14"/>
          <w:szCs w:val="14"/>
          <w:color w:val="auto"/>
        </w:rPr>
        <w:t>In May 2018, the Committee approved an additional grant of $250,000 in time-vested RSUs to Ms. Hooper in recognition of her early performance and to ensure market competitiveness of her annual grant.</w:t>
      </w:r>
    </w:p>
    <w:p>
      <w:pPr>
        <w:spacing w:after="0" w:line="1" w:lineRule="exact"/>
        <w:rPr>
          <w:sz w:val="20"/>
          <w:szCs w:val="20"/>
          <w:color w:val="auto"/>
        </w:rPr>
      </w:pPr>
    </w:p>
    <w:p>
      <w:pPr>
        <w:ind w:left="740" w:hanging="428"/>
        <w:spacing w:after="0" w:line="250" w:lineRule="auto"/>
        <w:tabs>
          <w:tab w:leader="none" w:pos="740" w:val="left"/>
        </w:tabs>
        <w:numPr>
          <w:ilvl w:val="0"/>
          <w:numId w:val="43"/>
        </w:numPr>
        <w:rPr>
          <w:rFonts w:ascii="Arial" w:cs="Arial" w:eastAsia="Arial" w:hAnsi="Arial"/>
          <w:sz w:val="9"/>
          <w:szCs w:val="9"/>
          <w:color w:val="auto"/>
        </w:rPr>
      </w:pPr>
      <w:r>
        <w:rPr>
          <w:rFonts w:ascii="Arial" w:cs="Arial" w:eastAsia="Arial" w:hAnsi="Arial"/>
          <w:sz w:val="14"/>
          <w:szCs w:val="14"/>
          <w:color w:val="auto"/>
        </w:rPr>
        <w:t>In conjunction with Ms. Hlavinka’s new-hire arrangement, she also received a one-time, equity grant of RSUs with a grant date fair market value of $500,000, which is not included in the table above. This award amount was determined based on the closing price of our common stock on the date of the grant on September 12, 2018. This award was granted under the Amended and Restated 2010 Plan and will vest 100% on the first anniversary of the grant.</w:t>
      </w:r>
    </w:p>
    <w:p>
      <w:pPr>
        <w:spacing w:after="0" w:line="135" w:lineRule="exact"/>
        <w:rPr>
          <w:sz w:val="20"/>
          <w:szCs w:val="20"/>
          <w:color w:val="auto"/>
        </w:rPr>
      </w:pPr>
    </w:p>
    <w:p>
      <w:pPr>
        <w:jc w:val="both"/>
        <w:ind w:left="200" w:right="300"/>
        <w:spacing w:after="0" w:line="242" w:lineRule="auto"/>
        <w:rPr>
          <w:sz w:val="20"/>
          <w:szCs w:val="20"/>
          <w:color w:val="auto"/>
        </w:rPr>
      </w:pPr>
      <w:r>
        <w:rPr>
          <w:rFonts w:ascii="Arial" w:cs="Arial" w:eastAsia="Arial" w:hAnsi="Arial"/>
          <w:sz w:val="18"/>
          <w:szCs w:val="18"/>
          <w:i w:val="1"/>
          <w:iCs w:val="1"/>
          <w:color w:val="auto"/>
        </w:rPr>
        <w:t xml:space="preserve">A Closer Look at Performance-Based Restricted Stock Units (PRSUs). </w:t>
      </w:r>
      <w:r>
        <w:rPr>
          <w:rFonts w:ascii="Arial" w:cs="Arial" w:eastAsia="Arial" w:hAnsi="Arial"/>
          <w:sz w:val="18"/>
          <w:szCs w:val="18"/>
          <w:color w:val="auto"/>
        </w:rPr>
        <w:t>The actual number of PRSUs that are earned and vested are</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achievement of specific financial performance goals and relative TSR results. Specifically, actual awards are linked to a three-year performance period that consists of three annual performance cycles. The performance result used to determine the actual award earned is calculated at the end of the three-year performance period by averaging the results of the three annual performance cycles, then is adjusted based on performance relative to TSR as compared to the Russell 3000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146685</wp:posOffset>
            </wp:positionV>
            <wp:extent cx="5205730" cy="14490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205730"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240" w:top="459" w:right="5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180"/>
        <w:spacing w:after="0" w:line="267" w:lineRule="auto"/>
        <w:rPr>
          <w:sz w:val="20"/>
          <w:szCs w:val="20"/>
          <w:color w:val="auto"/>
        </w:rPr>
      </w:pPr>
      <w:r>
        <w:rPr>
          <w:rFonts w:ascii="Arial" w:cs="Arial" w:eastAsia="Arial" w:hAnsi="Arial"/>
          <w:sz w:val="18"/>
          <w:szCs w:val="18"/>
          <w:i w:val="1"/>
          <w:iCs w:val="1"/>
          <w:color w:val="auto"/>
        </w:rPr>
        <w:t xml:space="preserve">2018 Performance Metrics: Non-GAAP EPS &amp; Relative TSR. </w:t>
      </w:r>
      <w:r>
        <w:rPr>
          <w:rFonts w:ascii="Arial" w:cs="Arial" w:eastAsia="Arial" w:hAnsi="Arial"/>
          <w:sz w:val="18"/>
          <w:szCs w:val="18"/>
          <w:color w:val="auto"/>
        </w:rPr>
        <w:t>PRSUs are driven by the achievement of non-GAAP EPS and relative TSR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targets.</w:t>
      </w:r>
    </w:p>
    <w:p>
      <w:pPr>
        <w:spacing w:after="0" w:line="38" w:lineRule="exact"/>
        <w:rPr>
          <w:sz w:val="20"/>
          <w:szCs w:val="20"/>
          <w:color w:val="auto"/>
        </w:rPr>
      </w:pPr>
    </w:p>
    <w:p>
      <w:pPr>
        <w:ind w:left="1180" w:right="520"/>
        <w:spacing w:after="0" w:line="244" w:lineRule="auto"/>
        <w:rPr>
          <w:sz w:val="20"/>
          <w:szCs w:val="20"/>
          <w:color w:val="auto"/>
        </w:rPr>
      </w:pPr>
      <w:r>
        <w:rPr>
          <w:rFonts w:ascii="Arial" w:cs="Arial" w:eastAsia="Arial" w:hAnsi="Arial"/>
          <w:sz w:val="18"/>
          <w:szCs w:val="18"/>
          <w:b w:val="1"/>
          <w:bCs w:val="1"/>
          <w:color w:val="auto"/>
        </w:rPr>
        <w:t xml:space="preserve">Non-GAAP EPS: </w:t>
      </w:r>
      <w:r>
        <w:rPr>
          <w:rFonts w:ascii="Arial" w:cs="Arial" w:eastAsia="Arial" w:hAnsi="Arial"/>
          <w:sz w:val="18"/>
          <w:szCs w:val="18"/>
          <w:color w:val="auto"/>
        </w:rPr>
        <w:t>Non-GAAP EPS targets are set by the Committee at the beginning of each annual performance cycle.</w:t>
      </w:r>
      <w:r>
        <w:rPr>
          <w:rFonts w:ascii="Arial" w:cs="Arial" w:eastAsia="Arial" w:hAnsi="Arial"/>
          <w:sz w:val="18"/>
          <w:szCs w:val="18"/>
          <w:b w:val="1"/>
          <w:bCs w:val="1"/>
          <w:color w:val="auto"/>
        </w:rPr>
        <w:t xml:space="preserve"> </w:t>
      </w:r>
      <w:r>
        <w:rPr>
          <w:rFonts w:ascii="Arial" w:cs="Arial" w:eastAsia="Arial" w:hAnsi="Arial"/>
          <w:sz w:val="18"/>
          <w:szCs w:val="18"/>
          <w:color w:val="auto"/>
        </w:rPr>
        <w:t>Payout levels can range from 50% to 160% of target for the performance cycle. No PSRUs are earned for performance below the threshold. The following table shows the thresholds, targets and maximums for non-GAAP EPS set by the Committee at the beginning of each annual performance cycle and our actual non-GAAP EPS results used for calculating PRSUs earned for 2016, 2017 and 2018:</w:t>
      </w:r>
    </w:p>
    <w:p>
      <w:pPr>
        <w:spacing w:after="0" w:line="200" w:lineRule="exact"/>
        <w:rPr>
          <w:sz w:val="20"/>
          <w:szCs w:val="20"/>
          <w:color w:val="auto"/>
        </w:rPr>
      </w:pPr>
    </w:p>
    <w:p>
      <w:pPr>
        <w:spacing w:after="0" w:line="280"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38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Year</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w w:val="98"/>
              </w:rPr>
              <w:t>Threshold</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Target</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w w:val="98"/>
              </w:rPr>
              <w:t>Maximum</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84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b w:val="1"/>
                <w:bCs w:val="1"/>
                <w:color w:val="auto"/>
              </w:rPr>
              <w:t>50%</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b w:val="1"/>
                <w:bCs w:val="1"/>
                <w:color w:val="auto"/>
              </w:rPr>
              <w:t>100%</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160%</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Results</w:t>
            </w:r>
          </w:p>
        </w:tc>
        <w:tc>
          <w:tcPr>
            <w:tcW w:w="0" w:type="dxa"/>
            <w:vAlign w:val="bottom"/>
          </w:tcPr>
          <w:p>
            <w:pPr>
              <w:spacing w:after="0"/>
              <w:rPr>
                <w:sz w:val="1"/>
                <w:szCs w:val="1"/>
                <w:color w:val="auto"/>
              </w:rPr>
            </w:pPr>
          </w:p>
        </w:tc>
      </w:tr>
      <w:tr>
        <w:trPr>
          <w:trHeight w:val="196"/>
        </w:trPr>
        <w:tc>
          <w:tcPr>
            <w:tcW w:w="3840" w:type="dxa"/>
            <w:vAlign w:val="bottom"/>
            <w:tcBorders>
              <w:top w:val="single" w:sz="8" w:color="auto"/>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2016</w:t>
            </w:r>
          </w:p>
        </w:tc>
        <w:tc>
          <w:tcPr>
            <w:tcW w:w="8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1.95</w:t>
            </w: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2.25</w:t>
            </w: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2.48</w:t>
            </w: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2.54</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40"/>
              <w:spacing w:after="0" w:line="202" w:lineRule="exact"/>
              <w:rPr>
                <w:sz w:val="20"/>
                <w:szCs w:val="20"/>
                <w:color w:val="auto"/>
              </w:rPr>
            </w:pPr>
            <w:r>
              <w:rPr>
                <w:rFonts w:ascii="Arial" w:cs="Arial" w:eastAsia="Arial" w:hAnsi="Arial"/>
                <w:sz w:val="18"/>
                <w:szCs w:val="18"/>
                <w:color w:val="auto"/>
              </w:rPr>
              <w:t>2017</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2.58</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3.00</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3.30</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3.06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2018</w:t>
            </w: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3.33</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3.66</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2.65</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200" w:right="240"/>
        <w:spacing w:after="0" w:line="258" w:lineRule="auto"/>
        <w:rPr>
          <w:sz w:val="20"/>
          <w:szCs w:val="20"/>
          <w:color w:val="auto"/>
        </w:rPr>
      </w:pPr>
      <w:r>
        <w:rPr>
          <w:rFonts w:ascii="Arial" w:cs="Arial" w:eastAsia="Arial" w:hAnsi="Arial"/>
          <w:sz w:val="14"/>
          <w:szCs w:val="14"/>
          <w:color w:val="auto"/>
        </w:rPr>
        <w:t>Note: The non-GAAP EPS results shown are based on financial results as reported for 2016, 2017, and 2018 (as reported in our Annual Report on Form 10-K for the year ended December 31, 2018). Performance for levels achieved between threshold, target, and maximum are linearly interpolated.</w:t>
      </w:r>
    </w:p>
    <w:p>
      <w:pPr>
        <w:spacing w:after="0" w:line="291" w:lineRule="exact"/>
        <w:rPr>
          <w:sz w:val="20"/>
          <w:szCs w:val="20"/>
          <w:color w:val="auto"/>
        </w:rPr>
      </w:pPr>
    </w:p>
    <w:p>
      <w:pPr>
        <w:ind w:left="1180" w:right="940"/>
        <w:spacing w:after="0" w:line="253" w:lineRule="auto"/>
        <w:rPr>
          <w:sz w:val="20"/>
          <w:szCs w:val="20"/>
          <w:color w:val="auto"/>
        </w:rPr>
      </w:pPr>
      <w:r>
        <w:rPr>
          <w:rFonts w:ascii="Arial" w:cs="Arial" w:eastAsia="Arial" w:hAnsi="Arial"/>
          <w:sz w:val="18"/>
          <w:szCs w:val="18"/>
          <w:b w:val="1"/>
          <w:bCs w:val="1"/>
          <w:color w:val="auto"/>
        </w:rPr>
        <w:t xml:space="preserve">Relative TSR: </w:t>
      </w:r>
      <w:r>
        <w:rPr>
          <w:rFonts w:ascii="Arial" w:cs="Arial" w:eastAsia="Arial" w:hAnsi="Arial"/>
          <w:sz w:val="18"/>
          <w:szCs w:val="18"/>
          <w:color w:val="auto"/>
        </w:rPr>
        <w:t>At the end of the three-year performance period, the non-GAAP EPS results for each of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cycles are averaged. The average non-GAAP EPS is then adjusted based on the achievement by the Company of TSR relative to the Russell 3000 index for the same three-year performance cycle as follows:</w:t>
      </w:r>
    </w:p>
    <w:p>
      <w:pPr>
        <w:spacing w:after="0" w:line="342" w:lineRule="exact"/>
        <w:rPr>
          <w:sz w:val="20"/>
          <w:szCs w:val="20"/>
          <w:color w:val="auto"/>
        </w:rPr>
      </w:pPr>
    </w:p>
    <w:tbl>
      <w:tblPr>
        <w:tblLayout w:type="fixed"/>
        <w:tblInd w:w="1420" w:type="dxa"/>
        <w:tblCellMar>
          <w:top w:w="0" w:type="dxa"/>
          <w:left w:w="0" w:type="dxa"/>
          <w:bottom w:w="0" w:type="dxa"/>
          <w:right w:w="0" w:type="dxa"/>
        </w:tblCellMar>
      </w:tblPr>
      <w:tr>
        <w:trPr>
          <w:trHeight w:val="239"/>
        </w:trPr>
        <w:tc>
          <w:tcPr>
            <w:tcW w:w="4560" w:type="dxa"/>
            <w:vAlign w:val="bottom"/>
            <w:gridSpan w:val="3"/>
          </w:tcPr>
          <w:p>
            <w:pPr>
              <w:spacing w:after="0"/>
              <w:rPr>
                <w:sz w:val="20"/>
                <w:szCs w:val="20"/>
                <w:color w:val="auto"/>
              </w:rPr>
            </w:pPr>
            <w:r>
              <w:rPr>
                <w:rFonts w:ascii="Arial" w:cs="Arial" w:eastAsia="Arial" w:hAnsi="Arial"/>
                <w:sz w:val="18"/>
                <w:szCs w:val="18"/>
                <w:i w:val="1"/>
                <w:iCs w:val="1"/>
                <w:color w:val="auto"/>
              </w:rPr>
              <w:t>If relative TSR attainment is</w:t>
            </w:r>
            <w:r>
              <w:rPr>
                <w:rFonts w:ascii="Arial" w:cs="Arial" w:eastAsia="Arial" w:hAnsi="Arial"/>
                <w:sz w:val="18"/>
                <w:szCs w:val="18"/>
                <w:b w:val="1"/>
                <w:bCs w:val="1"/>
                <w:color w:val="auto"/>
              </w:rPr>
              <w:t>…</w:t>
            </w:r>
          </w:p>
        </w:tc>
        <w:tc>
          <w:tcPr>
            <w:tcW w:w="4040" w:type="dxa"/>
            <w:vAlign w:val="bottom"/>
          </w:tcPr>
          <w:p>
            <w:pPr>
              <w:spacing w:after="0"/>
              <w:rPr>
                <w:sz w:val="20"/>
                <w:szCs w:val="20"/>
                <w:color w:val="auto"/>
              </w:rPr>
            </w:pPr>
            <w:r>
              <w:rPr>
                <w:rFonts w:ascii="Arial" w:cs="Arial" w:eastAsia="Arial" w:hAnsi="Arial"/>
                <w:sz w:val="18"/>
                <w:szCs w:val="18"/>
                <w:i w:val="1"/>
                <w:iCs w:val="1"/>
                <w:color w:val="auto"/>
              </w:rPr>
              <w:t>Then the average EPS attainment is</w:t>
            </w:r>
            <w:r>
              <w:rPr>
                <w:rFonts w:ascii="Arial" w:cs="Arial" w:eastAsia="Arial" w:hAnsi="Arial"/>
                <w:sz w:val="18"/>
                <w:szCs w:val="18"/>
                <w:b w:val="1"/>
                <w:bCs w:val="1"/>
                <w:color w:val="auto"/>
              </w:rPr>
              <w:t>…</w:t>
            </w:r>
          </w:p>
        </w:tc>
      </w:tr>
      <w:tr>
        <w:trPr>
          <w:trHeight w:val="193"/>
        </w:trPr>
        <w:tc>
          <w:tcPr>
            <w:tcW w:w="20" w:type="dxa"/>
            <w:vAlign w:val="bottom"/>
          </w:tcPr>
          <w:p>
            <w:pPr>
              <w:spacing w:after="0"/>
              <w:rPr>
                <w:sz w:val="16"/>
                <w:szCs w:val="16"/>
                <w:color w:val="auto"/>
              </w:rPr>
            </w:pPr>
          </w:p>
        </w:tc>
        <w:tc>
          <w:tcPr>
            <w:tcW w:w="430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At or below the 25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240" w:type="dxa"/>
            <w:vAlign w:val="bottom"/>
          </w:tcPr>
          <w:p>
            <w:pPr>
              <w:spacing w:after="0"/>
              <w:rPr>
                <w:sz w:val="16"/>
                <w:szCs w:val="16"/>
                <w:color w:val="auto"/>
              </w:rPr>
            </w:pPr>
          </w:p>
        </w:tc>
        <w:tc>
          <w:tcPr>
            <w:tcW w:w="404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Adjusted down by 25%</w:t>
            </w:r>
          </w:p>
        </w:tc>
      </w:tr>
      <w:tr>
        <w:trPr>
          <w:trHeight w:val="203"/>
        </w:trPr>
        <w:tc>
          <w:tcPr>
            <w:tcW w:w="4560" w:type="dxa"/>
            <w:vAlign w:val="bottom"/>
            <w:gridSpan w:val="3"/>
          </w:tcPr>
          <w:p>
            <w:pPr>
              <w:spacing w:after="0" w:line="202" w:lineRule="exact"/>
              <w:rPr>
                <w:sz w:val="20"/>
                <w:szCs w:val="20"/>
                <w:color w:val="auto"/>
              </w:rPr>
            </w:pPr>
            <w:r>
              <w:rPr>
                <w:rFonts w:ascii="Arial" w:cs="Arial" w:eastAsia="Arial" w:hAnsi="Arial"/>
                <w:sz w:val="18"/>
                <w:szCs w:val="18"/>
                <w:color w:val="auto"/>
              </w:rPr>
              <w:t>At 50</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4040" w:type="dxa"/>
            <w:vAlign w:val="bottom"/>
          </w:tcPr>
          <w:p>
            <w:pPr>
              <w:spacing w:after="0" w:line="202" w:lineRule="exact"/>
              <w:rPr>
                <w:sz w:val="20"/>
                <w:szCs w:val="20"/>
                <w:color w:val="auto"/>
              </w:rPr>
            </w:pPr>
            <w:r>
              <w:rPr>
                <w:rFonts w:ascii="Arial" w:cs="Arial" w:eastAsia="Arial" w:hAnsi="Arial"/>
                <w:sz w:val="18"/>
                <w:szCs w:val="18"/>
                <w:color w:val="auto"/>
              </w:rPr>
              <w:t>No adjustment</w:t>
            </w:r>
          </w:p>
        </w:tc>
      </w:tr>
      <w:tr>
        <w:trPr>
          <w:trHeight w:val="219"/>
        </w:trPr>
        <w:tc>
          <w:tcPr>
            <w:tcW w:w="4560" w:type="dxa"/>
            <w:vAlign w:val="bottom"/>
            <w:gridSpan w:val="3"/>
          </w:tcPr>
          <w:p>
            <w:pPr>
              <w:spacing w:after="0"/>
              <w:rPr>
                <w:sz w:val="20"/>
                <w:szCs w:val="20"/>
                <w:color w:val="auto"/>
              </w:rPr>
            </w:pPr>
            <w:r>
              <w:rPr>
                <w:rFonts w:ascii="Arial" w:cs="Arial" w:eastAsia="Arial" w:hAnsi="Arial"/>
                <w:sz w:val="18"/>
                <w:szCs w:val="18"/>
                <w:color w:val="auto"/>
              </w:rPr>
              <w:t>At or above the 75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4040" w:type="dxa"/>
            <w:vAlign w:val="bottom"/>
          </w:tcPr>
          <w:p>
            <w:pPr>
              <w:spacing w:after="0"/>
              <w:rPr>
                <w:sz w:val="20"/>
                <w:szCs w:val="20"/>
                <w:color w:val="auto"/>
              </w:rPr>
            </w:pPr>
            <w:r>
              <w:rPr>
                <w:rFonts w:ascii="Arial" w:cs="Arial" w:eastAsia="Arial" w:hAnsi="Arial"/>
                <w:sz w:val="18"/>
                <w:szCs w:val="18"/>
                <w:color w:val="auto"/>
              </w:rPr>
              <w:t>Increased by 25%</w:t>
            </w:r>
          </w:p>
        </w:tc>
      </w:tr>
    </w:tbl>
    <w:p>
      <w:pPr>
        <w:spacing w:after="0" w:line="16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 Adjustments for levels achieved between the 25th, 50th, and 75th percentiles are linearly interpolated.</w:t>
      </w:r>
    </w:p>
    <w:p>
      <w:pPr>
        <w:spacing w:after="0" w:line="171" w:lineRule="exact"/>
        <w:rPr>
          <w:sz w:val="20"/>
          <w:szCs w:val="20"/>
          <w:color w:val="auto"/>
        </w:rPr>
      </w:pPr>
    </w:p>
    <w:p>
      <w:pPr>
        <w:ind w:left="200" w:right="980"/>
        <w:spacing w:after="0" w:line="246" w:lineRule="auto"/>
        <w:rPr>
          <w:sz w:val="20"/>
          <w:szCs w:val="20"/>
          <w:color w:val="auto"/>
        </w:rPr>
      </w:pPr>
      <w:r>
        <w:rPr>
          <w:rFonts w:ascii="Arial" w:cs="Arial" w:eastAsia="Arial" w:hAnsi="Arial"/>
          <w:sz w:val="18"/>
          <w:szCs w:val="18"/>
          <w:color w:val="auto"/>
        </w:rPr>
        <w:t>For the 2018 PRSUs, the TSR targets and point multipliers were all established in February 2018 by the Committee and by the independent members of the full Board for the CEO.</w:t>
      </w:r>
    </w:p>
    <w:p>
      <w:pPr>
        <w:spacing w:after="0" w:line="152" w:lineRule="exact"/>
        <w:rPr>
          <w:sz w:val="20"/>
          <w:szCs w:val="20"/>
          <w:color w:val="auto"/>
        </w:rPr>
      </w:pPr>
    </w:p>
    <w:p>
      <w:pPr>
        <w:ind w:left="200" w:right="120"/>
        <w:spacing w:after="0" w:line="245" w:lineRule="auto"/>
        <w:rPr>
          <w:sz w:val="20"/>
          <w:szCs w:val="20"/>
          <w:color w:val="auto"/>
        </w:rPr>
      </w:pPr>
      <w:r>
        <w:rPr>
          <w:rFonts w:ascii="Arial" w:cs="Arial" w:eastAsia="Arial" w:hAnsi="Arial"/>
          <w:sz w:val="18"/>
          <w:szCs w:val="18"/>
          <w:i w:val="1"/>
          <w:iCs w:val="1"/>
          <w:color w:val="auto"/>
        </w:rPr>
        <w:t xml:space="preserve">PRSUs Earned and Vested In 2018 (1/1/2016 –12/31/2018). </w:t>
      </w:r>
      <w:r>
        <w:rPr>
          <w:rFonts w:ascii="Arial" w:cs="Arial" w:eastAsia="Arial" w:hAnsi="Arial"/>
          <w:sz w:val="18"/>
          <w:szCs w:val="18"/>
          <w:color w:val="auto"/>
        </w:rPr>
        <w:t>In 2016, the NEOs at that time were granted their target PRSUs with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achievement of the non-GAAP EPS and relative TSR performance targets for 2016, 2017, and 2018 as outlined above. The actual award earned was calculated at the end of the three-year performance period by averaging the results of the three annual performance cycles:</w:t>
      </w:r>
    </w:p>
    <w:p>
      <w:pPr>
        <w:spacing w:after="0" w:line="200"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203"/>
        </w:trPr>
        <w:tc>
          <w:tcPr>
            <w:tcW w:w="3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w:t>
            </w:r>
          </w:p>
        </w:tc>
        <w:tc>
          <w:tcPr>
            <w:tcW w:w="30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of</w:t>
            </w:r>
          </w:p>
        </w:tc>
        <w:tc>
          <w:tcPr>
            <w:tcW w:w="0" w:type="dxa"/>
            <w:vAlign w:val="bottom"/>
          </w:tcPr>
          <w:p>
            <w:pPr>
              <w:spacing w:after="0"/>
              <w:rPr>
                <w:sz w:val="1"/>
                <w:szCs w:val="1"/>
                <w:color w:val="auto"/>
              </w:rPr>
            </w:pPr>
          </w:p>
        </w:tc>
      </w:tr>
      <w:tr>
        <w:trPr>
          <w:trHeight w:val="225"/>
        </w:trPr>
        <w:tc>
          <w:tcPr>
            <w:tcW w:w="3260" w:type="dxa"/>
            <w:vAlign w:val="bottom"/>
            <w:gridSpan w:val="2"/>
            <w:vMerge w:val="continue"/>
          </w:tcPr>
          <w:p>
            <w:pPr>
              <w:spacing w:after="0"/>
              <w:rPr>
                <w:sz w:val="19"/>
                <w:szCs w:val="19"/>
                <w:color w:val="auto"/>
              </w:rPr>
            </w:pPr>
          </w:p>
        </w:tc>
        <w:tc>
          <w:tcPr>
            <w:tcW w:w="30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9"/>
              </w:rPr>
              <w:t>Attainment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2016</w:t>
            </w:r>
          </w:p>
        </w:tc>
        <w:tc>
          <w:tcPr>
            <w:tcW w:w="3000" w:type="dxa"/>
            <w:vAlign w:val="bottom"/>
            <w:tcBorders>
              <w:top w:val="single" w:sz="8" w:color="auto"/>
            </w:tcBorders>
            <w:shd w:val="clear" w:color="auto" w:fill="CCEEFF"/>
          </w:tcPr>
          <w:p>
            <w:pPr>
              <w:spacing w:after="0"/>
              <w:rPr>
                <w:sz w:val="17"/>
                <w:szCs w:val="17"/>
                <w:color w:val="auto"/>
              </w:rPr>
            </w:pPr>
          </w:p>
        </w:tc>
        <w:tc>
          <w:tcPr>
            <w:tcW w:w="27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160%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tcPr>
          <w:p>
            <w:pPr>
              <w:spacing w:after="0" w:line="202" w:lineRule="exact"/>
              <w:rPr>
                <w:sz w:val="20"/>
                <w:szCs w:val="20"/>
                <w:color w:val="auto"/>
              </w:rPr>
            </w:pPr>
            <w:r>
              <w:rPr>
                <w:rFonts w:ascii="Arial" w:cs="Arial" w:eastAsia="Arial" w:hAnsi="Arial"/>
                <w:sz w:val="18"/>
                <w:szCs w:val="18"/>
                <w:color w:val="auto"/>
              </w:rPr>
              <w:t>2017</w:t>
            </w:r>
          </w:p>
        </w:tc>
        <w:tc>
          <w:tcPr>
            <w:tcW w:w="6880" w:type="dxa"/>
            <w:vAlign w:val="bottom"/>
            <w:gridSpan w:val="3"/>
          </w:tcPr>
          <w:p>
            <w:pPr>
              <w:jc w:val="center"/>
              <w:ind w:left="5610"/>
              <w:spacing w:after="0" w:line="202" w:lineRule="exact"/>
              <w:rPr>
                <w:sz w:val="20"/>
                <w:szCs w:val="20"/>
                <w:color w:val="auto"/>
              </w:rPr>
            </w:pPr>
            <w:r>
              <w:rPr>
                <w:rFonts w:ascii="Arial" w:cs="Arial" w:eastAsia="Arial" w:hAnsi="Arial"/>
                <w:sz w:val="18"/>
                <w:szCs w:val="18"/>
                <w:color w:val="auto"/>
                <w:w w:val="99"/>
              </w:rPr>
              <w:t>112%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2018</w:t>
            </w:r>
          </w:p>
        </w:tc>
        <w:tc>
          <w:tcPr>
            <w:tcW w:w="6880" w:type="dxa"/>
            <w:vAlign w:val="bottom"/>
            <w:gridSpan w:val="3"/>
            <w:shd w:val="clear" w:color="auto" w:fill="CCEEFF"/>
          </w:tcPr>
          <w:p>
            <w:pPr>
              <w:jc w:val="center"/>
              <w:ind w:left="5610"/>
              <w:spacing w:after="0" w:line="202" w:lineRule="exact"/>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2016-2018 Average</w:t>
            </w:r>
          </w:p>
        </w:tc>
        <w:tc>
          <w:tcPr>
            <w:tcW w:w="6880" w:type="dxa"/>
            <w:vAlign w:val="bottom"/>
            <w:gridSpan w:val="3"/>
          </w:tcPr>
          <w:p>
            <w:pPr>
              <w:jc w:val="center"/>
              <w:ind w:left="5610"/>
              <w:spacing w:after="0"/>
              <w:rPr>
                <w:sz w:val="20"/>
                <w:szCs w:val="20"/>
                <w:color w:val="auto"/>
              </w:rPr>
            </w:pPr>
            <w:r>
              <w:rPr>
                <w:rFonts w:ascii="Arial" w:cs="Arial" w:eastAsia="Arial" w:hAnsi="Arial"/>
                <w:sz w:val="18"/>
                <w:szCs w:val="18"/>
                <w:color w:val="auto"/>
              </w:rPr>
              <w:t>90.67%</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000" w:type="dxa"/>
            <w:vAlign w:val="bottom"/>
          </w:tcPr>
          <w:p>
            <w:pPr>
              <w:jc w:val="right"/>
              <w:ind w:right="930"/>
              <w:spacing w:after="0"/>
              <w:rPr>
                <w:sz w:val="20"/>
                <w:szCs w:val="20"/>
                <w:color w:val="auto"/>
              </w:rPr>
            </w:pPr>
            <w:r>
              <w:rPr>
                <w:rFonts w:ascii="Arial" w:cs="Arial" w:eastAsia="Arial" w:hAnsi="Arial"/>
                <w:sz w:val="18"/>
                <w:szCs w:val="18"/>
                <w:color w:val="auto"/>
              </w:rPr>
              <w:t>-34-</w:t>
            </w:r>
          </w:p>
        </w:tc>
        <w:tc>
          <w:tcPr>
            <w:tcW w:w="2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rPr>
          <w:sz w:val="20"/>
          <w:szCs w:val="20"/>
          <w:color w:val="auto"/>
        </w:rPr>
      </w:pPr>
      <w:r>
        <w:rPr>
          <w:rFonts w:ascii="Arial" w:cs="Arial" w:eastAsia="Arial" w:hAnsi="Arial"/>
          <w:sz w:val="18"/>
          <w:szCs w:val="18"/>
          <w:color w:val="auto"/>
        </w:rPr>
        <w:t>Consistent with the terms of the LTIP, the average performance attainment for the 2016-2018 PRSUs was then adjusted upward by 114% since our TSR was at the 64</w:t>
      </w:r>
      <w:r>
        <w:rPr>
          <w:rFonts w:ascii="Arial" w:cs="Arial" w:eastAsia="Arial" w:hAnsi="Arial"/>
          <w:sz w:val="15"/>
          <w:szCs w:val="15"/>
          <w:color w:val="auto"/>
        </w:rPr>
        <w:t>th</w:t>
      </w:r>
      <w:r>
        <w:rPr>
          <w:rFonts w:ascii="Arial" w:cs="Arial" w:eastAsia="Arial" w:hAnsi="Arial"/>
          <w:sz w:val="18"/>
          <w:szCs w:val="18"/>
          <w:color w:val="auto"/>
        </w:rPr>
        <w:t xml:space="preserve"> percentile of the Russell 3000 index. As a result, the NEOs (other than those who were not employed at Itron in 2016) earned 103.36% of their target PRSUs for the 2016-2018 performance cycle, as follows:</w:t>
      </w:r>
    </w:p>
    <w:p>
      <w:pPr>
        <w:spacing w:after="0" w:line="203"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4"/>
              </w:rPr>
              <w:t>Target</w:t>
            </w:r>
          </w:p>
        </w:tc>
        <w:tc>
          <w:tcPr>
            <w:tcW w:w="202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98"/>
              </w:rPr>
              <w:t>Actual</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3"/>
            <w:vMerge w:val="restart"/>
          </w:tcPr>
          <w:p>
            <w:pPr>
              <w:ind w:left="420"/>
              <w:spacing w:after="0"/>
              <w:rPr>
                <w:sz w:val="20"/>
                <w:szCs w:val="20"/>
                <w:color w:val="auto"/>
              </w:rPr>
            </w:pPr>
            <w:r>
              <w:rPr>
                <w:rFonts w:ascii="Arial" w:cs="Arial" w:eastAsia="Arial" w:hAnsi="Arial"/>
                <w:sz w:val="18"/>
                <w:szCs w:val="18"/>
                <w:b w:val="1"/>
                <w:bCs w:val="1"/>
                <w:color w:val="auto"/>
              </w:rPr>
              <w:t>NEO</w:t>
            </w:r>
          </w:p>
        </w:tc>
        <w:tc>
          <w:tcPr>
            <w:tcW w:w="1860" w:type="dxa"/>
            <w:vAlign w:val="bottom"/>
          </w:tcPr>
          <w:p>
            <w:pPr>
              <w:spacing w:after="0"/>
              <w:rPr>
                <w:sz w:val="17"/>
                <w:szCs w:val="17"/>
                <w:color w:val="auto"/>
              </w:rPr>
            </w:pPr>
          </w:p>
        </w:tc>
        <w:tc>
          <w:tcPr>
            <w:tcW w:w="7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PRSUs</w:t>
            </w:r>
          </w:p>
        </w:tc>
        <w:tc>
          <w:tcPr>
            <w:tcW w:w="2020" w:type="dxa"/>
            <w:vAlign w:val="bottom"/>
          </w:tcPr>
          <w:p>
            <w:pPr>
              <w:spacing w:after="0"/>
              <w:rPr>
                <w:sz w:val="17"/>
                <w:szCs w:val="17"/>
                <w:color w:val="auto"/>
              </w:rPr>
            </w:pPr>
          </w:p>
        </w:tc>
        <w:tc>
          <w:tcPr>
            <w:tcW w:w="6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PRSUs</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360" w:type="dxa"/>
            <w:vAlign w:val="bottom"/>
            <w:gridSpan w:val="3"/>
            <w:vMerge w:val="continue"/>
          </w:tcPr>
          <w:p>
            <w:pPr>
              <w:spacing w:after="0"/>
              <w:rPr>
                <w:sz w:val="19"/>
                <w:szCs w:val="19"/>
                <w:color w:val="auto"/>
              </w:rPr>
            </w:pPr>
          </w:p>
        </w:tc>
        <w:tc>
          <w:tcPr>
            <w:tcW w:w="2560" w:type="dxa"/>
            <w:vAlign w:val="bottom"/>
            <w:gridSpan w:val="2"/>
          </w:tcPr>
          <w:p>
            <w:pPr>
              <w:jc w:val="center"/>
              <w:ind w:left="1750"/>
              <w:spacing w:after="0"/>
              <w:rPr>
                <w:sz w:val="20"/>
                <w:szCs w:val="20"/>
                <w:color w:val="auto"/>
              </w:rPr>
            </w:pPr>
            <w:r>
              <w:rPr>
                <w:rFonts w:ascii="Arial" w:cs="Arial" w:eastAsia="Arial" w:hAnsi="Arial"/>
                <w:sz w:val="18"/>
                <w:szCs w:val="18"/>
                <w:b w:val="1"/>
                <w:bCs w:val="1"/>
                <w:color w:val="auto"/>
                <w:w w:val="98"/>
              </w:rPr>
              <w:t>Granted</w:t>
            </w:r>
          </w:p>
        </w:tc>
        <w:tc>
          <w:tcPr>
            <w:tcW w:w="2640" w:type="dxa"/>
            <w:vAlign w:val="bottom"/>
            <w:gridSpan w:val="2"/>
          </w:tcPr>
          <w:p>
            <w:pPr>
              <w:jc w:val="center"/>
              <w:ind w:left="1930"/>
              <w:spacing w:after="0"/>
              <w:rPr>
                <w:sz w:val="20"/>
                <w:szCs w:val="20"/>
                <w:color w:val="auto"/>
              </w:rPr>
            </w:pPr>
            <w:r>
              <w:rPr>
                <w:rFonts w:ascii="Arial" w:cs="Arial" w:eastAsia="Arial" w:hAnsi="Arial"/>
                <w:sz w:val="18"/>
                <w:szCs w:val="18"/>
                <w:b w:val="1"/>
                <w:bCs w:val="1"/>
                <w:color w:val="auto"/>
              </w:rPr>
              <w:t>Earned</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92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Philip C. Mezey</w:t>
            </w:r>
          </w:p>
        </w:tc>
        <w:tc>
          <w:tcPr>
            <w:tcW w:w="18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39,980</w:t>
            </w:r>
          </w:p>
        </w:tc>
        <w:tc>
          <w:tcPr>
            <w:tcW w:w="20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41,323</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920" w:type="dxa"/>
            <w:vAlign w:val="bottom"/>
            <w:gridSpan w:val="2"/>
          </w:tcPr>
          <w:p>
            <w:pPr>
              <w:spacing w:after="0" w:line="202" w:lineRule="exact"/>
              <w:rPr>
                <w:sz w:val="20"/>
                <w:szCs w:val="20"/>
                <w:color w:val="auto"/>
              </w:rPr>
            </w:pPr>
            <w:r>
              <w:rPr>
                <w:rFonts w:ascii="Arial" w:cs="Arial" w:eastAsia="Arial" w:hAnsi="Arial"/>
                <w:sz w:val="18"/>
                <w:szCs w:val="18"/>
                <w:color w:val="auto"/>
              </w:rPr>
              <w:t>Thomas L. Deitrich</w:t>
            </w:r>
          </w:p>
        </w:tc>
        <w:tc>
          <w:tcPr>
            <w:tcW w:w="2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24,968</w:t>
            </w:r>
          </w:p>
        </w:tc>
        <w:tc>
          <w:tcPr>
            <w:tcW w:w="2640" w:type="dxa"/>
            <w:vAlign w:val="bottom"/>
            <w:gridSpan w:val="2"/>
          </w:tcPr>
          <w:p>
            <w:pPr>
              <w:jc w:val="center"/>
              <w:ind w:left="1930"/>
              <w:spacing w:after="0" w:line="202" w:lineRule="exact"/>
              <w:rPr>
                <w:sz w:val="20"/>
                <w:szCs w:val="20"/>
                <w:color w:val="auto"/>
              </w:rPr>
            </w:pPr>
            <w:r>
              <w:rPr>
                <w:rFonts w:ascii="Arial" w:cs="Arial" w:eastAsia="Arial" w:hAnsi="Arial"/>
                <w:sz w:val="18"/>
                <w:szCs w:val="18"/>
                <w:color w:val="auto"/>
                <w:w w:val="98"/>
              </w:rPr>
              <w:t>25,806</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Michel C. Cadieux</w:t>
            </w:r>
          </w:p>
        </w:tc>
        <w:tc>
          <w:tcPr>
            <w:tcW w:w="2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9,987</w:t>
            </w:r>
          </w:p>
        </w:tc>
        <w:tc>
          <w:tcPr>
            <w:tcW w:w="2640" w:type="dxa"/>
            <w:vAlign w:val="bottom"/>
            <w:gridSpan w:val="2"/>
            <w:shd w:val="clear" w:color="auto" w:fill="CCEEFF"/>
          </w:tcPr>
          <w:p>
            <w:pPr>
              <w:jc w:val="center"/>
              <w:ind w:left="1930"/>
              <w:spacing w:after="0" w:line="202" w:lineRule="exact"/>
              <w:rPr>
                <w:sz w:val="20"/>
                <w:szCs w:val="20"/>
                <w:color w:val="auto"/>
              </w:rPr>
            </w:pPr>
            <w:r>
              <w:rPr>
                <w:rFonts w:ascii="Arial" w:cs="Arial" w:eastAsia="Arial" w:hAnsi="Arial"/>
                <w:sz w:val="18"/>
                <w:szCs w:val="18"/>
                <w:color w:val="auto"/>
                <w:w w:val="98"/>
              </w:rPr>
              <w:t>10,322</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tcBorders>
              <w:bottom w:val="single" w:sz="8" w:color="auto"/>
            </w:tcBorders>
            <w:gridSpan w:val="2"/>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3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Other Practices, Policies and Guidelines</w:t>
            </w:r>
          </w:p>
        </w:tc>
        <w:tc>
          <w:tcPr>
            <w:tcW w:w="19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380" w:type="dxa"/>
            <w:vAlign w:val="bottom"/>
            <w:gridSpan w:val="4"/>
          </w:tcPr>
          <w:p>
            <w:pPr>
              <w:spacing w:after="0"/>
              <w:rPr>
                <w:sz w:val="20"/>
                <w:szCs w:val="20"/>
                <w:color w:val="auto"/>
              </w:rPr>
            </w:pPr>
            <w:r>
              <w:rPr>
                <w:rFonts w:ascii="Arial" w:cs="Arial" w:eastAsia="Arial" w:hAnsi="Arial"/>
                <w:sz w:val="18"/>
                <w:szCs w:val="18"/>
                <w:b w:val="1"/>
                <w:bCs w:val="1"/>
                <w:color w:val="auto"/>
              </w:rPr>
              <w:t>Stock Ownership Guidelines</w:t>
            </w:r>
          </w:p>
        </w:tc>
        <w:tc>
          <w:tcPr>
            <w:tcW w:w="1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believe that when our executives hold an equity interest in the Company, they will be less inclined to take excessive business risks.</w:t>
      </w:r>
    </w:p>
    <w:p>
      <w:pPr>
        <w:ind w:left="200"/>
        <w:spacing w:after="0"/>
        <w:rPr>
          <w:sz w:val="20"/>
          <w:szCs w:val="20"/>
          <w:color w:val="auto"/>
        </w:rPr>
      </w:pPr>
      <w:r>
        <w:rPr>
          <w:rFonts w:ascii="Arial" w:cs="Arial" w:eastAsia="Arial" w:hAnsi="Arial"/>
          <w:sz w:val="18"/>
          <w:szCs w:val="18"/>
          <w:color w:val="auto"/>
        </w:rPr>
        <w:t>We maintain stock ownership guidelines to encourage our key executives to own stock at least equal in value to:</w:t>
      </w:r>
    </w:p>
    <w:p>
      <w:pPr>
        <w:spacing w:after="0" w:line="91"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3480" w:type="dxa"/>
            <w:vAlign w:val="bottom"/>
            <w:gridSpan w:val="2"/>
          </w:tcPr>
          <w:p>
            <w:pPr>
              <w:jc w:val="center"/>
              <w:ind w:left="2710"/>
              <w:spacing w:after="0"/>
              <w:rPr>
                <w:sz w:val="20"/>
                <w:szCs w:val="20"/>
                <w:color w:val="auto"/>
              </w:rPr>
            </w:pPr>
            <w:r>
              <w:rPr>
                <w:rFonts w:ascii="Arial" w:cs="Arial" w:eastAsia="Arial" w:hAnsi="Arial"/>
                <w:sz w:val="18"/>
                <w:szCs w:val="18"/>
                <w:b w:val="1"/>
                <w:bCs w:val="1"/>
                <w:color w:val="auto"/>
                <w:w w:val="99"/>
              </w:rPr>
              <w:t>Multiple</w:t>
            </w:r>
          </w:p>
        </w:tc>
      </w:tr>
      <w:tr>
        <w:trPr>
          <w:trHeight w:val="203"/>
        </w:trPr>
        <w:tc>
          <w:tcPr>
            <w:tcW w:w="2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6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of Base</w:t>
            </w:r>
          </w:p>
        </w:tc>
      </w:tr>
      <w:tr>
        <w:trPr>
          <w:trHeight w:val="225"/>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280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9"/>
              </w:rPr>
              <w:t>Salary</w:t>
            </w:r>
          </w:p>
        </w:tc>
      </w:tr>
      <w:tr>
        <w:trPr>
          <w:trHeight w:val="196"/>
        </w:trPr>
        <w:tc>
          <w:tcPr>
            <w:tcW w:w="20" w:type="dxa"/>
            <w:vAlign w:val="bottom"/>
          </w:tcPr>
          <w:p>
            <w:pPr>
              <w:spacing w:after="0"/>
              <w:rPr>
                <w:sz w:val="17"/>
                <w:szCs w:val="17"/>
                <w:color w:val="auto"/>
              </w:rPr>
            </w:pPr>
          </w:p>
        </w:tc>
        <w:tc>
          <w:tcPr>
            <w:tcW w:w="6640" w:type="dxa"/>
            <w:vAlign w:val="bottom"/>
            <w:tcBorders>
              <w:top w:val="single" w:sz="8" w:color="CCEEFF"/>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CEO</w:t>
            </w:r>
          </w:p>
        </w:tc>
        <w:tc>
          <w:tcPr>
            <w:tcW w:w="28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6.0x</w:t>
            </w:r>
          </w:p>
        </w:tc>
      </w:tr>
      <w:tr>
        <w:trPr>
          <w:trHeight w:val="196"/>
        </w:trPr>
        <w:tc>
          <w:tcPr>
            <w:tcW w:w="20" w:type="dxa"/>
            <w:vAlign w:val="bottom"/>
          </w:tcPr>
          <w:p>
            <w:pPr>
              <w:spacing w:after="0"/>
              <w:rPr>
                <w:sz w:val="17"/>
                <w:szCs w:val="17"/>
                <w:color w:val="auto"/>
              </w:rPr>
            </w:pPr>
          </w:p>
        </w:tc>
        <w:tc>
          <w:tcPr>
            <w:tcW w:w="6640" w:type="dxa"/>
            <w:vAlign w:val="bottom"/>
          </w:tcPr>
          <w:p>
            <w:pPr>
              <w:spacing w:after="0" w:line="196" w:lineRule="exact"/>
              <w:rPr>
                <w:sz w:val="20"/>
                <w:szCs w:val="20"/>
                <w:color w:val="auto"/>
              </w:rPr>
            </w:pPr>
            <w:r>
              <w:rPr>
                <w:rFonts w:ascii="Arial" w:cs="Arial" w:eastAsia="Arial" w:hAnsi="Arial"/>
                <w:sz w:val="18"/>
                <w:szCs w:val="18"/>
                <w:color w:val="auto"/>
              </w:rPr>
              <w:t>COO and CFO</w:t>
            </w:r>
          </w:p>
        </w:tc>
        <w:tc>
          <w:tcPr>
            <w:tcW w:w="2800" w:type="dxa"/>
            <w:vAlign w:val="bottom"/>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99"/>
              </w:rPr>
              <w:t>3.0x</w:t>
            </w: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Senior Vice Presidents and General Counsel</w:t>
            </w:r>
          </w:p>
        </w:tc>
        <w:tc>
          <w:tcPr>
            <w:tcW w:w="280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2.0x</w:t>
            </w:r>
          </w:p>
        </w:tc>
      </w:tr>
    </w:tbl>
    <w:p>
      <w:pPr>
        <w:spacing w:after="0" w:line="188"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Common stock, vested and unvested restricted shares, the net after-tax value of unexercised vested and unvested stock options, and stock held in the deferred compensation, 401(k) and the Employee Stock Purchase plans all count towards satisfaction of the guidelines. Additionally, participants are required to retain 50% of net profit shares from all stock acquired upon exercise or vesting unless the guideline level is achieved. Net profit shares are defined as the number of shares of stock acquired after payment of (i) in the case of options, any exercise price and tax withholding upon exercise, or (ii) in the case of restricted stock or restricted stock units, tax withholding upon vesting. We annually review the levels of stock ownership of our executives, and, based on a rolling 12-month average of our stock price as of the end of 2018, all of our NEOs have met the guidelines, with the exceptions of Ms. Hooper and Ms. Hlavinka who have both recently joined the Company and are making progress towards their goals. We also have stock ownership guidelines for the members of our Board.</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Anti-Hedging Policy</w:t>
      </w:r>
    </w:p>
    <w:p>
      <w:pPr>
        <w:spacing w:after="0" w:line="193"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We prohibit the NEOs and other executives from engaging in transactions designed to insulate them from changes in the Company’s stock price. Therefore, the Company has an Anti-Hedging Policy that prohibits our NEOs from entering into transactions that include (without limitation) equity swaps or short sales of our securities, margin accounts or pledges of our securities, and hedges or monetization transactions involving our securities that are designed to hedge or offset any decrease in the market value of Itron securities. In addition, the purchase or sale of puts, calls, options, or other derivative securities based on the Company’s securities is prohibited under this policy, and borrowing against any account in which our securities are held is prohibited.</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240" w:top="459" w:right="4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Change-in-Control Agreements</w:t>
      </w:r>
    </w:p>
    <w:p>
      <w:pPr>
        <w:spacing w:after="0" w:line="207"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 xml:space="preserve">We have entered into change-in-control agreements with our executives to encourage their full attention and dedication to the Company in the event of a change-in-control of the Company, and to provide them with reasonable compensation and benefits in the event of a change-in-control and a subsequent loss of employment. All equity awards granted have “double trigger” requirements before vesting upon a change-in-control. </w:t>
      </w:r>
      <w:r>
        <w:rPr>
          <w:rFonts w:ascii="Arial" w:cs="Arial" w:eastAsia="Arial" w:hAnsi="Arial"/>
          <w:sz w:val="18"/>
          <w:szCs w:val="18"/>
          <w:i w:val="1"/>
          <w:iCs w:val="1"/>
          <w:color w:val="auto"/>
        </w:rPr>
        <w:t>See “EXECUTIVE COMPENSATION TABLES – Potential Payments upon Change-in-Control”</w:t>
      </w:r>
      <w:r>
        <w:rPr>
          <w:rFonts w:ascii="Arial" w:cs="Arial" w:eastAsia="Arial" w:hAnsi="Arial"/>
          <w:sz w:val="18"/>
          <w:szCs w:val="18"/>
          <w:color w:val="auto"/>
        </w:rPr>
        <w:t xml:space="preserve"> in this CD&amp;A for descriptions of the benefits provided under the change-in-control agreements.</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Agreements; Severance Policy</w:t>
      </w:r>
    </w:p>
    <w:p>
      <w:pPr>
        <w:spacing w:after="0" w:line="193"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color w:val="auto"/>
        </w:rPr>
        <w:t>We do not have formal employment agreements with our executives. However, we do have an Executive Severance Policy for our executives that provides severance pay equal to one year’s base salary, employer benefit premium payments or reimbursements for one year, and outplacement assistance provided there is a release of claims, non-disparagement, and confidentiality agreement with the executive. In addition, the executive must enter into a one-year non-compete agreement, where enforceable.</w:t>
      </w:r>
    </w:p>
    <w:p>
      <w:pPr>
        <w:spacing w:after="0" w:line="175" w:lineRule="exact"/>
        <w:rPr>
          <w:sz w:val="20"/>
          <w:szCs w:val="20"/>
          <w:color w:val="auto"/>
        </w:rPr>
      </w:pPr>
    </w:p>
    <w:p>
      <w:pPr>
        <w:ind w:left="200" w:right="300"/>
        <w:spacing w:after="0" w:line="246" w:lineRule="auto"/>
        <w:rPr>
          <w:sz w:val="20"/>
          <w:szCs w:val="20"/>
          <w:color w:val="auto"/>
        </w:rPr>
      </w:pPr>
      <w:r>
        <w:rPr>
          <w:rFonts w:ascii="Arial" w:cs="Arial" w:eastAsia="Arial" w:hAnsi="Arial"/>
          <w:sz w:val="18"/>
          <w:szCs w:val="18"/>
          <w:color w:val="auto"/>
        </w:rPr>
        <w:t>In 2018, in connection with her role, Ms. Hlavinka became a participant under the Company’s Executive Severance Policy and entered into indemnification agreements in the form customary for the Company’s officers and directors.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Incentive Repayment (Clawback) Policy</w:t>
      </w:r>
    </w:p>
    <w:p>
      <w:pPr>
        <w:spacing w:after="0" w:line="193" w:lineRule="exact"/>
        <w:rPr>
          <w:sz w:val="20"/>
          <w:szCs w:val="20"/>
          <w:color w:val="auto"/>
        </w:rPr>
      </w:pPr>
    </w:p>
    <w:p>
      <w:pPr>
        <w:ind w:left="200" w:right="280"/>
        <w:spacing w:after="0"/>
        <w:rPr>
          <w:sz w:val="20"/>
          <w:szCs w:val="20"/>
          <w:color w:val="auto"/>
        </w:rPr>
      </w:pPr>
      <w:r>
        <w:rPr>
          <w:rFonts w:ascii="Arial" w:cs="Arial" w:eastAsia="Arial" w:hAnsi="Arial"/>
          <w:sz w:val="18"/>
          <w:szCs w:val="18"/>
          <w:color w:val="auto"/>
        </w:rPr>
        <w:t>Under our Incentive Repayment (Clawback) Policy, in the event of a restatement of the Company’s financial results, the Compensation Committee, as designated by the Board, may review all cash or equity incentive awards that were based in whole or in part on the achievement of certain financial results.</w:t>
      </w:r>
    </w:p>
    <w:p>
      <w:pPr>
        <w:spacing w:after="0" w:line="176"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Where award(s) were predicated, in part or in whole, upon the achievement of certain financial results that were subsequently the subject of a material financial restatement and, as determined by the Compensation Committee, the executive(s) engaged in fraud that caused or partially caused the need for the restatement, the Compensation Committee will seek forfeiture or reimbursement to the Company of the award(s) from the executive(s) engaged in fraud in full, net of tax. If a material financial restatement was not due to fraud, the Compensation Committee may review the circumstances and, in its discretion to the extent practicable and allowable under applicable laws, determine to require forfeiture or reimbursement to the Company of the amount of the award(s) that exceeded the lower amount, payment or value that would have been made based on the restated financial results, net of tax.</w:t>
      </w:r>
    </w:p>
    <w:p>
      <w:pPr>
        <w:spacing w:after="0" w:line="163" w:lineRule="exact"/>
        <w:rPr>
          <w:sz w:val="20"/>
          <w:szCs w:val="20"/>
          <w:color w:val="auto"/>
        </w:rPr>
      </w:pPr>
    </w:p>
    <w:p>
      <w:pPr>
        <w:ind w:left="200" w:right="400"/>
        <w:spacing w:after="0" w:line="246" w:lineRule="auto"/>
        <w:rPr>
          <w:sz w:val="20"/>
          <w:szCs w:val="20"/>
          <w:color w:val="auto"/>
        </w:rPr>
      </w:pPr>
      <w:r>
        <w:rPr>
          <w:rFonts w:ascii="Arial" w:cs="Arial" w:eastAsia="Arial" w:hAnsi="Arial"/>
          <w:sz w:val="18"/>
          <w:szCs w:val="18"/>
          <w:color w:val="auto"/>
        </w:rPr>
        <w:t>Any recoupment under this policy may be in addition to, and shall not otherwise limit, any other remedies that may be available to the Company under applicable law, including disciplinary actions up to and including termination of employment.</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Deferred Compensation</w:t>
      </w:r>
    </w:p>
    <w:p>
      <w:pPr>
        <w:spacing w:after="0" w:line="207" w:lineRule="exact"/>
        <w:rPr>
          <w:sz w:val="20"/>
          <w:szCs w:val="20"/>
          <w:color w:val="auto"/>
        </w:rPr>
      </w:pPr>
    </w:p>
    <w:p>
      <w:pPr>
        <w:jc w:val="both"/>
        <w:ind w:left="200" w:right="80"/>
        <w:spacing w:after="0" w:line="261" w:lineRule="auto"/>
        <w:rPr>
          <w:sz w:val="20"/>
          <w:szCs w:val="20"/>
          <w:color w:val="auto"/>
        </w:rPr>
      </w:pPr>
      <w:r>
        <w:rPr>
          <w:rFonts w:ascii="Arial" w:cs="Arial" w:eastAsia="Arial" w:hAnsi="Arial"/>
          <w:sz w:val="17"/>
          <w:szCs w:val="17"/>
          <w:color w:val="auto"/>
        </w:rPr>
        <w:t>Executives located in the U.S. are eligible to participate in our Executive Deferred Compensation Plan (EDCP). We offer the EDCP to our highly-compensated employees to give them the benefit of being able to defer some of their taxable income, which also encourages their retention with the Company. Participants may defer up to 50% of their base salary and annual cash incentive into a nonqualified account.</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80"/>
          </w:cols>
          <w:pgMar w:left="24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 xml:space="preserve">Executives are also permitted to elect to defer an additional portion of their base salary under the EDCP equal to the amount of any contributions returned to them during the year from the Company’s 401(k) Plan. In 2018, the Company made matching contributions to the account of each participating executive at the rate of 75% of the first 6% of base salary and annual incentive deferred by the executive during that year, which is the same matching formula as the Company’s 401(k) Plan. The employer match into the EDCP starts </w:t>
      </w:r>
      <w:r>
        <w:rPr>
          <w:rFonts w:ascii="Arial" w:cs="Arial" w:eastAsia="Arial" w:hAnsi="Arial"/>
          <w:sz w:val="18"/>
          <w:szCs w:val="18"/>
          <w:i w:val="1"/>
          <w:iCs w:val="1"/>
          <w:color w:val="auto"/>
        </w:rPr>
        <w:t>after</w:t>
      </w:r>
      <w:r>
        <w:rPr>
          <w:rFonts w:ascii="Arial" w:cs="Arial" w:eastAsia="Arial" w:hAnsi="Arial"/>
          <w:sz w:val="18"/>
          <w:szCs w:val="18"/>
          <w:color w:val="auto"/>
        </w:rPr>
        <w:t xml:space="preserve"> the employee reaches IRS limits on the 401(k) Plan and is no longer eligible for the 401(k) match. The executives’ account balances are adjusted for hypothetical investment earnings or losses according to the returns of the specified “measurement funds” selected by the executives. The measurement funds correspond to the mutual funds available for investment under the 401(k) Plan (but currently do not include a Company stock fund).</w:t>
      </w:r>
    </w:p>
    <w:p>
      <w:pPr>
        <w:spacing w:after="0" w:line="163" w:lineRule="exact"/>
        <w:rPr>
          <w:sz w:val="20"/>
          <w:szCs w:val="20"/>
          <w:color w:val="auto"/>
        </w:rPr>
      </w:pPr>
    </w:p>
    <w:p>
      <w:pPr>
        <w:ind w:left="200" w:right="760"/>
        <w:spacing w:after="0" w:line="448" w:lineRule="auto"/>
        <w:rPr>
          <w:sz w:val="20"/>
          <w:szCs w:val="20"/>
          <w:color w:val="auto"/>
        </w:rPr>
      </w:pPr>
      <w:r>
        <w:rPr>
          <w:rFonts w:ascii="Arial" w:cs="Arial" w:eastAsia="Arial" w:hAnsi="Arial"/>
          <w:sz w:val="18"/>
          <w:szCs w:val="18"/>
          <w:i w:val="1"/>
          <w:iCs w:val="1"/>
          <w:color w:val="auto"/>
        </w:rPr>
        <w:t xml:space="preserve">See “EXECUTIVE COMPENSATION TABLES – 2018 Nonqualified Deferred Compensation Table” </w:t>
      </w:r>
      <w:r>
        <w:rPr>
          <w:rFonts w:ascii="Arial" w:cs="Arial" w:eastAsia="Arial" w:hAnsi="Arial"/>
          <w:sz w:val="18"/>
          <w:szCs w:val="18"/>
          <w:color w:val="auto"/>
        </w:rPr>
        <w:t>in this CD&amp;A for more details.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General Benefits and Perquisites</w:t>
      </w:r>
    </w:p>
    <w:p>
      <w:pPr>
        <w:spacing w:after="0" w:line="2" w:lineRule="exact"/>
        <w:rPr>
          <w:sz w:val="20"/>
          <w:szCs w:val="20"/>
          <w:color w:val="auto"/>
        </w:rPr>
      </w:pPr>
    </w:p>
    <w:p>
      <w:pPr>
        <w:ind w:left="200" w:right="60"/>
        <w:spacing w:after="0"/>
        <w:rPr>
          <w:sz w:val="20"/>
          <w:szCs w:val="20"/>
          <w:color w:val="auto"/>
        </w:rPr>
      </w:pPr>
      <w:r>
        <w:rPr>
          <w:rFonts w:ascii="Arial" w:cs="Arial" w:eastAsia="Arial" w:hAnsi="Arial"/>
          <w:sz w:val="18"/>
          <w:szCs w:val="18"/>
          <w:color w:val="auto"/>
        </w:rPr>
        <w:t>Our NEOs receive the same benefits as our U.S. based salaried employees generally, including medical and dental benefits, group term life insurance, and short- and long-term disability protection. Itron also has relocation policies and benefits in place that may be applicable if an employee is required to move or has long term extended business travel to a new location.</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401(k) Plan and Employee Stock Purchase Plan</w:t>
      </w:r>
    </w:p>
    <w:p>
      <w:pPr>
        <w:spacing w:after="0" w:line="193" w:lineRule="exact"/>
        <w:rPr>
          <w:sz w:val="20"/>
          <w:szCs w:val="20"/>
          <w:color w:val="auto"/>
        </w:rPr>
      </w:pPr>
    </w:p>
    <w:p>
      <w:pPr>
        <w:jc w:val="both"/>
        <w:ind w:left="200" w:right="300"/>
        <w:spacing w:after="0"/>
        <w:rPr>
          <w:sz w:val="20"/>
          <w:szCs w:val="20"/>
          <w:color w:val="auto"/>
        </w:rPr>
      </w:pPr>
      <w:r>
        <w:rPr>
          <w:rFonts w:ascii="Arial" w:cs="Arial" w:eastAsia="Arial" w:hAnsi="Arial"/>
          <w:sz w:val="18"/>
          <w:szCs w:val="18"/>
          <w:color w:val="auto"/>
        </w:rPr>
        <w:t>Executives located in the U.S. are eligible to participate in our 401(k) Plan which provides our employees, including executives, with a 75% Company match on the first 6% of compensation deferred, subject to qualified plan limits. Similarly, executives located in the U.S. may participate in the Company’s Employee Stock Purchase Plan, along with our other U.S. employees.</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do not maintain any defined benefit or supplemental retirement programs for our NEOs.</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2018 Risk Assessment</w:t>
      </w:r>
    </w:p>
    <w:p>
      <w:pPr>
        <w:spacing w:after="0" w:line="19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It is our belief that a majority of an executive’s total compensation should be variable “at risk” compensation, meaning it is tied to the Company’s financial performance. However, because performance-based incentives play a large role in our compensation program, we strive to ensure that incentives do not result in actions that may conflict with the long-term best interests of the Company and our shareholders. Therefore, the Committee evaluated all of our plans and policies (applicable to executives and employees below the executive level) in December 2018 for attributes that could cause excessive risk-taking. We concluded that our programs and policies do not encourage excessive risk-taking because: (a) the salary component of our program is a fixed amount; (b) the majority of the average compensation paid to our executive officers is delivered in the form of equity ownership, which aligns the interest of our executives with those of our shareholders; (c) executive officers are subject to our executive stock ownership guidelines; and (d) the annual cash-based incentive plan and long-term incentive plans are designed with risk-mitigating characteristics such as (i) maximum award payouts based on the attainment of various and continually evolving Company financial objectives which diversify risks associated with a single indicator of performance, (ii) our equity-based incentives encourage a longer-term focus through multi-year performance periods, (iii) our risk-mitigating policies in place such as insider trading and hedging prohibitions and clawbacks, and (iv) review and approval of final awards by our Committee (and the independent members of the full Board in the case of the CEO), which is composed entirely of independent directors who have discretion under our plans to approve, modify, or eliminate any award earned.</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CEO Pay Ratio</w:t>
      </w:r>
    </w:p>
    <w:p>
      <w:pPr>
        <w:spacing w:after="0" w:line="207" w:lineRule="exact"/>
        <w:rPr>
          <w:sz w:val="20"/>
          <w:szCs w:val="20"/>
          <w:color w:val="auto"/>
        </w:rPr>
      </w:pPr>
    </w:p>
    <w:p>
      <w:pPr>
        <w:ind w:left="200" w:right="180"/>
        <w:spacing w:after="0" w:line="239" w:lineRule="auto"/>
        <w:rPr>
          <w:sz w:val="20"/>
          <w:szCs w:val="20"/>
          <w:color w:val="auto"/>
        </w:rPr>
      </w:pPr>
      <w:r>
        <w:rPr>
          <w:rFonts w:ascii="Arial" w:cs="Arial" w:eastAsia="Arial" w:hAnsi="Arial"/>
          <w:sz w:val="18"/>
          <w:szCs w:val="18"/>
          <w:color w:val="auto"/>
        </w:rPr>
        <w:t>For 2018, the annual total compensation of our CEO was 90 times that of the median of the annual total compensation of all employees, based on annual total compensation of $4,971,887 for the CEO and $55,023 for the median employee. This calculation is based on employee population of 6,922 as of October 1, 2017. The median employee was identified using base pay, overtime pay, short-term incentives, and long-term incentive grant date fair values using data for the twelve months ended September 30, 2017.</w:t>
      </w:r>
    </w:p>
    <w:p>
      <w:pPr>
        <w:spacing w:after="0" w:line="161"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Our median employee was originally identified in 2017. In 2018, there was no change in Itron’s employee population or employee compensation arrangements that the Company believes would significantly impact the Company’s pay ratio disclosure. However, due to a change in our original median-compensated employee’s circumstances in 2018, which the Company believes would no longer accurately reflect the compensation arrangements of its employees and result in a significant change in the pay ratio disclosure, the Company chose to replace our original median-compensated employee with an employee whose compensation in fiscal 2017 was substantially similar to our original median-compensated employee based on the compensation measure used to select our original median-compensated employee.</w:t>
      </w:r>
    </w:p>
    <w:p>
      <w:pPr>
        <w:spacing w:after="0" w:line="163" w:lineRule="exact"/>
        <w:rPr>
          <w:sz w:val="20"/>
          <w:szCs w:val="20"/>
          <w:color w:val="auto"/>
        </w:rPr>
      </w:pPr>
    </w:p>
    <w:p>
      <w:pPr>
        <w:ind w:left="200" w:right="240"/>
        <w:spacing w:after="0" w:line="246" w:lineRule="auto"/>
        <w:rPr>
          <w:sz w:val="20"/>
          <w:szCs w:val="20"/>
          <w:color w:val="auto"/>
        </w:rPr>
      </w:pPr>
      <w:r>
        <w:rPr>
          <w:rFonts w:ascii="Arial" w:cs="Arial" w:eastAsia="Arial" w:hAnsi="Arial"/>
          <w:sz w:val="18"/>
          <w:szCs w:val="18"/>
          <w:color w:val="auto"/>
        </w:rPr>
        <w:t>Approximately 746 new employees were added to our employee population during 2018 as a result of the Silver Spring Networks acquisition. In accordance with SEC rules, these employees were not included in the consideration of the pay ratio calculation for 2018.</w:t>
      </w:r>
    </w:p>
    <w:p>
      <w:pPr>
        <w:spacing w:after="0" w:line="170"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Annual total compensation for both the CEO and the median employee was calculated in accordance with Item 402(c)(2)(x) of Regulation S-K. This pay ratio is a reasonable estimate calculated in a manner consistent with SEC rules based on our payroll and employment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Impact of Tax and Accounting</w:t>
      </w:r>
    </w:p>
    <w:p>
      <w:pPr>
        <w:spacing w:after="0" w:line="193" w:lineRule="exact"/>
        <w:rPr>
          <w:sz w:val="20"/>
          <w:szCs w:val="20"/>
          <w:color w:val="auto"/>
        </w:rPr>
      </w:pPr>
    </w:p>
    <w:p>
      <w:pPr>
        <w:ind w:left="200" w:right="100"/>
        <w:spacing w:after="0"/>
        <w:rPr>
          <w:sz w:val="20"/>
          <w:szCs w:val="20"/>
          <w:color w:val="auto"/>
        </w:rPr>
      </w:pPr>
      <w:r>
        <w:rPr>
          <w:rFonts w:ascii="Arial" w:cs="Arial" w:eastAsia="Arial" w:hAnsi="Arial"/>
          <w:sz w:val="18"/>
          <w:szCs w:val="18"/>
          <w:color w:val="auto"/>
        </w:rPr>
        <w:t>We regularly consider the various tax and accounting implications of our compensation plans. When determining the amount of long-term incentives and equity grants to executives and employees, the compensation costs associated with the grants are reviewed, as required by FASB ASC Topic 718.</w:t>
      </w:r>
    </w:p>
    <w:p>
      <w:pPr>
        <w:spacing w:after="0" w:line="176"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Section 162(m) of the Code generally prohibits any publicly held corporation from taking a federal income tax deduction for compensation paid in excess of $1 million in any taxable year to the CEO and the other “covered employees” as defined in the rule. Under the tax laws in effect before 2018, compensation that qualified as “performance -based compensation” under Section 162(m) of the Code was deductible without regard to this limitation. Effective for tax years beginning after December 31, 2017, the Tax Cuts and Jobs Act of 2017 generally eliminated the performance-based exemption, subject to a special rule that grandfathers certain awards and agreements that were in effect on November 2, 2017. While considering tax deductibility as only one of several considerations in determining compensation, the Committee believes that the tax deduction limitation should not compromise its ability to structure compensation programs that provide benefits to the Company that outweigh the potential benefit of a tax deduction and, therefore, may approve compensation that is not deductible for tax purposes.</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u w:val="single" w:color="auto"/>
          <w:color w:val="auto"/>
        </w:rPr>
        <w:t>Compensation Committee Report</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Compensation Committee has reviewed and discussed the Compensation Discussion and Analysis with Itron’s management. Based on the review and discussions, the Compensation Committee has recommended to the Board of Directors that the Compensation Discussion and Analysis be included in the Company’s 2018 Annual Report on Form 10-K and the Company’s 2019 proxy statement.</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Diana D. Tremblay, Chair</w:t>
      </w:r>
    </w:p>
    <w:p>
      <w:pPr>
        <w:ind w:left="200"/>
        <w:spacing w:after="0" w:line="234" w:lineRule="auto"/>
        <w:rPr>
          <w:sz w:val="20"/>
          <w:szCs w:val="20"/>
          <w:color w:val="auto"/>
        </w:rPr>
      </w:pPr>
      <w:r>
        <w:rPr>
          <w:rFonts w:ascii="Arial" w:cs="Arial" w:eastAsia="Arial" w:hAnsi="Arial"/>
          <w:sz w:val="18"/>
          <w:szCs w:val="18"/>
          <w:color w:val="auto"/>
        </w:rPr>
        <w:t>Daniel S. Pelino</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Frank M. Jaehnert</w:t>
      </w:r>
    </w:p>
    <w:p>
      <w:pPr>
        <w:spacing w:after="0" w:line="14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80"/>
          </w:cols>
          <w:pgMar w:left="240" w:top="459" w:right="5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COMPENSATION TABLES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Compensation Table</w:t>
      </w:r>
    </w:p>
    <w:p>
      <w:pPr>
        <w:spacing w:after="0" w:line="234" w:lineRule="exact"/>
        <w:rPr>
          <w:sz w:val="20"/>
          <w:szCs w:val="20"/>
          <w:color w:val="auto"/>
        </w:rPr>
      </w:pPr>
    </w:p>
    <w:p>
      <w:pPr>
        <w:ind w:left="200" w:right="100"/>
        <w:spacing w:after="0" w:line="246" w:lineRule="auto"/>
        <w:rPr>
          <w:sz w:val="20"/>
          <w:szCs w:val="20"/>
          <w:color w:val="auto"/>
        </w:rPr>
      </w:pPr>
      <w:r>
        <w:rPr>
          <w:rFonts w:ascii="Arial" w:cs="Arial" w:eastAsia="Arial" w:hAnsi="Arial"/>
          <w:sz w:val="18"/>
          <w:szCs w:val="18"/>
          <w:color w:val="auto"/>
        </w:rPr>
        <w:t>The following table provides information regarding compensation of the Company’s NEOs. The amounts shown include amounts deferred at the executives’ election. All numbers are rounded to the nearest dollar.</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Summary Compensation Table</w:t>
      </w:r>
    </w:p>
    <w:p>
      <w:pPr>
        <w:spacing w:after="0" w:line="51" w:lineRule="exact"/>
        <w:rPr>
          <w:sz w:val="20"/>
          <w:szCs w:val="20"/>
          <w:color w:val="auto"/>
        </w:rPr>
      </w:pPr>
    </w:p>
    <w:tbl>
      <w:tblPr>
        <w:tblLayout w:type="fixed"/>
        <w:tblInd w:w="20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6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Name and</w:t>
            </w: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spacing w:after="0" w:line="151" w:lineRule="exact"/>
              <w:rPr>
                <w:sz w:val="20"/>
                <w:szCs w:val="20"/>
                <w:color w:val="auto"/>
              </w:rPr>
            </w:pPr>
            <w:r>
              <w:rPr>
                <w:rFonts w:ascii="Arial" w:cs="Arial" w:eastAsia="Arial" w:hAnsi="Arial"/>
                <w:sz w:val="16"/>
                <w:szCs w:val="16"/>
                <w:b w:val="1"/>
                <w:bCs w:val="1"/>
                <w:color w:val="auto"/>
              </w:rPr>
              <w:t>Non-Equity</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6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center"/>
              <w:ind w:right="280"/>
              <w:spacing w:after="0" w:line="176" w:lineRule="exact"/>
              <w:rPr>
                <w:sz w:val="20"/>
                <w:szCs w:val="20"/>
                <w:color w:val="auto"/>
              </w:rPr>
            </w:pPr>
            <w:r>
              <w:rPr>
                <w:rFonts w:ascii="Arial" w:cs="Arial" w:eastAsia="Arial" w:hAnsi="Arial"/>
                <w:sz w:val="16"/>
                <w:szCs w:val="16"/>
                <w:b w:val="1"/>
                <w:bCs w:val="1"/>
                <w:color w:val="auto"/>
              </w:rPr>
              <w:t>Stock</w:t>
            </w:r>
          </w:p>
        </w:tc>
        <w:tc>
          <w:tcPr>
            <w:tcW w:w="640" w:type="dxa"/>
            <w:vAlign w:val="bottom"/>
          </w:tcPr>
          <w:p>
            <w:pPr>
              <w:ind w:left="40"/>
              <w:spacing w:after="0" w:line="176" w:lineRule="exact"/>
              <w:rPr>
                <w:sz w:val="20"/>
                <w:szCs w:val="20"/>
                <w:color w:val="auto"/>
              </w:rPr>
            </w:pPr>
            <w:r>
              <w:rPr>
                <w:rFonts w:ascii="Arial" w:cs="Arial" w:eastAsia="Arial" w:hAnsi="Arial"/>
                <w:sz w:val="16"/>
                <w:szCs w:val="16"/>
                <w:b w:val="1"/>
                <w:bCs w:val="1"/>
                <w:color w:val="auto"/>
              </w:rPr>
              <w:t>Option</w:t>
            </w:r>
          </w:p>
        </w:tc>
        <w:tc>
          <w:tcPr>
            <w:tcW w:w="240" w:type="dxa"/>
            <w:vAlign w:val="bottom"/>
          </w:tcPr>
          <w:p>
            <w:pPr>
              <w:spacing w:after="0"/>
              <w:rPr>
                <w:sz w:val="15"/>
                <w:szCs w:val="15"/>
                <w:color w:val="auto"/>
              </w:rPr>
            </w:pPr>
          </w:p>
        </w:tc>
        <w:tc>
          <w:tcPr>
            <w:tcW w:w="11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rPr>
              <w:t>Incentive Plan</w:t>
            </w:r>
          </w:p>
        </w:tc>
        <w:tc>
          <w:tcPr>
            <w:tcW w:w="240" w:type="dxa"/>
            <w:vAlign w:val="bottom"/>
          </w:tcPr>
          <w:p>
            <w:pPr>
              <w:spacing w:after="0"/>
              <w:rPr>
                <w:sz w:val="15"/>
                <w:szCs w:val="15"/>
                <w:color w:val="auto"/>
              </w:rPr>
            </w:pPr>
          </w:p>
        </w:tc>
        <w:tc>
          <w:tcPr>
            <w:tcW w:w="11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rPr>
              <w:t>All Other</w:t>
            </w: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40" w:type="dxa"/>
            <w:vAlign w:val="bottom"/>
            <w:gridSpan w:val="2"/>
          </w:tcPr>
          <w:p>
            <w:pPr>
              <w:spacing w:after="0"/>
              <w:rPr>
                <w:sz w:val="20"/>
                <w:szCs w:val="20"/>
                <w:color w:val="auto"/>
              </w:rPr>
            </w:pPr>
            <w:r>
              <w:rPr>
                <w:rFonts w:ascii="Arial" w:cs="Arial" w:eastAsia="Arial" w:hAnsi="Arial"/>
                <w:sz w:val="16"/>
                <w:szCs w:val="16"/>
                <w:b w:val="1"/>
                <w:bCs w:val="1"/>
                <w:color w:val="auto"/>
              </w:rPr>
              <w:t>Principal</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6"/>
                <w:szCs w:val="16"/>
                <w:b w:val="1"/>
                <w:bCs w:val="1"/>
                <w:color w:val="auto"/>
              </w:rPr>
              <w:t>Salary</w:t>
            </w:r>
          </w:p>
        </w:tc>
        <w:tc>
          <w:tcPr>
            <w:tcW w:w="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Bonus</w:t>
            </w: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Awards</w:t>
            </w:r>
          </w:p>
        </w:tc>
        <w:tc>
          <w:tcPr>
            <w:tcW w:w="640" w:type="dxa"/>
            <w:vAlign w:val="bottom"/>
          </w:tcPr>
          <w:p>
            <w:pPr>
              <w:ind w:left="20"/>
              <w:spacing w:after="0"/>
              <w:rPr>
                <w:sz w:val="20"/>
                <w:szCs w:val="20"/>
                <w:color w:val="auto"/>
              </w:rPr>
            </w:pPr>
            <w:r>
              <w:rPr>
                <w:rFonts w:ascii="Arial" w:cs="Arial" w:eastAsia="Arial" w:hAnsi="Arial"/>
                <w:sz w:val="16"/>
                <w:szCs w:val="16"/>
                <w:b w:val="1"/>
                <w:bCs w:val="1"/>
                <w:color w:val="auto"/>
              </w:rPr>
              <w:t>Awards</w:t>
            </w:r>
          </w:p>
        </w:tc>
        <w:tc>
          <w:tcPr>
            <w:tcW w:w="1380" w:type="dxa"/>
            <w:vAlign w:val="bottom"/>
            <w:gridSpan w:val="2"/>
          </w:tcPr>
          <w:p>
            <w:pPr>
              <w:jc w:val="center"/>
              <w:ind w:left="139"/>
              <w:spacing w:after="0"/>
              <w:rPr>
                <w:sz w:val="20"/>
                <w:szCs w:val="20"/>
                <w:color w:val="auto"/>
              </w:rPr>
            </w:pPr>
            <w:r>
              <w:rPr>
                <w:rFonts w:ascii="Arial" w:cs="Arial" w:eastAsia="Arial" w:hAnsi="Arial"/>
                <w:sz w:val="16"/>
                <w:szCs w:val="16"/>
                <w:b w:val="1"/>
                <w:bCs w:val="1"/>
                <w:color w:val="auto"/>
              </w:rPr>
              <w:t>Compensation</w:t>
            </w:r>
          </w:p>
        </w:tc>
        <w:tc>
          <w:tcPr>
            <w:tcW w:w="1380" w:type="dxa"/>
            <w:vAlign w:val="bottom"/>
            <w:gridSpan w:val="2"/>
          </w:tcPr>
          <w:p>
            <w:pPr>
              <w:jc w:val="center"/>
              <w:ind w:left="139"/>
              <w:spacing w:after="0"/>
              <w:rPr>
                <w:sz w:val="20"/>
                <w:szCs w:val="20"/>
                <w:color w:val="auto"/>
              </w:rPr>
            </w:pPr>
            <w:r>
              <w:rPr>
                <w:rFonts w:ascii="Arial" w:cs="Arial" w:eastAsia="Arial" w:hAnsi="Arial"/>
                <w:sz w:val="16"/>
                <w:szCs w:val="16"/>
                <w:b w:val="1"/>
                <w:bCs w:val="1"/>
                <w:color w:val="auto"/>
              </w:rPr>
              <w:t>Compensation</w:t>
            </w:r>
          </w:p>
        </w:tc>
        <w:tc>
          <w:tcPr>
            <w:tcW w:w="500" w:type="dxa"/>
            <w:vAlign w:val="bottom"/>
          </w:tcPr>
          <w:p>
            <w:pPr>
              <w:spacing w:after="0"/>
              <w:rPr>
                <w:sz w:val="16"/>
                <w:szCs w:val="16"/>
                <w:color w:val="auto"/>
              </w:rPr>
            </w:pPr>
          </w:p>
        </w:tc>
        <w:tc>
          <w:tcPr>
            <w:tcW w:w="840" w:type="dxa"/>
            <w:vAlign w:val="bottom"/>
            <w:gridSpan w:val="2"/>
          </w:tcPr>
          <w:p>
            <w:pPr>
              <w:ind w:left="2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1"/>
        </w:trPr>
        <w:tc>
          <w:tcPr>
            <w:tcW w:w="2640" w:type="dxa"/>
            <w:vAlign w:val="bottom"/>
            <w:gridSpan w:val="2"/>
          </w:tcPr>
          <w:p>
            <w:pPr>
              <w:spacing w:after="0"/>
              <w:rPr>
                <w:sz w:val="20"/>
                <w:szCs w:val="20"/>
                <w:color w:val="auto"/>
              </w:rPr>
            </w:pPr>
            <w:r>
              <w:rPr>
                <w:rFonts w:ascii="Arial" w:cs="Arial" w:eastAsia="Arial" w:hAnsi="Arial"/>
                <w:sz w:val="16"/>
                <w:szCs w:val="16"/>
                <w:b w:val="1"/>
                <w:bCs w:val="1"/>
                <w:color w:val="auto"/>
              </w:rPr>
              <w:t>Position</w:t>
            </w:r>
          </w:p>
        </w:tc>
        <w:tc>
          <w:tcPr>
            <w:tcW w:w="180" w:type="dxa"/>
            <w:vAlign w:val="bottom"/>
          </w:tcPr>
          <w:p>
            <w:pPr>
              <w:spacing w:after="0"/>
              <w:rPr>
                <w:sz w:val="19"/>
                <w:szCs w:val="19"/>
                <w:color w:val="auto"/>
              </w:rPr>
            </w:pPr>
          </w:p>
        </w:tc>
        <w:tc>
          <w:tcPr>
            <w:tcW w:w="66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w:t>
            </w:r>
          </w:p>
        </w:tc>
        <w:tc>
          <w:tcPr>
            <w:tcW w:w="64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9"/>
                <w:szCs w:val="19"/>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 (1)(2)</w:t>
            </w:r>
          </w:p>
        </w:tc>
        <w:tc>
          <w:tcPr>
            <w:tcW w:w="260" w:type="dxa"/>
            <w:vAlign w:val="bottom"/>
          </w:tcPr>
          <w:p>
            <w:pPr>
              <w:spacing w:after="0"/>
              <w:rPr>
                <w:sz w:val="19"/>
                <w:szCs w:val="19"/>
                <w:color w:val="auto"/>
              </w:rPr>
            </w:pPr>
          </w:p>
        </w:tc>
        <w:tc>
          <w:tcPr>
            <w:tcW w:w="640" w:type="dxa"/>
            <w:vAlign w:val="bottom"/>
          </w:tcPr>
          <w:p>
            <w:pPr>
              <w:ind w:left="80"/>
              <w:spacing w:after="0"/>
              <w:rPr>
                <w:sz w:val="20"/>
                <w:szCs w:val="20"/>
                <w:color w:val="auto"/>
              </w:rPr>
            </w:pPr>
            <w:r>
              <w:rPr>
                <w:rFonts w:ascii="Arial" w:cs="Arial" w:eastAsia="Arial" w:hAnsi="Arial"/>
                <w:sz w:val="16"/>
                <w:szCs w:val="16"/>
                <w:b w:val="1"/>
                <w:bCs w:val="1"/>
                <w:color w:val="auto"/>
              </w:rPr>
              <w:t>($) (1)</w:t>
            </w:r>
          </w:p>
        </w:tc>
        <w:tc>
          <w:tcPr>
            <w:tcW w:w="1380" w:type="dxa"/>
            <w:vAlign w:val="bottom"/>
            <w:gridSpan w:val="2"/>
          </w:tcPr>
          <w:p>
            <w:pPr>
              <w:jc w:val="center"/>
              <w:ind w:left="139"/>
              <w:spacing w:after="0"/>
              <w:rPr>
                <w:sz w:val="20"/>
                <w:szCs w:val="20"/>
                <w:color w:val="auto"/>
              </w:rPr>
            </w:pPr>
            <w:r>
              <w:rPr>
                <w:rFonts w:ascii="Arial" w:cs="Arial" w:eastAsia="Arial" w:hAnsi="Arial"/>
                <w:sz w:val="16"/>
                <w:szCs w:val="16"/>
                <w:b w:val="1"/>
                <w:bCs w:val="1"/>
                <w:color w:val="auto"/>
              </w:rPr>
              <w:t>($) (3)</w:t>
            </w:r>
          </w:p>
        </w:tc>
        <w:tc>
          <w:tcPr>
            <w:tcW w:w="1380" w:type="dxa"/>
            <w:vAlign w:val="bottom"/>
            <w:gridSpan w:val="2"/>
          </w:tcPr>
          <w:p>
            <w:pPr>
              <w:jc w:val="center"/>
              <w:ind w:left="139"/>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9"/>
                <w:szCs w:val="19"/>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Philip Mezey</w:t>
            </w:r>
          </w:p>
        </w:tc>
        <w:tc>
          <w:tcPr>
            <w:tcW w:w="1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ind w:left="60"/>
              <w:spacing w:after="0" w:line="183" w:lineRule="exact"/>
              <w:rPr>
                <w:sz w:val="20"/>
                <w:szCs w:val="20"/>
                <w:color w:val="auto"/>
              </w:rPr>
            </w:pPr>
            <w:r>
              <w:rPr>
                <w:rFonts w:ascii="Arial" w:cs="Arial" w:eastAsia="Arial" w:hAnsi="Arial"/>
                <w:sz w:val="16"/>
                <w:szCs w:val="16"/>
                <w:color w:val="auto"/>
                <w:w w:val="95"/>
              </w:rPr>
              <w:t>2018</w:t>
            </w:r>
          </w:p>
        </w:tc>
        <w:tc>
          <w:tcPr>
            <w:tcW w:w="2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ind w:left="60"/>
              <w:spacing w:after="0" w:line="183" w:lineRule="exact"/>
              <w:rPr>
                <w:sz w:val="20"/>
                <w:szCs w:val="20"/>
                <w:color w:val="auto"/>
              </w:rPr>
            </w:pPr>
            <w:r>
              <w:rPr>
                <w:rFonts w:ascii="Arial" w:cs="Arial" w:eastAsia="Arial" w:hAnsi="Arial"/>
                <w:sz w:val="16"/>
                <w:szCs w:val="16"/>
                <w:color w:val="auto"/>
                <w:w w:val="96"/>
              </w:rPr>
              <w:t>821,154</w:t>
            </w:r>
          </w:p>
        </w:tc>
        <w:tc>
          <w:tcPr>
            <w:tcW w:w="2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74"/>
              </w:rPr>
              <w:t>-</w:t>
            </w:r>
          </w:p>
        </w:tc>
        <w:tc>
          <w:tcPr>
            <w:tcW w:w="2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3,176,804</w:t>
            </w:r>
          </w:p>
        </w:tc>
        <w:tc>
          <w:tcPr>
            <w:tcW w:w="2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ind w:left="40"/>
              <w:spacing w:after="0" w:line="183" w:lineRule="exact"/>
              <w:rPr>
                <w:sz w:val="20"/>
                <w:szCs w:val="20"/>
                <w:color w:val="auto"/>
              </w:rPr>
            </w:pPr>
            <w:r>
              <w:rPr>
                <w:rFonts w:ascii="Arial" w:cs="Arial" w:eastAsia="Arial" w:hAnsi="Arial"/>
                <w:sz w:val="16"/>
                <w:szCs w:val="16"/>
                <w:color w:val="auto"/>
              </w:rPr>
              <w:t>899,113</w:t>
            </w:r>
          </w:p>
        </w:tc>
        <w:tc>
          <w:tcPr>
            <w:tcW w:w="24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ind w:right="439"/>
              <w:spacing w:after="0" w:line="183" w:lineRule="exact"/>
              <w:rPr>
                <w:sz w:val="20"/>
                <w:szCs w:val="20"/>
                <w:color w:val="auto"/>
              </w:rPr>
            </w:pPr>
            <w:r>
              <w:rPr>
                <w:rFonts w:ascii="Arial" w:cs="Arial" w:eastAsia="Arial" w:hAnsi="Arial"/>
                <w:sz w:val="16"/>
                <w:szCs w:val="16"/>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74,816</w:t>
            </w:r>
          </w:p>
        </w:tc>
        <w:tc>
          <w:tcPr>
            <w:tcW w:w="500" w:type="dxa"/>
            <w:vAlign w:val="bottom"/>
            <w:tcBorders>
              <w:top w:val="single" w:sz="8" w:color="CCEEFF"/>
            </w:tcBorders>
            <w:shd w:val="clear" w:color="auto" w:fill="CCEEFF"/>
          </w:tcPr>
          <w:p>
            <w:pPr>
              <w:jc w:val="right"/>
              <w:ind w:right="231"/>
              <w:spacing w:after="0" w:line="155" w:lineRule="exact"/>
              <w:rPr>
                <w:sz w:val="20"/>
                <w:szCs w:val="20"/>
                <w:color w:val="auto"/>
              </w:rPr>
            </w:pPr>
            <w:r>
              <w:rPr>
                <w:rFonts w:ascii="Arial" w:cs="Arial" w:eastAsia="Arial" w:hAnsi="Arial"/>
                <w:sz w:val="14"/>
                <w:szCs w:val="14"/>
                <w:color w:val="auto"/>
              </w:rPr>
              <w:t>(4)</w:t>
            </w: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4,971,887</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6"/>
                <w:szCs w:val="16"/>
                <w:color w:val="auto"/>
              </w:rPr>
              <w:t>President and CEO</w:t>
            </w: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6"/>
                <w:szCs w:val="16"/>
                <w:color w:val="auto"/>
                <w:w w:val="95"/>
              </w:rPr>
              <w:t>2017</w:t>
            </w: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6"/>
                <w:szCs w:val="16"/>
                <w:color w:val="auto"/>
                <w:w w:val="96"/>
              </w:rPr>
              <w:t>800,000</w:t>
            </w: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3,345,686</w:t>
            </w: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800,001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848,040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90,931</w:t>
            </w:r>
          </w:p>
        </w:tc>
        <w:tc>
          <w:tcPr>
            <w:tcW w:w="5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5,884,658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6"/>
                <w:szCs w:val="16"/>
                <w:color w:val="auto"/>
                <w:w w:val="95"/>
              </w:rPr>
              <w:t>2016</w:t>
            </w: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6"/>
                <w:szCs w:val="16"/>
                <w:color w:val="auto"/>
                <w:w w:val="96"/>
              </w:rPr>
              <w:t>800,000</w:t>
            </w: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2,805,949</w:t>
            </w: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799,987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1,292,480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24,000</w:t>
            </w:r>
          </w:p>
        </w:tc>
        <w:tc>
          <w:tcPr>
            <w:tcW w:w="5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5,722,416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2640" w:type="dxa"/>
            <w:vAlign w:val="bottom"/>
            <w:gridSpan w:val="2"/>
          </w:tcPr>
          <w:p>
            <w:pPr>
              <w:spacing w:after="0"/>
              <w:rPr>
                <w:sz w:val="20"/>
                <w:szCs w:val="20"/>
                <w:color w:val="auto"/>
              </w:rPr>
            </w:pPr>
            <w:r>
              <w:rPr>
                <w:rFonts w:ascii="Arial" w:cs="Arial" w:eastAsia="Arial" w:hAnsi="Arial"/>
                <w:sz w:val="16"/>
                <w:szCs w:val="16"/>
                <w:color w:val="auto"/>
              </w:rPr>
              <w:t>Thomas Deitrich</w:t>
            </w:r>
          </w:p>
        </w:tc>
        <w:tc>
          <w:tcPr>
            <w:tcW w:w="600" w:type="dxa"/>
            <w:vAlign w:val="bottom"/>
            <w:gridSpan w:val="2"/>
          </w:tcPr>
          <w:p>
            <w:pPr>
              <w:ind w:left="240"/>
              <w:spacing w:after="0"/>
              <w:rPr>
                <w:sz w:val="20"/>
                <w:szCs w:val="20"/>
                <w:color w:val="auto"/>
              </w:rPr>
            </w:pPr>
            <w:r>
              <w:rPr>
                <w:rFonts w:ascii="Arial" w:cs="Arial" w:eastAsia="Arial" w:hAnsi="Arial"/>
                <w:sz w:val="16"/>
                <w:szCs w:val="16"/>
                <w:color w:val="auto"/>
                <w:w w:val="95"/>
              </w:rPr>
              <w:t>2018</w:t>
            </w:r>
          </w:p>
        </w:tc>
        <w:tc>
          <w:tcPr>
            <w:tcW w:w="24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Arial" w:cs="Arial" w:eastAsia="Arial" w:hAnsi="Arial"/>
                <w:sz w:val="16"/>
                <w:szCs w:val="16"/>
                <w:color w:val="auto"/>
                <w:w w:val="96"/>
              </w:rPr>
              <w:t>550,000</w:t>
            </w:r>
          </w:p>
        </w:tc>
        <w:tc>
          <w:tcPr>
            <w:tcW w:w="26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1,867,771</w:t>
            </w:r>
          </w:p>
        </w:tc>
        <w:tc>
          <w:tcPr>
            <w:tcW w:w="260" w:type="dxa"/>
            <w:vAlign w:val="bottom"/>
          </w:tcPr>
          <w:p>
            <w:pPr>
              <w:spacing w:after="0"/>
              <w:rPr>
                <w:sz w:val="22"/>
                <w:szCs w:val="22"/>
                <w:color w:val="auto"/>
              </w:rPr>
            </w:pPr>
          </w:p>
        </w:tc>
        <w:tc>
          <w:tcPr>
            <w:tcW w:w="640" w:type="dxa"/>
            <w:vAlign w:val="bottom"/>
          </w:tcPr>
          <w:p>
            <w:pPr>
              <w:ind w:left="40"/>
              <w:spacing w:after="0"/>
              <w:rPr>
                <w:sz w:val="20"/>
                <w:szCs w:val="20"/>
                <w:color w:val="auto"/>
              </w:rPr>
            </w:pPr>
            <w:r>
              <w:rPr>
                <w:rFonts w:ascii="Arial" w:cs="Arial" w:eastAsia="Arial" w:hAnsi="Arial"/>
                <w:sz w:val="16"/>
                <w:szCs w:val="16"/>
                <w:color w:val="auto"/>
              </w:rPr>
              <w:t>499,518</w:t>
            </w:r>
          </w:p>
        </w:tc>
        <w:tc>
          <w:tcPr>
            <w:tcW w:w="1380" w:type="dxa"/>
            <w:vAlign w:val="bottom"/>
            <w:gridSpan w:val="2"/>
          </w:tcPr>
          <w:p>
            <w:pPr>
              <w:jc w:val="right"/>
              <w:ind w:right="439"/>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12,375</w:t>
            </w:r>
          </w:p>
        </w:tc>
        <w:tc>
          <w:tcPr>
            <w:tcW w:w="500" w:type="dxa"/>
            <w:vAlign w:val="bottom"/>
          </w:tcPr>
          <w:p>
            <w:pPr>
              <w:jc w:val="right"/>
              <w:ind w:right="231"/>
              <w:spacing w:after="0"/>
              <w:rPr>
                <w:sz w:val="20"/>
                <w:szCs w:val="20"/>
                <w:color w:val="auto"/>
              </w:rPr>
            </w:pPr>
            <w:r>
              <w:rPr>
                <w:rFonts w:ascii="Arial" w:cs="Arial" w:eastAsia="Arial" w:hAnsi="Arial"/>
                <w:sz w:val="14"/>
                <w:szCs w:val="14"/>
                <w:color w:val="auto"/>
              </w:rPr>
              <w:t>(4)</w:t>
            </w:r>
          </w:p>
        </w:tc>
        <w:tc>
          <w:tcPr>
            <w:tcW w:w="780" w:type="dxa"/>
            <w:vAlign w:val="bottom"/>
          </w:tcPr>
          <w:p>
            <w:pPr>
              <w:jc w:val="right"/>
              <w:spacing w:after="0"/>
              <w:rPr>
                <w:sz w:val="20"/>
                <w:szCs w:val="20"/>
                <w:color w:val="auto"/>
              </w:rPr>
            </w:pPr>
            <w:r>
              <w:rPr>
                <w:rFonts w:ascii="Arial" w:cs="Arial" w:eastAsia="Arial" w:hAnsi="Arial"/>
                <w:sz w:val="16"/>
                <w:szCs w:val="16"/>
                <w:color w:val="auto"/>
              </w:rPr>
              <w:t>2,929,664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640" w:type="dxa"/>
            <w:vAlign w:val="bottom"/>
            <w:gridSpan w:val="2"/>
          </w:tcPr>
          <w:p>
            <w:pPr>
              <w:spacing w:after="0"/>
              <w:rPr>
                <w:sz w:val="20"/>
                <w:szCs w:val="20"/>
                <w:color w:val="auto"/>
              </w:rPr>
            </w:pPr>
            <w:r>
              <w:rPr>
                <w:rFonts w:ascii="Arial" w:cs="Arial" w:eastAsia="Arial" w:hAnsi="Arial"/>
                <w:sz w:val="16"/>
                <w:szCs w:val="16"/>
                <w:color w:val="auto"/>
              </w:rPr>
              <w:t>Executive Vice President and COO</w:t>
            </w:r>
          </w:p>
        </w:tc>
        <w:tc>
          <w:tcPr>
            <w:tcW w:w="600" w:type="dxa"/>
            <w:vAlign w:val="bottom"/>
            <w:gridSpan w:val="2"/>
          </w:tcPr>
          <w:p>
            <w:pPr>
              <w:ind w:left="240"/>
              <w:spacing w:after="0"/>
              <w:rPr>
                <w:sz w:val="20"/>
                <w:szCs w:val="20"/>
                <w:color w:val="auto"/>
              </w:rPr>
            </w:pPr>
            <w:r>
              <w:rPr>
                <w:rFonts w:ascii="Arial" w:cs="Arial" w:eastAsia="Arial" w:hAnsi="Arial"/>
                <w:sz w:val="16"/>
                <w:szCs w:val="16"/>
                <w:color w:val="auto"/>
                <w:w w:val="95"/>
              </w:rPr>
              <w:t>2017</w:t>
            </w:r>
          </w:p>
        </w:tc>
        <w:tc>
          <w:tcPr>
            <w:tcW w:w="240" w:type="dxa"/>
            <w:vAlign w:val="bottom"/>
          </w:tcPr>
          <w:p>
            <w:pPr>
              <w:spacing w:after="0"/>
              <w:rPr>
                <w:sz w:val="16"/>
                <w:szCs w:val="16"/>
                <w:color w:val="auto"/>
              </w:rPr>
            </w:pPr>
          </w:p>
        </w:tc>
        <w:tc>
          <w:tcPr>
            <w:tcW w:w="640" w:type="dxa"/>
            <w:vAlign w:val="bottom"/>
          </w:tcPr>
          <w:p>
            <w:pPr>
              <w:ind w:left="60"/>
              <w:spacing w:after="0"/>
              <w:rPr>
                <w:sz w:val="20"/>
                <w:szCs w:val="20"/>
                <w:color w:val="auto"/>
              </w:rPr>
            </w:pPr>
            <w:r>
              <w:rPr>
                <w:rFonts w:ascii="Arial" w:cs="Arial" w:eastAsia="Arial" w:hAnsi="Arial"/>
                <w:sz w:val="16"/>
                <w:szCs w:val="16"/>
                <w:color w:val="auto"/>
                <w:w w:val="96"/>
              </w:rPr>
              <w:t>550,000</w:t>
            </w:r>
          </w:p>
        </w:tc>
        <w:tc>
          <w:tcPr>
            <w:tcW w:w="26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1,471,377</w:t>
            </w:r>
          </w:p>
        </w:tc>
        <w:tc>
          <w:tcPr>
            <w:tcW w:w="260" w:type="dxa"/>
            <w:vAlign w:val="bottom"/>
          </w:tcPr>
          <w:p>
            <w:pPr>
              <w:spacing w:after="0"/>
              <w:rPr>
                <w:sz w:val="16"/>
                <w:szCs w:val="16"/>
                <w:color w:val="auto"/>
              </w:rPr>
            </w:pPr>
          </w:p>
        </w:tc>
        <w:tc>
          <w:tcPr>
            <w:tcW w:w="640" w:type="dxa"/>
            <w:vAlign w:val="bottom"/>
          </w:tcPr>
          <w:p>
            <w:pPr>
              <w:ind w:left="40"/>
              <w:spacing w:after="0"/>
              <w:rPr>
                <w:sz w:val="20"/>
                <w:szCs w:val="20"/>
                <w:color w:val="auto"/>
              </w:rPr>
            </w:pPr>
            <w:r>
              <w:rPr>
                <w:rFonts w:ascii="Arial" w:cs="Arial" w:eastAsia="Arial" w:hAnsi="Arial"/>
                <w:sz w:val="16"/>
                <w:szCs w:val="16"/>
                <w:color w:val="auto"/>
              </w:rPr>
              <w:t>499,995</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466,422</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12,150</w:t>
            </w:r>
          </w:p>
        </w:tc>
        <w:tc>
          <w:tcPr>
            <w:tcW w:w="5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2,999,944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600" w:type="dxa"/>
            <w:vAlign w:val="bottom"/>
            <w:gridSpan w:val="2"/>
          </w:tcPr>
          <w:p>
            <w:pPr>
              <w:ind w:left="240"/>
              <w:spacing w:after="0"/>
              <w:rPr>
                <w:sz w:val="20"/>
                <w:szCs w:val="20"/>
                <w:color w:val="auto"/>
              </w:rPr>
            </w:pPr>
            <w:r>
              <w:rPr>
                <w:rFonts w:ascii="Arial" w:cs="Arial" w:eastAsia="Arial" w:hAnsi="Arial"/>
                <w:sz w:val="16"/>
                <w:szCs w:val="16"/>
                <w:color w:val="auto"/>
                <w:w w:val="95"/>
              </w:rPr>
              <w:t>2016</w:t>
            </w:r>
          </w:p>
        </w:tc>
        <w:tc>
          <w:tcPr>
            <w:tcW w:w="240" w:type="dxa"/>
            <w:vAlign w:val="bottom"/>
          </w:tcPr>
          <w:p>
            <w:pPr>
              <w:spacing w:after="0"/>
              <w:rPr>
                <w:sz w:val="16"/>
                <w:szCs w:val="16"/>
                <w:color w:val="auto"/>
              </w:rPr>
            </w:pPr>
          </w:p>
        </w:tc>
        <w:tc>
          <w:tcPr>
            <w:tcW w:w="640" w:type="dxa"/>
            <w:vAlign w:val="bottom"/>
          </w:tcPr>
          <w:p>
            <w:pPr>
              <w:ind w:left="60"/>
              <w:spacing w:after="0"/>
              <w:rPr>
                <w:sz w:val="20"/>
                <w:szCs w:val="20"/>
                <w:color w:val="auto"/>
              </w:rPr>
            </w:pPr>
            <w:r>
              <w:rPr>
                <w:rFonts w:ascii="Arial" w:cs="Arial" w:eastAsia="Arial" w:hAnsi="Arial"/>
                <w:sz w:val="16"/>
                <w:szCs w:val="16"/>
                <w:color w:val="auto"/>
                <w:w w:val="96"/>
              </w:rPr>
              <w:t>550,000</w:t>
            </w:r>
          </w:p>
        </w:tc>
        <w:tc>
          <w:tcPr>
            <w:tcW w:w="26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995,073</w:t>
            </w:r>
          </w:p>
        </w:tc>
        <w:tc>
          <w:tcPr>
            <w:tcW w:w="260" w:type="dxa"/>
            <w:vAlign w:val="bottom"/>
          </w:tcPr>
          <w:p>
            <w:pPr>
              <w:spacing w:after="0"/>
              <w:rPr>
                <w:sz w:val="16"/>
                <w:szCs w:val="16"/>
                <w:color w:val="auto"/>
              </w:rPr>
            </w:pPr>
          </w:p>
        </w:tc>
        <w:tc>
          <w:tcPr>
            <w:tcW w:w="640" w:type="dxa"/>
            <w:vAlign w:val="bottom"/>
          </w:tcPr>
          <w:p>
            <w:pPr>
              <w:ind w:left="40"/>
              <w:spacing w:after="0"/>
              <w:rPr>
                <w:sz w:val="20"/>
                <w:szCs w:val="20"/>
                <w:color w:val="auto"/>
              </w:rPr>
            </w:pPr>
            <w:r>
              <w:rPr>
                <w:rFonts w:ascii="Arial" w:cs="Arial" w:eastAsia="Arial" w:hAnsi="Arial"/>
                <w:sz w:val="16"/>
                <w:szCs w:val="16"/>
                <w:color w:val="auto"/>
              </w:rPr>
              <w:t>500,000</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710,864</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7,950</w:t>
            </w:r>
          </w:p>
        </w:tc>
        <w:tc>
          <w:tcPr>
            <w:tcW w:w="5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2,763,887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640" w:type="dxa"/>
            <w:vAlign w:val="bottom"/>
            <w:gridSpan w:val="2"/>
          </w:tcPr>
          <w:p>
            <w:pPr>
              <w:spacing w:after="0"/>
              <w:rPr>
                <w:sz w:val="5"/>
                <w:szCs w:val="5"/>
                <w:color w:val="auto"/>
              </w:rPr>
            </w:pPr>
          </w:p>
        </w:tc>
        <w:tc>
          <w:tcPr>
            <w:tcW w:w="600" w:type="dxa"/>
            <w:vAlign w:val="bottom"/>
            <w:gridSpan w:val="2"/>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6"/>
                <w:szCs w:val="16"/>
                <w:color w:val="auto"/>
              </w:rPr>
              <w:t>Joan Hooper (5)</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w w:val="95"/>
              </w:rPr>
              <w:t>2018</w:t>
            </w: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6"/>
                <w:szCs w:val="16"/>
                <w:color w:val="auto"/>
                <w:w w:val="96"/>
              </w:rPr>
              <w:t>485,000</w:t>
            </w: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887,873</w:t>
            </w: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249,759</w:t>
            </w:r>
          </w:p>
        </w:tc>
        <w:tc>
          <w:tcPr>
            <w:tcW w:w="1380" w:type="dxa"/>
            <w:vAlign w:val="bottom"/>
            <w:gridSpan w:val="2"/>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29,041</w:t>
            </w:r>
          </w:p>
        </w:tc>
        <w:tc>
          <w:tcPr>
            <w:tcW w:w="500" w:type="dxa"/>
            <w:vAlign w:val="bottom"/>
            <w:shd w:val="clear" w:color="auto" w:fill="CCEEFF"/>
          </w:tcPr>
          <w:p>
            <w:pPr>
              <w:jc w:val="right"/>
              <w:ind w:right="231"/>
              <w:spacing w:after="0"/>
              <w:rPr>
                <w:sz w:val="20"/>
                <w:szCs w:val="20"/>
                <w:color w:val="auto"/>
              </w:rPr>
            </w:pPr>
            <w:r>
              <w:rPr>
                <w:rFonts w:ascii="Arial" w:cs="Arial" w:eastAsia="Arial" w:hAnsi="Arial"/>
                <w:sz w:val="14"/>
                <w:szCs w:val="14"/>
                <w:color w:val="auto"/>
              </w:rPr>
              <w:t>(4)</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1,651,674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6"/>
                <w:szCs w:val="16"/>
                <w:color w:val="auto"/>
              </w:rPr>
              <w:t>Senior Vice President and CFO</w:t>
            </w: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6"/>
                <w:szCs w:val="16"/>
                <w:color w:val="auto"/>
                <w:w w:val="95"/>
              </w:rPr>
              <w:t>2017</w:t>
            </w: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6"/>
                <w:szCs w:val="16"/>
                <w:color w:val="auto"/>
                <w:w w:val="96"/>
              </w:rPr>
              <w:t>279,808</w:t>
            </w: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468,664</w:t>
            </w: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250,044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177,465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4,757</w:t>
            </w:r>
          </w:p>
        </w:tc>
        <w:tc>
          <w:tcPr>
            <w:tcW w:w="5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1,180,738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2640" w:type="dxa"/>
            <w:vAlign w:val="bottom"/>
            <w:gridSpan w:val="2"/>
          </w:tcPr>
          <w:p>
            <w:pPr>
              <w:spacing w:after="0"/>
              <w:rPr>
                <w:sz w:val="20"/>
                <w:szCs w:val="20"/>
                <w:color w:val="auto"/>
              </w:rPr>
            </w:pPr>
            <w:r>
              <w:rPr>
                <w:rFonts w:ascii="Arial" w:cs="Arial" w:eastAsia="Arial" w:hAnsi="Arial"/>
                <w:sz w:val="16"/>
                <w:szCs w:val="16"/>
                <w:color w:val="auto"/>
              </w:rPr>
              <w:t>Sarah Hlavinka (6)</w:t>
            </w:r>
          </w:p>
        </w:tc>
        <w:tc>
          <w:tcPr>
            <w:tcW w:w="600" w:type="dxa"/>
            <w:vAlign w:val="bottom"/>
            <w:gridSpan w:val="2"/>
          </w:tcPr>
          <w:p>
            <w:pPr>
              <w:ind w:left="240"/>
              <w:spacing w:after="0"/>
              <w:rPr>
                <w:sz w:val="20"/>
                <w:szCs w:val="20"/>
                <w:color w:val="auto"/>
              </w:rPr>
            </w:pPr>
            <w:r>
              <w:rPr>
                <w:rFonts w:ascii="Arial" w:cs="Arial" w:eastAsia="Arial" w:hAnsi="Arial"/>
                <w:sz w:val="16"/>
                <w:szCs w:val="16"/>
                <w:color w:val="auto"/>
                <w:w w:val="95"/>
              </w:rPr>
              <w:t>2018</w:t>
            </w:r>
          </w:p>
        </w:tc>
        <w:tc>
          <w:tcPr>
            <w:tcW w:w="24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Arial" w:cs="Arial" w:eastAsia="Arial" w:hAnsi="Arial"/>
                <w:sz w:val="16"/>
                <w:szCs w:val="16"/>
                <w:color w:val="auto"/>
                <w:w w:val="96"/>
              </w:rPr>
              <w:t>190,865</w:t>
            </w:r>
          </w:p>
        </w:tc>
        <w:tc>
          <w:tcPr>
            <w:tcW w:w="26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6"/>
                <w:szCs w:val="16"/>
                <w:color w:val="auto"/>
              </w:rPr>
              <w:t>650,000</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875,335</w:t>
            </w:r>
          </w:p>
        </w:tc>
        <w:tc>
          <w:tcPr>
            <w:tcW w:w="260" w:type="dxa"/>
            <w:vAlign w:val="bottom"/>
          </w:tcPr>
          <w:p>
            <w:pPr>
              <w:spacing w:after="0"/>
              <w:rPr>
                <w:sz w:val="22"/>
                <w:szCs w:val="22"/>
                <w:color w:val="auto"/>
              </w:rPr>
            </w:pPr>
          </w:p>
        </w:tc>
        <w:tc>
          <w:tcPr>
            <w:tcW w:w="640" w:type="dxa"/>
            <w:vAlign w:val="bottom"/>
          </w:tcPr>
          <w:p>
            <w:pPr>
              <w:ind w:left="40"/>
              <w:spacing w:after="0"/>
              <w:rPr>
                <w:sz w:val="20"/>
                <w:szCs w:val="20"/>
                <w:color w:val="auto"/>
              </w:rPr>
            </w:pPr>
            <w:r>
              <w:rPr>
                <w:rFonts w:ascii="Arial" w:cs="Arial" w:eastAsia="Arial" w:hAnsi="Arial"/>
                <w:sz w:val="16"/>
                <w:szCs w:val="16"/>
                <w:color w:val="auto"/>
              </w:rPr>
              <w:t>199,994</w:t>
            </w:r>
          </w:p>
        </w:tc>
        <w:tc>
          <w:tcPr>
            <w:tcW w:w="1380" w:type="dxa"/>
            <w:vAlign w:val="bottom"/>
            <w:gridSpan w:val="2"/>
          </w:tcPr>
          <w:p>
            <w:pPr>
              <w:jc w:val="right"/>
              <w:ind w:right="439"/>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241,796</w:t>
            </w:r>
          </w:p>
        </w:tc>
        <w:tc>
          <w:tcPr>
            <w:tcW w:w="500" w:type="dxa"/>
            <w:vAlign w:val="bottom"/>
          </w:tcPr>
          <w:p>
            <w:pPr>
              <w:jc w:val="right"/>
              <w:ind w:right="231"/>
              <w:spacing w:after="0"/>
              <w:rPr>
                <w:sz w:val="20"/>
                <w:szCs w:val="20"/>
                <w:color w:val="auto"/>
              </w:rPr>
            </w:pPr>
            <w:r>
              <w:rPr>
                <w:rFonts w:ascii="Arial" w:cs="Arial" w:eastAsia="Arial" w:hAnsi="Arial"/>
                <w:sz w:val="14"/>
                <w:szCs w:val="14"/>
                <w:color w:val="auto"/>
              </w:rPr>
              <w:t>(4)</w:t>
            </w:r>
          </w:p>
        </w:tc>
        <w:tc>
          <w:tcPr>
            <w:tcW w:w="780" w:type="dxa"/>
            <w:vAlign w:val="bottom"/>
          </w:tcPr>
          <w:p>
            <w:pPr>
              <w:jc w:val="right"/>
              <w:spacing w:after="0"/>
              <w:rPr>
                <w:sz w:val="20"/>
                <w:szCs w:val="20"/>
                <w:color w:val="auto"/>
              </w:rPr>
            </w:pPr>
            <w:r>
              <w:rPr>
                <w:rFonts w:ascii="Arial" w:cs="Arial" w:eastAsia="Arial" w:hAnsi="Arial"/>
                <w:sz w:val="16"/>
                <w:szCs w:val="16"/>
                <w:color w:val="auto"/>
              </w:rPr>
              <w:t>2,157,990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640" w:type="dxa"/>
            <w:vAlign w:val="bottom"/>
            <w:gridSpan w:val="2"/>
          </w:tcPr>
          <w:p>
            <w:pPr>
              <w:spacing w:after="0"/>
              <w:rPr>
                <w:sz w:val="20"/>
                <w:szCs w:val="20"/>
                <w:color w:val="auto"/>
              </w:rPr>
            </w:pPr>
            <w:r>
              <w:rPr>
                <w:rFonts w:ascii="Arial" w:cs="Arial" w:eastAsia="Arial" w:hAnsi="Arial"/>
                <w:sz w:val="16"/>
                <w:szCs w:val="16"/>
                <w:color w:val="auto"/>
              </w:rPr>
              <w:t>Senior Vice President, General</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40" w:type="dxa"/>
            <w:vAlign w:val="bottom"/>
            <w:gridSpan w:val="2"/>
          </w:tcPr>
          <w:p>
            <w:pPr>
              <w:spacing w:after="0"/>
              <w:rPr>
                <w:sz w:val="20"/>
                <w:szCs w:val="20"/>
                <w:color w:val="auto"/>
              </w:rPr>
            </w:pPr>
            <w:r>
              <w:rPr>
                <w:rFonts w:ascii="Arial" w:cs="Arial" w:eastAsia="Arial" w:hAnsi="Arial"/>
                <w:sz w:val="16"/>
                <w:szCs w:val="16"/>
                <w:color w:val="auto"/>
              </w:rPr>
              <w:t>Counsel and Corporate Secretary</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640" w:type="dxa"/>
            <w:vAlign w:val="bottom"/>
            <w:gridSpan w:val="2"/>
          </w:tcPr>
          <w:p>
            <w:pPr>
              <w:spacing w:after="0"/>
              <w:rPr>
                <w:sz w:val="5"/>
                <w:szCs w:val="5"/>
                <w:color w:val="auto"/>
              </w:rPr>
            </w:pPr>
          </w:p>
        </w:tc>
        <w:tc>
          <w:tcPr>
            <w:tcW w:w="600" w:type="dxa"/>
            <w:vAlign w:val="bottom"/>
            <w:gridSpan w:val="2"/>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6"/>
                <w:szCs w:val="16"/>
                <w:color w:val="auto"/>
              </w:rPr>
              <w:t>Michel Cadieux</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w w:val="95"/>
              </w:rPr>
              <w:t>2018</w:t>
            </w: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6"/>
                <w:szCs w:val="16"/>
                <w:color w:val="auto"/>
                <w:w w:val="96"/>
              </w:rPr>
              <w:t>400,000</w:t>
            </w: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747,067</w:t>
            </w: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199,797</w:t>
            </w:r>
          </w:p>
        </w:tc>
        <w:tc>
          <w:tcPr>
            <w:tcW w:w="1380" w:type="dxa"/>
            <w:vAlign w:val="bottom"/>
            <w:gridSpan w:val="2"/>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12,375</w:t>
            </w:r>
          </w:p>
        </w:tc>
        <w:tc>
          <w:tcPr>
            <w:tcW w:w="500" w:type="dxa"/>
            <w:vAlign w:val="bottom"/>
            <w:shd w:val="clear" w:color="auto" w:fill="CCEEFF"/>
          </w:tcPr>
          <w:p>
            <w:pPr>
              <w:jc w:val="right"/>
              <w:ind w:right="231"/>
              <w:spacing w:after="0"/>
              <w:rPr>
                <w:sz w:val="20"/>
                <w:szCs w:val="20"/>
                <w:color w:val="auto"/>
              </w:rPr>
            </w:pPr>
            <w:r>
              <w:rPr>
                <w:rFonts w:ascii="Arial" w:cs="Arial" w:eastAsia="Arial" w:hAnsi="Arial"/>
                <w:sz w:val="14"/>
                <w:szCs w:val="14"/>
                <w:color w:val="auto"/>
              </w:rPr>
              <w:t>(4)</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1,359,239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6"/>
                <w:szCs w:val="16"/>
                <w:color w:val="auto"/>
              </w:rPr>
              <w:t>Senior Vice President, Human</w:t>
            </w: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6"/>
                <w:szCs w:val="16"/>
                <w:color w:val="auto"/>
                <w:w w:val="95"/>
              </w:rPr>
              <w:t>2017</w:t>
            </w: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6"/>
                <w:szCs w:val="16"/>
                <w:color w:val="auto"/>
                <w:w w:val="96"/>
              </w:rPr>
              <w:t>400,000</w:t>
            </w: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836,225</w:t>
            </w: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199,989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254,412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14,562</w:t>
            </w:r>
          </w:p>
        </w:tc>
        <w:tc>
          <w:tcPr>
            <w:tcW w:w="5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1,705,188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6"/>
                <w:szCs w:val="16"/>
                <w:color w:val="auto"/>
              </w:rPr>
              <w:t>Resources</w:t>
            </w: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6"/>
                <w:szCs w:val="16"/>
                <w:color w:val="auto"/>
                <w:w w:val="95"/>
              </w:rPr>
              <w:t>2016</w:t>
            </w: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6"/>
                <w:szCs w:val="16"/>
                <w:color w:val="auto"/>
                <w:w w:val="96"/>
              </w:rPr>
              <w:t>400,000</w:t>
            </w: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634,427</w:t>
            </w: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199,989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387,744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11,769</w:t>
            </w:r>
          </w:p>
        </w:tc>
        <w:tc>
          <w:tcPr>
            <w:tcW w:w="5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1,633,929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74" w:lineRule="exact"/>
        <w:rPr>
          <w:sz w:val="20"/>
          <w:szCs w:val="20"/>
          <w:color w:val="auto"/>
        </w:rPr>
      </w:pPr>
    </w:p>
    <w:p>
      <w:pPr>
        <w:jc w:val="both"/>
        <w:ind w:left="740" w:right="160" w:hanging="428"/>
        <w:spacing w:after="0" w:line="241" w:lineRule="auto"/>
        <w:tabs>
          <w:tab w:leader="none" w:pos="7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These columns reflect the aggregate grant date fair value of awards granted under our Long-Term Incentive Plan (LTIP) and Second Amended and Restated 2010 Stock Incentive Plan (2010 SIP) determined in accordance with FASB ASC Topic 718. See Note 9 of the consolidated financial statements in our Annual Report on Form 10-K for the year ended December 31, 2018 regarding assumptions underlying the valuation of these equity awards.</w:t>
      </w:r>
    </w:p>
    <w:p>
      <w:pPr>
        <w:spacing w:after="0" w:line="1" w:lineRule="exact"/>
        <w:rPr>
          <w:rFonts w:ascii="Arial" w:cs="Arial" w:eastAsia="Arial" w:hAnsi="Arial"/>
          <w:sz w:val="14"/>
          <w:szCs w:val="14"/>
          <w:color w:val="auto"/>
        </w:rPr>
      </w:pPr>
    </w:p>
    <w:p>
      <w:pPr>
        <w:ind w:left="740" w:right="20" w:hanging="428"/>
        <w:spacing w:after="0" w:line="241" w:lineRule="auto"/>
        <w:tabs>
          <w:tab w:leader="none" w:pos="7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the grant date fair value of Performance RSUs (PRSUs) assuming target performance achievement. As the performance-contingent awards are based on separate measurements of the Company’s financial performance for each year in the three-year performance cycle, FASB ASC Topic 718 requires the grant date fair value to be calculated for the portion of the award related to performance in each year. Therefore, the value includes one-third of the target PRSUs for each active three-year performance cycle. For more details on how performance is calculated, refer to “A Closer Look at Performance-Based Restricted Stock Units (PRSUs)” in this CD&amp;A.</w:t>
      </w:r>
    </w:p>
    <w:p>
      <w:pPr>
        <w:spacing w:after="0" w:line="1" w:lineRule="exact"/>
        <w:rPr>
          <w:rFonts w:ascii="Arial" w:cs="Arial" w:eastAsia="Arial" w:hAnsi="Arial"/>
          <w:sz w:val="14"/>
          <w:szCs w:val="14"/>
          <w:color w:val="auto"/>
        </w:rPr>
      </w:pPr>
    </w:p>
    <w:p>
      <w:pPr>
        <w:ind w:left="760" w:right="120"/>
        <w:spacing w:after="0" w:line="244" w:lineRule="auto"/>
        <w:rPr>
          <w:rFonts w:ascii="Arial" w:cs="Arial" w:eastAsia="Arial" w:hAnsi="Arial"/>
          <w:sz w:val="14"/>
          <w:szCs w:val="14"/>
          <w:color w:val="auto"/>
        </w:rPr>
      </w:pPr>
      <w:r>
        <w:rPr>
          <w:rFonts w:ascii="Arial" w:cs="Arial" w:eastAsia="Arial" w:hAnsi="Arial"/>
          <w:sz w:val="14"/>
          <w:szCs w:val="14"/>
          <w:color w:val="auto"/>
        </w:rPr>
        <w:t>The grant date fair value of the performance related component is based upon the probable outcome for the award and is consistent with the estimate of aggregate compensation cost to be recognized over the performance period determined as of the grant date under FASB ASC Topic 718. As required under FASB ASC Topic 718, the full grant date fair value for the TSR multiplier for the entire three-year performance cycle is included in the amounts shown for the initial year of each performance cycle and was determined using a Monte Carlo valuation model on the date the PRSUs were awarded. Grant date fair values assuming maximum performance achievement for the 2018 PRSUs for the full performance cycle (2018-2020) would be: P. Mezey - $3,789,347; T. Deitrich - $2,105,193; J. Hooper - $1,052,596; S. Hlavinka - $842,052; M. Cadieux - $842,077.</w:t>
      </w:r>
    </w:p>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240" w:top="459" w:right="4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740" w:hanging="428"/>
        <w:spacing w:after="0"/>
        <w:tabs>
          <w:tab w:leader="none" w:pos="7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This column reflects the cash awards earned by the NEOs under our annual incentive program.</w:t>
      </w:r>
    </w:p>
    <w:p>
      <w:pPr>
        <w:spacing w:after="0" w:line="1" w:lineRule="exact"/>
        <w:rPr>
          <w:rFonts w:ascii="Arial" w:cs="Arial" w:eastAsia="Arial" w:hAnsi="Arial"/>
          <w:sz w:val="14"/>
          <w:szCs w:val="14"/>
          <w:color w:val="auto"/>
        </w:rPr>
      </w:pPr>
    </w:p>
    <w:p>
      <w:pPr>
        <w:ind w:left="740" w:right="220" w:hanging="428"/>
        <w:spacing w:after="0" w:line="241" w:lineRule="auto"/>
        <w:tabs>
          <w:tab w:leader="none" w:pos="7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We value these benefits based on the actual costs or charges incurred by us for the benefits. The amounts shown under “All Other Compensation” consist of Company 401(k) matching contributions of $12,375 for Mr. Mezey, Ms. Hooper, and Mr. Cadieux, and $17,481 for Ms. Hooper, a company match under the Executive Deferred Compensation Plan for Mr. Mezey and Ms. Hooper of $62,441 and $11,560, respectively, and relocation costs of $217,038 (which includes $176,239 related to her home sale) and a related tax gross-up of $24,758 for Ms. Hlavinka, which were consistent with the Company’s executive relocation policy.</w:t>
      </w:r>
    </w:p>
    <w:p>
      <w:pPr>
        <w:spacing w:after="0" w:line="1" w:lineRule="exact"/>
        <w:rPr>
          <w:rFonts w:ascii="Arial" w:cs="Arial" w:eastAsia="Arial" w:hAnsi="Arial"/>
          <w:sz w:val="14"/>
          <w:szCs w:val="14"/>
          <w:color w:val="auto"/>
        </w:rPr>
      </w:pPr>
    </w:p>
    <w:p>
      <w:pPr>
        <w:ind w:left="740" w:hanging="428"/>
        <w:spacing w:after="0"/>
        <w:tabs>
          <w:tab w:leader="none" w:pos="7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Ms. Hooper was not an NEO prior to 2017; therefore, compensation data for 2016 is not disclosed.</w:t>
      </w:r>
    </w:p>
    <w:p>
      <w:pPr>
        <w:spacing w:after="0" w:line="1" w:lineRule="exact"/>
        <w:rPr>
          <w:rFonts w:ascii="Arial" w:cs="Arial" w:eastAsia="Arial" w:hAnsi="Arial"/>
          <w:sz w:val="14"/>
          <w:szCs w:val="14"/>
          <w:color w:val="auto"/>
        </w:rPr>
      </w:pPr>
    </w:p>
    <w:p>
      <w:pPr>
        <w:ind w:left="740" w:right="360" w:hanging="428"/>
        <w:spacing w:after="0" w:line="258" w:lineRule="auto"/>
        <w:tabs>
          <w:tab w:leader="none" w:pos="7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Ms. Hlavinka joined the Company as Senior Vice President, General Counsel and Corporate Secretary effective August 6, 2018. Her base salary upon hire was $475,000 and she received a sign-on bonus of $650,000.</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2018 Grants of Plan-Based Awards Table</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provides information regarding grants of plan-based awards to the NEOs during 2018.</w:t>
      </w:r>
    </w:p>
    <w:p>
      <w:pPr>
        <w:spacing w:after="0" w:line="228" w:lineRule="exact"/>
        <w:rPr>
          <w:sz w:val="20"/>
          <w:szCs w:val="20"/>
          <w:color w:val="auto"/>
        </w:rPr>
      </w:pPr>
    </w:p>
    <w:p>
      <w:pPr>
        <w:jc w:val="center"/>
        <w:ind w:right="-179"/>
        <w:spacing w:after="0"/>
        <w:rPr>
          <w:sz w:val="20"/>
          <w:szCs w:val="20"/>
          <w:color w:val="auto"/>
        </w:rPr>
      </w:pPr>
      <w:r>
        <w:rPr>
          <w:rFonts w:ascii="Arial" w:cs="Arial" w:eastAsia="Arial" w:hAnsi="Arial"/>
          <w:sz w:val="12"/>
          <w:szCs w:val="12"/>
          <w:b w:val="1"/>
          <w:bCs w:val="1"/>
          <w:color w:val="auto"/>
        </w:rPr>
        <w:t>Grants of Plan – 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13970</wp:posOffset>
            </wp:positionV>
            <wp:extent cx="6997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51"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18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60" w:type="dxa"/>
            <w:vAlign w:val="bottom"/>
            <w:gridSpan w:val="3"/>
          </w:tcPr>
          <w:p>
            <w:pPr>
              <w:jc w:val="center"/>
              <w:spacing w:after="0"/>
              <w:rPr>
                <w:sz w:val="20"/>
                <w:szCs w:val="20"/>
                <w:color w:val="auto"/>
              </w:rPr>
            </w:pPr>
            <w:r>
              <w:rPr>
                <w:rFonts w:ascii="Arial" w:cs="Arial" w:eastAsia="Arial" w:hAnsi="Arial"/>
                <w:sz w:val="12"/>
                <w:szCs w:val="12"/>
                <w:b w:val="1"/>
                <w:bCs w:val="1"/>
                <w:color w:val="auto"/>
                <w:w w:val="97"/>
              </w:rPr>
              <w:t>Estimated Future Payouts Under</w:t>
            </w:r>
          </w:p>
        </w:tc>
        <w:tc>
          <w:tcPr>
            <w:tcW w:w="120" w:type="dxa"/>
            <w:vAlign w:val="bottom"/>
          </w:tcPr>
          <w:p>
            <w:pPr>
              <w:spacing w:after="0"/>
              <w:rPr>
                <w:sz w:val="12"/>
                <w:szCs w:val="12"/>
                <w:color w:val="auto"/>
              </w:rPr>
            </w:pPr>
          </w:p>
        </w:tc>
        <w:tc>
          <w:tcPr>
            <w:tcW w:w="1680" w:type="dxa"/>
            <w:vAlign w:val="bottom"/>
            <w:gridSpan w:val="3"/>
          </w:tcPr>
          <w:p>
            <w:pPr>
              <w:jc w:val="center"/>
              <w:spacing w:after="0"/>
              <w:rPr>
                <w:sz w:val="20"/>
                <w:szCs w:val="20"/>
                <w:color w:val="auto"/>
              </w:rPr>
            </w:pPr>
            <w:r>
              <w:rPr>
                <w:rFonts w:ascii="Arial" w:cs="Arial" w:eastAsia="Arial" w:hAnsi="Arial"/>
                <w:sz w:val="12"/>
                <w:szCs w:val="12"/>
                <w:b w:val="1"/>
                <w:bCs w:val="1"/>
                <w:color w:val="auto"/>
                <w:w w:val="97"/>
              </w:rPr>
              <w:t>Estimated Future Payouts</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6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7"/>
              </w:rPr>
              <w:t>Non-Equity Incentive</w:t>
            </w:r>
          </w:p>
        </w:tc>
        <w:tc>
          <w:tcPr>
            <w:tcW w:w="120" w:type="dxa"/>
            <w:vAlign w:val="bottom"/>
          </w:tcPr>
          <w:p>
            <w:pPr>
              <w:spacing w:after="0"/>
              <w:rPr>
                <w:sz w:val="11"/>
                <w:szCs w:val="11"/>
                <w:color w:val="auto"/>
              </w:rPr>
            </w:pPr>
          </w:p>
        </w:tc>
        <w:tc>
          <w:tcPr>
            <w:tcW w:w="168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6"/>
              </w:rPr>
              <w:t>Under Equity Incentive</w:t>
            </w:r>
          </w:p>
        </w:tc>
        <w:tc>
          <w:tcPr>
            <w:tcW w:w="0" w:type="dxa"/>
            <w:vAlign w:val="bottom"/>
          </w:tcPr>
          <w:p>
            <w:pPr>
              <w:spacing w:after="0"/>
              <w:rPr>
                <w:sz w:val="1"/>
                <w:szCs w:val="1"/>
                <w:color w:val="auto"/>
              </w:rPr>
            </w:pPr>
          </w:p>
        </w:tc>
      </w:tr>
      <w:tr>
        <w:trPr>
          <w:trHeight w:val="147"/>
        </w:trPr>
        <w:tc>
          <w:tcPr>
            <w:tcW w:w="18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5"/>
              </w:rPr>
              <w:t>Board or</w:t>
            </w:r>
          </w:p>
        </w:tc>
        <w:tc>
          <w:tcPr>
            <w:tcW w:w="6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spacing w:after="0" w:line="127" w:lineRule="exact"/>
              <w:rPr>
                <w:sz w:val="20"/>
                <w:szCs w:val="20"/>
                <w:color w:val="auto"/>
              </w:rPr>
            </w:pPr>
            <w:r>
              <w:rPr>
                <w:rFonts w:ascii="Arial" w:cs="Arial" w:eastAsia="Arial" w:hAnsi="Arial"/>
                <w:sz w:val="12"/>
                <w:szCs w:val="12"/>
                <w:b w:val="1"/>
                <w:bCs w:val="1"/>
                <w:color w:val="auto"/>
                <w:w w:val="97"/>
              </w:rPr>
              <w:t>Plan Awards</w:t>
            </w:r>
          </w:p>
        </w:tc>
        <w:tc>
          <w:tcPr>
            <w:tcW w:w="6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Borders>
              <w:bottom w:val="single" w:sz="8" w:color="auto"/>
            </w:tcBorders>
            <w:gridSpan w:val="3"/>
          </w:tcPr>
          <w:p>
            <w:pPr>
              <w:jc w:val="center"/>
              <w:spacing w:after="0" w:line="127" w:lineRule="exact"/>
              <w:rPr>
                <w:sz w:val="20"/>
                <w:szCs w:val="20"/>
                <w:color w:val="auto"/>
              </w:rPr>
            </w:pPr>
            <w:r>
              <w:rPr>
                <w:rFonts w:ascii="Arial" w:cs="Arial" w:eastAsia="Arial" w:hAnsi="Arial"/>
                <w:sz w:val="12"/>
                <w:szCs w:val="12"/>
                <w:b w:val="1"/>
                <w:bCs w:val="1"/>
                <w:color w:val="auto"/>
                <w:w w:val="97"/>
              </w:rPr>
              <w:t>Plan Awards</w:t>
            </w:r>
          </w:p>
        </w:tc>
        <w:tc>
          <w:tcPr>
            <w:tcW w:w="0" w:type="dxa"/>
            <w:vAlign w:val="bottom"/>
          </w:tcPr>
          <w:p>
            <w:pPr>
              <w:spacing w:after="0"/>
              <w:rPr>
                <w:sz w:val="1"/>
                <w:szCs w:val="1"/>
                <w:color w:val="auto"/>
              </w:rPr>
            </w:pPr>
          </w:p>
        </w:tc>
      </w:tr>
      <w:tr>
        <w:trPr>
          <w:trHeight w:val="144"/>
        </w:trPr>
        <w:tc>
          <w:tcPr>
            <w:tcW w:w="18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6"/>
              </w:rPr>
              <w:t>Committee</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60" w:type="dxa"/>
            <w:vAlign w:val="bottom"/>
            <w:vMerge w:val="restart"/>
          </w:tcPr>
          <w:p>
            <w:pPr>
              <w:spacing w:after="0"/>
              <w:rPr>
                <w:sz w:val="20"/>
                <w:szCs w:val="20"/>
                <w:color w:val="auto"/>
              </w:rPr>
            </w:pPr>
            <w:r>
              <w:rPr>
                <w:rFonts w:ascii="Arial" w:cs="Arial" w:eastAsia="Arial" w:hAnsi="Arial"/>
                <w:sz w:val="12"/>
                <w:szCs w:val="12"/>
                <w:b w:val="1"/>
                <w:bCs w:val="1"/>
                <w:color w:val="auto"/>
              </w:rPr>
              <w:t>Name</w:t>
            </w:r>
          </w:p>
        </w:tc>
        <w:tc>
          <w:tcPr>
            <w:tcW w:w="1920" w:type="dxa"/>
            <w:vAlign w:val="bottom"/>
          </w:tcPr>
          <w:p>
            <w:pPr>
              <w:jc w:val="center"/>
              <w:ind w:left="1402"/>
              <w:spacing w:after="0" w:line="135" w:lineRule="exact"/>
              <w:rPr>
                <w:sz w:val="20"/>
                <w:szCs w:val="20"/>
                <w:color w:val="auto"/>
              </w:rPr>
            </w:pPr>
            <w:r>
              <w:rPr>
                <w:rFonts w:ascii="Arial" w:cs="Arial" w:eastAsia="Arial" w:hAnsi="Arial"/>
                <w:sz w:val="12"/>
                <w:szCs w:val="12"/>
                <w:b w:val="1"/>
                <w:bCs w:val="1"/>
                <w:color w:val="auto"/>
                <w:w w:val="93"/>
              </w:rPr>
              <w:t>Grant</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Action</w:t>
            </w:r>
          </w:p>
        </w:tc>
        <w:tc>
          <w:tcPr>
            <w:tcW w:w="66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9"/>
              </w:rPr>
              <w:t>Threshold</w:t>
            </w:r>
          </w:p>
        </w:tc>
        <w:tc>
          <w:tcPr>
            <w:tcW w:w="7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8"/>
              </w:rPr>
              <w:t>Target</w:t>
            </w:r>
          </w:p>
        </w:tc>
        <w:tc>
          <w:tcPr>
            <w:tcW w:w="6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Maximum</w:t>
            </w:r>
          </w:p>
        </w:tc>
        <w:tc>
          <w:tcPr>
            <w:tcW w:w="74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9"/>
              </w:rPr>
              <w:t>Threshold</w:t>
            </w:r>
          </w:p>
        </w:tc>
        <w:tc>
          <w:tcPr>
            <w:tcW w:w="4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2"/>
              </w:rPr>
              <w:t>Target</w:t>
            </w:r>
          </w:p>
        </w:tc>
        <w:tc>
          <w:tcPr>
            <w:tcW w:w="600" w:type="dxa"/>
            <w:vAlign w:val="bottom"/>
          </w:tcPr>
          <w:p>
            <w:pPr>
              <w:jc w:val="center"/>
              <w:ind w:left="2"/>
              <w:spacing w:after="0" w:line="135" w:lineRule="exact"/>
              <w:rPr>
                <w:sz w:val="20"/>
                <w:szCs w:val="20"/>
                <w:color w:val="auto"/>
              </w:rPr>
            </w:pPr>
            <w:r>
              <w:rPr>
                <w:rFonts w:ascii="Arial" w:cs="Arial" w:eastAsia="Arial" w:hAnsi="Arial"/>
                <w:sz w:val="12"/>
                <w:szCs w:val="12"/>
                <w:b w:val="1"/>
                <w:bCs w:val="1"/>
                <w:color w:val="auto"/>
                <w:w w:val="97"/>
              </w:rPr>
              <w:t>Maximum</w:t>
            </w:r>
          </w:p>
        </w:tc>
        <w:tc>
          <w:tcPr>
            <w:tcW w:w="0" w:type="dxa"/>
            <w:vAlign w:val="bottom"/>
          </w:tcPr>
          <w:p>
            <w:pPr>
              <w:spacing w:after="0"/>
              <w:rPr>
                <w:sz w:val="1"/>
                <w:szCs w:val="1"/>
                <w:color w:val="auto"/>
              </w:rPr>
            </w:pPr>
          </w:p>
        </w:tc>
      </w:tr>
      <w:tr>
        <w:trPr>
          <w:trHeight w:val="145"/>
        </w:trPr>
        <w:tc>
          <w:tcPr>
            <w:tcW w:w="1860" w:type="dxa"/>
            <w:vAlign w:val="bottom"/>
            <w:vMerge w:val="continue"/>
          </w:tcPr>
          <w:p>
            <w:pPr>
              <w:spacing w:after="0"/>
              <w:rPr>
                <w:sz w:val="12"/>
                <w:szCs w:val="12"/>
                <w:color w:val="auto"/>
              </w:rPr>
            </w:pPr>
          </w:p>
        </w:tc>
        <w:tc>
          <w:tcPr>
            <w:tcW w:w="1920" w:type="dxa"/>
            <w:vAlign w:val="bottom"/>
          </w:tcPr>
          <w:p>
            <w:pPr>
              <w:jc w:val="center"/>
              <w:ind w:left="1402"/>
              <w:spacing w:after="0"/>
              <w:rPr>
                <w:sz w:val="20"/>
                <w:szCs w:val="20"/>
                <w:color w:val="auto"/>
              </w:rPr>
            </w:pPr>
            <w:r>
              <w:rPr>
                <w:rFonts w:ascii="Arial" w:cs="Arial" w:eastAsia="Arial" w:hAnsi="Arial"/>
                <w:sz w:val="12"/>
                <w:szCs w:val="12"/>
                <w:b w:val="1"/>
                <w:bCs w:val="1"/>
                <w:color w:val="auto"/>
                <w:w w:val="99"/>
              </w:rPr>
              <w:t>Date</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2"/>
              </w:rPr>
              <w:t>Date</w:t>
            </w:r>
          </w:p>
        </w:tc>
        <w:tc>
          <w:tcPr>
            <w:tcW w:w="660" w:type="dxa"/>
            <w:vAlign w:val="bottom"/>
            <w:gridSpan w:val="2"/>
          </w:tcPr>
          <w:p>
            <w:pPr>
              <w:jc w:val="right"/>
              <w:ind w:right="102"/>
              <w:spacing w:after="0"/>
              <w:rPr>
                <w:sz w:val="20"/>
                <w:szCs w:val="20"/>
                <w:color w:val="auto"/>
              </w:rPr>
            </w:pPr>
            <w:r>
              <w:rPr>
                <w:rFonts w:ascii="Arial" w:cs="Arial" w:eastAsia="Arial" w:hAnsi="Arial"/>
                <w:sz w:val="12"/>
                <w:szCs w:val="12"/>
                <w:b w:val="1"/>
                <w:bCs w:val="1"/>
                <w:color w:val="auto"/>
              </w:rPr>
              <w:t>($) (1)</w:t>
            </w: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7"/>
              </w:rPr>
              <w:t>($) (1)</w:t>
            </w:r>
          </w:p>
        </w:tc>
        <w:tc>
          <w:tcPr>
            <w:tcW w:w="600" w:type="dxa"/>
            <w:vAlign w:val="bottom"/>
          </w:tcPr>
          <w:p>
            <w:pPr>
              <w:jc w:val="right"/>
              <w:ind w:right="82"/>
              <w:spacing w:after="0"/>
              <w:rPr>
                <w:sz w:val="20"/>
                <w:szCs w:val="20"/>
                <w:color w:val="auto"/>
              </w:rPr>
            </w:pPr>
            <w:r>
              <w:rPr>
                <w:rFonts w:ascii="Arial" w:cs="Arial" w:eastAsia="Arial" w:hAnsi="Arial"/>
                <w:sz w:val="12"/>
                <w:szCs w:val="12"/>
                <w:b w:val="1"/>
                <w:bCs w:val="1"/>
                <w:color w:val="auto"/>
              </w:rPr>
              <w:t>($) (1)</w:t>
            </w:r>
          </w:p>
        </w:tc>
        <w:tc>
          <w:tcPr>
            <w:tcW w:w="740" w:type="dxa"/>
            <w:vAlign w:val="bottom"/>
            <w:gridSpan w:val="2"/>
          </w:tcPr>
          <w:p>
            <w:pPr>
              <w:jc w:val="right"/>
              <w:ind w:right="122"/>
              <w:spacing w:after="0"/>
              <w:rPr>
                <w:sz w:val="20"/>
                <w:szCs w:val="20"/>
                <w:color w:val="auto"/>
              </w:rPr>
            </w:pPr>
            <w:r>
              <w:rPr>
                <w:rFonts w:ascii="Arial" w:cs="Arial" w:eastAsia="Arial" w:hAnsi="Arial"/>
                <w:sz w:val="12"/>
                <w:szCs w:val="12"/>
                <w:b w:val="1"/>
                <w:bCs w:val="1"/>
                <w:color w:val="auto"/>
              </w:rPr>
              <w:t>(#) (2)</w:t>
            </w: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97"/>
              </w:rPr>
              <w:t>(#) (2)</w:t>
            </w:r>
          </w:p>
        </w:tc>
        <w:tc>
          <w:tcPr>
            <w:tcW w:w="600" w:type="dxa"/>
            <w:vAlign w:val="bottom"/>
          </w:tcPr>
          <w:p>
            <w:pPr>
              <w:jc w:val="right"/>
              <w:ind w:right="62"/>
              <w:spacing w:after="0"/>
              <w:rPr>
                <w:sz w:val="20"/>
                <w:szCs w:val="20"/>
                <w:color w:val="auto"/>
              </w:rPr>
            </w:pPr>
            <w:r>
              <w:rPr>
                <w:rFonts w:ascii="Arial" w:cs="Arial" w:eastAsia="Arial" w:hAnsi="Arial"/>
                <w:sz w:val="12"/>
                <w:szCs w:val="12"/>
                <w:b w:val="1"/>
                <w:bCs w:val="1"/>
                <w:color w:val="auto"/>
              </w:rPr>
              <w:t>(#) (2)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600" w:type="dxa"/>
            <w:vAlign w:val="bottom"/>
          </w:tcPr>
          <w:p>
            <w:pPr>
              <w:jc w:val="center"/>
              <w:ind w:right="2"/>
              <w:spacing w:after="0"/>
              <w:rPr>
                <w:sz w:val="20"/>
                <w:szCs w:val="20"/>
                <w:color w:val="auto"/>
              </w:rPr>
            </w:pPr>
            <w:r>
              <w:rPr>
                <w:rFonts w:ascii="Arial" w:cs="Arial" w:eastAsia="Arial" w:hAnsi="Arial"/>
                <w:sz w:val="12"/>
                <w:szCs w:val="12"/>
                <w:b w:val="1"/>
                <w:bCs w:val="1"/>
                <w:color w:val="auto"/>
                <w:w w:val="98"/>
              </w:rPr>
              <w:t>All Other</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8"/>
              </w:rPr>
              <w:t>All Other</w:t>
            </w:r>
          </w:p>
        </w:tc>
        <w:tc>
          <w:tcPr>
            <w:tcW w:w="620" w:type="dxa"/>
            <w:vAlign w:val="bottom"/>
          </w:tcPr>
          <w:p>
            <w:pPr>
              <w:spacing w:after="0"/>
              <w:rPr>
                <w:sz w:val="12"/>
                <w:szCs w:val="12"/>
                <w:color w:val="auto"/>
              </w:rPr>
            </w:pPr>
          </w:p>
        </w:tc>
        <w:tc>
          <w:tcPr>
            <w:tcW w:w="540" w:type="dxa"/>
            <w:vAlign w:val="bottom"/>
          </w:tcPr>
          <w:p>
            <w:pPr>
              <w:jc w:val="center"/>
              <w:ind w:left="22"/>
              <w:spacing w:after="0"/>
              <w:rPr>
                <w:sz w:val="20"/>
                <w:szCs w:val="20"/>
                <w:color w:val="auto"/>
              </w:rPr>
            </w:pPr>
            <w:r>
              <w:rPr>
                <w:rFonts w:ascii="Arial" w:cs="Arial" w:eastAsia="Arial" w:hAnsi="Arial"/>
                <w:sz w:val="12"/>
                <w:szCs w:val="12"/>
                <w:b w:val="1"/>
                <w:bCs w:val="1"/>
                <w:color w:val="auto"/>
                <w:w w:val="93"/>
              </w:rPr>
              <w:t>Grant</w:t>
            </w:r>
          </w:p>
        </w:tc>
      </w:tr>
      <w:tr>
        <w:trPr>
          <w:trHeight w:val="135"/>
        </w:trPr>
        <w:tc>
          <w:tcPr>
            <w:tcW w:w="6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Stock</w:t>
            </w: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8"/>
              </w:rPr>
              <w:t>Option</w:t>
            </w:r>
          </w:p>
        </w:tc>
        <w:tc>
          <w:tcPr>
            <w:tcW w:w="620" w:type="dxa"/>
            <w:vAlign w:val="bottom"/>
          </w:tcPr>
          <w:p>
            <w:pPr>
              <w:spacing w:after="0"/>
              <w:rPr>
                <w:sz w:val="11"/>
                <w:szCs w:val="11"/>
                <w:color w:val="auto"/>
              </w:rPr>
            </w:pPr>
          </w:p>
        </w:tc>
        <w:tc>
          <w:tcPr>
            <w:tcW w:w="540" w:type="dxa"/>
            <w:vAlign w:val="bottom"/>
          </w:tcPr>
          <w:p>
            <w:pPr>
              <w:jc w:val="center"/>
              <w:ind w:left="22"/>
              <w:spacing w:after="0" w:line="135" w:lineRule="exact"/>
              <w:rPr>
                <w:sz w:val="20"/>
                <w:szCs w:val="20"/>
                <w:color w:val="auto"/>
              </w:rPr>
            </w:pPr>
            <w:r>
              <w:rPr>
                <w:rFonts w:ascii="Arial" w:cs="Arial" w:eastAsia="Arial" w:hAnsi="Arial"/>
                <w:sz w:val="12"/>
                <w:szCs w:val="12"/>
                <w:b w:val="1"/>
                <w:bCs w:val="1"/>
                <w:color w:val="auto"/>
                <w:w w:val="99"/>
              </w:rPr>
              <w:t>Date</w:t>
            </w:r>
          </w:p>
        </w:tc>
      </w:tr>
      <w:tr>
        <w:trPr>
          <w:trHeight w:val="135"/>
        </w:trPr>
        <w:tc>
          <w:tcPr>
            <w:tcW w:w="600" w:type="dxa"/>
            <w:vAlign w:val="bottom"/>
          </w:tcPr>
          <w:p>
            <w:pPr>
              <w:jc w:val="center"/>
              <w:ind w:right="2"/>
              <w:spacing w:after="0" w:line="135" w:lineRule="exact"/>
              <w:rPr>
                <w:sz w:val="20"/>
                <w:szCs w:val="20"/>
                <w:color w:val="auto"/>
              </w:rPr>
            </w:pPr>
            <w:r>
              <w:rPr>
                <w:rFonts w:ascii="Arial" w:cs="Arial" w:eastAsia="Arial" w:hAnsi="Arial"/>
                <w:sz w:val="12"/>
                <w:szCs w:val="12"/>
                <w:b w:val="1"/>
                <w:bCs w:val="1"/>
                <w:color w:val="auto"/>
                <w:w w:val="97"/>
              </w:rPr>
              <w:t>Awards:</w:t>
            </w: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Awards:</w:t>
            </w:r>
          </w:p>
        </w:tc>
        <w:tc>
          <w:tcPr>
            <w:tcW w:w="6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Exercise</w:t>
            </w:r>
          </w:p>
        </w:tc>
        <w:tc>
          <w:tcPr>
            <w:tcW w:w="540" w:type="dxa"/>
            <w:vAlign w:val="bottom"/>
          </w:tcPr>
          <w:p>
            <w:pPr>
              <w:jc w:val="center"/>
              <w:ind w:left="22"/>
              <w:spacing w:after="0" w:line="135" w:lineRule="exact"/>
              <w:rPr>
                <w:sz w:val="20"/>
                <w:szCs w:val="20"/>
                <w:color w:val="auto"/>
              </w:rPr>
            </w:pPr>
            <w:r>
              <w:rPr>
                <w:rFonts w:ascii="Arial" w:cs="Arial" w:eastAsia="Arial" w:hAnsi="Arial"/>
                <w:sz w:val="12"/>
                <w:szCs w:val="12"/>
                <w:b w:val="1"/>
                <w:bCs w:val="1"/>
                <w:color w:val="auto"/>
                <w:w w:val="99"/>
              </w:rPr>
              <w:t>Fair</w:t>
            </w:r>
          </w:p>
        </w:tc>
      </w:tr>
      <w:tr>
        <w:trPr>
          <w:trHeight w:val="135"/>
        </w:trPr>
        <w:tc>
          <w:tcPr>
            <w:tcW w:w="6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Number</w:t>
            </w: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Number of</w:t>
            </w:r>
          </w:p>
        </w:tc>
        <w:tc>
          <w:tcPr>
            <w:tcW w:w="6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5"/>
              </w:rPr>
              <w:t>or Base</w:t>
            </w:r>
          </w:p>
        </w:tc>
        <w:tc>
          <w:tcPr>
            <w:tcW w:w="540" w:type="dxa"/>
            <w:vAlign w:val="bottom"/>
          </w:tcPr>
          <w:p>
            <w:pPr>
              <w:jc w:val="center"/>
              <w:ind w:left="22"/>
              <w:spacing w:after="0" w:line="135" w:lineRule="exact"/>
              <w:rPr>
                <w:sz w:val="20"/>
                <w:szCs w:val="20"/>
                <w:color w:val="auto"/>
              </w:rPr>
            </w:pPr>
            <w:r>
              <w:rPr>
                <w:rFonts w:ascii="Arial" w:cs="Arial" w:eastAsia="Arial" w:hAnsi="Arial"/>
                <w:sz w:val="12"/>
                <w:szCs w:val="12"/>
                <w:b w:val="1"/>
                <w:bCs w:val="1"/>
                <w:color w:val="auto"/>
                <w:w w:val="98"/>
              </w:rPr>
              <w:t>Value of</w:t>
            </w:r>
          </w:p>
        </w:tc>
      </w:tr>
      <w:tr>
        <w:trPr>
          <w:trHeight w:val="135"/>
        </w:trPr>
        <w:tc>
          <w:tcPr>
            <w:tcW w:w="600" w:type="dxa"/>
            <w:vAlign w:val="bottom"/>
          </w:tcPr>
          <w:p>
            <w:pPr>
              <w:jc w:val="center"/>
              <w:ind w:right="2"/>
              <w:spacing w:after="0" w:line="135" w:lineRule="exact"/>
              <w:rPr>
                <w:sz w:val="20"/>
                <w:szCs w:val="20"/>
                <w:color w:val="auto"/>
              </w:rPr>
            </w:pPr>
            <w:r>
              <w:rPr>
                <w:rFonts w:ascii="Arial" w:cs="Arial" w:eastAsia="Arial" w:hAnsi="Arial"/>
                <w:sz w:val="12"/>
                <w:szCs w:val="12"/>
                <w:b w:val="1"/>
                <w:bCs w:val="1"/>
                <w:color w:val="auto"/>
                <w:w w:val="98"/>
              </w:rPr>
              <w:t>of Shares</w:t>
            </w: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5"/>
              </w:rPr>
              <w:t>Price of</w:t>
            </w:r>
          </w:p>
        </w:tc>
        <w:tc>
          <w:tcPr>
            <w:tcW w:w="540" w:type="dxa"/>
            <w:vAlign w:val="bottom"/>
          </w:tcPr>
          <w:p>
            <w:pPr>
              <w:jc w:val="center"/>
              <w:ind w:left="2"/>
              <w:spacing w:after="0" w:line="135" w:lineRule="exact"/>
              <w:rPr>
                <w:sz w:val="20"/>
                <w:szCs w:val="20"/>
                <w:color w:val="auto"/>
              </w:rPr>
            </w:pPr>
            <w:r>
              <w:rPr>
                <w:rFonts w:ascii="Arial" w:cs="Arial" w:eastAsia="Arial" w:hAnsi="Arial"/>
                <w:sz w:val="12"/>
                <w:szCs w:val="12"/>
                <w:b w:val="1"/>
                <w:bCs w:val="1"/>
                <w:color w:val="auto"/>
                <w:w w:val="97"/>
              </w:rPr>
              <w:t>Stock</w:t>
            </w:r>
          </w:p>
        </w:tc>
      </w:tr>
      <w:tr>
        <w:trPr>
          <w:trHeight w:val="135"/>
        </w:trPr>
        <w:tc>
          <w:tcPr>
            <w:tcW w:w="600" w:type="dxa"/>
            <w:vAlign w:val="bottom"/>
          </w:tcPr>
          <w:p>
            <w:pPr>
              <w:jc w:val="center"/>
              <w:ind w:right="2"/>
              <w:spacing w:after="0" w:line="135" w:lineRule="exact"/>
              <w:rPr>
                <w:sz w:val="20"/>
                <w:szCs w:val="20"/>
                <w:color w:val="auto"/>
              </w:rPr>
            </w:pPr>
            <w:r>
              <w:rPr>
                <w:rFonts w:ascii="Arial" w:cs="Arial" w:eastAsia="Arial" w:hAnsi="Arial"/>
                <w:sz w:val="12"/>
                <w:szCs w:val="12"/>
                <w:b w:val="1"/>
                <w:bCs w:val="1"/>
                <w:color w:val="auto"/>
                <w:w w:val="97"/>
              </w:rPr>
              <w:t>of Stock</w:t>
            </w: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8"/>
              </w:rPr>
              <w:t>Option</w:t>
            </w:r>
          </w:p>
        </w:tc>
        <w:tc>
          <w:tcPr>
            <w:tcW w:w="540" w:type="dxa"/>
            <w:vAlign w:val="bottom"/>
          </w:tcPr>
          <w:p>
            <w:pPr>
              <w:jc w:val="center"/>
              <w:ind w:left="22"/>
              <w:spacing w:after="0" w:line="135" w:lineRule="exact"/>
              <w:rPr>
                <w:sz w:val="20"/>
                <w:szCs w:val="20"/>
                <w:color w:val="auto"/>
              </w:rPr>
            </w:pPr>
            <w:r>
              <w:rPr>
                <w:rFonts w:ascii="Arial" w:cs="Arial" w:eastAsia="Arial" w:hAnsi="Arial"/>
                <w:sz w:val="12"/>
                <w:szCs w:val="12"/>
                <w:b w:val="1"/>
                <w:bCs w:val="1"/>
                <w:color w:val="auto"/>
              </w:rPr>
              <w:t>and</w:t>
            </w:r>
          </w:p>
        </w:tc>
      </w:tr>
      <w:tr>
        <w:trPr>
          <w:trHeight w:val="135"/>
        </w:trPr>
        <w:tc>
          <w:tcPr>
            <w:tcW w:w="6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or Units</w:t>
            </w: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Options</w:t>
            </w:r>
          </w:p>
        </w:tc>
        <w:tc>
          <w:tcPr>
            <w:tcW w:w="6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Awards</w:t>
            </w:r>
          </w:p>
        </w:tc>
        <w:tc>
          <w:tcPr>
            <w:tcW w:w="540" w:type="dxa"/>
            <w:vAlign w:val="bottom"/>
          </w:tcPr>
          <w:p>
            <w:pPr>
              <w:jc w:val="center"/>
              <w:ind w:left="22"/>
              <w:spacing w:after="0" w:line="135" w:lineRule="exact"/>
              <w:rPr>
                <w:sz w:val="20"/>
                <w:szCs w:val="20"/>
                <w:color w:val="auto"/>
              </w:rPr>
            </w:pPr>
            <w:r>
              <w:rPr>
                <w:rFonts w:ascii="Arial" w:cs="Arial" w:eastAsia="Arial" w:hAnsi="Arial"/>
                <w:sz w:val="12"/>
                <w:szCs w:val="12"/>
                <w:b w:val="1"/>
                <w:bCs w:val="1"/>
                <w:color w:val="auto"/>
                <w:w w:val="98"/>
              </w:rPr>
              <w:t>Option</w:t>
            </w:r>
          </w:p>
        </w:tc>
      </w:tr>
      <w:tr>
        <w:trPr>
          <w:trHeight w:val="145"/>
        </w:trPr>
        <w:tc>
          <w:tcPr>
            <w:tcW w:w="600" w:type="dxa"/>
            <w:vAlign w:val="bottom"/>
          </w:tcPr>
          <w:p>
            <w:pPr>
              <w:jc w:val="center"/>
              <w:spacing w:after="0"/>
              <w:rPr>
                <w:sz w:val="20"/>
                <w:szCs w:val="20"/>
                <w:color w:val="auto"/>
              </w:rPr>
            </w:pPr>
            <w:r>
              <w:rPr>
                <w:rFonts w:ascii="Arial" w:cs="Arial" w:eastAsia="Arial" w:hAnsi="Arial"/>
                <w:sz w:val="12"/>
                <w:szCs w:val="12"/>
                <w:b w:val="1"/>
                <w:bCs w:val="1"/>
                <w:color w:val="auto"/>
                <w:w w:val="97"/>
              </w:rPr>
              <w:t>(#) (3)</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7"/>
              </w:rPr>
              <w:t>(#) (4)</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5"/>
              </w:rPr>
              <w:t>($/Sh)</w:t>
            </w:r>
          </w:p>
        </w:tc>
        <w:tc>
          <w:tcPr>
            <w:tcW w:w="540" w:type="dxa"/>
            <w:vAlign w:val="bottom"/>
          </w:tcPr>
          <w:p>
            <w:pPr>
              <w:jc w:val="center"/>
              <w:ind w:left="22"/>
              <w:spacing w:after="0"/>
              <w:rPr>
                <w:sz w:val="20"/>
                <w:szCs w:val="20"/>
                <w:color w:val="auto"/>
              </w:rPr>
            </w:pPr>
            <w:r>
              <w:rPr>
                <w:rFonts w:ascii="Arial" w:cs="Arial" w:eastAsia="Arial" w:hAnsi="Arial"/>
                <w:sz w:val="12"/>
                <w:szCs w:val="12"/>
                <w:b w:val="1"/>
                <w:bCs w:val="1"/>
                <w:color w:val="auto"/>
                <w:w w:val="96"/>
              </w:rPr>
              <w:t>Awards</w:t>
            </w:r>
          </w:p>
        </w:tc>
      </w:tr>
    </w:tbl>
    <w:p>
      <w:pPr>
        <w:spacing w:after="0" w:line="20" w:lineRule="exact"/>
        <w:rPr>
          <w:sz w:val="20"/>
          <w:szCs w:val="20"/>
          <w:color w:val="auto"/>
        </w:rPr>
      </w:pPr>
    </w:p>
    <w:p>
      <w:pPr>
        <w:sectPr>
          <w:pgSz w:w="11900" w:h="16838" w:orient="portrait"/>
          <w:cols w:equalWidth="0" w:num="2">
            <w:col w:w="8540" w:space="100"/>
            <w:col w:w="2600"/>
          </w:cols>
          <w:pgMar w:left="240" w:top="459" w:right="419" w:bottom="1440" w:gutter="0" w:footer="0" w:header="0"/>
          <w:type w:val="continuous"/>
        </w:sectPr>
      </w:pPr>
    </w:p>
    <w:tbl>
      <w:tblPr>
        <w:tblLayout w:type="fixed"/>
        <w:tblInd w:w="20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3160" w:type="dxa"/>
            <w:vAlign w:val="bottom"/>
            <w:shd w:val="clear" w:color="auto" w:fill="CCEEFF"/>
          </w:tcPr>
          <w:p>
            <w:pPr>
              <w:spacing w:after="0" w:line="111" w:lineRule="exact"/>
              <w:rPr>
                <w:sz w:val="20"/>
                <w:szCs w:val="20"/>
                <w:color w:val="auto"/>
              </w:rPr>
            </w:pPr>
            <w:r>
              <w:rPr>
                <w:rFonts w:ascii="Arial" w:cs="Arial" w:eastAsia="Arial" w:hAnsi="Arial"/>
                <w:sz w:val="12"/>
                <w:szCs w:val="12"/>
                <w:color w:val="auto"/>
              </w:rPr>
              <w:t>Philip Mezey</w:t>
            </w:r>
          </w:p>
        </w:tc>
        <w:tc>
          <w:tcPr>
            <w:tcW w:w="680" w:type="dxa"/>
            <w:vAlign w:val="bottom"/>
            <w:tcBorders>
              <w:right w:val="single" w:sz="8" w:color="CCEEFF"/>
            </w:tcBorders>
            <w:gridSpan w:val="2"/>
            <w:shd w:val="clear" w:color="auto" w:fill="CCEEFF"/>
          </w:tcPr>
          <w:p>
            <w:pPr>
              <w:ind w:left="100"/>
              <w:spacing w:after="0" w:line="111"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line="111"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100"/>
              <w:spacing w:after="0" w:line="111" w:lineRule="exact"/>
              <w:rPr>
                <w:sz w:val="20"/>
                <w:szCs w:val="20"/>
                <w:color w:val="auto"/>
              </w:rPr>
            </w:pPr>
            <w:r>
              <w:rPr>
                <w:rFonts w:ascii="Arial" w:cs="Arial" w:eastAsia="Arial" w:hAnsi="Arial"/>
                <w:sz w:val="12"/>
                <w:szCs w:val="12"/>
                <w:color w:val="auto"/>
              </w:rPr>
              <w:t>$257,813</w:t>
            </w:r>
          </w:p>
        </w:tc>
        <w:tc>
          <w:tcPr>
            <w:tcW w:w="700" w:type="dxa"/>
            <w:vAlign w:val="bottom"/>
            <w:gridSpan w:val="2"/>
            <w:shd w:val="clear" w:color="auto" w:fill="CCEEFF"/>
          </w:tcPr>
          <w:p>
            <w:pPr>
              <w:ind w:left="100"/>
              <w:spacing w:after="0" w:line="111" w:lineRule="exact"/>
              <w:rPr>
                <w:sz w:val="20"/>
                <w:szCs w:val="20"/>
                <w:color w:val="auto"/>
              </w:rPr>
            </w:pPr>
            <w:r>
              <w:rPr>
                <w:rFonts w:ascii="Arial" w:cs="Arial" w:eastAsia="Arial" w:hAnsi="Arial"/>
                <w:sz w:val="12"/>
                <w:szCs w:val="12"/>
                <w:color w:val="auto"/>
                <w:w w:val="96"/>
              </w:rPr>
              <w:t>$1,031,250</w:t>
            </w:r>
          </w:p>
        </w:tc>
        <w:tc>
          <w:tcPr>
            <w:tcW w:w="700" w:type="dxa"/>
            <w:vAlign w:val="bottom"/>
            <w:gridSpan w:val="2"/>
            <w:shd w:val="clear" w:color="auto" w:fill="CCEEFF"/>
          </w:tcPr>
          <w:p>
            <w:pPr>
              <w:ind w:left="100"/>
              <w:spacing w:after="0" w:line="111" w:lineRule="exact"/>
              <w:rPr>
                <w:sz w:val="20"/>
                <w:szCs w:val="20"/>
                <w:color w:val="auto"/>
              </w:rPr>
            </w:pPr>
            <w:r>
              <w:rPr>
                <w:rFonts w:ascii="Arial" w:cs="Arial" w:eastAsia="Arial" w:hAnsi="Arial"/>
                <w:sz w:val="12"/>
                <w:szCs w:val="12"/>
                <w:color w:val="auto"/>
                <w:w w:val="96"/>
              </w:rPr>
              <w:t>$1,856,250</w:t>
            </w:r>
          </w:p>
        </w:tc>
        <w:tc>
          <w:tcPr>
            <w:tcW w:w="680" w:type="dxa"/>
            <w:vAlign w:val="bottom"/>
            <w:gridSpan w:val="2"/>
            <w:shd w:val="clear" w:color="auto" w:fill="CCEEFF"/>
          </w:tcPr>
          <w:p>
            <w:pPr>
              <w:ind w:left="100"/>
              <w:spacing w:after="0" w:line="111" w:lineRule="exact"/>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ind w:left="100"/>
              <w:spacing w:after="0" w:line="111"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ind w:left="100"/>
              <w:spacing w:after="0" w:line="111"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100"/>
              <w:spacing w:after="0" w:line="111"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ind w:left="100"/>
              <w:spacing w:after="0" w:line="111" w:lineRule="exact"/>
              <w:rPr>
                <w:sz w:val="20"/>
                <w:szCs w:val="20"/>
                <w:color w:val="auto"/>
              </w:rPr>
            </w:pPr>
            <w:r>
              <w:rPr>
                <w:rFonts w:ascii="Arial" w:cs="Arial" w:eastAsia="Arial" w:hAnsi="Arial"/>
                <w:sz w:val="12"/>
                <w:szCs w:val="12"/>
                <w:color w:val="auto"/>
              </w:rPr>
              <w:t>-</w:t>
            </w:r>
          </w:p>
        </w:tc>
        <w:tc>
          <w:tcPr>
            <w:tcW w:w="640" w:type="dxa"/>
            <w:vAlign w:val="bottom"/>
            <w:tcBorders>
              <w:right w:val="single" w:sz="8" w:color="CCEEFF"/>
            </w:tcBorders>
            <w:gridSpan w:val="2"/>
            <w:shd w:val="clear" w:color="auto" w:fill="CCEEFF"/>
          </w:tcPr>
          <w:p>
            <w:pPr>
              <w:ind w:left="100"/>
              <w:spacing w:after="0" w:line="111"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spacing w:after="0" w:line="111" w:lineRule="exact"/>
              <w:rPr>
                <w:sz w:val="20"/>
                <w:szCs w:val="20"/>
                <w:color w:val="auto"/>
              </w:rPr>
            </w:pPr>
            <w:r>
              <w:rPr>
                <w:rFonts w:ascii="Arial" w:cs="Arial" w:eastAsia="Arial" w:hAnsi="Arial"/>
                <w:sz w:val="12"/>
                <w:szCs w:val="12"/>
                <w:color w:val="auto"/>
              </w:rPr>
              <w:t>-</w:t>
            </w: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w w:val="89"/>
              </w:rPr>
              <w:t>2/22/2018</w:t>
            </w:r>
          </w:p>
        </w:tc>
        <w:tc>
          <w:tcPr>
            <w:tcW w:w="6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93"/>
              </w:rPr>
              <w:t>2/22/2018</w:t>
            </w:r>
          </w:p>
        </w:tc>
        <w:tc>
          <w:tcPr>
            <w:tcW w:w="6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12,987</w:t>
            </w:r>
          </w:p>
        </w:tc>
        <w:tc>
          <w:tcPr>
            <w:tcW w:w="7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40" w:type="dxa"/>
            <w:vAlign w:val="bottom"/>
            <w:tcBorders>
              <w:right w:val="single" w:sz="8" w:color="CCEEFF"/>
            </w:tcBorders>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$899,999</w:t>
            </w: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w w:val="89"/>
              </w:rPr>
              <w:t>2/22/2018</w:t>
            </w:r>
          </w:p>
        </w:tc>
        <w:tc>
          <w:tcPr>
            <w:tcW w:w="6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93"/>
              </w:rPr>
              <w:t>2/22/2018</w:t>
            </w:r>
          </w:p>
        </w:tc>
        <w:tc>
          <w:tcPr>
            <w:tcW w:w="6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36,208</w:t>
            </w:r>
          </w:p>
        </w:tc>
        <w:tc>
          <w:tcPr>
            <w:tcW w:w="640" w:type="dxa"/>
            <w:vAlign w:val="bottom"/>
            <w:tcBorders>
              <w:right w:val="single" w:sz="8" w:color="CCEEFF"/>
            </w:tcBorders>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$69.30</w:t>
            </w:r>
          </w:p>
        </w:tc>
        <w:tc>
          <w:tcPr>
            <w:tcW w:w="6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$899,113</w:t>
            </w: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w w:val="89"/>
              </w:rPr>
              <w:t>2/22/2018</w:t>
            </w:r>
          </w:p>
        </w:tc>
        <w:tc>
          <w:tcPr>
            <w:tcW w:w="6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93"/>
              </w:rPr>
              <w:t>2/22/2018</w:t>
            </w:r>
          </w:p>
        </w:tc>
        <w:tc>
          <w:tcPr>
            <w:tcW w:w="6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9,740</w:t>
            </w:r>
          </w:p>
        </w:tc>
        <w:tc>
          <w:tcPr>
            <w:tcW w:w="4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w w:val="97"/>
              </w:rPr>
              <w:t>25,974</w:t>
            </w:r>
          </w:p>
        </w:tc>
        <w:tc>
          <w:tcPr>
            <w:tcW w:w="64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51,948</w:t>
            </w:r>
          </w:p>
        </w:tc>
        <w:tc>
          <w:tcPr>
            <w:tcW w:w="6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40" w:type="dxa"/>
            <w:vAlign w:val="bottom"/>
            <w:tcBorders>
              <w:right w:val="single" w:sz="8" w:color="CCEEFF"/>
            </w:tcBorders>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6"/>
              </w:rPr>
              <w:t>$789,350 (5)</w:t>
            </w:r>
          </w:p>
        </w:tc>
      </w:tr>
      <w:tr>
        <w:trPr>
          <w:trHeight w:val="245"/>
        </w:trPr>
        <w:tc>
          <w:tcPr>
            <w:tcW w:w="3180" w:type="dxa"/>
            <w:vAlign w:val="bottom"/>
            <w:gridSpan w:val="2"/>
          </w:tcPr>
          <w:p>
            <w:pPr>
              <w:spacing w:after="0"/>
              <w:rPr>
                <w:sz w:val="20"/>
                <w:szCs w:val="20"/>
                <w:color w:val="auto"/>
              </w:rPr>
            </w:pPr>
            <w:r>
              <w:rPr>
                <w:rFonts w:ascii="Arial" w:cs="Arial" w:eastAsia="Arial" w:hAnsi="Arial"/>
                <w:sz w:val="12"/>
                <w:szCs w:val="12"/>
                <w:color w:val="auto"/>
              </w:rPr>
              <w:t>Thomas Deitrich</w:t>
            </w:r>
          </w:p>
        </w:tc>
        <w:tc>
          <w:tcPr>
            <w:tcW w:w="68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21"/>
                <w:szCs w:val="21"/>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color w:val="auto"/>
              </w:rPr>
              <w:t>$137,500</w:t>
            </w:r>
          </w:p>
        </w:tc>
        <w:tc>
          <w:tcPr>
            <w:tcW w:w="700" w:type="dxa"/>
            <w:vAlign w:val="bottom"/>
            <w:gridSpan w:val="2"/>
          </w:tcPr>
          <w:p>
            <w:pPr>
              <w:ind w:left="100"/>
              <w:spacing w:after="0"/>
              <w:rPr>
                <w:sz w:val="20"/>
                <w:szCs w:val="20"/>
                <w:color w:val="auto"/>
              </w:rPr>
            </w:pPr>
            <w:r>
              <w:rPr>
                <w:rFonts w:ascii="Arial" w:cs="Arial" w:eastAsia="Arial" w:hAnsi="Arial"/>
                <w:sz w:val="12"/>
                <w:szCs w:val="12"/>
                <w:color w:val="auto"/>
              </w:rPr>
              <w:t>$550,000</w:t>
            </w:r>
          </w:p>
        </w:tc>
        <w:tc>
          <w:tcPr>
            <w:tcW w:w="700" w:type="dxa"/>
            <w:vAlign w:val="bottom"/>
            <w:gridSpan w:val="2"/>
          </w:tcPr>
          <w:p>
            <w:pPr>
              <w:ind w:left="100"/>
              <w:spacing w:after="0"/>
              <w:rPr>
                <w:sz w:val="20"/>
                <w:szCs w:val="20"/>
                <w:color w:val="auto"/>
              </w:rPr>
            </w:pPr>
            <w:r>
              <w:rPr>
                <w:rFonts w:ascii="Arial" w:cs="Arial" w:eastAsia="Arial" w:hAnsi="Arial"/>
                <w:sz w:val="12"/>
                <w:szCs w:val="12"/>
                <w:color w:val="auto"/>
              </w:rPr>
              <w:t>$990,000</w:t>
            </w:r>
          </w:p>
        </w:tc>
        <w:tc>
          <w:tcPr>
            <w:tcW w:w="68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48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4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4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20"/>
                <w:szCs w:val="20"/>
                <w:color w:val="auto"/>
              </w:rPr>
            </w:pPr>
            <w:r>
              <w:rPr>
                <w:rFonts w:ascii="Arial" w:cs="Arial" w:eastAsia="Arial" w:hAnsi="Arial"/>
                <w:sz w:val="12"/>
                <w:szCs w:val="12"/>
                <w:color w:val="auto"/>
              </w:rPr>
              <w:t>-</w:t>
            </w:r>
          </w:p>
        </w:tc>
      </w:tr>
      <w:tr>
        <w:trPr>
          <w:trHeight w:val="135"/>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280" w:type="dxa"/>
            <w:vAlign w:val="bottom"/>
            <w:gridSpan w:val="3"/>
          </w:tcPr>
          <w:p>
            <w:pPr>
              <w:jc w:val="right"/>
              <w:ind w:right="22"/>
              <w:spacing w:after="0" w:line="135" w:lineRule="exact"/>
              <w:rPr>
                <w:sz w:val="20"/>
                <w:szCs w:val="20"/>
                <w:color w:val="auto"/>
              </w:rPr>
            </w:pPr>
            <w:r>
              <w:rPr>
                <w:rFonts w:ascii="Arial" w:cs="Arial" w:eastAsia="Arial" w:hAnsi="Arial"/>
                <w:sz w:val="12"/>
                <w:szCs w:val="12"/>
                <w:color w:val="auto"/>
              </w:rPr>
              <w:t>2/22/2018 2/22/2018</w:t>
            </w:r>
          </w:p>
        </w:tc>
        <w:tc>
          <w:tcPr>
            <w:tcW w:w="68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w:t>
            </w:r>
          </w:p>
        </w:tc>
        <w:tc>
          <w:tcPr>
            <w:tcW w:w="68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w:t>
            </w:r>
          </w:p>
        </w:tc>
        <w:tc>
          <w:tcPr>
            <w:tcW w:w="48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7,215</w:t>
            </w:r>
          </w:p>
        </w:tc>
        <w:tc>
          <w:tcPr>
            <w:tcW w:w="72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w:t>
            </w:r>
          </w:p>
        </w:tc>
        <w:tc>
          <w:tcPr>
            <w:tcW w:w="680" w:type="dxa"/>
            <w:vAlign w:val="bottom"/>
          </w:tcPr>
          <w:p>
            <w:pPr>
              <w:spacing w:after="0" w:line="135" w:lineRule="exact"/>
              <w:rPr>
                <w:sz w:val="20"/>
                <w:szCs w:val="20"/>
                <w:color w:val="auto"/>
              </w:rPr>
            </w:pPr>
            <w:r>
              <w:rPr>
                <w:rFonts w:ascii="Arial" w:cs="Arial" w:eastAsia="Arial" w:hAnsi="Arial"/>
                <w:sz w:val="12"/>
                <w:szCs w:val="12"/>
                <w:color w:val="auto"/>
              </w:rPr>
              <w:t>$500,000</w:t>
            </w:r>
          </w:p>
        </w:tc>
      </w:tr>
      <w:tr>
        <w:trPr>
          <w:trHeight w:val="135"/>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280" w:type="dxa"/>
            <w:vAlign w:val="bottom"/>
            <w:gridSpan w:val="3"/>
          </w:tcPr>
          <w:p>
            <w:pPr>
              <w:jc w:val="right"/>
              <w:ind w:right="22"/>
              <w:spacing w:after="0" w:line="135" w:lineRule="exact"/>
              <w:rPr>
                <w:sz w:val="20"/>
                <w:szCs w:val="20"/>
                <w:color w:val="auto"/>
              </w:rPr>
            </w:pPr>
            <w:r>
              <w:rPr>
                <w:rFonts w:ascii="Arial" w:cs="Arial" w:eastAsia="Arial" w:hAnsi="Arial"/>
                <w:sz w:val="12"/>
                <w:szCs w:val="12"/>
                <w:color w:val="auto"/>
              </w:rPr>
              <w:t>2/22/2018 2/22/2018</w:t>
            </w:r>
          </w:p>
        </w:tc>
        <w:tc>
          <w:tcPr>
            <w:tcW w:w="68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w:t>
            </w:r>
          </w:p>
        </w:tc>
        <w:tc>
          <w:tcPr>
            <w:tcW w:w="68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w:t>
            </w:r>
          </w:p>
        </w:tc>
        <w:tc>
          <w:tcPr>
            <w:tcW w:w="48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20,116</w:t>
            </w:r>
          </w:p>
        </w:tc>
        <w:tc>
          <w:tcPr>
            <w:tcW w:w="64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$69.30</w:t>
            </w:r>
          </w:p>
        </w:tc>
        <w:tc>
          <w:tcPr>
            <w:tcW w:w="680" w:type="dxa"/>
            <w:vAlign w:val="bottom"/>
          </w:tcPr>
          <w:p>
            <w:pPr>
              <w:spacing w:after="0" w:line="135" w:lineRule="exact"/>
              <w:rPr>
                <w:sz w:val="20"/>
                <w:szCs w:val="20"/>
                <w:color w:val="auto"/>
              </w:rPr>
            </w:pPr>
            <w:r>
              <w:rPr>
                <w:rFonts w:ascii="Arial" w:cs="Arial" w:eastAsia="Arial" w:hAnsi="Arial"/>
                <w:sz w:val="12"/>
                <w:szCs w:val="12"/>
                <w:color w:val="auto"/>
              </w:rPr>
              <w:t>$499,518</w:t>
            </w:r>
          </w:p>
        </w:tc>
      </w:tr>
      <w:tr>
        <w:trPr>
          <w:trHeight w:val="140"/>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280" w:type="dxa"/>
            <w:vAlign w:val="bottom"/>
            <w:gridSpan w:val="3"/>
          </w:tcPr>
          <w:p>
            <w:pPr>
              <w:jc w:val="right"/>
              <w:ind w:right="22"/>
              <w:spacing w:after="0"/>
              <w:rPr>
                <w:sz w:val="20"/>
                <w:szCs w:val="20"/>
                <w:color w:val="auto"/>
              </w:rPr>
            </w:pPr>
            <w:r>
              <w:rPr>
                <w:rFonts w:ascii="Arial" w:cs="Arial" w:eastAsia="Arial" w:hAnsi="Arial"/>
                <w:sz w:val="12"/>
                <w:szCs w:val="12"/>
                <w:color w:val="auto"/>
              </w:rPr>
              <w:t>2/22/2018 2/22/2018</w:t>
            </w:r>
          </w:p>
        </w:tc>
        <w:tc>
          <w:tcPr>
            <w:tcW w:w="68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70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70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80" w:type="dxa"/>
            <w:vAlign w:val="bottom"/>
            <w:gridSpan w:val="2"/>
          </w:tcPr>
          <w:p>
            <w:pPr>
              <w:ind w:left="100"/>
              <w:spacing w:after="0"/>
              <w:rPr>
                <w:sz w:val="20"/>
                <w:szCs w:val="20"/>
                <w:color w:val="auto"/>
              </w:rPr>
            </w:pPr>
            <w:r>
              <w:rPr>
                <w:rFonts w:ascii="Arial" w:cs="Arial" w:eastAsia="Arial" w:hAnsi="Arial"/>
                <w:sz w:val="12"/>
                <w:szCs w:val="12"/>
                <w:color w:val="auto"/>
              </w:rPr>
              <w:t>5,411</w:t>
            </w:r>
          </w:p>
        </w:tc>
        <w:tc>
          <w:tcPr>
            <w:tcW w:w="480" w:type="dxa"/>
            <w:vAlign w:val="bottom"/>
            <w:gridSpan w:val="2"/>
          </w:tcPr>
          <w:p>
            <w:pPr>
              <w:ind w:left="100"/>
              <w:spacing w:after="0"/>
              <w:rPr>
                <w:sz w:val="20"/>
                <w:szCs w:val="20"/>
                <w:color w:val="auto"/>
              </w:rPr>
            </w:pPr>
            <w:r>
              <w:rPr>
                <w:rFonts w:ascii="Arial" w:cs="Arial" w:eastAsia="Arial" w:hAnsi="Arial"/>
                <w:sz w:val="12"/>
                <w:szCs w:val="12"/>
                <w:color w:val="auto"/>
                <w:w w:val="97"/>
              </w:rPr>
              <w:t>14,430</w:t>
            </w:r>
          </w:p>
        </w:tc>
        <w:tc>
          <w:tcPr>
            <w:tcW w:w="640" w:type="dxa"/>
            <w:vAlign w:val="bottom"/>
            <w:gridSpan w:val="2"/>
          </w:tcPr>
          <w:p>
            <w:pPr>
              <w:ind w:left="100"/>
              <w:spacing w:after="0"/>
              <w:rPr>
                <w:sz w:val="20"/>
                <w:szCs w:val="20"/>
                <w:color w:val="auto"/>
              </w:rPr>
            </w:pPr>
            <w:r>
              <w:rPr>
                <w:rFonts w:ascii="Arial" w:cs="Arial" w:eastAsia="Arial" w:hAnsi="Arial"/>
                <w:sz w:val="12"/>
                <w:szCs w:val="12"/>
                <w:color w:val="auto"/>
              </w:rPr>
              <w:t>28,860</w:t>
            </w:r>
          </w:p>
        </w:tc>
        <w:tc>
          <w:tcPr>
            <w:tcW w:w="6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4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20"/>
                <w:szCs w:val="20"/>
                <w:color w:val="auto"/>
              </w:rPr>
            </w:pPr>
            <w:r>
              <w:rPr>
                <w:rFonts w:ascii="Arial" w:cs="Arial" w:eastAsia="Arial" w:hAnsi="Arial"/>
                <w:sz w:val="12"/>
                <w:szCs w:val="12"/>
                <w:color w:val="auto"/>
                <w:w w:val="96"/>
              </w:rPr>
              <w:t>$438,528 (5)</w:t>
            </w:r>
          </w:p>
        </w:tc>
      </w:tr>
      <w:tr>
        <w:trPr>
          <w:trHeight w:val="101"/>
        </w:trPr>
        <w:tc>
          <w:tcPr>
            <w:tcW w:w="3180" w:type="dxa"/>
            <w:vAlign w:val="bottom"/>
            <w:gridSpan w:val="2"/>
          </w:tcPr>
          <w:p>
            <w:pPr>
              <w:spacing w:after="0"/>
              <w:rPr>
                <w:sz w:val="8"/>
                <w:szCs w:val="8"/>
                <w:color w:val="auto"/>
              </w:rPr>
            </w:pPr>
          </w:p>
        </w:tc>
        <w:tc>
          <w:tcPr>
            <w:tcW w:w="680" w:type="dxa"/>
            <w:vAlign w:val="bottom"/>
            <w:gridSpan w:val="2"/>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Joan Hooper</w:t>
            </w:r>
          </w:p>
        </w:tc>
        <w:tc>
          <w:tcPr>
            <w:tcW w:w="680" w:type="dxa"/>
            <w:vAlign w:val="bottom"/>
            <w:tcBorders>
              <w:right w:val="single" w:sz="8" w:color="CCEEFF"/>
            </w:tcBorders>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$90,938</w:t>
            </w:r>
          </w:p>
        </w:tc>
        <w:tc>
          <w:tcPr>
            <w:tcW w:w="7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$363,750</w:t>
            </w:r>
          </w:p>
        </w:tc>
        <w:tc>
          <w:tcPr>
            <w:tcW w:w="7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$654,750</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40" w:type="dxa"/>
            <w:vAlign w:val="bottom"/>
            <w:tcBorders>
              <w:right w:val="single" w:sz="8" w:color="CCEEFF"/>
            </w:tcBorders>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w:t>
            </w: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w w:val="89"/>
              </w:rPr>
              <w:t>2/22/2018</w:t>
            </w:r>
          </w:p>
        </w:tc>
        <w:tc>
          <w:tcPr>
            <w:tcW w:w="6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93"/>
              </w:rPr>
              <w:t>2/22/2018</w:t>
            </w:r>
          </w:p>
        </w:tc>
        <w:tc>
          <w:tcPr>
            <w:tcW w:w="6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3,607</w:t>
            </w:r>
          </w:p>
        </w:tc>
        <w:tc>
          <w:tcPr>
            <w:tcW w:w="7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40" w:type="dxa"/>
            <w:vAlign w:val="bottom"/>
            <w:tcBorders>
              <w:right w:val="single" w:sz="8" w:color="CCEEFF"/>
            </w:tcBorders>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$249,965</w:t>
            </w: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w w:val="89"/>
              </w:rPr>
              <w:t>2/22/2018</w:t>
            </w:r>
          </w:p>
        </w:tc>
        <w:tc>
          <w:tcPr>
            <w:tcW w:w="6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93"/>
              </w:rPr>
              <w:t>2/22/2018</w:t>
            </w:r>
          </w:p>
        </w:tc>
        <w:tc>
          <w:tcPr>
            <w:tcW w:w="6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10,058</w:t>
            </w:r>
          </w:p>
        </w:tc>
        <w:tc>
          <w:tcPr>
            <w:tcW w:w="640" w:type="dxa"/>
            <w:vAlign w:val="bottom"/>
            <w:tcBorders>
              <w:right w:val="single" w:sz="8" w:color="CCEEFF"/>
            </w:tcBorders>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$69.30</w:t>
            </w:r>
          </w:p>
        </w:tc>
        <w:tc>
          <w:tcPr>
            <w:tcW w:w="6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$249,759</w:t>
            </w: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w w:val="89"/>
              </w:rPr>
              <w:t>2/22/2018</w:t>
            </w:r>
          </w:p>
        </w:tc>
        <w:tc>
          <w:tcPr>
            <w:tcW w:w="6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93"/>
              </w:rPr>
              <w:t>2/22/2018</w:t>
            </w:r>
          </w:p>
        </w:tc>
        <w:tc>
          <w:tcPr>
            <w:tcW w:w="6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2,706</w:t>
            </w:r>
          </w:p>
        </w:tc>
        <w:tc>
          <w:tcPr>
            <w:tcW w:w="4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7,215</w:t>
            </w:r>
          </w:p>
        </w:tc>
        <w:tc>
          <w:tcPr>
            <w:tcW w:w="64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14,430</w:t>
            </w:r>
          </w:p>
        </w:tc>
        <w:tc>
          <w:tcPr>
            <w:tcW w:w="6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40" w:type="dxa"/>
            <w:vAlign w:val="bottom"/>
            <w:tcBorders>
              <w:right w:val="single" w:sz="8" w:color="CCEEFF"/>
            </w:tcBorders>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6"/>
              </w:rPr>
              <w:t>$219,264 (5)</w:t>
            </w: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5/9/2018</w:t>
            </w:r>
          </w:p>
        </w:tc>
        <w:tc>
          <w:tcPr>
            <w:tcW w:w="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5/9/2018</w:t>
            </w:r>
          </w:p>
        </w:tc>
        <w:tc>
          <w:tcPr>
            <w:tcW w:w="6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3,717</w:t>
            </w:r>
          </w:p>
        </w:tc>
        <w:tc>
          <w:tcPr>
            <w:tcW w:w="7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40" w:type="dxa"/>
            <w:vAlign w:val="bottom"/>
            <w:tcBorders>
              <w:right w:val="single" w:sz="8" w:color="CCEEFF"/>
            </w:tcBorders>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$249,968</w:t>
            </w:r>
          </w:p>
        </w:tc>
      </w:tr>
      <w:tr>
        <w:trPr>
          <w:trHeight w:val="245"/>
        </w:trPr>
        <w:tc>
          <w:tcPr>
            <w:tcW w:w="3180" w:type="dxa"/>
            <w:vAlign w:val="bottom"/>
            <w:gridSpan w:val="2"/>
          </w:tcPr>
          <w:p>
            <w:pPr>
              <w:spacing w:after="0"/>
              <w:rPr>
                <w:sz w:val="20"/>
                <w:szCs w:val="20"/>
                <w:color w:val="auto"/>
              </w:rPr>
            </w:pPr>
            <w:r>
              <w:rPr>
                <w:rFonts w:ascii="Arial" w:cs="Arial" w:eastAsia="Arial" w:hAnsi="Arial"/>
                <w:sz w:val="12"/>
                <w:szCs w:val="12"/>
                <w:color w:val="auto"/>
              </w:rPr>
              <w:t>Sarah Hlavinka</w:t>
            </w:r>
          </w:p>
        </w:tc>
        <w:tc>
          <w:tcPr>
            <w:tcW w:w="68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20"/>
                <w:szCs w:val="20"/>
                <w:color w:val="auto"/>
              </w:rPr>
            </w:pPr>
            <w:r>
              <w:rPr>
                <w:rFonts w:ascii="Arial" w:cs="Arial" w:eastAsia="Arial" w:hAnsi="Arial"/>
                <w:sz w:val="12"/>
                <w:szCs w:val="12"/>
                <w:color w:val="auto"/>
              </w:rPr>
              <w:t>-</w:t>
            </w:r>
          </w:p>
        </w:tc>
        <w:tc>
          <w:tcPr>
            <w:tcW w:w="680" w:type="dxa"/>
            <w:vAlign w:val="bottom"/>
            <w:gridSpan w:val="2"/>
          </w:tcPr>
          <w:p>
            <w:pPr>
              <w:ind w:left="100"/>
              <w:spacing w:after="0"/>
              <w:rPr>
                <w:sz w:val="20"/>
                <w:szCs w:val="20"/>
                <w:color w:val="auto"/>
              </w:rPr>
            </w:pPr>
            <w:r>
              <w:rPr>
                <w:rFonts w:ascii="Arial" w:cs="Arial" w:eastAsia="Arial" w:hAnsi="Arial"/>
                <w:sz w:val="12"/>
                <w:szCs w:val="12"/>
                <w:color w:val="auto"/>
              </w:rPr>
              <w:t>$35,787</w:t>
            </w:r>
          </w:p>
        </w:tc>
        <w:tc>
          <w:tcPr>
            <w:tcW w:w="700" w:type="dxa"/>
            <w:vAlign w:val="bottom"/>
            <w:gridSpan w:val="2"/>
          </w:tcPr>
          <w:p>
            <w:pPr>
              <w:ind w:left="100"/>
              <w:spacing w:after="0"/>
              <w:rPr>
                <w:sz w:val="20"/>
                <w:szCs w:val="20"/>
                <w:color w:val="auto"/>
              </w:rPr>
            </w:pPr>
            <w:r>
              <w:rPr>
                <w:rFonts w:ascii="Arial" w:cs="Arial" w:eastAsia="Arial" w:hAnsi="Arial"/>
                <w:sz w:val="12"/>
                <w:szCs w:val="12"/>
                <w:color w:val="auto"/>
              </w:rPr>
              <w:t>$143,149</w:t>
            </w:r>
          </w:p>
        </w:tc>
        <w:tc>
          <w:tcPr>
            <w:tcW w:w="700" w:type="dxa"/>
            <w:vAlign w:val="bottom"/>
            <w:gridSpan w:val="2"/>
          </w:tcPr>
          <w:p>
            <w:pPr>
              <w:ind w:left="100"/>
              <w:spacing w:after="0"/>
              <w:rPr>
                <w:sz w:val="20"/>
                <w:szCs w:val="20"/>
                <w:color w:val="auto"/>
              </w:rPr>
            </w:pPr>
            <w:r>
              <w:rPr>
                <w:rFonts w:ascii="Arial" w:cs="Arial" w:eastAsia="Arial" w:hAnsi="Arial"/>
                <w:sz w:val="12"/>
                <w:szCs w:val="12"/>
                <w:color w:val="auto"/>
              </w:rPr>
              <w:t>$257,668</w:t>
            </w:r>
          </w:p>
        </w:tc>
        <w:tc>
          <w:tcPr>
            <w:tcW w:w="68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48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4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4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20"/>
                <w:szCs w:val="20"/>
                <w:color w:val="auto"/>
              </w:rPr>
            </w:pPr>
            <w:r>
              <w:rPr>
                <w:rFonts w:ascii="Arial" w:cs="Arial" w:eastAsia="Arial" w:hAnsi="Arial"/>
                <w:sz w:val="12"/>
                <w:szCs w:val="12"/>
                <w:color w:val="auto"/>
              </w:rPr>
              <w:t>-</w:t>
            </w:r>
          </w:p>
        </w:tc>
      </w:tr>
      <w:tr>
        <w:trPr>
          <w:trHeight w:val="135"/>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680" w:type="dxa"/>
            <w:vAlign w:val="bottom"/>
            <w:gridSpan w:val="2"/>
          </w:tcPr>
          <w:p>
            <w:pPr>
              <w:jc w:val="right"/>
              <w:ind w:right="2"/>
              <w:spacing w:after="0" w:line="135" w:lineRule="exact"/>
              <w:rPr>
                <w:sz w:val="20"/>
                <w:szCs w:val="20"/>
                <w:color w:val="auto"/>
              </w:rPr>
            </w:pPr>
            <w:r>
              <w:rPr>
                <w:rFonts w:ascii="Arial" w:cs="Arial" w:eastAsia="Arial" w:hAnsi="Arial"/>
                <w:sz w:val="12"/>
                <w:szCs w:val="12"/>
                <w:color w:val="auto"/>
              </w:rPr>
              <w:t>9/12/2018</w:t>
            </w:r>
          </w:p>
        </w:tc>
        <w:tc>
          <w:tcPr>
            <w:tcW w:w="60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3"/>
              </w:rPr>
              <w:t>9/12/2018</w:t>
            </w:r>
          </w:p>
        </w:tc>
        <w:tc>
          <w:tcPr>
            <w:tcW w:w="68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w:t>
            </w:r>
          </w:p>
        </w:tc>
        <w:tc>
          <w:tcPr>
            <w:tcW w:w="68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w:t>
            </w:r>
          </w:p>
        </w:tc>
        <w:tc>
          <w:tcPr>
            <w:tcW w:w="48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3,016</w:t>
            </w:r>
          </w:p>
        </w:tc>
        <w:tc>
          <w:tcPr>
            <w:tcW w:w="72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w:t>
            </w:r>
          </w:p>
        </w:tc>
        <w:tc>
          <w:tcPr>
            <w:tcW w:w="680" w:type="dxa"/>
            <w:vAlign w:val="bottom"/>
          </w:tcPr>
          <w:p>
            <w:pPr>
              <w:spacing w:after="0" w:line="135" w:lineRule="exact"/>
              <w:rPr>
                <w:sz w:val="20"/>
                <w:szCs w:val="20"/>
                <w:color w:val="auto"/>
              </w:rPr>
            </w:pPr>
            <w:r>
              <w:rPr>
                <w:rFonts w:ascii="Arial" w:cs="Arial" w:eastAsia="Arial" w:hAnsi="Arial"/>
                <w:sz w:val="12"/>
                <w:szCs w:val="12"/>
                <w:color w:val="auto"/>
              </w:rPr>
              <w:t>$199,961</w:t>
            </w:r>
          </w:p>
        </w:tc>
      </w:tr>
      <w:tr>
        <w:trPr>
          <w:trHeight w:val="135"/>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680" w:type="dxa"/>
            <w:vAlign w:val="bottom"/>
            <w:gridSpan w:val="2"/>
          </w:tcPr>
          <w:p>
            <w:pPr>
              <w:jc w:val="right"/>
              <w:ind w:right="2"/>
              <w:spacing w:after="0" w:line="135" w:lineRule="exact"/>
              <w:rPr>
                <w:sz w:val="20"/>
                <w:szCs w:val="20"/>
                <w:color w:val="auto"/>
              </w:rPr>
            </w:pPr>
            <w:r>
              <w:rPr>
                <w:rFonts w:ascii="Arial" w:cs="Arial" w:eastAsia="Arial" w:hAnsi="Arial"/>
                <w:sz w:val="12"/>
                <w:szCs w:val="12"/>
                <w:color w:val="auto"/>
              </w:rPr>
              <w:t>9/12/2018</w:t>
            </w:r>
          </w:p>
        </w:tc>
        <w:tc>
          <w:tcPr>
            <w:tcW w:w="60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3"/>
              </w:rPr>
              <w:t>9/12/2018</w:t>
            </w:r>
          </w:p>
        </w:tc>
        <w:tc>
          <w:tcPr>
            <w:tcW w:w="68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w:t>
            </w:r>
          </w:p>
        </w:tc>
        <w:tc>
          <w:tcPr>
            <w:tcW w:w="68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w:t>
            </w:r>
          </w:p>
        </w:tc>
        <w:tc>
          <w:tcPr>
            <w:tcW w:w="48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7,541</w:t>
            </w:r>
          </w:p>
        </w:tc>
        <w:tc>
          <w:tcPr>
            <w:tcW w:w="72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w:t>
            </w:r>
          </w:p>
        </w:tc>
        <w:tc>
          <w:tcPr>
            <w:tcW w:w="680" w:type="dxa"/>
            <w:vAlign w:val="bottom"/>
          </w:tcPr>
          <w:p>
            <w:pPr>
              <w:spacing w:after="0" w:line="135" w:lineRule="exact"/>
              <w:rPr>
                <w:sz w:val="20"/>
                <w:szCs w:val="20"/>
                <w:color w:val="auto"/>
              </w:rPr>
            </w:pPr>
            <w:r>
              <w:rPr>
                <w:rFonts w:ascii="Arial" w:cs="Arial" w:eastAsia="Arial" w:hAnsi="Arial"/>
                <w:sz w:val="12"/>
                <w:szCs w:val="12"/>
                <w:color w:val="auto"/>
              </w:rPr>
              <w:t>$499,968</w:t>
            </w:r>
          </w:p>
        </w:tc>
      </w:tr>
      <w:tr>
        <w:trPr>
          <w:trHeight w:val="135"/>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680" w:type="dxa"/>
            <w:vAlign w:val="bottom"/>
            <w:gridSpan w:val="2"/>
          </w:tcPr>
          <w:p>
            <w:pPr>
              <w:jc w:val="right"/>
              <w:ind w:right="2"/>
              <w:spacing w:after="0" w:line="135" w:lineRule="exact"/>
              <w:rPr>
                <w:sz w:val="20"/>
                <w:szCs w:val="20"/>
                <w:color w:val="auto"/>
              </w:rPr>
            </w:pPr>
            <w:r>
              <w:rPr>
                <w:rFonts w:ascii="Arial" w:cs="Arial" w:eastAsia="Arial" w:hAnsi="Arial"/>
                <w:sz w:val="12"/>
                <w:szCs w:val="12"/>
                <w:color w:val="auto"/>
              </w:rPr>
              <w:t>9/12/2018</w:t>
            </w:r>
          </w:p>
        </w:tc>
        <w:tc>
          <w:tcPr>
            <w:tcW w:w="60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3"/>
              </w:rPr>
              <w:t>9/12/2018</w:t>
            </w:r>
          </w:p>
        </w:tc>
        <w:tc>
          <w:tcPr>
            <w:tcW w:w="68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w:t>
            </w:r>
          </w:p>
        </w:tc>
        <w:tc>
          <w:tcPr>
            <w:tcW w:w="68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w:t>
            </w:r>
          </w:p>
        </w:tc>
        <w:tc>
          <w:tcPr>
            <w:tcW w:w="48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8,800</w:t>
            </w:r>
          </w:p>
        </w:tc>
        <w:tc>
          <w:tcPr>
            <w:tcW w:w="64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$66.30</w:t>
            </w:r>
          </w:p>
        </w:tc>
        <w:tc>
          <w:tcPr>
            <w:tcW w:w="680" w:type="dxa"/>
            <w:vAlign w:val="bottom"/>
          </w:tcPr>
          <w:p>
            <w:pPr>
              <w:spacing w:after="0" w:line="135" w:lineRule="exact"/>
              <w:rPr>
                <w:sz w:val="20"/>
                <w:szCs w:val="20"/>
                <w:color w:val="auto"/>
              </w:rPr>
            </w:pPr>
            <w:r>
              <w:rPr>
                <w:rFonts w:ascii="Arial" w:cs="Arial" w:eastAsia="Arial" w:hAnsi="Arial"/>
                <w:sz w:val="12"/>
                <w:szCs w:val="12"/>
                <w:color w:val="auto"/>
              </w:rPr>
              <w:t>$199,994</w:t>
            </w:r>
          </w:p>
        </w:tc>
      </w:tr>
      <w:tr>
        <w:trPr>
          <w:trHeight w:val="140"/>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280" w:type="dxa"/>
            <w:vAlign w:val="bottom"/>
            <w:gridSpan w:val="3"/>
          </w:tcPr>
          <w:p>
            <w:pPr>
              <w:jc w:val="right"/>
              <w:ind w:right="22"/>
              <w:spacing w:after="0"/>
              <w:rPr>
                <w:sz w:val="20"/>
                <w:szCs w:val="20"/>
                <w:color w:val="auto"/>
              </w:rPr>
            </w:pPr>
            <w:r>
              <w:rPr>
                <w:rFonts w:ascii="Arial" w:cs="Arial" w:eastAsia="Arial" w:hAnsi="Arial"/>
                <w:sz w:val="12"/>
                <w:szCs w:val="12"/>
                <w:color w:val="auto"/>
              </w:rPr>
              <w:t>9/12/2018 9/12/2018</w:t>
            </w:r>
          </w:p>
        </w:tc>
        <w:tc>
          <w:tcPr>
            <w:tcW w:w="68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70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70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80" w:type="dxa"/>
            <w:vAlign w:val="bottom"/>
            <w:gridSpan w:val="2"/>
          </w:tcPr>
          <w:p>
            <w:pPr>
              <w:ind w:left="100"/>
              <w:spacing w:after="0"/>
              <w:rPr>
                <w:sz w:val="20"/>
                <w:szCs w:val="20"/>
                <w:color w:val="auto"/>
              </w:rPr>
            </w:pPr>
            <w:r>
              <w:rPr>
                <w:rFonts w:ascii="Arial" w:cs="Arial" w:eastAsia="Arial" w:hAnsi="Arial"/>
                <w:sz w:val="12"/>
                <w:szCs w:val="12"/>
                <w:color w:val="auto"/>
              </w:rPr>
              <w:t>2,262</w:t>
            </w:r>
          </w:p>
        </w:tc>
        <w:tc>
          <w:tcPr>
            <w:tcW w:w="480" w:type="dxa"/>
            <w:vAlign w:val="bottom"/>
            <w:gridSpan w:val="2"/>
          </w:tcPr>
          <w:p>
            <w:pPr>
              <w:ind w:left="100"/>
              <w:spacing w:after="0"/>
              <w:rPr>
                <w:sz w:val="20"/>
                <w:szCs w:val="20"/>
                <w:color w:val="auto"/>
              </w:rPr>
            </w:pPr>
            <w:r>
              <w:rPr>
                <w:rFonts w:ascii="Arial" w:cs="Arial" w:eastAsia="Arial" w:hAnsi="Arial"/>
                <w:sz w:val="12"/>
                <w:szCs w:val="12"/>
                <w:color w:val="auto"/>
              </w:rPr>
              <w:t>6,033</w:t>
            </w:r>
          </w:p>
        </w:tc>
        <w:tc>
          <w:tcPr>
            <w:tcW w:w="640" w:type="dxa"/>
            <w:vAlign w:val="bottom"/>
            <w:gridSpan w:val="2"/>
          </w:tcPr>
          <w:p>
            <w:pPr>
              <w:ind w:left="100"/>
              <w:spacing w:after="0"/>
              <w:rPr>
                <w:sz w:val="20"/>
                <w:szCs w:val="20"/>
                <w:color w:val="auto"/>
              </w:rPr>
            </w:pPr>
            <w:r>
              <w:rPr>
                <w:rFonts w:ascii="Arial" w:cs="Arial" w:eastAsia="Arial" w:hAnsi="Arial"/>
                <w:sz w:val="12"/>
                <w:szCs w:val="12"/>
                <w:color w:val="auto"/>
              </w:rPr>
              <w:t>12,066</w:t>
            </w:r>
          </w:p>
        </w:tc>
        <w:tc>
          <w:tcPr>
            <w:tcW w:w="6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4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20"/>
                <w:szCs w:val="20"/>
                <w:color w:val="auto"/>
              </w:rPr>
            </w:pPr>
            <w:r>
              <w:rPr>
                <w:rFonts w:ascii="Arial" w:cs="Arial" w:eastAsia="Arial" w:hAnsi="Arial"/>
                <w:sz w:val="12"/>
                <w:szCs w:val="12"/>
                <w:color w:val="auto"/>
                <w:w w:val="96"/>
              </w:rPr>
              <w:t>$175,406 (5)</w:t>
            </w:r>
          </w:p>
        </w:tc>
      </w:tr>
      <w:tr>
        <w:trPr>
          <w:trHeight w:val="101"/>
        </w:trPr>
        <w:tc>
          <w:tcPr>
            <w:tcW w:w="3180" w:type="dxa"/>
            <w:vAlign w:val="bottom"/>
            <w:gridSpan w:val="2"/>
          </w:tcPr>
          <w:p>
            <w:pPr>
              <w:spacing w:after="0"/>
              <w:rPr>
                <w:sz w:val="8"/>
                <w:szCs w:val="8"/>
                <w:color w:val="auto"/>
              </w:rPr>
            </w:pPr>
          </w:p>
        </w:tc>
        <w:tc>
          <w:tcPr>
            <w:tcW w:w="680" w:type="dxa"/>
            <w:vAlign w:val="bottom"/>
            <w:gridSpan w:val="2"/>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Michel Cadieux</w:t>
            </w:r>
          </w:p>
        </w:tc>
        <w:tc>
          <w:tcPr>
            <w:tcW w:w="680" w:type="dxa"/>
            <w:vAlign w:val="bottom"/>
            <w:tcBorders>
              <w:right w:val="single" w:sz="8" w:color="CCEEFF"/>
            </w:tcBorders>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$75,000</w:t>
            </w:r>
          </w:p>
        </w:tc>
        <w:tc>
          <w:tcPr>
            <w:tcW w:w="7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$300,000</w:t>
            </w:r>
          </w:p>
        </w:tc>
        <w:tc>
          <w:tcPr>
            <w:tcW w:w="7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$540,000</w:t>
            </w:r>
          </w:p>
        </w:tc>
        <w:tc>
          <w:tcPr>
            <w:tcW w:w="6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40" w:type="dxa"/>
            <w:vAlign w:val="bottom"/>
            <w:tcBorders>
              <w:right w:val="single" w:sz="8" w:color="CCEEFF"/>
            </w:tcBorders>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w:t>
            </w: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96"/>
              </w:rPr>
              <w:t>2/22/2018 2/22/2018</w:t>
            </w:r>
          </w:p>
        </w:tc>
        <w:tc>
          <w:tcPr>
            <w:tcW w:w="6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2,886</w:t>
            </w:r>
          </w:p>
        </w:tc>
        <w:tc>
          <w:tcPr>
            <w:tcW w:w="7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40" w:type="dxa"/>
            <w:vAlign w:val="bottom"/>
            <w:tcBorders>
              <w:right w:val="single" w:sz="8" w:color="CCEEFF"/>
            </w:tcBorders>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$200,000</w:t>
            </w: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w w:val="89"/>
              </w:rPr>
              <w:t>2/22/2018</w:t>
            </w:r>
          </w:p>
        </w:tc>
        <w:tc>
          <w:tcPr>
            <w:tcW w:w="6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93"/>
              </w:rPr>
              <w:t>2/22/2018</w:t>
            </w:r>
          </w:p>
        </w:tc>
        <w:tc>
          <w:tcPr>
            <w:tcW w:w="6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8,046</w:t>
            </w:r>
          </w:p>
        </w:tc>
        <w:tc>
          <w:tcPr>
            <w:tcW w:w="640" w:type="dxa"/>
            <w:vAlign w:val="bottom"/>
            <w:tcBorders>
              <w:right w:val="single" w:sz="8" w:color="CCEEFF"/>
            </w:tcBorders>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$69.30</w:t>
            </w:r>
          </w:p>
        </w:tc>
        <w:tc>
          <w:tcPr>
            <w:tcW w:w="6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$199,797</w:t>
            </w: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w w:val="89"/>
              </w:rPr>
              <w:t>2/22/2018</w:t>
            </w:r>
          </w:p>
        </w:tc>
        <w:tc>
          <w:tcPr>
            <w:tcW w:w="6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93"/>
              </w:rPr>
              <w:t>2/22/2018</w:t>
            </w:r>
          </w:p>
        </w:tc>
        <w:tc>
          <w:tcPr>
            <w:tcW w:w="6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2,165</w:t>
            </w:r>
          </w:p>
        </w:tc>
        <w:tc>
          <w:tcPr>
            <w:tcW w:w="4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5,772</w:t>
            </w:r>
          </w:p>
        </w:tc>
        <w:tc>
          <w:tcPr>
            <w:tcW w:w="64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11,544</w:t>
            </w:r>
          </w:p>
        </w:tc>
        <w:tc>
          <w:tcPr>
            <w:tcW w:w="6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40" w:type="dxa"/>
            <w:vAlign w:val="bottom"/>
            <w:tcBorders>
              <w:right w:val="single" w:sz="8" w:color="CCEEFF"/>
            </w:tcBorders>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6"/>
              </w:rPr>
              <w:t>$175,411 (5)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240030</wp:posOffset>
            </wp:positionV>
            <wp:extent cx="7632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740" w:right="180" w:hanging="428"/>
        <w:spacing w:after="0" w:line="241" w:lineRule="auto"/>
        <w:tabs>
          <w:tab w:leader="none" w:pos="7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threshold, target and maximum opportunity under the Company’s annual incentive program for fiscal 2018. Our annual incentive program is discussed under the caption “Annual Cash Incentives - The Executive Management Incentive Plan (EMIP)” in the CD&amp;A.</w:t>
      </w:r>
    </w:p>
    <w:p>
      <w:pPr>
        <w:ind w:left="740" w:right="300" w:hanging="428"/>
        <w:spacing w:after="0" w:line="241" w:lineRule="auto"/>
        <w:tabs>
          <w:tab w:leader="none" w:pos="7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range of possible PRSU payouts for the three-year performance cycle beginning in 2018; earned PRSU awards are paid in Itron common stock. Our PRSUs are discussed under the caption “A Closer Look at Performance-Based Restricted Stock Units (PRSUs)” in the CD&amp;A.</w:t>
      </w:r>
    </w:p>
    <w:p>
      <w:pPr>
        <w:ind w:left="740" w:hanging="428"/>
        <w:spacing w:after="0"/>
        <w:tabs>
          <w:tab w:leader="none" w:pos="7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Amounts shown in this column reflect the number of time-vested RSUs granted under our 2010 SIP.</w:t>
      </w:r>
    </w:p>
    <w:p>
      <w:pPr>
        <w:spacing w:after="0" w:line="1" w:lineRule="exact"/>
        <w:rPr>
          <w:rFonts w:ascii="Arial" w:cs="Arial" w:eastAsia="Arial" w:hAnsi="Arial"/>
          <w:sz w:val="14"/>
          <w:szCs w:val="14"/>
          <w:color w:val="auto"/>
        </w:rPr>
      </w:pPr>
    </w:p>
    <w:p>
      <w:pPr>
        <w:ind w:left="740" w:hanging="428"/>
        <w:spacing w:after="0"/>
        <w:tabs>
          <w:tab w:leader="none" w:pos="7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Amounts shown in this column reflect the number of options granted under our 2010 SIP.</w:t>
      </w:r>
    </w:p>
    <w:p>
      <w:pPr>
        <w:spacing w:after="0" w:line="1" w:lineRule="exact"/>
        <w:rPr>
          <w:rFonts w:ascii="Arial" w:cs="Arial" w:eastAsia="Arial" w:hAnsi="Arial"/>
          <w:sz w:val="14"/>
          <w:szCs w:val="14"/>
          <w:color w:val="auto"/>
        </w:rPr>
      </w:pPr>
    </w:p>
    <w:p>
      <w:pPr>
        <w:jc w:val="both"/>
        <w:ind w:left="740" w:right="180" w:hanging="428"/>
        <w:spacing w:after="0" w:line="250" w:lineRule="auto"/>
        <w:tabs>
          <w:tab w:leader="none" w:pos="7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Amounts shown are based on target performance achievement for the 2018 portion of the three-year performance cycle. As required under FASB ASC Topic 718, includes the value of the award contingent upon the Company’s financial performance and the full grant date fair value for the TSR multiplier. See footnote 2 of the Summary Compensation Table in this CD&amp;A for further details.</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240" w:top="459" w:right="41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The non-equity incentive awards included in this table and also set forth in the Summary Compensation Table represent the annual incentive component of our executives’ compensation. These potential payout awards are paid in cash as a percentage of each of the NEO’s salary, based upon achievement of certain pre-determined financial performance criteria and strategic objectives. For more details, refer to the “</w:t>
      </w:r>
      <w:r>
        <w:rPr>
          <w:rFonts w:ascii="Arial" w:cs="Arial" w:eastAsia="Arial" w:hAnsi="Arial"/>
          <w:sz w:val="18"/>
          <w:szCs w:val="18"/>
          <w:i w:val="1"/>
          <w:iCs w:val="1"/>
          <w:color w:val="auto"/>
        </w:rPr>
        <w:t>EXECUTIVE COMPENSATION – 2018 Executive Compensation Program in Detail”</w:t>
      </w:r>
      <w:r>
        <w:rPr>
          <w:rFonts w:ascii="Arial" w:cs="Arial" w:eastAsia="Arial" w:hAnsi="Arial"/>
          <w:sz w:val="18"/>
          <w:szCs w:val="18"/>
          <w:color w:val="auto"/>
        </w:rPr>
        <w:t xml:space="preserve"> section of the CD&amp;A.</w:t>
      </w:r>
    </w:p>
    <w:p>
      <w:pPr>
        <w:spacing w:after="0" w:line="175" w:lineRule="exact"/>
        <w:rPr>
          <w:sz w:val="20"/>
          <w:szCs w:val="20"/>
          <w:color w:val="auto"/>
        </w:rPr>
      </w:pPr>
    </w:p>
    <w:p>
      <w:pPr>
        <w:ind w:left="200" w:right="260"/>
        <w:spacing w:after="0"/>
        <w:rPr>
          <w:sz w:val="20"/>
          <w:szCs w:val="20"/>
          <w:color w:val="auto"/>
        </w:rPr>
      </w:pPr>
      <w:r>
        <w:rPr>
          <w:rFonts w:ascii="Arial" w:cs="Arial" w:eastAsia="Arial" w:hAnsi="Arial"/>
          <w:sz w:val="18"/>
          <w:szCs w:val="18"/>
          <w:color w:val="auto"/>
        </w:rPr>
        <w:t xml:space="preserve">The equity incentive plan awards included in this table represent PRSUs granted in 2018 for the 2018-2020 performance period, which were issued under the Company’s A&amp;R 2010 Plan or Second A&amp;R 2010 Plan, as applicable. For further details on these awards, see </w:t>
      </w:r>
      <w:r>
        <w:rPr>
          <w:rFonts w:ascii="Arial" w:cs="Arial" w:eastAsia="Arial" w:hAnsi="Arial"/>
          <w:sz w:val="18"/>
          <w:szCs w:val="18"/>
          <w:i w:val="1"/>
          <w:iCs w:val="1"/>
          <w:color w:val="auto"/>
        </w:rPr>
        <w:t xml:space="preserve">“EXECUTIVE COMPENSATION – 2018 Executive Compensation Program in Detail” </w:t>
      </w:r>
      <w:r>
        <w:rPr>
          <w:rFonts w:ascii="Arial" w:cs="Arial" w:eastAsia="Arial" w:hAnsi="Arial"/>
          <w:sz w:val="18"/>
          <w:szCs w:val="18"/>
          <w:color w:val="auto"/>
        </w:rPr>
        <w:t>in the CD&amp;A.</w:t>
      </w:r>
    </w:p>
    <w:p>
      <w:pPr>
        <w:spacing w:after="0" w:line="162" w:lineRule="exact"/>
        <w:rPr>
          <w:sz w:val="20"/>
          <w:szCs w:val="20"/>
          <w:color w:val="auto"/>
        </w:rPr>
      </w:pPr>
    </w:p>
    <w:p>
      <w:pPr>
        <w:ind w:left="200" w:right="20"/>
        <w:spacing w:after="0"/>
        <w:rPr>
          <w:sz w:val="20"/>
          <w:szCs w:val="20"/>
          <w:color w:val="auto"/>
        </w:rPr>
      </w:pPr>
      <w:r>
        <w:rPr>
          <w:rFonts w:ascii="Arial" w:cs="Arial" w:eastAsia="Arial" w:hAnsi="Arial"/>
          <w:sz w:val="18"/>
          <w:szCs w:val="18"/>
          <w:color w:val="auto"/>
        </w:rPr>
        <w:t xml:space="preserve">The amounts included in the “All Other Stock Awards” column and in the “All Other Option Awards” column represent time-vested RSUs and stock options, respectively, both of which were issued under the A&amp;R 2010 Plan or Second A&amp;R 2010 Plan, as applicable. For further details on these awards, </w:t>
      </w:r>
      <w:r>
        <w:rPr>
          <w:rFonts w:ascii="Arial" w:cs="Arial" w:eastAsia="Arial" w:hAnsi="Arial"/>
          <w:sz w:val="18"/>
          <w:szCs w:val="18"/>
          <w:i w:val="1"/>
          <w:iCs w:val="1"/>
          <w:color w:val="auto"/>
        </w:rPr>
        <w:t>see “EXECUTIVE COMPENSATION – 2018 Executive Compensation Program in Detail”</w:t>
      </w:r>
      <w:r>
        <w:rPr>
          <w:rFonts w:ascii="Arial" w:cs="Arial" w:eastAsia="Arial" w:hAnsi="Arial"/>
          <w:sz w:val="18"/>
          <w:szCs w:val="18"/>
          <w:color w:val="auto"/>
        </w:rPr>
        <w:t xml:space="preserve"> in the CD&amp;A.</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60"/>
          </w:cols>
          <w:pgMar w:left="240" w:top="459"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2018 Outstanding Equity Awards at Fiscal Year-End Table</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provides information regarding outstanding equity awards held by each NEO as of December 31, 2018.</w:t>
      </w:r>
    </w:p>
    <w:p>
      <w:pPr>
        <w:spacing w:after="0" w:line="200" w:lineRule="exact"/>
        <w:rPr>
          <w:sz w:val="20"/>
          <w:szCs w:val="20"/>
          <w:color w:val="auto"/>
        </w:rPr>
      </w:pPr>
    </w:p>
    <w:p>
      <w:pPr>
        <w:spacing w:after="0" w:line="281" w:lineRule="exact"/>
        <w:rPr>
          <w:sz w:val="20"/>
          <w:szCs w:val="20"/>
          <w:color w:val="auto"/>
        </w:rPr>
      </w:pPr>
    </w:p>
    <w:p>
      <w:pPr>
        <w:jc w:val="center"/>
        <w:ind w:right="-139"/>
        <w:spacing w:after="0"/>
        <w:rPr>
          <w:sz w:val="20"/>
          <w:szCs w:val="20"/>
          <w:color w:val="auto"/>
        </w:rPr>
      </w:pPr>
      <w:r>
        <w:rPr>
          <w:rFonts w:ascii="Arial" w:cs="Arial" w:eastAsia="Arial" w:hAnsi="Arial"/>
          <w:sz w:val="11"/>
          <w:szCs w:val="11"/>
          <w:b w:val="1"/>
          <w:bCs w:val="1"/>
          <w:color w:val="auto"/>
        </w:rPr>
        <w:t>Outstanding Equity Awards At Fiscal Year End</w:t>
      </w:r>
    </w:p>
    <w:p>
      <w:pPr>
        <w:spacing w:after="0" w:line="15" w:lineRule="exact"/>
        <w:rPr>
          <w:sz w:val="20"/>
          <w:szCs w:val="20"/>
          <w:color w:val="auto"/>
        </w:rPr>
      </w:pPr>
    </w:p>
    <w:tbl>
      <w:tblPr>
        <w:tblLayout w:type="fixed"/>
        <w:tblInd w:w="20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16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1180" w:type="dxa"/>
            <w:vAlign w:val="bottom"/>
            <w:tcBorders>
              <w:top w:val="single" w:sz="8" w:color="auto"/>
              <w:bottom w:val="single" w:sz="8" w:color="auto"/>
            </w:tcBorders>
            <w:gridSpan w:val="2"/>
          </w:tcPr>
          <w:p>
            <w:pPr>
              <w:ind w:left="400"/>
              <w:spacing w:after="0" w:line="124" w:lineRule="exact"/>
              <w:rPr>
                <w:sz w:val="20"/>
                <w:szCs w:val="20"/>
                <w:color w:val="auto"/>
              </w:rPr>
            </w:pPr>
            <w:r>
              <w:rPr>
                <w:rFonts w:ascii="Arial" w:cs="Arial" w:eastAsia="Arial" w:hAnsi="Arial"/>
                <w:sz w:val="11"/>
                <w:szCs w:val="11"/>
                <w:b w:val="1"/>
                <w:bCs w:val="1"/>
                <w:color w:val="auto"/>
                <w:w w:val="97"/>
              </w:rPr>
              <w:t>Option Awards</w:t>
            </w:r>
          </w:p>
        </w:tc>
        <w:tc>
          <w:tcPr>
            <w:tcW w:w="440" w:type="dxa"/>
            <w:vAlign w:val="bottom"/>
            <w:tcBorders>
              <w:top w:val="single" w:sz="8" w:color="auto"/>
              <w:bottom w:val="single" w:sz="8" w:color="auto"/>
            </w:tcBorders>
          </w:tcPr>
          <w:p>
            <w:pPr>
              <w:spacing w:after="0"/>
              <w:rPr>
                <w:sz w:val="10"/>
                <w:szCs w:val="10"/>
                <w:color w:val="auto"/>
              </w:rPr>
            </w:pPr>
          </w:p>
        </w:tc>
        <w:tc>
          <w:tcPr>
            <w:tcW w:w="28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spacing w:after="0"/>
              <w:rPr>
                <w:sz w:val="10"/>
                <w:szCs w:val="10"/>
                <w:color w:val="auto"/>
              </w:rPr>
            </w:pPr>
          </w:p>
        </w:tc>
        <w:tc>
          <w:tcPr>
            <w:tcW w:w="1620" w:type="dxa"/>
            <w:vAlign w:val="bottom"/>
            <w:tcBorders>
              <w:top w:val="single" w:sz="8" w:color="auto"/>
              <w:bottom w:val="single" w:sz="8" w:color="auto"/>
            </w:tcBorders>
            <w:gridSpan w:val="3"/>
          </w:tcPr>
          <w:p>
            <w:pPr>
              <w:jc w:val="right"/>
              <w:ind w:right="880"/>
              <w:spacing w:after="0" w:line="124" w:lineRule="exact"/>
              <w:rPr>
                <w:sz w:val="20"/>
                <w:szCs w:val="20"/>
                <w:color w:val="auto"/>
              </w:rPr>
            </w:pPr>
            <w:r>
              <w:rPr>
                <w:rFonts w:ascii="Arial" w:cs="Arial" w:eastAsia="Arial" w:hAnsi="Arial"/>
                <w:sz w:val="11"/>
                <w:szCs w:val="11"/>
                <w:b w:val="1"/>
                <w:bCs w:val="1"/>
                <w:color w:val="auto"/>
                <w:w w:val="98"/>
              </w:rPr>
              <w:t>Stock Awards</w:t>
            </w:r>
          </w:p>
        </w:tc>
        <w:tc>
          <w:tcPr>
            <w:tcW w:w="140" w:type="dxa"/>
            <w:vAlign w:val="bottom"/>
            <w:tcBorders>
              <w:top w:val="single" w:sz="8" w:color="auto"/>
              <w:bottom w:val="single" w:sz="8" w:color="auto"/>
            </w:tcBorders>
          </w:tcPr>
          <w:p>
            <w:pPr>
              <w:spacing w:after="0"/>
              <w:rPr>
                <w:sz w:val="10"/>
                <w:szCs w:val="10"/>
                <w:color w:val="auto"/>
              </w:rPr>
            </w:pPr>
          </w:p>
        </w:tc>
        <w:tc>
          <w:tcPr>
            <w:tcW w:w="960" w:type="dxa"/>
            <w:vAlign w:val="bottom"/>
            <w:tcBorders>
              <w:top w:val="single" w:sz="8" w:color="auto"/>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7"/>
              </w:rPr>
              <w:t>Equity Incentive</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w w:val="97"/>
              </w:rPr>
              <w:t>Plan Awards: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Number of</w:t>
            </w:r>
          </w:p>
        </w:tc>
        <w:tc>
          <w:tcPr>
            <w:tcW w:w="260" w:type="dxa"/>
            <w:vAlign w:val="bottom"/>
          </w:tcPr>
          <w:p>
            <w:pPr>
              <w:spacing w:after="0"/>
              <w:rPr>
                <w:sz w:val="10"/>
                <w:szCs w:val="10"/>
                <w:color w:val="auto"/>
              </w:rPr>
            </w:pPr>
          </w:p>
        </w:tc>
        <w:tc>
          <w:tcPr>
            <w:tcW w:w="118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8"/>
              </w:rPr>
              <w:t>Number of</w:t>
            </w: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2"/>
          </w:tcPr>
          <w:p>
            <w:pPr>
              <w:jc w:val="center"/>
              <w:ind w:left="86"/>
              <w:spacing w:after="0" w:line="122" w:lineRule="exact"/>
              <w:rPr>
                <w:sz w:val="20"/>
                <w:szCs w:val="20"/>
                <w:color w:val="auto"/>
              </w:rPr>
            </w:pPr>
            <w:r>
              <w:rPr>
                <w:rFonts w:ascii="Arial" w:cs="Arial" w:eastAsia="Arial" w:hAnsi="Arial"/>
                <w:sz w:val="11"/>
                <w:szCs w:val="11"/>
                <w:b w:val="1"/>
                <w:bCs w:val="1"/>
                <w:color w:val="auto"/>
                <w:w w:val="98"/>
              </w:rPr>
              <w:t>Market Value of</w:t>
            </w:r>
          </w:p>
        </w:tc>
        <w:tc>
          <w:tcPr>
            <w:tcW w:w="280" w:type="dxa"/>
            <w:vAlign w:val="bottom"/>
          </w:tcPr>
          <w:p>
            <w:pPr>
              <w:spacing w:after="0"/>
              <w:rPr>
                <w:sz w:val="10"/>
                <w:szCs w:val="10"/>
                <w:color w:val="auto"/>
              </w:rPr>
            </w:pPr>
          </w:p>
        </w:tc>
        <w:tc>
          <w:tcPr>
            <w:tcW w:w="134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7"/>
              </w:rPr>
              <w:t>Equity Incentive</w:t>
            </w:r>
          </w:p>
        </w:tc>
        <w:tc>
          <w:tcPr>
            <w:tcW w:w="140" w:type="dxa"/>
            <w:vAlign w:val="bottom"/>
          </w:tcPr>
          <w:p>
            <w:pPr>
              <w:spacing w:after="0"/>
              <w:rPr>
                <w:sz w:val="10"/>
                <w:szCs w:val="10"/>
                <w:color w:val="auto"/>
              </w:rPr>
            </w:pPr>
          </w:p>
        </w:tc>
        <w:tc>
          <w:tcPr>
            <w:tcW w:w="100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96"/>
              </w:rPr>
              <w:t>Market or Payout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0"/>
                <w:szCs w:val="10"/>
                <w:color w:val="auto"/>
              </w:rPr>
            </w:pPr>
          </w:p>
        </w:tc>
        <w:tc>
          <w:tcPr>
            <w:tcW w:w="118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4"/>
              </w:rPr>
              <w:t>Securities</w:t>
            </w: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8"/>
              </w:rPr>
              <w:t>Number of</w:t>
            </w:r>
          </w:p>
        </w:tc>
        <w:tc>
          <w:tcPr>
            <w:tcW w:w="16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Shares or</w:t>
            </w:r>
          </w:p>
        </w:tc>
        <w:tc>
          <w:tcPr>
            <w:tcW w:w="280" w:type="dxa"/>
            <w:vAlign w:val="bottom"/>
          </w:tcPr>
          <w:p>
            <w:pPr>
              <w:spacing w:after="0"/>
              <w:rPr>
                <w:sz w:val="10"/>
                <w:szCs w:val="10"/>
                <w:color w:val="auto"/>
              </w:rPr>
            </w:pPr>
          </w:p>
        </w:tc>
        <w:tc>
          <w:tcPr>
            <w:tcW w:w="134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7"/>
              </w:rPr>
              <w:t>Plan Awards:</w:t>
            </w:r>
          </w:p>
        </w:tc>
        <w:tc>
          <w:tcPr>
            <w:tcW w:w="1140" w:type="dxa"/>
            <w:vAlign w:val="bottom"/>
            <w:gridSpan w:val="3"/>
          </w:tcPr>
          <w:p>
            <w:pPr>
              <w:jc w:val="center"/>
              <w:ind w:left="26"/>
              <w:spacing w:after="0" w:line="122" w:lineRule="exact"/>
              <w:rPr>
                <w:sz w:val="20"/>
                <w:szCs w:val="20"/>
                <w:color w:val="auto"/>
              </w:rPr>
            </w:pPr>
            <w:r>
              <w:rPr>
                <w:rFonts w:ascii="Arial" w:cs="Arial" w:eastAsia="Arial" w:hAnsi="Arial"/>
                <w:sz w:val="11"/>
                <w:szCs w:val="11"/>
                <w:b w:val="1"/>
                <w:bCs w:val="1"/>
                <w:color w:val="auto"/>
                <w:w w:val="97"/>
              </w:rPr>
              <w:t>Value of Unearned</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Underlying</w:t>
            </w:r>
          </w:p>
        </w:tc>
        <w:tc>
          <w:tcPr>
            <w:tcW w:w="260" w:type="dxa"/>
            <w:vAlign w:val="bottom"/>
          </w:tcPr>
          <w:p>
            <w:pPr>
              <w:spacing w:after="0"/>
              <w:rPr>
                <w:sz w:val="10"/>
                <w:szCs w:val="10"/>
                <w:color w:val="auto"/>
              </w:rPr>
            </w:pPr>
          </w:p>
        </w:tc>
        <w:tc>
          <w:tcPr>
            <w:tcW w:w="118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rPr>
              <w:t>Underlying</w:t>
            </w:r>
          </w:p>
        </w:tc>
        <w:tc>
          <w:tcPr>
            <w:tcW w:w="72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5"/>
              </w:rPr>
              <w:t>Option</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8"/>
              </w:rPr>
              <w:t>Shares or</w:t>
            </w:r>
          </w:p>
        </w:tc>
        <w:tc>
          <w:tcPr>
            <w:tcW w:w="16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Units</w:t>
            </w:r>
          </w:p>
        </w:tc>
        <w:tc>
          <w:tcPr>
            <w:tcW w:w="162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97"/>
              </w:rPr>
              <w:t>Number of Unearned</w:t>
            </w:r>
          </w:p>
        </w:tc>
        <w:tc>
          <w:tcPr>
            <w:tcW w:w="140" w:type="dxa"/>
            <w:vAlign w:val="bottom"/>
          </w:tcPr>
          <w:p>
            <w:pPr>
              <w:spacing w:after="0"/>
              <w:rPr>
                <w:sz w:val="10"/>
                <w:szCs w:val="10"/>
                <w:color w:val="auto"/>
              </w:rPr>
            </w:pPr>
          </w:p>
        </w:tc>
        <w:tc>
          <w:tcPr>
            <w:tcW w:w="100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97"/>
              </w:rPr>
              <w:t>Shares, Units or</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00" w:type="dxa"/>
            <w:vAlign w:val="bottom"/>
            <w:gridSpan w:val="2"/>
          </w:tcPr>
          <w:p>
            <w:pPr>
              <w:jc w:val="center"/>
              <w:ind w:left="206"/>
              <w:spacing w:after="0" w:line="122" w:lineRule="exact"/>
              <w:rPr>
                <w:sz w:val="20"/>
                <w:szCs w:val="20"/>
                <w:color w:val="auto"/>
              </w:rPr>
            </w:pPr>
            <w:r>
              <w:rPr>
                <w:rFonts w:ascii="Arial" w:cs="Arial" w:eastAsia="Arial" w:hAnsi="Arial"/>
                <w:sz w:val="11"/>
                <w:szCs w:val="11"/>
                <w:b w:val="1"/>
                <w:bCs w:val="1"/>
                <w:color w:val="auto"/>
                <w:w w:val="97"/>
              </w:rPr>
              <w:t>Unexercised</w:t>
            </w:r>
          </w:p>
        </w:tc>
        <w:tc>
          <w:tcPr>
            <w:tcW w:w="260" w:type="dxa"/>
            <w:vAlign w:val="bottom"/>
          </w:tcPr>
          <w:p>
            <w:pPr>
              <w:spacing w:after="0"/>
              <w:rPr>
                <w:sz w:val="10"/>
                <w:szCs w:val="10"/>
                <w:color w:val="auto"/>
              </w:rPr>
            </w:pPr>
          </w:p>
        </w:tc>
        <w:tc>
          <w:tcPr>
            <w:tcW w:w="118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7"/>
              </w:rPr>
              <w:t>Unexercised</w:t>
            </w:r>
          </w:p>
        </w:tc>
        <w:tc>
          <w:tcPr>
            <w:tcW w:w="720" w:type="dxa"/>
            <w:vAlign w:val="bottom"/>
            <w:gridSpan w:val="2"/>
          </w:tcPr>
          <w:p>
            <w:pPr>
              <w:jc w:val="right"/>
              <w:ind w:right="280"/>
              <w:spacing w:after="0" w:line="122" w:lineRule="exact"/>
              <w:rPr>
                <w:sz w:val="20"/>
                <w:szCs w:val="20"/>
                <w:color w:val="auto"/>
              </w:rPr>
            </w:pPr>
            <w:r>
              <w:rPr>
                <w:rFonts w:ascii="Arial" w:cs="Arial" w:eastAsia="Arial" w:hAnsi="Arial"/>
                <w:sz w:val="11"/>
                <w:szCs w:val="11"/>
                <w:b w:val="1"/>
                <w:bCs w:val="1"/>
                <w:color w:val="auto"/>
                <w:w w:val="92"/>
              </w:rPr>
              <w:t>Exercise</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Option</w:t>
            </w:r>
          </w:p>
        </w:tc>
        <w:tc>
          <w:tcPr>
            <w:tcW w:w="126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97"/>
              </w:rPr>
              <w:t>Units of Stock</w:t>
            </w:r>
          </w:p>
        </w:tc>
        <w:tc>
          <w:tcPr>
            <w:tcW w:w="16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of Stock That</w:t>
            </w:r>
          </w:p>
        </w:tc>
        <w:tc>
          <w:tcPr>
            <w:tcW w:w="280" w:type="dxa"/>
            <w:vAlign w:val="bottom"/>
          </w:tcPr>
          <w:p>
            <w:pPr>
              <w:spacing w:after="0"/>
              <w:rPr>
                <w:sz w:val="10"/>
                <w:szCs w:val="10"/>
                <w:color w:val="auto"/>
              </w:rPr>
            </w:pPr>
          </w:p>
        </w:tc>
        <w:tc>
          <w:tcPr>
            <w:tcW w:w="134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7"/>
              </w:rPr>
              <w:t>Shares, Units or</w:t>
            </w:r>
          </w:p>
        </w:tc>
        <w:tc>
          <w:tcPr>
            <w:tcW w:w="140" w:type="dxa"/>
            <w:vAlign w:val="bottom"/>
          </w:tcPr>
          <w:p>
            <w:pPr>
              <w:spacing w:after="0"/>
              <w:rPr>
                <w:sz w:val="10"/>
                <w:szCs w:val="10"/>
                <w:color w:val="auto"/>
              </w:rPr>
            </w:pPr>
          </w:p>
        </w:tc>
        <w:tc>
          <w:tcPr>
            <w:tcW w:w="100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96"/>
              </w:rPr>
              <w:t>Other Rights That</w:t>
            </w:r>
          </w:p>
        </w:tc>
        <w:tc>
          <w:tcPr>
            <w:tcW w:w="0" w:type="dxa"/>
            <w:vAlign w:val="bottom"/>
          </w:tcPr>
          <w:p>
            <w:pPr>
              <w:spacing w:after="0"/>
              <w:rPr>
                <w:sz w:val="1"/>
                <w:szCs w:val="1"/>
                <w:color w:val="auto"/>
              </w:rPr>
            </w:pPr>
          </w:p>
        </w:tc>
      </w:tr>
      <w:tr>
        <w:trPr>
          <w:trHeight w:val="122"/>
        </w:trPr>
        <w:tc>
          <w:tcPr>
            <w:tcW w:w="16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w:t>
            </w: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Options (#)</w:t>
            </w:r>
          </w:p>
        </w:tc>
        <w:tc>
          <w:tcPr>
            <w:tcW w:w="260" w:type="dxa"/>
            <w:vAlign w:val="bottom"/>
          </w:tcPr>
          <w:p>
            <w:pPr>
              <w:spacing w:after="0"/>
              <w:rPr>
                <w:sz w:val="10"/>
                <w:szCs w:val="10"/>
                <w:color w:val="auto"/>
              </w:rPr>
            </w:pPr>
          </w:p>
        </w:tc>
        <w:tc>
          <w:tcPr>
            <w:tcW w:w="118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9"/>
              </w:rPr>
              <w:t>Options (#)</w:t>
            </w:r>
          </w:p>
        </w:tc>
        <w:tc>
          <w:tcPr>
            <w:tcW w:w="72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6"/>
              </w:rPr>
              <w:t>Price</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Expiration</w:t>
            </w:r>
          </w:p>
        </w:tc>
        <w:tc>
          <w:tcPr>
            <w:tcW w:w="126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97"/>
              </w:rPr>
              <w:t>That Have Not</w:t>
            </w:r>
          </w:p>
        </w:tc>
        <w:tc>
          <w:tcPr>
            <w:tcW w:w="16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Have Not</w:t>
            </w:r>
          </w:p>
        </w:tc>
        <w:tc>
          <w:tcPr>
            <w:tcW w:w="280" w:type="dxa"/>
            <w:vAlign w:val="bottom"/>
          </w:tcPr>
          <w:p>
            <w:pPr>
              <w:spacing w:after="0"/>
              <w:rPr>
                <w:sz w:val="10"/>
                <w:szCs w:val="10"/>
                <w:color w:val="auto"/>
              </w:rPr>
            </w:pPr>
          </w:p>
        </w:tc>
        <w:tc>
          <w:tcPr>
            <w:tcW w:w="134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6"/>
              </w:rPr>
              <w:t>Other Rights That</w:t>
            </w:r>
          </w:p>
        </w:tc>
        <w:tc>
          <w:tcPr>
            <w:tcW w:w="140" w:type="dxa"/>
            <w:vAlign w:val="bottom"/>
          </w:tcPr>
          <w:p>
            <w:pPr>
              <w:spacing w:after="0"/>
              <w:rPr>
                <w:sz w:val="10"/>
                <w:szCs w:val="10"/>
                <w:color w:val="auto"/>
              </w:rPr>
            </w:pPr>
          </w:p>
        </w:tc>
        <w:tc>
          <w:tcPr>
            <w:tcW w:w="100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99"/>
              </w:rPr>
              <w:t>Have Not Vested</w:t>
            </w:r>
          </w:p>
        </w:tc>
        <w:tc>
          <w:tcPr>
            <w:tcW w:w="0" w:type="dxa"/>
            <w:vAlign w:val="bottom"/>
          </w:tcPr>
          <w:p>
            <w:pPr>
              <w:spacing w:after="0"/>
              <w:rPr>
                <w:sz w:val="1"/>
                <w:szCs w:val="1"/>
                <w:color w:val="auto"/>
              </w:rPr>
            </w:pPr>
          </w:p>
        </w:tc>
      </w:tr>
      <w:tr>
        <w:trPr>
          <w:trHeight w:val="137"/>
        </w:trPr>
        <w:tc>
          <w:tcPr>
            <w:tcW w:w="1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w w:val="99"/>
              </w:rPr>
              <w:t>Grant Date</w:t>
            </w:r>
          </w:p>
        </w:tc>
        <w:tc>
          <w:tcPr>
            <w:tcW w:w="26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98"/>
              </w:rPr>
              <w:t>Exercisable</w:t>
            </w:r>
          </w:p>
        </w:tc>
        <w:tc>
          <w:tcPr>
            <w:tcW w:w="1440" w:type="dxa"/>
            <w:vAlign w:val="bottom"/>
            <w:gridSpan w:val="3"/>
          </w:tcPr>
          <w:p>
            <w:pPr>
              <w:jc w:val="center"/>
              <w:ind w:right="20"/>
              <w:spacing w:after="0"/>
              <w:rPr>
                <w:sz w:val="20"/>
                <w:szCs w:val="20"/>
                <w:color w:val="auto"/>
              </w:rPr>
            </w:pPr>
            <w:r>
              <w:rPr>
                <w:rFonts w:ascii="Arial" w:cs="Arial" w:eastAsia="Arial" w:hAnsi="Arial"/>
                <w:sz w:val="11"/>
                <w:szCs w:val="11"/>
                <w:b w:val="1"/>
                <w:bCs w:val="1"/>
                <w:color w:val="auto"/>
                <w:w w:val="98"/>
              </w:rPr>
              <w:t>Unexercisable (1)</w:t>
            </w:r>
          </w:p>
        </w:tc>
        <w:tc>
          <w:tcPr>
            <w:tcW w:w="44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28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rPr>
              <w:t>Date</w:t>
            </w:r>
          </w:p>
        </w:tc>
        <w:tc>
          <w:tcPr>
            <w:tcW w:w="280" w:type="dxa"/>
            <w:vAlign w:val="bottom"/>
          </w:tcPr>
          <w:p>
            <w:pPr>
              <w:spacing w:after="0"/>
              <w:rPr>
                <w:sz w:val="11"/>
                <w:szCs w:val="11"/>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Vested (#)</w:t>
            </w:r>
          </w:p>
        </w:tc>
        <w:tc>
          <w:tcPr>
            <w:tcW w:w="16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8"/>
              </w:rPr>
              <w:t>Vested ($) (6)</w:t>
            </w:r>
          </w:p>
        </w:tc>
        <w:tc>
          <w:tcPr>
            <w:tcW w:w="280" w:type="dxa"/>
            <w:vAlign w:val="bottom"/>
          </w:tcPr>
          <w:p>
            <w:pPr>
              <w:spacing w:after="0"/>
              <w:rPr>
                <w:sz w:val="11"/>
                <w:szCs w:val="11"/>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Have Not Vested (#)</w:t>
            </w:r>
          </w:p>
        </w:tc>
        <w:tc>
          <w:tcPr>
            <w:tcW w:w="1100" w:type="dxa"/>
            <w:vAlign w:val="bottom"/>
            <w:gridSpan w:val="2"/>
          </w:tcPr>
          <w:p>
            <w:pPr>
              <w:jc w:val="center"/>
              <w:ind w:left="66"/>
              <w:spacing w:after="0"/>
              <w:rPr>
                <w:sz w:val="20"/>
                <w:szCs w:val="20"/>
                <w:color w:val="auto"/>
              </w:rPr>
            </w:pPr>
            <w:r>
              <w:rPr>
                <w:rFonts w:ascii="Arial" w:cs="Arial" w:eastAsia="Arial" w:hAnsi="Arial"/>
                <w:sz w:val="11"/>
                <w:szCs w:val="11"/>
                <w:b w:val="1"/>
                <w:bCs w:val="1"/>
                <w:color w:val="auto"/>
                <w:w w:val="96"/>
              </w:rPr>
              <w:t>($)(6)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20" w:type="dxa"/>
            <w:vAlign w:val="bottom"/>
            <w:tcBorders>
              <w:top w:val="single" w:sz="8" w:color="auto"/>
            </w:tcBorders>
            <w:shd w:val="clear" w:color="auto" w:fill="CCEEFF"/>
          </w:tcPr>
          <w:p>
            <w:pPr>
              <w:spacing w:after="0" w:line="112" w:lineRule="exact"/>
              <w:rPr>
                <w:sz w:val="20"/>
                <w:szCs w:val="20"/>
                <w:color w:val="auto"/>
              </w:rPr>
            </w:pPr>
            <w:r>
              <w:rPr>
                <w:rFonts w:ascii="Arial" w:cs="Arial" w:eastAsia="Arial" w:hAnsi="Arial"/>
                <w:sz w:val="11"/>
                <w:szCs w:val="11"/>
                <w:color w:val="auto"/>
              </w:rPr>
              <w:t>Philip Mezey</w:t>
            </w:r>
          </w:p>
        </w:tc>
        <w:tc>
          <w:tcPr>
            <w:tcW w:w="20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1"/>
                <w:szCs w:val="11"/>
                <w:color w:val="auto"/>
              </w:rPr>
              <w:t>2/11/2010</w:t>
            </w:r>
          </w:p>
        </w:tc>
        <w:tc>
          <w:tcPr>
            <w:tcW w:w="26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1"/>
                <w:szCs w:val="11"/>
                <w:color w:val="auto"/>
              </w:rPr>
              <w:t>8,610</w:t>
            </w:r>
          </w:p>
        </w:tc>
        <w:tc>
          <w:tcPr>
            <w:tcW w:w="26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1"/>
                <w:szCs w:val="11"/>
                <w:color w:val="auto"/>
              </w:rPr>
              <w:t>$61.56</w:t>
            </w:r>
          </w:p>
        </w:tc>
        <w:tc>
          <w:tcPr>
            <w:tcW w:w="28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1"/>
                <w:szCs w:val="11"/>
                <w:color w:val="auto"/>
              </w:rPr>
              <w:t>2/11/2020</w:t>
            </w:r>
          </w:p>
        </w:tc>
        <w:tc>
          <w:tcPr>
            <w:tcW w:w="28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108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2/24/2011</w:t>
            </w:r>
          </w:p>
        </w:tc>
        <w:tc>
          <w:tcPr>
            <w:tcW w:w="9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8,810</w:t>
            </w: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$56.65</w:t>
            </w: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2/24/2021</w:t>
            </w:r>
          </w:p>
        </w:tc>
        <w:tc>
          <w:tcPr>
            <w:tcW w:w="2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2/16/2012</w:t>
            </w:r>
          </w:p>
        </w:tc>
        <w:tc>
          <w:tcPr>
            <w:tcW w:w="9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11,398</w:t>
            </w: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$48.23</w:t>
            </w: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2/16/2022</w:t>
            </w:r>
          </w:p>
        </w:tc>
        <w:tc>
          <w:tcPr>
            <w:tcW w:w="2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11/15/2012</w:t>
            </w:r>
          </w:p>
        </w:tc>
        <w:tc>
          <w:tcPr>
            <w:tcW w:w="9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140,570</w:t>
            </w: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$41.36</w:t>
            </w: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11/15/2022</w:t>
            </w:r>
          </w:p>
        </w:tc>
        <w:tc>
          <w:tcPr>
            <w:tcW w:w="2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2/22/2013</w:t>
            </w:r>
          </w:p>
        </w:tc>
        <w:tc>
          <w:tcPr>
            <w:tcW w:w="9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51,270</w:t>
            </w: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$43.38</w:t>
            </w: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2/22/2023</w:t>
            </w:r>
          </w:p>
        </w:tc>
        <w:tc>
          <w:tcPr>
            <w:tcW w:w="2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2/21/2014</w:t>
            </w: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25,569</w:t>
            </w: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$35.05</w:t>
            </w: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2/21/2024</w:t>
            </w:r>
          </w:p>
        </w:tc>
        <w:tc>
          <w:tcPr>
            <w:tcW w:w="2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2/19/2015</w:t>
            </w: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65,841</w:t>
            </w: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$35.29</w:t>
            </w: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2/19/2025</w:t>
            </w:r>
          </w:p>
        </w:tc>
        <w:tc>
          <w:tcPr>
            <w:tcW w:w="2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2/25/2016</w:t>
            </w: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40,682</w:t>
            </w:r>
          </w:p>
        </w:tc>
        <w:tc>
          <w:tcPr>
            <w:tcW w:w="11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20,341</w:t>
            </w: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$40.02</w:t>
            </w: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2/25/2026</w:t>
            </w:r>
          </w:p>
        </w:tc>
        <w:tc>
          <w:tcPr>
            <w:tcW w:w="2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2/25/2016</w:t>
            </w: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60" w:type="dxa"/>
            <w:vAlign w:val="bottom"/>
            <w:gridSpan w:val="3"/>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 xml:space="preserve">6,664 </w:t>
            </w:r>
            <w:r>
              <w:rPr>
                <w:rFonts w:ascii="Arial" w:cs="Arial" w:eastAsia="Arial" w:hAnsi="Arial"/>
                <w:sz w:val="9"/>
                <w:szCs w:val="9"/>
                <w:color w:val="auto"/>
              </w:rPr>
              <w:t>(2)</w:t>
            </w:r>
          </w:p>
        </w:tc>
        <w:tc>
          <w:tcPr>
            <w:tcW w:w="9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$315,141</w:t>
            </w:r>
          </w:p>
        </w:tc>
        <w:tc>
          <w:tcPr>
            <w:tcW w:w="2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2/23/2017</w:t>
            </w: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12,107</w:t>
            </w: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24,215</w:t>
            </w: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$65.55</w:t>
            </w: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2/23/2027</w:t>
            </w:r>
          </w:p>
        </w:tc>
        <w:tc>
          <w:tcPr>
            <w:tcW w:w="2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2/23/2017</w:t>
            </w: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60" w:type="dxa"/>
            <w:vAlign w:val="bottom"/>
            <w:gridSpan w:val="3"/>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 xml:space="preserve">8,136 </w:t>
            </w:r>
            <w:r>
              <w:rPr>
                <w:rFonts w:ascii="Arial" w:cs="Arial" w:eastAsia="Arial" w:hAnsi="Arial"/>
                <w:sz w:val="9"/>
                <w:szCs w:val="9"/>
                <w:color w:val="auto"/>
              </w:rPr>
              <w:t>(2)</w:t>
            </w:r>
          </w:p>
        </w:tc>
        <w:tc>
          <w:tcPr>
            <w:tcW w:w="9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$384,751</w:t>
            </w:r>
          </w:p>
        </w:tc>
        <w:tc>
          <w:tcPr>
            <w:tcW w:w="2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2/23/2017</w:t>
            </w: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20" w:type="dxa"/>
            <w:vAlign w:val="bottom"/>
            <w:gridSpan w:val="3"/>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 xml:space="preserve">24,408 </w:t>
            </w:r>
            <w:r>
              <w:rPr>
                <w:rFonts w:ascii="Arial" w:cs="Arial" w:eastAsia="Arial" w:hAnsi="Arial"/>
                <w:sz w:val="9"/>
                <w:szCs w:val="9"/>
                <w:color w:val="auto"/>
              </w:rPr>
              <w:t>(4)</w:t>
            </w:r>
          </w:p>
        </w:tc>
        <w:tc>
          <w:tcPr>
            <w:tcW w:w="11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$1,154,254</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2/22/2018</w:t>
            </w: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36,208</w:t>
            </w: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$69.30</w:t>
            </w: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2/22/2028</w:t>
            </w:r>
          </w:p>
        </w:tc>
        <w:tc>
          <w:tcPr>
            <w:tcW w:w="2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2/22/2018</w:t>
            </w: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60" w:type="dxa"/>
            <w:vAlign w:val="bottom"/>
            <w:gridSpan w:val="3"/>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 xml:space="preserve">12,987 </w:t>
            </w:r>
            <w:r>
              <w:rPr>
                <w:rFonts w:ascii="Arial" w:cs="Arial" w:eastAsia="Arial" w:hAnsi="Arial"/>
                <w:sz w:val="9"/>
                <w:szCs w:val="9"/>
                <w:color w:val="auto"/>
              </w:rPr>
              <w:t>(2)</w:t>
            </w:r>
          </w:p>
        </w:tc>
        <w:tc>
          <w:tcPr>
            <w:tcW w:w="9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$614,155</w:t>
            </w:r>
          </w:p>
        </w:tc>
        <w:tc>
          <w:tcPr>
            <w:tcW w:w="2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auto"/>
              </w:rPr>
              <w:t>2/22/2018</w:t>
            </w: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20" w:type="dxa"/>
            <w:vAlign w:val="bottom"/>
            <w:gridSpan w:val="3"/>
            <w:shd w:val="clear" w:color="auto" w:fill="CCEEFF"/>
          </w:tcPr>
          <w:p>
            <w:pPr>
              <w:jc w:val="right"/>
              <w:ind w:right="160"/>
              <w:spacing w:after="0" w:line="125" w:lineRule="exact"/>
              <w:rPr>
                <w:sz w:val="20"/>
                <w:szCs w:val="20"/>
                <w:color w:val="auto"/>
              </w:rPr>
            </w:pPr>
            <w:r>
              <w:rPr>
                <w:rFonts w:ascii="Arial" w:cs="Arial" w:eastAsia="Arial" w:hAnsi="Arial"/>
                <w:sz w:val="11"/>
                <w:szCs w:val="11"/>
                <w:color w:val="auto"/>
              </w:rPr>
              <w:t xml:space="preserve">9,740 </w:t>
            </w:r>
            <w:r>
              <w:rPr>
                <w:rFonts w:ascii="Arial" w:cs="Arial" w:eastAsia="Arial" w:hAnsi="Arial"/>
                <w:sz w:val="9"/>
                <w:szCs w:val="9"/>
                <w:color w:val="auto"/>
              </w:rPr>
              <w:t>(5)</w:t>
            </w:r>
          </w:p>
        </w:tc>
        <w:tc>
          <w:tcPr>
            <w:tcW w:w="1100" w:type="dxa"/>
            <w:vAlign w:val="bottom"/>
            <w:gridSpan w:val="2"/>
            <w:shd w:val="clear" w:color="auto" w:fill="CCEEFF"/>
          </w:tcPr>
          <w:p>
            <w:pPr>
              <w:jc w:val="right"/>
              <w:spacing w:after="0" w:line="125" w:lineRule="exact"/>
              <w:rPr>
                <w:sz w:val="20"/>
                <w:szCs w:val="20"/>
                <w:color w:val="auto"/>
              </w:rPr>
            </w:pPr>
            <w:r>
              <w:rPr>
                <w:rFonts w:ascii="Arial" w:cs="Arial" w:eastAsia="Arial" w:hAnsi="Arial"/>
                <w:sz w:val="11"/>
                <w:szCs w:val="11"/>
                <w:color w:val="auto"/>
              </w:rPr>
              <w:t>$460,605</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1640" w:type="dxa"/>
            <w:vAlign w:val="bottom"/>
            <w:gridSpan w:val="2"/>
          </w:tcPr>
          <w:p>
            <w:pPr>
              <w:spacing w:after="0"/>
              <w:rPr>
                <w:sz w:val="20"/>
                <w:szCs w:val="20"/>
                <w:color w:val="auto"/>
              </w:rPr>
            </w:pPr>
            <w:r>
              <w:rPr>
                <w:rFonts w:ascii="Arial" w:cs="Arial" w:eastAsia="Arial" w:hAnsi="Arial"/>
                <w:sz w:val="11"/>
                <w:szCs w:val="11"/>
                <w:color w:val="auto"/>
              </w:rPr>
              <w:t>Thomas Deitrich</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12/10/2015</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83,779</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$35.13</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12/10/2025</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2/24/2016</w:t>
            </w: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25,304</w:t>
            </w:r>
          </w:p>
        </w:tc>
        <w:tc>
          <w:tcPr>
            <w:tcW w:w="11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12,653</w:t>
            </w:r>
          </w:p>
        </w:tc>
        <w:tc>
          <w:tcPr>
            <w:tcW w:w="2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$40.05</w:t>
            </w:r>
          </w:p>
        </w:tc>
        <w:tc>
          <w:tcPr>
            <w:tcW w:w="2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2/24/2026</w:t>
            </w: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2/24/2016</w:t>
            </w: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60" w:type="dxa"/>
            <w:vAlign w:val="bottom"/>
            <w:gridSpan w:val="3"/>
          </w:tcPr>
          <w:p>
            <w:pPr>
              <w:jc w:val="right"/>
              <w:ind w:right="140"/>
              <w:spacing w:after="0" w:line="122" w:lineRule="exact"/>
              <w:rPr>
                <w:sz w:val="20"/>
                <w:szCs w:val="20"/>
                <w:color w:val="auto"/>
              </w:rPr>
            </w:pPr>
            <w:r>
              <w:rPr>
                <w:rFonts w:ascii="Arial" w:cs="Arial" w:eastAsia="Arial" w:hAnsi="Arial"/>
                <w:sz w:val="11"/>
                <w:szCs w:val="11"/>
                <w:color w:val="auto"/>
              </w:rPr>
              <w:t xml:space="preserve">4,162 </w:t>
            </w:r>
            <w:r>
              <w:rPr>
                <w:rFonts w:ascii="Arial" w:cs="Arial" w:eastAsia="Arial" w:hAnsi="Arial"/>
                <w:sz w:val="9"/>
                <w:szCs w:val="9"/>
                <w:color w:val="auto"/>
              </w:rPr>
              <w:t>(2)</w:t>
            </w:r>
          </w:p>
        </w:tc>
        <w:tc>
          <w:tcPr>
            <w:tcW w:w="9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$196,821</w:t>
            </w: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2/23/2017</w:t>
            </w: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7,567</w:t>
            </w:r>
          </w:p>
        </w:tc>
        <w:tc>
          <w:tcPr>
            <w:tcW w:w="11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15,134</w:t>
            </w:r>
          </w:p>
        </w:tc>
        <w:tc>
          <w:tcPr>
            <w:tcW w:w="2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$65.55</w:t>
            </w:r>
          </w:p>
        </w:tc>
        <w:tc>
          <w:tcPr>
            <w:tcW w:w="2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2/23/2027</w:t>
            </w: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2/23/2017</w:t>
            </w: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60" w:type="dxa"/>
            <w:vAlign w:val="bottom"/>
            <w:gridSpan w:val="3"/>
          </w:tcPr>
          <w:p>
            <w:pPr>
              <w:jc w:val="right"/>
              <w:ind w:right="140"/>
              <w:spacing w:after="0" w:line="122" w:lineRule="exact"/>
              <w:rPr>
                <w:sz w:val="20"/>
                <w:szCs w:val="20"/>
                <w:color w:val="auto"/>
              </w:rPr>
            </w:pPr>
            <w:r>
              <w:rPr>
                <w:rFonts w:ascii="Arial" w:cs="Arial" w:eastAsia="Arial" w:hAnsi="Arial"/>
                <w:sz w:val="11"/>
                <w:szCs w:val="11"/>
                <w:color w:val="auto"/>
              </w:rPr>
              <w:t xml:space="preserve">5,085 </w:t>
            </w:r>
            <w:r>
              <w:rPr>
                <w:rFonts w:ascii="Arial" w:cs="Arial" w:eastAsia="Arial" w:hAnsi="Arial"/>
                <w:sz w:val="9"/>
                <w:szCs w:val="9"/>
                <w:color w:val="auto"/>
              </w:rPr>
              <w:t>(2)</w:t>
            </w:r>
          </w:p>
        </w:tc>
        <w:tc>
          <w:tcPr>
            <w:tcW w:w="9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$240,470</w:t>
            </w: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2/23/2017</w:t>
            </w: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2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 xml:space="preserve">15,255 </w:t>
            </w:r>
            <w:r>
              <w:rPr>
                <w:rFonts w:ascii="Arial" w:cs="Arial" w:eastAsia="Arial" w:hAnsi="Arial"/>
                <w:sz w:val="9"/>
                <w:szCs w:val="9"/>
                <w:color w:val="auto"/>
              </w:rPr>
              <w:t>(4)</w:t>
            </w:r>
          </w:p>
        </w:tc>
        <w:tc>
          <w:tcPr>
            <w:tcW w:w="11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$721,409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2/22/2018</w:t>
            </w: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20,116</w:t>
            </w:r>
          </w:p>
        </w:tc>
        <w:tc>
          <w:tcPr>
            <w:tcW w:w="2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$69.30</w:t>
            </w:r>
          </w:p>
        </w:tc>
        <w:tc>
          <w:tcPr>
            <w:tcW w:w="2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2/22/2028</w:t>
            </w: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2/22/2018</w:t>
            </w: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60" w:type="dxa"/>
            <w:vAlign w:val="bottom"/>
            <w:gridSpan w:val="3"/>
          </w:tcPr>
          <w:p>
            <w:pPr>
              <w:jc w:val="right"/>
              <w:ind w:right="140"/>
              <w:spacing w:after="0" w:line="122" w:lineRule="exact"/>
              <w:rPr>
                <w:sz w:val="20"/>
                <w:szCs w:val="20"/>
                <w:color w:val="auto"/>
              </w:rPr>
            </w:pPr>
            <w:r>
              <w:rPr>
                <w:rFonts w:ascii="Arial" w:cs="Arial" w:eastAsia="Arial" w:hAnsi="Arial"/>
                <w:sz w:val="11"/>
                <w:szCs w:val="11"/>
                <w:color w:val="auto"/>
              </w:rPr>
              <w:t xml:space="preserve">7,215 </w:t>
            </w:r>
            <w:r>
              <w:rPr>
                <w:rFonts w:ascii="Arial" w:cs="Arial" w:eastAsia="Arial" w:hAnsi="Arial"/>
                <w:sz w:val="9"/>
                <w:szCs w:val="9"/>
                <w:color w:val="auto"/>
              </w:rPr>
              <w:t>(2)</w:t>
            </w:r>
          </w:p>
        </w:tc>
        <w:tc>
          <w:tcPr>
            <w:tcW w:w="9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$341,197</w:t>
            </w: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2/22/2018</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20" w:type="dxa"/>
            <w:vAlign w:val="bottom"/>
            <w:gridSpan w:val="3"/>
          </w:tcPr>
          <w:p>
            <w:pPr>
              <w:jc w:val="right"/>
              <w:ind w:right="160"/>
              <w:spacing w:after="0"/>
              <w:rPr>
                <w:sz w:val="20"/>
                <w:szCs w:val="20"/>
                <w:color w:val="auto"/>
              </w:rPr>
            </w:pPr>
            <w:r>
              <w:rPr>
                <w:rFonts w:ascii="Arial" w:cs="Arial" w:eastAsia="Arial" w:hAnsi="Arial"/>
                <w:sz w:val="11"/>
                <w:szCs w:val="11"/>
                <w:color w:val="auto"/>
              </w:rPr>
              <w:t xml:space="preserve">5,411 </w:t>
            </w:r>
            <w:r>
              <w:rPr>
                <w:rFonts w:ascii="Arial" w:cs="Arial" w:eastAsia="Arial" w:hAnsi="Arial"/>
                <w:sz w:val="9"/>
                <w:szCs w:val="9"/>
                <w:color w:val="auto"/>
              </w:rPr>
              <w:t>(5)</w:t>
            </w:r>
          </w:p>
        </w:tc>
        <w:tc>
          <w:tcPr>
            <w:tcW w:w="1100" w:type="dxa"/>
            <w:vAlign w:val="bottom"/>
            <w:gridSpan w:val="2"/>
          </w:tcPr>
          <w:p>
            <w:pPr>
              <w:jc w:val="right"/>
              <w:spacing w:after="0"/>
              <w:rPr>
                <w:sz w:val="20"/>
                <w:szCs w:val="20"/>
                <w:color w:val="auto"/>
              </w:rPr>
            </w:pPr>
            <w:r>
              <w:rPr>
                <w:rFonts w:ascii="Arial" w:cs="Arial" w:eastAsia="Arial" w:hAnsi="Arial"/>
                <w:sz w:val="11"/>
                <w:szCs w:val="11"/>
                <w:color w:val="auto"/>
              </w:rPr>
              <w:t>$255,886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1620" w:type="dxa"/>
            <w:vAlign w:val="bottom"/>
          </w:tcPr>
          <w:p>
            <w:pPr>
              <w:spacing w:after="0"/>
              <w:rPr>
                <w:sz w:val="8"/>
                <w:szCs w:val="8"/>
                <w:color w:val="auto"/>
              </w:rPr>
            </w:pPr>
          </w:p>
        </w:tc>
        <w:tc>
          <w:tcPr>
            <w:tcW w:w="800" w:type="dxa"/>
            <w:vAlign w:val="bottom"/>
            <w:gridSpan w:val="2"/>
          </w:tcPr>
          <w:p>
            <w:pPr>
              <w:spacing w:after="0"/>
              <w:rPr>
                <w:sz w:val="8"/>
                <w:szCs w:val="8"/>
                <w:color w:val="auto"/>
              </w:rPr>
            </w:pPr>
          </w:p>
        </w:tc>
        <w:tc>
          <w:tcPr>
            <w:tcW w:w="900" w:type="dxa"/>
            <w:vAlign w:val="bottom"/>
            <w:gridSpan w:val="2"/>
          </w:tcPr>
          <w:p>
            <w:pPr>
              <w:spacing w:after="0"/>
              <w:rPr>
                <w:sz w:val="8"/>
                <w:szCs w:val="8"/>
                <w:color w:val="auto"/>
              </w:rPr>
            </w:pPr>
          </w:p>
        </w:tc>
        <w:tc>
          <w:tcPr>
            <w:tcW w:w="116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6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Joan Hooper</w:t>
            </w:r>
          </w:p>
        </w:tc>
        <w:tc>
          <w:tcPr>
            <w:tcW w:w="8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6/20/2017</w:t>
            </w:r>
          </w:p>
        </w:tc>
        <w:tc>
          <w:tcPr>
            <w:tcW w:w="9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3,838</w:t>
            </w:r>
          </w:p>
        </w:tc>
        <w:tc>
          <w:tcPr>
            <w:tcW w:w="11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7,677</w:t>
            </w: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$68.45</w:t>
            </w: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6/20/2027</w:t>
            </w:r>
          </w:p>
        </w:tc>
        <w:tc>
          <w:tcPr>
            <w:tcW w:w="12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 xml:space="preserve">2,435 </w:t>
            </w:r>
            <w:r>
              <w:rPr>
                <w:rFonts w:ascii="Arial" w:cs="Arial" w:eastAsia="Arial" w:hAnsi="Arial"/>
                <w:sz w:val="9"/>
                <w:szCs w:val="9"/>
                <w:color w:val="auto"/>
              </w:rPr>
              <w:t>(2)</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color w:val="auto"/>
              </w:rPr>
              <w:t>$115,151</w:t>
            </w:r>
          </w:p>
        </w:tc>
        <w:tc>
          <w:tcPr>
            <w:tcW w:w="2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6/20/2017</w:t>
            </w: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60" w:type="dxa"/>
            <w:vAlign w:val="bottom"/>
            <w:gridSpan w:val="3"/>
            <w:vMerge w:val="continue"/>
            <w:shd w:val="clear" w:color="auto" w:fill="CCEEFF"/>
          </w:tcPr>
          <w:p>
            <w:pPr>
              <w:spacing w:after="0"/>
              <w:rPr>
                <w:sz w:val="10"/>
                <w:szCs w:val="10"/>
                <w:color w:val="auto"/>
              </w:rPr>
            </w:pPr>
          </w:p>
        </w:tc>
        <w:tc>
          <w:tcPr>
            <w:tcW w:w="940" w:type="dxa"/>
            <w:vAlign w:val="bottom"/>
            <w:gridSpan w:val="2"/>
            <w:vMerge w:val="continue"/>
            <w:shd w:val="clear" w:color="auto" w:fill="CCEEFF"/>
          </w:tcPr>
          <w:p>
            <w:pPr>
              <w:spacing w:after="0"/>
              <w:rPr>
                <w:sz w:val="10"/>
                <w:szCs w:val="10"/>
                <w:color w:val="auto"/>
              </w:rPr>
            </w:pPr>
          </w:p>
        </w:tc>
        <w:tc>
          <w:tcPr>
            <w:tcW w:w="16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 xml:space="preserve">7,304 </w:t>
            </w:r>
            <w:r>
              <w:rPr>
                <w:rFonts w:ascii="Arial" w:cs="Arial" w:eastAsia="Arial" w:hAnsi="Arial"/>
                <w:sz w:val="9"/>
                <w:szCs w:val="9"/>
                <w:color w:val="auto"/>
              </w:rPr>
              <w:t>(4)</w:t>
            </w: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color w:val="auto"/>
              </w:rPr>
              <w:t>$345,406</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6/20/2017</w:t>
            </w: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20" w:type="dxa"/>
            <w:vAlign w:val="bottom"/>
            <w:gridSpan w:val="3"/>
            <w:vMerge w:val="continue"/>
            <w:shd w:val="clear" w:color="auto" w:fill="CCEEFF"/>
          </w:tcPr>
          <w:p>
            <w:pPr>
              <w:spacing w:after="0"/>
              <w:rPr>
                <w:sz w:val="10"/>
                <w:szCs w:val="10"/>
                <w:color w:val="auto"/>
              </w:rPr>
            </w:pPr>
          </w:p>
        </w:tc>
        <w:tc>
          <w:tcPr>
            <w:tcW w:w="110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2/22/2018</w:t>
            </w: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10,058</w:t>
            </w: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$69.30</w:t>
            </w: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2/22/2028</w:t>
            </w:r>
          </w:p>
        </w:tc>
        <w:tc>
          <w:tcPr>
            <w:tcW w:w="2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2/22/2018</w:t>
            </w: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60" w:type="dxa"/>
            <w:vAlign w:val="bottom"/>
            <w:gridSpan w:val="3"/>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 xml:space="preserve">3,607 </w:t>
            </w:r>
            <w:r>
              <w:rPr>
                <w:rFonts w:ascii="Arial" w:cs="Arial" w:eastAsia="Arial" w:hAnsi="Arial"/>
                <w:sz w:val="9"/>
                <w:szCs w:val="9"/>
                <w:color w:val="auto"/>
              </w:rPr>
              <w:t>(2)</w:t>
            </w:r>
          </w:p>
        </w:tc>
        <w:tc>
          <w:tcPr>
            <w:tcW w:w="9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$170,575</w:t>
            </w:r>
          </w:p>
        </w:tc>
        <w:tc>
          <w:tcPr>
            <w:tcW w:w="2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2/22/2018</w:t>
            </w: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20" w:type="dxa"/>
            <w:vAlign w:val="bottom"/>
            <w:gridSpan w:val="3"/>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 xml:space="preserve">2,706 </w:t>
            </w:r>
            <w:r>
              <w:rPr>
                <w:rFonts w:ascii="Arial" w:cs="Arial" w:eastAsia="Arial" w:hAnsi="Arial"/>
                <w:sz w:val="9"/>
                <w:szCs w:val="9"/>
                <w:color w:val="auto"/>
              </w:rPr>
              <w:t>(5)</w:t>
            </w:r>
          </w:p>
        </w:tc>
        <w:tc>
          <w:tcPr>
            <w:tcW w:w="11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$127,967</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auto"/>
              </w:rPr>
              <w:t>5/9/2018</w:t>
            </w: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60" w:type="dxa"/>
            <w:vAlign w:val="bottom"/>
            <w:gridSpan w:val="3"/>
            <w:shd w:val="clear" w:color="auto" w:fill="CCEEFF"/>
          </w:tcPr>
          <w:p>
            <w:pPr>
              <w:jc w:val="right"/>
              <w:ind w:right="140"/>
              <w:spacing w:after="0" w:line="125" w:lineRule="exact"/>
              <w:rPr>
                <w:sz w:val="20"/>
                <w:szCs w:val="20"/>
                <w:color w:val="auto"/>
              </w:rPr>
            </w:pPr>
            <w:r>
              <w:rPr>
                <w:rFonts w:ascii="Arial" w:cs="Arial" w:eastAsia="Arial" w:hAnsi="Arial"/>
                <w:sz w:val="11"/>
                <w:szCs w:val="11"/>
                <w:color w:val="auto"/>
              </w:rPr>
              <w:t xml:space="preserve">3,717 </w:t>
            </w:r>
            <w:r>
              <w:rPr>
                <w:rFonts w:ascii="Arial" w:cs="Arial" w:eastAsia="Arial" w:hAnsi="Arial"/>
                <w:sz w:val="9"/>
                <w:szCs w:val="9"/>
                <w:color w:val="auto"/>
              </w:rPr>
              <w:t>(2)</w:t>
            </w:r>
          </w:p>
        </w:tc>
        <w:tc>
          <w:tcPr>
            <w:tcW w:w="940" w:type="dxa"/>
            <w:vAlign w:val="bottom"/>
            <w:gridSpan w:val="2"/>
            <w:shd w:val="clear" w:color="auto" w:fill="CCEEFF"/>
          </w:tcPr>
          <w:p>
            <w:pPr>
              <w:jc w:val="right"/>
              <w:spacing w:after="0" w:line="125" w:lineRule="exact"/>
              <w:rPr>
                <w:sz w:val="20"/>
                <w:szCs w:val="20"/>
                <w:color w:val="auto"/>
              </w:rPr>
            </w:pPr>
            <w:r>
              <w:rPr>
                <w:rFonts w:ascii="Arial" w:cs="Arial" w:eastAsia="Arial" w:hAnsi="Arial"/>
                <w:sz w:val="11"/>
                <w:szCs w:val="11"/>
                <w:color w:val="auto"/>
              </w:rPr>
              <w:t>$175,777</w:t>
            </w:r>
          </w:p>
        </w:tc>
        <w:tc>
          <w:tcPr>
            <w:tcW w:w="2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1640" w:type="dxa"/>
            <w:vAlign w:val="bottom"/>
            <w:gridSpan w:val="2"/>
          </w:tcPr>
          <w:p>
            <w:pPr>
              <w:spacing w:after="0"/>
              <w:rPr>
                <w:sz w:val="20"/>
                <w:szCs w:val="20"/>
                <w:color w:val="auto"/>
              </w:rPr>
            </w:pPr>
            <w:r>
              <w:rPr>
                <w:rFonts w:ascii="Arial" w:cs="Arial" w:eastAsia="Arial" w:hAnsi="Arial"/>
                <w:sz w:val="11"/>
                <w:szCs w:val="11"/>
                <w:color w:val="auto"/>
              </w:rPr>
              <w:t>Sarah Hlavinka</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9/12/2018</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1"/>
                <w:szCs w:val="11"/>
                <w:color w:val="auto"/>
              </w:rPr>
              <w:t>8,800</w:t>
            </w:r>
          </w:p>
        </w:tc>
        <w:tc>
          <w:tcPr>
            <w:tcW w:w="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$66.30</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9/12/2028</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9/12/2018</w:t>
            </w: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60" w:type="dxa"/>
            <w:vAlign w:val="bottom"/>
            <w:gridSpan w:val="3"/>
          </w:tcPr>
          <w:p>
            <w:pPr>
              <w:jc w:val="right"/>
              <w:ind w:right="140"/>
              <w:spacing w:after="0" w:line="122" w:lineRule="exact"/>
              <w:rPr>
                <w:sz w:val="20"/>
                <w:szCs w:val="20"/>
                <w:color w:val="auto"/>
              </w:rPr>
            </w:pPr>
            <w:r>
              <w:rPr>
                <w:rFonts w:ascii="Arial" w:cs="Arial" w:eastAsia="Arial" w:hAnsi="Arial"/>
                <w:sz w:val="11"/>
                <w:szCs w:val="11"/>
                <w:color w:val="auto"/>
              </w:rPr>
              <w:t xml:space="preserve">3,016 </w:t>
            </w:r>
            <w:r>
              <w:rPr>
                <w:rFonts w:ascii="Arial" w:cs="Arial" w:eastAsia="Arial" w:hAnsi="Arial"/>
                <w:sz w:val="9"/>
                <w:szCs w:val="9"/>
                <w:color w:val="auto"/>
              </w:rPr>
              <w:t>(2)</w:t>
            </w:r>
          </w:p>
        </w:tc>
        <w:tc>
          <w:tcPr>
            <w:tcW w:w="9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$142,627</w:t>
            </w: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9/12/2018</w:t>
            </w: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60" w:type="dxa"/>
            <w:vAlign w:val="bottom"/>
            <w:gridSpan w:val="3"/>
          </w:tcPr>
          <w:p>
            <w:pPr>
              <w:jc w:val="right"/>
              <w:ind w:right="140"/>
              <w:spacing w:after="0" w:line="122" w:lineRule="exact"/>
              <w:rPr>
                <w:sz w:val="20"/>
                <w:szCs w:val="20"/>
                <w:color w:val="auto"/>
              </w:rPr>
            </w:pPr>
            <w:r>
              <w:rPr>
                <w:rFonts w:ascii="Arial" w:cs="Arial" w:eastAsia="Arial" w:hAnsi="Arial"/>
                <w:sz w:val="11"/>
                <w:szCs w:val="11"/>
                <w:color w:val="auto"/>
              </w:rPr>
              <w:t xml:space="preserve">7,541 </w:t>
            </w:r>
            <w:r>
              <w:rPr>
                <w:rFonts w:ascii="Arial" w:cs="Arial" w:eastAsia="Arial" w:hAnsi="Arial"/>
                <w:sz w:val="9"/>
                <w:szCs w:val="9"/>
                <w:color w:val="auto"/>
              </w:rPr>
              <w:t>(3)</w:t>
            </w:r>
          </w:p>
        </w:tc>
        <w:tc>
          <w:tcPr>
            <w:tcW w:w="9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$356,614</w:t>
            </w: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9/12/2018</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20" w:type="dxa"/>
            <w:vAlign w:val="bottom"/>
            <w:gridSpan w:val="3"/>
          </w:tcPr>
          <w:p>
            <w:pPr>
              <w:jc w:val="right"/>
              <w:ind w:right="160"/>
              <w:spacing w:after="0"/>
              <w:rPr>
                <w:sz w:val="20"/>
                <w:szCs w:val="20"/>
                <w:color w:val="auto"/>
              </w:rPr>
            </w:pPr>
            <w:r>
              <w:rPr>
                <w:rFonts w:ascii="Arial" w:cs="Arial" w:eastAsia="Arial" w:hAnsi="Arial"/>
                <w:sz w:val="11"/>
                <w:szCs w:val="11"/>
                <w:color w:val="auto"/>
              </w:rPr>
              <w:t xml:space="preserve">2,262 </w:t>
            </w:r>
            <w:r>
              <w:rPr>
                <w:rFonts w:ascii="Arial" w:cs="Arial" w:eastAsia="Arial" w:hAnsi="Arial"/>
                <w:sz w:val="9"/>
                <w:szCs w:val="9"/>
                <w:color w:val="auto"/>
              </w:rPr>
              <w:t>(5)</w:t>
            </w:r>
          </w:p>
        </w:tc>
        <w:tc>
          <w:tcPr>
            <w:tcW w:w="1100" w:type="dxa"/>
            <w:vAlign w:val="bottom"/>
            <w:gridSpan w:val="2"/>
          </w:tcPr>
          <w:p>
            <w:pPr>
              <w:jc w:val="right"/>
              <w:spacing w:after="0"/>
              <w:rPr>
                <w:sz w:val="20"/>
                <w:szCs w:val="20"/>
                <w:color w:val="auto"/>
              </w:rPr>
            </w:pPr>
            <w:r>
              <w:rPr>
                <w:rFonts w:ascii="Arial" w:cs="Arial" w:eastAsia="Arial" w:hAnsi="Arial"/>
                <w:sz w:val="11"/>
                <w:szCs w:val="11"/>
                <w:color w:val="auto"/>
              </w:rPr>
              <w:t>$106,970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1620" w:type="dxa"/>
            <w:vAlign w:val="bottom"/>
          </w:tcPr>
          <w:p>
            <w:pPr>
              <w:spacing w:after="0"/>
              <w:rPr>
                <w:sz w:val="8"/>
                <w:szCs w:val="8"/>
                <w:color w:val="auto"/>
              </w:rPr>
            </w:pPr>
          </w:p>
        </w:tc>
        <w:tc>
          <w:tcPr>
            <w:tcW w:w="800" w:type="dxa"/>
            <w:vAlign w:val="bottom"/>
            <w:gridSpan w:val="2"/>
          </w:tcPr>
          <w:p>
            <w:pPr>
              <w:spacing w:after="0"/>
              <w:rPr>
                <w:sz w:val="8"/>
                <w:szCs w:val="8"/>
                <w:color w:val="auto"/>
              </w:rPr>
            </w:pPr>
          </w:p>
        </w:tc>
        <w:tc>
          <w:tcPr>
            <w:tcW w:w="90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vMerge w:val="continue"/>
          </w:tcPr>
          <w:p>
            <w:pPr>
              <w:spacing w:after="0"/>
              <w:rPr>
                <w:sz w:val="10"/>
                <w:szCs w:val="10"/>
                <w:color w:val="auto"/>
              </w:rPr>
            </w:pPr>
          </w:p>
        </w:tc>
        <w:tc>
          <w:tcPr>
            <w:tcW w:w="1620" w:type="dxa"/>
            <w:vAlign w:val="bottom"/>
            <w:shd w:val="clear" w:color="auto" w:fill="CCEEFF"/>
          </w:tcPr>
          <w:p>
            <w:pPr>
              <w:spacing w:after="0" w:line="119" w:lineRule="exact"/>
              <w:rPr>
                <w:sz w:val="20"/>
                <w:szCs w:val="20"/>
                <w:color w:val="auto"/>
              </w:rPr>
            </w:pPr>
            <w:r>
              <w:rPr>
                <w:rFonts w:ascii="Arial" w:cs="Arial" w:eastAsia="Arial" w:hAnsi="Arial"/>
                <w:sz w:val="11"/>
                <w:szCs w:val="11"/>
                <w:color w:val="auto"/>
              </w:rPr>
              <w:t>Michel Cadieux</w:t>
            </w:r>
          </w:p>
        </w:tc>
        <w:tc>
          <w:tcPr>
            <w:tcW w:w="80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2/19/2014</w:t>
            </w:r>
          </w:p>
        </w:tc>
        <w:tc>
          <w:tcPr>
            <w:tcW w:w="90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8,223</w:t>
            </w: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$35.29</w:t>
            </w: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2/19/2024</w:t>
            </w:r>
          </w:p>
        </w:tc>
        <w:tc>
          <w:tcPr>
            <w:tcW w:w="2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2/19/2015</w:t>
            </w:r>
          </w:p>
        </w:tc>
        <w:tc>
          <w:tcPr>
            <w:tcW w:w="9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16,640</w:t>
            </w: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$35.29</w:t>
            </w: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2/19/2025</w:t>
            </w:r>
          </w:p>
        </w:tc>
        <w:tc>
          <w:tcPr>
            <w:tcW w:w="2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2/24/2016</w:t>
            </w:r>
          </w:p>
        </w:tc>
        <w:tc>
          <w:tcPr>
            <w:tcW w:w="9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10,121</w:t>
            </w:r>
          </w:p>
        </w:tc>
        <w:tc>
          <w:tcPr>
            <w:tcW w:w="11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5,061</w:t>
            </w: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$40.05</w:t>
            </w: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2/24/2026</w:t>
            </w:r>
          </w:p>
        </w:tc>
        <w:tc>
          <w:tcPr>
            <w:tcW w:w="2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2/24/2016</w:t>
            </w: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60" w:type="dxa"/>
            <w:vAlign w:val="bottom"/>
            <w:gridSpan w:val="3"/>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 xml:space="preserve">1,665 </w:t>
            </w:r>
            <w:r>
              <w:rPr>
                <w:rFonts w:ascii="Arial" w:cs="Arial" w:eastAsia="Arial" w:hAnsi="Arial"/>
                <w:sz w:val="9"/>
                <w:szCs w:val="9"/>
                <w:color w:val="auto"/>
              </w:rPr>
              <w:t>(2)</w:t>
            </w:r>
          </w:p>
        </w:tc>
        <w:tc>
          <w:tcPr>
            <w:tcW w:w="9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$78,738</w:t>
            </w:r>
          </w:p>
        </w:tc>
        <w:tc>
          <w:tcPr>
            <w:tcW w:w="2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2/23/2017</w:t>
            </w:r>
          </w:p>
        </w:tc>
        <w:tc>
          <w:tcPr>
            <w:tcW w:w="9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3,026</w:t>
            </w:r>
          </w:p>
        </w:tc>
        <w:tc>
          <w:tcPr>
            <w:tcW w:w="11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6,054</w:t>
            </w: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$65.55</w:t>
            </w: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2/23/2027</w:t>
            </w:r>
          </w:p>
        </w:tc>
        <w:tc>
          <w:tcPr>
            <w:tcW w:w="2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2/23/2017</w:t>
            </w: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60" w:type="dxa"/>
            <w:vAlign w:val="bottom"/>
            <w:gridSpan w:val="3"/>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 xml:space="preserve">2,034 </w:t>
            </w:r>
            <w:r>
              <w:rPr>
                <w:rFonts w:ascii="Arial" w:cs="Arial" w:eastAsia="Arial" w:hAnsi="Arial"/>
                <w:sz w:val="9"/>
                <w:szCs w:val="9"/>
                <w:color w:val="auto"/>
              </w:rPr>
              <w:t>(2)</w:t>
            </w:r>
          </w:p>
        </w:tc>
        <w:tc>
          <w:tcPr>
            <w:tcW w:w="9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$96,188</w:t>
            </w:r>
          </w:p>
        </w:tc>
        <w:tc>
          <w:tcPr>
            <w:tcW w:w="2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2/23/2017</w:t>
            </w: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20" w:type="dxa"/>
            <w:vAlign w:val="bottom"/>
            <w:gridSpan w:val="3"/>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 xml:space="preserve">6,102 </w:t>
            </w:r>
            <w:r>
              <w:rPr>
                <w:rFonts w:ascii="Arial" w:cs="Arial" w:eastAsia="Arial" w:hAnsi="Arial"/>
                <w:sz w:val="9"/>
                <w:szCs w:val="9"/>
                <w:color w:val="auto"/>
              </w:rPr>
              <w:t>(4)</w:t>
            </w:r>
          </w:p>
        </w:tc>
        <w:tc>
          <w:tcPr>
            <w:tcW w:w="11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$288,564</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2/22/2018</w:t>
            </w: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8,046</w:t>
            </w: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$69.30</w:t>
            </w: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2/22/2028</w:t>
            </w:r>
          </w:p>
        </w:tc>
        <w:tc>
          <w:tcPr>
            <w:tcW w:w="2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2/22/2018</w:t>
            </w: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60" w:type="dxa"/>
            <w:vAlign w:val="bottom"/>
            <w:gridSpan w:val="3"/>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 xml:space="preserve">2,886 </w:t>
            </w:r>
            <w:r>
              <w:rPr>
                <w:rFonts w:ascii="Arial" w:cs="Arial" w:eastAsia="Arial" w:hAnsi="Arial"/>
                <w:sz w:val="9"/>
                <w:szCs w:val="9"/>
                <w:color w:val="auto"/>
              </w:rPr>
              <w:t>(2)</w:t>
            </w:r>
          </w:p>
        </w:tc>
        <w:tc>
          <w:tcPr>
            <w:tcW w:w="9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$136,479</w:t>
            </w:r>
          </w:p>
        </w:tc>
        <w:tc>
          <w:tcPr>
            <w:tcW w:w="2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auto"/>
              </w:rPr>
              <w:t>2/22/2018</w:t>
            </w: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20" w:type="dxa"/>
            <w:vAlign w:val="bottom"/>
            <w:gridSpan w:val="3"/>
            <w:shd w:val="clear" w:color="auto" w:fill="CCEEFF"/>
          </w:tcPr>
          <w:p>
            <w:pPr>
              <w:jc w:val="right"/>
              <w:ind w:right="160"/>
              <w:spacing w:after="0" w:line="125" w:lineRule="exact"/>
              <w:rPr>
                <w:sz w:val="20"/>
                <w:szCs w:val="20"/>
                <w:color w:val="auto"/>
              </w:rPr>
            </w:pPr>
            <w:r>
              <w:rPr>
                <w:rFonts w:ascii="Arial" w:cs="Arial" w:eastAsia="Arial" w:hAnsi="Arial"/>
                <w:sz w:val="11"/>
                <w:szCs w:val="11"/>
                <w:color w:val="auto"/>
              </w:rPr>
              <w:t xml:space="preserve">2,165 </w:t>
            </w:r>
            <w:r>
              <w:rPr>
                <w:rFonts w:ascii="Arial" w:cs="Arial" w:eastAsia="Arial" w:hAnsi="Arial"/>
                <w:sz w:val="9"/>
                <w:szCs w:val="9"/>
                <w:color w:val="auto"/>
              </w:rPr>
              <w:t>(5)</w:t>
            </w:r>
          </w:p>
        </w:tc>
        <w:tc>
          <w:tcPr>
            <w:tcW w:w="1100" w:type="dxa"/>
            <w:vAlign w:val="bottom"/>
            <w:gridSpan w:val="2"/>
            <w:shd w:val="clear" w:color="auto" w:fill="CCEEFF"/>
          </w:tcPr>
          <w:p>
            <w:pPr>
              <w:jc w:val="right"/>
              <w:spacing w:after="0" w:line="125" w:lineRule="exact"/>
              <w:rPr>
                <w:sz w:val="20"/>
                <w:szCs w:val="20"/>
                <w:color w:val="auto"/>
              </w:rPr>
            </w:pPr>
            <w:r>
              <w:rPr>
                <w:rFonts w:ascii="Arial" w:cs="Arial" w:eastAsia="Arial" w:hAnsi="Arial"/>
                <w:sz w:val="11"/>
                <w:szCs w:val="11"/>
                <w:color w:val="auto"/>
              </w:rPr>
              <w:t>$102,383</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240030</wp:posOffset>
            </wp:positionV>
            <wp:extent cx="7632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740" w:right="40" w:hanging="428"/>
        <w:spacing w:after="0" w:line="241" w:lineRule="auto"/>
        <w:tabs>
          <w:tab w:leader="none" w:pos="7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One third of the options granted on February 24, 2016 vest on each of February 24, 2017, 2018 and 2019. One third of the options granted on February 25, 2016 vest on each of February 25, 2017, 2018 and 2019. One third of the options granted on February 23, 2017 vest on each of February 23, 2018, 2019, and 2020. One third of the options granted on June 20, 2017 vest on each of June 20, 2018, 2019, and 2020. One third of the options granted on February 22, 2018 vest on each of February 22, 2019, 2020, and 2021. One third of the options granted on September 12, 2018 vest on each of September 12, 2019, 2020, and 2021.</w:t>
      </w:r>
    </w:p>
    <w:p>
      <w:pPr>
        <w:spacing w:after="0" w:line="1" w:lineRule="exact"/>
        <w:rPr>
          <w:rFonts w:ascii="Arial" w:cs="Arial" w:eastAsia="Arial" w:hAnsi="Arial"/>
          <w:sz w:val="14"/>
          <w:szCs w:val="14"/>
          <w:color w:val="auto"/>
        </w:rPr>
      </w:pPr>
    </w:p>
    <w:p>
      <w:pPr>
        <w:ind w:left="740" w:right="700" w:hanging="428"/>
        <w:spacing w:after="0" w:line="258" w:lineRule="auto"/>
        <w:tabs>
          <w:tab w:leader="none" w:pos="7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Represents time-vested RSUs granted under the Amended and Restated 2010 Plan. One third of the RSUs granted on February 24, 2016 vest on each of February 24, 2017, 2018 and 2019. One third of the RSUs granted on February 25,</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240" w:top="459" w:right="4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740" w:right="120"/>
        <w:spacing w:after="0" w:line="241" w:lineRule="auto"/>
        <w:rPr>
          <w:sz w:val="20"/>
          <w:szCs w:val="20"/>
          <w:color w:val="auto"/>
        </w:rPr>
      </w:pPr>
      <w:r>
        <w:rPr>
          <w:rFonts w:ascii="Arial" w:cs="Arial" w:eastAsia="Arial" w:hAnsi="Arial"/>
          <w:sz w:val="14"/>
          <w:szCs w:val="14"/>
          <w:color w:val="auto"/>
        </w:rPr>
        <w:t>2016 vest on each of February 25, 2017, 2018 and 2019. One third of the RSUs granted on February 23, 2017 vest on each of February 23, 2018, 2019, and 2020. One third of the RSUs granted on June 20, 2017 vest on each of June 20, 2018, 2019 and 2020. One third of the RSUs granted on February 22, 2018 will vest on each of February 22, 2019, 2020, and 2021. One third of the RSUs granted on May 9, 2018 vest on each of May 9, 2019, 2020, and 2021. One third of the RSUs granted on September 12, 2018 will vest on each of September 12, 2019, 2020, and 2021.</w:t>
      </w:r>
    </w:p>
    <w:p>
      <w:pPr>
        <w:spacing w:after="0" w:line="2" w:lineRule="exact"/>
        <w:rPr>
          <w:sz w:val="20"/>
          <w:szCs w:val="20"/>
          <w:color w:val="auto"/>
        </w:rPr>
      </w:pPr>
    </w:p>
    <w:p>
      <w:pPr>
        <w:ind w:left="740" w:hanging="428"/>
        <w:spacing w:after="0"/>
        <w:tabs>
          <w:tab w:leader="none" w:pos="7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RSUs granted will vest in full on September 12, 2019.</w:t>
      </w:r>
    </w:p>
    <w:p>
      <w:pPr>
        <w:spacing w:after="0" w:line="1" w:lineRule="exact"/>
        <w:rPr>
          <w:rFonts w:ascii="Arial" w:cs="Arial" w:eastAsia="Arial" w:hAnsi="Arial"/>
          <w:sz w:val="14"/>
          <w:szCs w:val="14"/>
          <w:color w:val="auto"/>
        </w:rPr>
      </w:pPr>
    </w:p>
    <w:p>
      <w:pPr>
        <w:ind w:left="740" w:hanging="428"/>
        <w:spacing w:after="0"/>
        <w:tabs>
          <w:tab w:leader="none" w:pos="7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Represents PRSUs granted for the three-year performance cycle beginning in 2017 assuming achievement at target levels of performance.</w:t>
      </w:r>
    </w:p>
    <w:p>
      <w:pPr>
        <w:spacing w:after="0" w:line="1" w:lineRule="exact"/>
        <w:rPr>
          <w:rFonts w:ascii="Arial" w:cs="Arial" w:eastAsia="Arial" w:hAnsi="Arial"/>
          <w:sz w:val="14"/>
          <w:szCs w:val="14"/>
          <w:color w:val="auto"/>
        </w:rPr>
      </w:pPr>
    </w:p>
    <w:p>
      <w:pPr>
        <w:ind w:left="740" w:hanging="428"/>
        <w:spacing w:after="0"/>
        <w:tabs>
          <w:tab w:leader="none" w:pos="7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Represents PRSUs granted for the three-year performance cycle beginning in 2018 assuming achievement at threshold levels of performance.</w:t>
      </w:r>
    </w:p>
    <w:p>
      <w:pPr>
        <w:spacing w:after="0" w:line="1" w:lineRule="exact"/>
        <w:rPr>
          <w:rFonts w:ascii="Arial" w:cs="Arial" w:eastAsia="Arial" w:hAnsi="Arial"/>
          <w:sz w:val="14"/>
          <w:szCs w:val="14"/>
          <w:color w:val="auto"/>
        </w:rPr>
      </w:pPr>
    </w:p>
    <w:p>
      <w:pPr>
        <w:ind w:left="740" w:hanging="428"/>
        <w:spacing w:after="0"/>
        <w:tabs>
          <w:tab w:leader="none" w:pos="7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Based on the closing price of our common stock on December 31, 2018 ($47.29).</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2018 Option Exercises and Stock Vested Table</w:t>
      </w:r>
    </w:p>
    <w:p>
      <w:pPr>
        <w:spacing w:after="0" w:line="126" w:lineRule="exact"/>
        <w:rPr>
          <w:sz w:val="20"/>
          <w:szCs w:val="20"/>
          <w:color w:val="auto"/>
        </w:rPr>
      </w:pPr>
    </w:p>
    <w:p>
      <w:pPr>
        <w:ind w:left="200" w:right="340"/>
        <w:spacing w:after="0" w:line="246" w:lineRule="auto"/>
        <w:rPr>
          <w:sz w:val="20"/>
          <w:szCs w:val="20"/>
          <w:color w:val="auto"/>
        </w:rPr>
      </w:pPr>
      <w:r>
        <w:rPr>
          <w:rFonts w:ascii="Arial" w:cs="Arial" w:eastAsia="Arial" w:hAnsi="Arial"/>
          <w:sz w:val="18"/>
          <w:szCs w:val="18"/>
          <w:color w:val="auto"/>
        </w:rPr>
        <w:t>The following table provides information regarding stock option exercises and shares acquired upon the vesting of stock awards by the NEOs during the 2018 fiscal year.</w:t>
      </w: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Option Exercises and Stock Vested</w:t>
      </w:r>
    </w:p>
    <w:p>
      <w:pPr>
        <w:spacing w:after="0" w:line="32" w:lineRule="exact"/>
        <w:rPr>
          <w:sz w:val="20"/>
          <w:szCs w:val="20"/>
          <w:color w:val="auto"/>
        </w:rPr>
      </w:pPr>
    </w:p>
    <w:tbl>
      <w:tblPr>
        <w:tblLayout w:type="fixed"/>
        <w:tblInd w:w="20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580" w:type="dxa"/>
            <w:vAlign w:val="bottom"/>
            <w:tcBorders>
              <w:top w:val="single" w:sz="8" w:color="auto"/>
              <w:bottom w:val="single" w:sz="8" w:color="auto"/>
            </w:tcBorders>
            <w:gridSpan w:val="2"/>
          </w:tcPr>
          <w:p>
            <w:pPr>
              <w:ind w:left="1280"/>
              <w:spacing w:after="0" w:line="196" w:lineRule="exact"/>
              <w:rPr>
                <w:sz w:val="20"/>
                <w:szCs w:val="20"/>
                <w:color w:val="auto"/>
              </w:rPr>
            </w:pPr>
            <w:r>
              <w:rPr>
                <w:rFonts w:ascii="Arial" w:cs="Arial" w:eastAsia="Arial" w:hAnsi="Arial"/>
                <w:sz w:val="18"/>
                <w:szCs w:val="18"/>
                <w:b w:val="1"/>
                <w:bCs w:val="1"/>
                <w:color w:val="auto"/>
                <w:w w:val="99"/>
              </w:rPr>
              <w:t>Option Awards</w:t>
            </w:r>
          </w:p>
        </w:tc>
        <w:tc>
          <w:tcPr>
            <w:tcW w:w="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60" w:type="dxa"/>
            <w:vAlign w:val="bottom"/>
            <w:tcBorders>
              <w:top w:val="single" w:sz="8" w:color="auto"/>
              <w:bottom w:val="single" w:sz="8" w:color="auto"/>
            </w:tcBorders>
            <w:gridSpan w:val="2"/>
          </w:tcPr>
          <w:p>
            <w:pPr>
              <w:ind w:left="1260"/>
              <w:spacing w:after="0" w:line="196" w:lineRule="exact"/>
              <w:rPr>
                <w:sz w:val="20"/>
                <w:szCs w:val="20"/>
                <w:color w:val="auto"/>
              </w:rPr>
            </w:pPr>
            <w:r>
              <w:rPr>
                <w:rFonts w:ascii="Arial" w:cs="Arial" w:eastAsia="Arial" w:hAnsi="Arial"/>
                <w:sz w:val="18"/>
                <w:szCs w:val="18"/>
                <w:b w:val="1"/>
                <w:bCs w:val="1"/>
                <w:color w:val="auto"/>
                <w:w w:val="99"/>
              </w:rPr>
              <w:t>Stock Awards</w:t>
            </w:r>
          </w:p>
        </w:tc>
        <w:tc>
          <w:tcPr>
            <w:tcW w:w="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580" w:type="dxa"/>
            <w:vAlign w:val="bottom"/>
            <w:gridSpan w:val="2"/>
          </w:tcPr>
          <w:p>
            <w:pPr>
              <w:jc w:val="center"/>
              <w:ind w:right="740"/>
              <w:spacing w:after="0" w:line="173" w:lineRule="exact"/>
              <w:rPr>
                <w:sz w:val="20"/>
                <w:szCs w:val="20"/>
                <w:color w:val="auto"/>
              </w:rPr>
            </w:pPr>
            <w:r>
              <w:rPr>
                <w:rFonts w:ascii="Arial" w:cs="Arial" w:eastAsia="Arial" w:hAnsi="Arial"/>
                <w:sz w:val="18"/>
                <w:szCs w:val="18"/>
                <w:b w:val="1"/>
                <w:bCs w:val="1"/>
                <w:color w:val="auto"/>
              </w:rPr>
              <w:t>Number of Shares</w:t>
            </w:r>
          </w:p>
        </w:tc>
        <w:tc>
          <w:tcPr>
            <w:tcW w:w="1280" w:type="dxa"/>
            <w:vAlign w:val="bottom"/>
            <w:gridSpan w:val="2"/>
          </w:tcPr>
          <w:p>
            <w:pPr>
              <w:jc w:val="right"/>
              <w:ind w:right="20"/>
              <w:spacing w:after="0" w:line="173" w:lineRule="exact"/>
              <w:rPr>
                <w:sz w:val="20"/>
                <w:szCs w:val="20"/>
                <w:color w:val="auto"/>
              </w:rPr>
            </w:pPr>
            <w:r>
              <w:rPr>
                <w:rFonts w:ascii="Arial" w:cs="Arial" w:eastAsia="Arial" w:hAnsi="Arial"/>
                <w:sz w:val="18"/>
                <w:szCs w:val="18"/>
                <w:b w:val="1"/>
                <w:bCs w:val="1"/>
                <w:color w:val="auto"/>
                <w:w w:val="98"/>
              </w:rPr>
              <w:t>Value Realized</w:t>
            </w:r>
          </w:p>
        </w:tc>
        <w:tc>
          <w:tcPr>
            <w:tcW w:w="740" w:type="dxa"/>
            <w:vAlign w:val="bottom"/>
          </w:tcPr>
          <w:p>
            <w:pPr>
              <w:spacing w:after="0"/>
              <w:rPr>
                <w:sz w:val="15"/>
                <w:szCs w:val="15"/>
                <w:color w:val="auto"/>
              </w:rPr>
            </w:pPr>
          </w:p>
        </w:tc>
        <w:tc>
          <w:tcPr>
            <w:tcW w:w="2460" w:type="dxa"/>
            <w:vAlign w:val="bottom"/>
            <w:gridSpan w:val="2"/>
          </w:tcPr>
          <w:p>
            <w:pPr>
              <w:jc w:val="center"/>
              <w:ind w:right="740"/>
              <w:spacing w:after="0" w:line="173" w:lineRule="exact"/>
              <w:rPr>
                <w:sz w:val="20"/>
                <w:szCs w:val="20"/>
                <w:color w:val="auto"/>
              </w:rPr>
            </w:pPr>
            <w:r>
              <w:rPr>
                <w:rFonts w:ascii="Arial" w:cs="Arial" w:eastAsia="Arial" w:hAnsi="Arial"/>
                <w:sz w:val="18"/>
                <w:szCs w:val="18"/>
                <w:b w:val="1"/>
                <w:bCs w:val="1"/>
                <w:color w:val="auto"/>
              </w:rPr>
              <w:t>Number of Shares</w:t>
            </w:r>
          </w:p>
        </w:tc>
        <w:tc>
          <w:tcPr>
            <w:tcW w:w="1280" w:type="dxa"/>
            <w:vAlign w:val="bottom"/>
            <w:gridSpan w:val="2"/>
          </w:tcPr>
          <w:p>
            <w:pPr>
              <w:jc w:val="center"/>
              <w:spacing w:after="0" w:line="173" w:lineRule="exact"/>
              <w:rPr>
                <w:sz w:val="20"/>
                <w:szCs w:val="20"/>
                <w:color w:val="auto"/>
              </w:rPr>
            </w:pPr>
            <w:r>
              <w:rPr>
                <w:rFonts w:ascii="Arial" w:cs="Arial" w:eastAsia="Arial" w:hAnsi="Arial"/>
                <w:sz w:val="18"/>
                <w:szCs w:val="18"/>
                <w:b w:val="1"/>
                <w:bCs w:val="1"/>
                <w:color w:val="auto"/>
                <w:w w:val="98"/>
              </w:rPr>
              <w:t>Value Realized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w:t>
            </w:r>
          </w:p>
        </w:tc>
        <w:tc>
          <w:tcPr>
            <w:tcW w:w="3260" w:type="dxa"/>
            <w:vAlign w:val="bottom"/>
            <w:gridSpan w:val="3"/>
          </w:tcPr>
          <w:p>
            <w:pPr>
              <w:jc w:val="center"/>
              <w:ind w:right="60"/>
              <w:spacing w:after="0" w:line="202" w:lineRule="exact"/>
              <w:rPr>
                <w:sz w:val="20"/>
                <w:szCs w:val="20"/>
                <w:color w:val="auto"/>
              </w:rPr>
            </w:pPr>
            <w:r>
              <w:rPr>
                <w:rFonts w:ascii="Arial" w:cs="Arial" w:eastAsia="Arial" w:hAnsi="Arial"/>
                <w:sz w:val="18"/>
                <w:szCs w:val="18"/>
                <w:b w:val="1"/>
                <w:bCs w:val="1"/>
                <w:color w:val="auto"/>
                <w:w w:val="99"/>
              </w:rPr>
              <w:t>Acquired on Exercise</w:t>
            </w: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9"/>
              </w:rPr>
              <w:t>Upon Exercise</w:t>
            </w:r>
          </w:p>
        </w:tc>
        <w:tc>
          <w:tcPr>
            <w:tcW w:w="3200" w:type="dxa"/>
            <w:vAlign w:val="bottom"/>
            <w:gridSpan w:val="3"/>
          </w:tcPr>
          <w:p>
            <w:pPr>
              <w:jc w:val="center"/>
              <w:spacing w:after="0" w:line="202" w:lineRule="exact"/>
              <w:rPr>
                <w:sz w:val="20"/>
                <w:szCs w:val="20"/>
                <w:color w:val="auto"/>
              </w:rPr>
            </w:pPr>
            <w:r>
              <w:rPr>
                <w:rFonts w:ascii="Arial" w:cs="Arial" w:eastAsia="Arial" w:hAnsi="Arial"/>
                <w:sz w:val="18"/>
                <w:szCs w:val="18"/>
                <w:b w:val="1"/>
                <w:bCs w:val="1"/>
                <w:color w:val="auto"/>
                <w:w w:val="99"/>
              </w:rPr>
              <w:t>Acquired on Vesting</w:t>
            </w:r>
          </w:p>
        </w:tc>
        <w:tc>
          <w:tcPr>
            <w:tcW w:w="20" w:type="dxa"/>
            <w:vAlign w:val="bottom"/>
          </w:tcPr>
          <w:p>
            <w:pPr>
              <w:spacing w:after="0"/>
              <w:rPr>
                <w:sz w:val="17"/>
                <w:szCs w:val="17"/>
                <w:color w:val="auto"/>
              </w:rPr>
            </w:pPr>
          </w:p>
        </w:tc>
        <w:tc>
          <w:tcPr>
            <w:tcW w:w="132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w w:val="99"/>
              </w:rPr>
              <w:t>on Vesting</w:t>
            </w:r>
          </w:p>
        </w:tc>
        <w:tc>
          <w:tcPr>
            <w:tcW w:w="0" w:type="dxa"/>
            <w:vAlign w:val="bottom"/>
          </w:tcPr>
          <w:p>
            <w:pPr>
              <w:spacing w:after="0"/>
              <w:rPr>
                <w:sz w:val="1"/>
                <w:szCs w:val="1"/>
                <w:color w:val="auto"/>
              </w:rPr>
            </w:pPr>
          </w:p>
        </w:tc>
      </w:tr>
      <w:tr>
        <w:trPr>
          <w:trHeight w:val="225"/>
        </w:trPr>
        <w:tc>
          <w:tcPr>
            <w:tcW w:w="1960" w:type="dxa"/>
            <w:vAlign w:val="bottom"/>
            <w:gridSpan w:val="2"/>
            <w:vMerge w:val="continue"/>
          </w:tcPr>
          <w:p>
            <w:pPr>
              <w:spacing w:after="0"/>
              <w:rPr>
                <w:sz w:val="19"/>
                <w:szCs w:val="19"/>
                <w:color w:val="auto"/>
              </w:rPr>
            </w:pPr>
          </w:p>
        </w:tc>
        <w:tc>
          <w:tcPr>
            <w:tcW w:w="2540" w:type="dxa"/>
            <w:vAlign w:val="bottom"/>
            <w:gridSpan w:val="2"/>
          </w:tcPr>
          <w:p>
            <w:pPr>
              <w:jc w:val="center"/>
              <w:ind w:left="59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w:t>
            </w:r>
          </w:p>
        </w:tc>
        <w:tc>
          <w:tcPr>
            <w:tcW w:w="2480" w:type="dxa"/>
            <w:vAlign w:val="bottom"/>
            <w:gridSpan w:val="2"/>
          </w:tcPr>
          <w:p>
            <w:pPr>
              <w:jc w:val="center"/>
              <w:ind w:left="630"/>
              <w:spacing w:after="0"/>
              <w:rPr>
                <w:sz w:val="20"/>
                <w:szCs w:val="20"/>
                <w:color w:val="auto"/>
              </w:rPr>
            </w:pPr>
            <w:r>
              <w:rPr>
                <w:rFonts w:ascii="Arial" w:cs="Arial" w:eastAsia="Arial" w:hAnsi="Arial"/>
                <w:sz w:val="18"/>
                <w:szCs w:val="18"/>
                <w:b w:val="1"/>
                <w:bCs w:val="1"/>
                <w:color w:val="auto"/>
                <w:w w:val="99"/>
              </w:rPr>
              <w:t>(#)(2)</w:t>
            </w:r>
          </w:p>
        </w:tc>
        <w:tc>
          <w:tcPr>
            <w:tcW w:w="720" w:type="dxa"/>
            <w:vAlign w:val="bottom"/>
          </w:tcPr>
          <w:p>
            <w:pPr>
              <w:spacing w:after="0"/>
              <w:rPr>
                <w:sz w:val="19"/>
                <w:szCs w:val="19"/>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94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1860" w:type="dxa"/>
            <w:vAlign w:val="bottom"/>
            <w:tcBorders>
              <w:top w:val="single" w:sz="8" w:color="auto"/>
            </w:tcBorders>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tcBorders>
              <w:top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1740" w:type="dxa"/>
            <w:vAlign w:val="bottom"/>
            <w:tcBorders>
              <w:top w:val="single" w:sz="8" w:color="auto"/>
            </w:tcBorders>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Philip Mezey</w:t>
            </w:r>
          </w:p>
        </w:tc>
        <w:tc>
          <w:tcPr>
            <w:tcW w:w="2540" w:type="dxa"/>
            <w:vAlign w:val="bottom"/>
            <w:gridSpan w:val="2"/>
            <w:shd w:val="clear" w:color="auto" w:fill="CCEEFF"/>
          </w:tcPr>
          <w:p>
            <w:pPr>
              <w:ind w:left="1980"/>
              <w:spacing w:after="0" w:line="202" w:lineRule="exact"/>
              <w:rPr>
                <w:sz w:val="20"/>
                <w:szCs w:val="20"/>
                <w:color w:val="auto"/>
              </w:rPr>
            </w:pPr>
            <w:r>
              <w:rPr>
                <w:rFonts w:ascii="Arial" w:cs="Arial" w:eastAsia="Arial" w:hAnsi="Arial"/>
                <w:sz w:val="18"/>
                <w:szCs w:val="18"/>
                <w:color w:val="auto"/>
                <w:w w:val="98"/>
              </w:rPr>
              <w:t>33,388</w:t>
            </w:r>
          </w:p>
        </w:tc>
        <w:tc>
          <w:tcPr>
            <w:tcW w:w="7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1,003,231</w:t>
            </w:r>
          </w:p>
        </w:tc>
        <w:tc>
          <w:tcPr>
            <w:tcW w:w="2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59,611</w:t>
            </w:r>
          </w:p>
        </w:tc>
        <w:tc>
          <w:tcPr>
            <w:tcW w:w="7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3,220,805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960" w:type="dxa"/>
            <w:vAlign w:val="bottom"/>
            <w:gridSpan w:val="2"/>
          </w:tcPr>
          <w:p>
            <w:pPr>
              <w:spacing w:after="0"/>
              <w:rPr>
                <w:sz w:val="20"/>
                <w:szCs w:val="20"/>
                <w:color w:val="auto"/>
              </w:rPr>
            </w:pPr>
            <w:r>
              <w:rPr>
                <w:rFonts w:ascii="Arial" w:cs="Arial" w:eastAsia="Arial" w:hAnsi="Arial"/>
                <w:sz w:val="18"/>
                <w:szCs w:val="18"/>
                <w:color w:val="auto"/>
              </w:rPr>
              <w:t>Thomas Deitrich</w:t>
            </w:r>
          </w:p>
        </w:tc>
        <w:tc>
          <w:tcPr>
            <w:tcW w:w="6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60,975</w:t>
            </w:r>
          </w:p>
        </w:tc>
        <w:tc>
          <w:tcPr>
            <w:tcW w:w="72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3,168,784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Joan Hooper</w:t>
            </w:r>
          </w:p>
        </w:tc>
        <w:tc>
          <w:tcPr>
            <w:tcW w:w="6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1,217</w:t>
            </w:r>
          </w:p>
        </w:tc>
        <w:tc>
          <w:tcPr>
            <w:tcW w:w="7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73,750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960" w:type="dxa"/>
            <w:vAlign w:val="bottom"/>
            <w:gridSpan w:val="2"/>
          </w:tcPr>
          <w:p>
            <w:pPr>
              <w:spacing w:after="0"/>
              <w:rPr>
                <w:sz w:val="20"/>
                <w:szCs w:val="20"/>
                <w:color w:val="auto"/>
              </w:rPr>
            </w:pPr>
            <w:r>
              <w:rPr>
                <w:rFonts w:ascii="Arial" w:cs="Arial" w:eastAsia="Arial" w:hAnsi="Arial"/>
                <w:sz w:val="18"/>
                <w:szCs w:val="18"/>
                <w:color w:val="auto"/>
              </w:rPr>
              <w:t>Sarah Hlavinka</w:t>
            </w:r>
          </w:p>
        </w:tc>
        <w:tc>
          <w:tcPr>
            <w:tcW w:w="6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Michel Cadieux</w:t>
            </w:r>
          </w:p>
        </w:tc>
        <w:tc>
          <w:tcPr>
            <w:tcW w:w="6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14,892</w:t>
            </w:r>
          </w:p>
        </w:tc>
        <w:tc>
          <w:tcPr>
            <w:tcW w:w="7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804,649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240030</wp:posOffset>
            </wp:positionV>
            <wp:extent cx="7632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740" w:hanging="428"/>
        <w:spacing w:after="0"/>
        <w:tabs>
          <w:tab w:leader="none" w:pos="7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Represents the difference between the exercise price and the fair market value of our common stock on the date of exercise.</w:t>
      </w:r>
    </w:p>
    <w:p>
      <w:pPr>
        <w:spacing w:after="0" w:line="1" w:lineRule="exact"/>
        <w:rPr>
          <w:rFonts w:ascii="Arial" w:cs="Arial" w:eastAsia="Arial" w:hAnsi="Arial"/>
          <w:sz w:val="14"/>
          <w:szCs w:val="14"/>
          <w:color w:val="auto"/>
        </w:rPr>
      </w:pPr>
    </w:p>
    <w:p>
      <w:pPr>
        <w:ind w:left="740" w:right="300" w:hanging="428"/>
        <w:spacing w:after="0" w:line="241" w:lineRule="auto"/>
        <w:tabs>
          <w:tab w:leader="none" w:pos="7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 xml:space="preserve">Except for Ms. Hooper and Ms. Hlavinka, who joined the Company in June 2017 and September 2018, respectively, value includes PRSUs earned based on financial results as originally reported for the three-year performance cycle beginning in 2016 and vested on December 31, 2018. See </w:t>
      </w:r>
      <w:r>
        <w:rPr>
          <w:rFonts w:ascii="Arial" w:cs="Arial" w:eastAsia="Arial" w:hAnsi="Arial"/>
          <w:sz w:val="14"/>
          <w:szCs w:val="14"/>
          <w:i w:val="1"/>
          <w:iCs w:val="1"/>
          <w:color w:val="auto"/>
        </w:rPr>
        <w:t>Executive Summary</w:t>
      </w:r>
      <w:r>
        <w:rPr>
          <w:rFonts w:ascii="Arial" w:cs="Arial" w:eastAsia="Arial" w:hAnsi="Arial"/>
          <w:sz w:val="14"/>
          <w:szCs w:val="14"/>
          <w:color w:val="auto"/>
        </w:rPr>
        <w:t xml:space="preserve"> in the CD&amp;A for more detail.</w:t>
      </w:r>
    </w:p>
    <w:p>
      <w:pPr>
        <w:spacing w:after="0" w:line="1" w:lineRule="exact"/>
        <w:rPr>
          <w:rFonts w:ascii="Arial" w:cs="Arial" w:eastAsia="Arial" w:hAnsi="Arial"/>
          <w:sz w:val="14"/>
          <w:szCs w:val="14"/>
          <w:color w:val="auto"/>
        </w:rPr>
      </w:pPr>
    </w:p>
    <w:p>
      <w:pPr>
        <w:ind w:left="740" w:hanging="428"/>
        <w:spacing w:after="0"/>
        <w:tabs>
          <w:tab w:leader="none" w:pos="7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Based on the fair market value of our common stock on the vest date.</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240" w:top="459" w:right="4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2018 Nonqualified Deferred Compensation Table</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provides information regarding the nonqualified deferred compensation of each of the NEOs for the 2018 fiscal year.</w:t>
      </w:r>
    </w:p>
    <w:p>
      <w:pPr>
        <w:spacing w:after="0" w:line="200" w:lineRule="exact"/>
        <w:rPr>
          <w:sz w:val="20"/>
          <w:szCs w:val="20"/>
          <w:color w:val="auto"/>
        </w:rPr>
      </w:pPr>
    </w:p>
    <w:p>
      <w:pPr>
        <w:spacing w:after="0" w:line="27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Nonqualified Deferred Compensation</w:t>
      </w:r>
    </w:p>
    <w:p>
      <w:pPr>
        <w:spacing w:after="0" w:line="32"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7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rPr>
              <w:t>Aggregate</w:t>
            </w:r>
          </w:p>
        </w:tc>
        <w:tc>
          <w:tcPr>
            <w:tcW w:w="6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Executive</w:t>
            </w:r>
          </w:p>
        </w:tc>
        <w:tc>
          <w:tcPr>
            <w:tcW w:w="60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Registrant</w:t>
            </w:r>
          </w:p>
        </w:tc>
        <w:tc>
          <w:tcPr>
            <w:tcW w:w="1580" w:type="dxa"/>
            <w:vAlign w:val="bottom"/>
            <w:gridSpan w:val="2"/>
          </w:tcPr>
          <w:p>
            <w:pPr>
              <w:jc w:val="center"/>
              <w:ind w:left="510"/>
              <w:spacing w:after="0" w:line="202" w:lineRule="exact"/>
              <w:rPr>
                <w:sz w:val="20"/>
                <w:szCs w:val="20"/>
                <w:color w:val="auto"/>
              </w:rPr>
            </w:pPr>
            <w:r>
              <w:rPr>
                <w:rFonts w:ascii="Arial" w:cs="Arial" w:eastAsia="Arial" w:hAnsi="Arial"/>
                <w:sz w:val="18"/>
                <w:szCs w:val="18"/>
                <w:b w:val="1"/>
                <w:bCs w:val="1"/>
                <w:color w:val="auto"/>
                <w:w w:val="99"/>
              </w:rPr>
              <w:t>Earnings in</w:t>
            </w:r>
          </w:p>
        </w:tc>
        <w:tc>
          <w:tcPr>
            <w:tcW w:w="600" w:type="dxa"/>
            <w:vAlign w:val="bottom"/>
          </w:tcPr>
          <w:p>
            <w:pPr>
              <w:spacing w:after="0"/>
              <w:rPr>
                <w:sz w:val="17"/>
                <w:szCs w:val="17"/>
                <w:color w:val="auto"/>
              </w:rPr>
            </w:pP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Aggregate</w:t>
            </w:r>
          </w:p>
        </w:tc>
        <w:tc>
          <w:tcPr>
            <w:tcW w:w="600" w:type="dxa"/>
            <w:vAlign w:val="bottom"/>
          </w:tcPr>
          <w:p>
            <w:pPr>
              <w:spacing w:after="0"/>
              <w:rPr>
                <w:sz w:val="17"/>
                <w:szCs w:val="17"/>
                <w:color w:val="auto"/>
              </w:rPr>
            </w:pPr>
          </w:p>
        </w:tc>
        <w:tc>
          <w:tcPr>
            <w:tcW w:w="140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w w:val="98"/>
              </w:rPr>
              <w:t>Aggregate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920" w:type="dxa"/>
            <w:vAlign w:val="bottom"/>
            <w:gridSpan w:val="2"/>
          </w:tcPr>
          <w:p>
            <w:pPr>
              <w:jc w:val="center"/>
              <w:ind w:left="430"/>
              <w:spacing w:after="0" w:line="202" w:lineRule="exact"/>
              <w:rPr>
                <w:sz w:val="20"/>
                <w:szCs w:val="20"/>
                <w:color w:val="auto"/>
              </w:rPr>
            </w:pPr>
            <w:r>
              <w:rPr>
                <w:rFonts w:ascii="Arial" w:cs="Arial" w:eastAsia="Arial" w:hAnsi="Arial"/>
                <w:sz w:val="18"/>
                <w:szCs w:val="18"/>
                <w:b w:val="1"/>
                <w:bCs w:val="1"/>
                <w:color w:val="auto"/>
              </w:rPr>
              <w:t>Contributions in</w:t>
            </w:r>
          </w:p>
        </w:tc>
        <w:tc>
          <w:tcPr>
            <w:tcW w:w="1980" w:type="dxa"/>
            <w:vAlign w:val="bottom"/>
            <w:gridSpan w:val="2"/>
          </w:tcPr>
          <w:p>
            <w:pPr>
              <w:jc w:val="center"/>
              <w:ind w:left="510"/>
              <w:spacing w:after="0" w:line="202" w:lineRule="exact"/>
              <w:rPr>
                <w:sz w:val="20"/>
                <w:szCs w:val="20"/>
                <w:color w:val="auto"/>
              </w:rPr>
            </w:pPr>
            <w:r>
              <w:rPr>
                <w:rFonts w:ascii="Arial" w:cs="Arial" w:eastAsia="Arial" w:hAnsi="Arial"/>
                <w:sz w:val="18"/>
                <w:szCs w:val="18"/>
                <w:b w:val="1"/>
                <w:bCs w:val="1"/>
                <w:color w:val="auto"/>
                <w:w w:val="99"/>
              </w:rPr>
              <w:t>Contributions in</w:t>
            </w:r>
          </w:p>
        </w:tc>
        <w:tc>
          <w:tcPr>
            <w:tcW w:w="600" w:type="dxa"/>
            <w:vAlign w:val="bottom"/>
          </w:tcPr>
          <w:p>
            <w:pPr>
              <w:spacing w:after="0"/>
              <w:rPr>
                <w:sz w:val="17"/>
                <w:szCs w:val="17"/>
                <w:color w:val="auto"/>
              </w:rPr>
            </w:pPr>
          </w:p>
        </w:tc>
        <w:tc>
          <w:tcPr>
            <w:tcW w:w="9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Last Fiscal</w:t>
            </w:r>
          </w:p>
        </w:tc>
        <w:tc>
          <w:tcPr>
            <w:tcW w:w="17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Withdrawals /</w:t>
            </w:r>
          </w:p>
        </w:tc>
        <w:tc>
          <w:tcPr>
            <w:tcW w:w="600" w:type="dxa"/>
            <w:vAlign w:val="bottom"/>
          </w:tcPr>
          <w:p>
            <w:pPr>
              <w:spacing w:after="0"/>
              <w:rPr>
                <w:sz w:val="17"/>
                <w:szCs w:val="17"/>
                <w:color w:val="auto"/>
              </w:rPr>
            </w:pPr>
          </w:p>
        </w:tc>
        <w:tc>
          <w:tcPr>
            <w:tcW w:w="140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w w:val="99"/>
              </w:rPr>
              <w:t>Balance at Last</w:t>
            </w:r>
          </w:p>
        </w:tc>
        <w:tc>
          <w:tcPr>
            <w:tcW w:w="0" w:type="dxa"/>
            <w:vAlign w:val="bottom"/>
          </w:tcPr>
          <w:p>
            <w:pPr>
              <w:spacing w:after="0"/>
              <w:rPr>
                <w:sz w:val="1"/>
                <w:szCs w:val="1"/>
                <w:color w:val="auto"/>
              </w:rPr>
            </w:pPr>
          </w:p>
        </w:tc>
      </w:tr>
      <w:tr>
        <w:trPr>
          <w:trHeight w:val="203"/>
        </w:trPr>
        <w:tc>
          <w:tcPr>
            <w:tcW w:w="1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w:t>
            </w:r>
          </w:p>
        </w:tc>
        <w:tc>
          <w:tcPr>
            <w:tcW w:w="54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Last Fiscal Year</w:t>
            </w:r>
          </w:p>
        </w:tc>
        <w:tc>
          <w:tcPr>
            <w:tcW w:w="60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Last Fiscal Year</w:t>
            </w:r>
          </w:p>
        </w:tc>
        <w:tc>
          <w:tcPr>
            <w:tcW w:w="600" w:type="dxa"/>
            <w:vAlign w:val="bottom"/>
          </w:tcPr>
          <w:p>
            <w:pPr>
              <w:spacing w:after="0"/>
              <w:rPr>
                <w:sz w:val="17"/>
                <w:szCs w:val="17"/>
                <w:color w:val="auto"/>
              </w:rPr>
            </w:pPr>
          </w:p>
        </w:tc>
        <w:tc>
          <w:tcPr>
            <w:tcW w:w="9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Year</w:t>
            </w:r>
          </w:p>
        </w:tc>
        <w:tc>
          <w:tcPr>
            <w:tcW w:w="6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Distributions</w:t>
            </w:r>
          </w:p>
        </w:tc>
        <w:tc>
          <w:tcPr>
            <w:tcW w:w="2000" w:type="dxa"/>
            <w:vAlign w:val="bottom"/>
            <w:gridSpan w:val="3"/>
          </w:tcPr>
          <w:p>
            <w:pPr>
              <w:jc w:val="center"/>
              <w:ind w:left="430"/>
              <w:spacing w:after="0" w:line="202" w:lineRule="exact"/>
              <w:rPr>
                <w:sz w:val="20"/>
                <w:szCs w:val="20"/>
                <w:color w:val="auto"/>
              </w:rPr>
            </w:pPr>
            <w:r>
              <w:rPr>
                <w:rFonts w:ascii="Arial" w:cs="Arial" w:eastAsia="Arial" w:hAnsi="Arial"/>
                <w:sz w:val="18"/>
                <w:szCs w:val="18"/>
                <w:b w:val="1"/>
                <w:bCs w:val="1"/>
                <w:color w:val="auto"/>
                <w:w w:val="98"/>
              </w:rPr>
              <w:t>Fiscal Year End</w:t>
            </w:r>
          </w:p>
        </w:tc>
        <w:tc>
          <w:tcPr>
            <w:tcW w:w="0" w:type="dxa"/>
            <w:vAlign w:val="bottom"/>
          </w:tcPr>
          <w:p>
            <w:pPr>
              <w:spacing w:after="0"/>
              <w:rPr>
                <w:sz w:val="1"/>
                <w:szCs w:val="1"/>
                <w:color w:val="auto"/>
              </w:rPr>
            </w:pPr>
          </w:p>
        </w:tc>
      </w:tr>
      <w:tr>
        <w:trPr>
          <w:trHeight w:val="225"/>
        </w:trPr>
        <w:tc>
          <w:tcPr>
            <w:tcW w:w="1800" w:type="dxa"/>
            <w:vAlign w:val="bottom"/>
            <w:gridSpan w:val="2"/>
            <w:vMerge w:val="continue"/>
          </w:tcPr>
          <w:p>
            <w:pPr>
              <w:spacing w:after="0"/>
              <w:rPr>
                <w:sz w:val="19"/>
                <w:szCs w:val="19"/>
                <w:color w:val="auto"/>
              </w:rPr>
            </w:pPr>
          </w:p>
        </w:tc>
        <w:tc>
          <w:tcPr>
            <w:tcW w:w="1920" w:type="dxa"/>
            <w:vAlign w:val="bottom"/>
            <w:gridSpan w:val="2"/>
          </w:tcPr>
          <w:p>
            <w:pPr>
              <w:jc w:val="center"/>
              <w:ind w:left="430"/>
              <w:spacing w:after="0"/>
              <w:rPr>
                <w:sz w:val="20"/>
                <w:szCs w:val="20"/>
                <w:color w:val="auto"/>
              </w:rPr>
            </w:pPr>
            <w:r>
              <w:rPr>
                <w:rFonts w:ascii="Arial" w:cs="Arial" w:eastAsia="Arial" w:hAnsi="Arial"/>
                <w:sz w:val="18"/>
                <w:szCs w:val="18"/>
                <w:b w:val="1"/>
                <w:bCs w:val="1"/>
                <w:color w:val="auto"/>
                <w:w w:val="97"/>
              </w:rPr>
              <w:t>($) (1)</w:t>
            </w:r>
          </w:p>
        </w:tc>
        <w:tc>
          <w:tcPr>
            <w:tcW w:w="1980" w:type="dxa"/>
            <w:vAlign w:val="bottom"/>
            <w:gridSpan w:val="2"/>
          </w:tcPr>
          <w:p>
            <w:pPr>
              <w:jc w:val="center"/>
              <w:ind w:left="510"/>
              <w:spacing w:after="0"/>
              <w:rPr>
                <w:sz w:val="20"/>
                <w:szCs w:val="20"/>
                <w:color w:val="auto"/>
              </w:rPr>
            </w:pPr>
            <w:r>
              <w:rPr>
                <w:rFonts w:ascii="Arial" w:cs="Arial" w:eastAsia="Arial" w:hAnsi="Arial"/>
                <w:sz w:val="18"/>
                <w:szCs w:val="18"/>
                <w:b w:val="1"/>
                <w:bCs w:val="1"/>
                <w:color w:val="auto"/>
              </w:rPr>
              <w:t>($) (2)</w:t>
            </w:r>
          </w:p>
        </w:tc>
        <w:tc>
          <w:tcPr>
            <w:tcW w:w="1580" w:type="dxa"/>
            <w:vAlign w:val="bottom"/>
            <w:gridSpan w:val="2"/>
          </w:tcPr>
          <w:p>
            <w:pPr>
              <w:jc w:val="center"/>
              <w:ind w:left="510"/>
              <w:spacing w:after="0"/>
              <w:rPr>
                <w:sz w:val="20"/>
                <w:szCs w:val="20"/>
                <w:color w:val="auto"/>
              </w:rPr>
            </w:pPr>
            <w:r>
              <w:rPr>
                <w:rFonts w:ascii="Arial" w:cs="Arial" w:eastAsia="Arial" w:hAnsi="Arial"/>
                <w:sz w:val="18"/>
                <w:szCs w:val="18"/>
                <w:b w:val="1"/>
                <w:bCs w:val="1"/>
                <w:color w:val="auto"/>
                <w:w w:val="99"/>
              </w:rPr>
              <w:t>($)</w:t>
            </w:r>
          </w:p>
        </w:tc>
        <w:tc>
          <w:tcPr>
            <w:tcW w:w="176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w:t>
            </w:r>
          </w:p>
        </w:tc>
        <w:tc>
          <w:tcPr>
            <w:tcW w:w="1940" w:type="dxa"/>
            <w:vAlign w:val="bottom"/>
            <w:gridSpan w:val="2"/>
          </w:tcPr>
          <w:p>
            <w:pPr>
              <w:jc w:val="center"/>
              <w:ind w:left="510"/>
              <w:spacing w:after="0"/>
              <w:rPr>
                <w:sz w:val="20"/>
                <w:szCs w:val="20"/>
                <w:color w:val="auto"/>
              </w:rPr>
            </w:pPr>
            <w:r>
              <w:rPr>
                <w:rFonts w:ascii="Arial" w:cs="Arial" w:eastAsia="Arial" w:hAnsi="Arial"/>
                <w:sz w:val="18"/>
                <w:szCs w:val="18"/>
                <w:b w:val="1"/>
                <w:bCs w:val="1"/>
                <w:color w:val="auto"/>
                <w:w w:val="99"/>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Philip Mezey</w:t>
            </w:r>
          </w:p>
        </w:tc>
        <w:tc>
          <w:tcPr>
            <w:tcW w:w="54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102,005</w:t>
            </w:r>
          </w:p>
        </w:tc>
        <w:tc>
          <w:tcPr>
            <w:tcW w:w="6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62,441</w:t>
            </w:r>
          </w:p>
        </w:tc>
        <w:tc>
          <w:tcPr>
            <w:tcW w:w="6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(210,021)</w:t>
            </w:r>
          </w:p>
        </w:tc>
        <w:tc>
          <w:tcPr>
            <w:tcW w:w="6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1,981,269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tcPr>
          <w:p>
            <w:pPr>
              <w:spacing w:after="0" w:line="202" w:lineRule="exact"/>
              <w:rPr>
                <w:sz w:val="20"/>
                <w:szCs w:val="20"/>
                <w:color w:val="auto"/>
              </w:rPr>
            </w:pPr>
            <w:r>
              <w:rPr>
                <w:rFonts w:ascii="Arial" w:cs="Arial" w:eastAsia="Arial" w:hAnsi="Arial"/>
                <w:sz w:val="18"/>
                <w:szCs w:val="18"/>
                <w:color w:val="auto"/>
              </w:rPr>
              <w:t>Thomas Deitrich</w:t>
            </w:r>
          </w:p>
        </w:tc>
        <w:tc>
          <w:tcPr>
            <w:tcW w:w="1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Joan Hooper</w:t>
            </w:r>
          </w:p>
        </w:tc>
        <w:tc>
          <w:tcPr>
            <w:tcW w:w="1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125,913</w:t>
            </w:r>
          </w:p>
        </w:tc>
        <w:tc>
          <w:tcPr>
            <w:tcW w:w="1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11,560</w:t>
            </w:r>
          </w:p>
        </w:tc>
        <w:tc>
          <w:tcPr>
            <w:tcW w:w="1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(16,635)</w:t>
            </w:r>
          </w:p>
        </w:tc>
        <w:tc>
          <w:tcPr>
            <w:tcW w:w="1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179,798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tcPr>
          <w:p>
            <w:pPr>
              <w:spacing w:after="0" w:line="202" w:lineRule="exact"/>
              <w:rPr>
                <w:sz w:val="20"/>
                <w:szCs w:val="20"/>
                <w:color w:val="auto"/>
              </w:rPr>
            </w:pPr>
            <w:r>
              <w:rPr>
                <w:rFonts w:ascii="Arial" w:cs="Arial" w:eastAsia="Arial" w:hAnsi="Arial"/>
                <w:sz w:val="18"/>
                <w:szCs w:val="18"/>
                <w:color w:val="auto"/>
              </w:rPr>
              <w:t>Sarah Hlavinka</w:t>
            </w:r>
          </w:p>
        </w:tc>
        <w:tc>
          <w:tcPr>
            <w:tcW w:w="1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9,865</w:t>
            </w:r>
          </w:p>
        </w:tc>
        <w:tc>
          <w:tcPr>
            <w:tcW w:w="1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(481)</w:t>
            </w:r>
          </w:p>
        </w:tc>
        <w:tc>
          <w:tcPr>
            <w:tcW w:w="1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9,384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Michel Cadieux</w:t>
            </w:r>
          </w:p>
        </w:tc>
        <w:tc>
          <w:tcPr>
            <w:tcW w:w="1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240030</wp:posOffset>
            </wp:positionV>
            <wp:extent cx="7632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740" w:hanging="428"/>
        <w:spacing w:after="0"/>
        <w:tabs>
          <w:tab w:leader="none" w:pos="7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This deferred compensation represents amounts that are reported as compensation earned in 2018 in the Summary Compensation Table.</w:t>
      </w:r>
    </w:p>
    <w:p>
      <w:pPr>
        <w:spacing w:after="0" w:line="1" w:lineRule="exact"/>
        <w:rPr>
          <w:rFonts w:ascii="Arial" w:cs="Arial" w:eastAsia="Arial" w:hAnsi="Arial"/>
          <w:sz w:val="14"/>
          <w:szCs w:val="14"/>
          <w:color w:val="auto"/>
        </w:rPr>
      </w:pPr>
    </w:p>
    <w:p>
      <w:pPr>
        <w:ind w:left="740" w:hanging="428"/>
        <w:spacing w:after="0"/>
        <w:tabs>
          <w:tab w:leader="none" w:pos="7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This amount has been included in the “All Other Compensation” column of the Summary Compensation Table.</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Executive Deferred Compensation Plan</w:t>
      </w:r>
    </w:p>
    <w:p>
      <w:pPr>
        <w:spacing w:after="0" w:line="207"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Executives located in the U.S. are eligible to participate in the Company’s Executive Deferred Compensation Plan (EDCP). Under this plan, participants may defer up to 50% of their base salary and 50% of their annual incentive bonus to a non-qualified account. Participants may also defer an additional portion of their base salary equal to the amount of any contributions returned to them during the year from the Company’s 401(k) plan so that the 401(k) plan can satisfy the nondiscrimination requirements applicable to it. Annually, the Company makes matching contributions to the account of each participating executive at the rate of 75% of the first 6% of base salary and annual incentive deferred by the executive during that year. The employer match into the EDCP only commences after the employee reaches IRS limits on the 401(k) plan and is no longer eligible for the 401(k) match.</w:t>
      </w:r>
    </w:p>
    <w:p>
      <w:pPr>
        <w:spacing w:after="0" w:line="203" w:lineRule="exact"/>
        <w:rPr>
          <w:sz w:val="20"/>
          <w:szCs w:val="20"/>
          <w:color w:val="auto"/>
        </w:rPr>
      </w:pPr>
    </w:p>
    <w:p>
      <w:pPr>
        <w:ind w:left="200" w:right="100"/>
        <w:spacing w:after="0" w:line="238" w:lineRule="auto"/>
        <w:rPr>
          <w:sz w:val="20"/>
          <w:szCs w:val="20"/>
          <w:color w:val="auto"/>
        </w:rPr>
      </w:pPr>
      <w:r>
        <w:rPr>
          <w:rFonts w:ascii="Arial" w:cs="Arial" w:eastAsia="Arial" w:hAnsi="Arial"/>
          <w:sz w:val="18"/>
          <w:szCs w:val="18"/>
          <w:color w:val="auto"/>
        </w:rPr>
        <w:t>Each participant’s account is adjusted for hypothetical investment earnings or losses based on the performance of the “measurement funds” in which the account is deemed to be invested. Participants allocate their accounts among the measurement funds available under the plan and can change their allocation at any time. These measurement funds are the same as the mutual funds offered for investment purposes under the Company’s 401(k) plan. Measurement funds are used solely to determine the amount of the hypothetical investment earnings or losses to be allocated to the participant’s account. The Company is not obligated to invest any assets in these funds.</w:t>
      </w:r>
    </w:p>
    <w:p>
      <w:pPr>
        <w:spacing w:after="0" w:line="203" w:lineRule="exact"/>
        <w:rPr>
          <w:sz w:val="20"/>
          <w:szCs w:val="20"/>
          <w:color w:val="auto"/>
        </w:rPr>
      </w:pPr>
    </w:p>
    <w:p>
      <w:pPr>
        <w:jc w:val="both"/>
        <w:ind w:left="200" w:right="80"/>
        <w:spacing w:after="0"/>
        <w:rPr>
          <w:sz w:val="20"/>
          <w:szCs w:val="20"/>
          <w:color w:val="auto"/>
        </w:rPr>
      </w:pPr>
      <w:r>
        <w:rPr>
          <w:rFonts w:ascii="Arial" w:cs="Arial" w:eastAsia="Arial" w:hAnsi="Arial"/>
          <w:sz w:val="18"/>
          <w:szCs w:val="18"/>
          <w:color w:val="auto"/>
        </w:rPr>
        <w:t>Accounts are distributed (or commence to be distributed) to participants either based on pre-selected, in-service distribution dates or upon termination of employment with the Company and its affiliates. Distribution made after termination of employment will be made six months after termination to comply with the requirements of Internal Revenue Code Section 409A.</w:t>
      </w:r>
    </w:p>
    <w:p>
      <w:pPr>
        <w:spacing w:after="0" w:line="203" w:lineRule="exact"/>
        <w:rPr>
          <w:sz w:val="20"/>
          <w:szCs w:val="20"/>
          <w:color w:val="auto"/>
        </w:rPr>
      </w:pPr>
    </w:p>
    <w:p>
      <w:pPr>
        <w:ind w:left="200" w:right="120"/>
        <w:spacing w:after="0"/>
        <w:rPr>
          <w:sz w:val="20"/>
          <w:szCs w:val="20"/>
          <w:color w:val="auto"/>
        </w:rPr>
      </w:pPr>
      <w:r>
        <w:rPr>
          <w:rFonts w:ascii="Arial" w:cs="Arial" w:eastAsia="Arial" w:hAnsi="Arial"/>
          <w:sz w:val="18"/>
          <w:szCs w:val="18"/>
          <w:color w:val="auto"/>
        </w:rPr>
        <w:t>A participant’s account will be distributed in a lump sum, unless the participant elects to have it distributed in substantially equal annual installments over a period of not more than 10 years. This election must be made at the time the participant is first eligible to participate in the plan.</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240" w:top="459" w:right="4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Potential Payments upon Termination</w:t>
      </w:r>
    </w:p>
    <w:p>
      <w:pPr>
        <w:spacing w:after="0" w:line="207" w:lineRule="exact"/>
        <w:rPr>
          <w:sz w:val="20"/>
          <w:szCs w:val="20"/>
          <w:color w:val="auto"/>
        </w:rPr>
      </w:pPr>
    </w:p>
    <w:p>
      <w:pPr>
        <w:ind w:left="200" w:right="200"/>
        <w:spacing w:after="0" w:line="246" w:lineRule="auto"/>
        <w:rPr>
          <w:sz w:val="20"/>
          <w:szCs w:val="20"/>
          <w:color w:val="auto"/>
        </w:rPr>
      </w:pPr>
      <w:r>
        <w:rPr>
          <w:rFonts w:ascii="Arial" w:cs="Arial" w:eastAsia="Arial" w:hAnsi="Arial"/>
          <w:sz w:val="18"/>
          <w:szCs w:val="18"/>
          <w:color w:val="auto"/>
        </w:rPr>
        <w:t>The following describes certain actions and payments upon termination in accordance with Company policies and the provisions of our current Second A&amp;R 2010 Plan, pursuant to which all of our equity awards are granted.</w:t>
      </w:r>
    </w:p>
    <w:p>
      <w:pPr>
        <w:spacing w:after="0" w:line="197" w:lineRule="exact"/>
        <w:rPr>
          <w:sz w:val="20"/>
          <w:szCs w:val="20"/>
          <w:color w:val="auto"/>
        </w:rPr>
      </w:pPr>
    </w:p>
    <w:p>
      <w:pPr>
        <w:ind w:left="200" w:right="800"/>
        <w:spacing w:after="0" w:line="246" w:lineRule="auto"/>
        <w:rPr>
          <w:sz w:val="20"/>
          <w:szCs w:val="20"/>
          <w:color w:val="auto"/>
        </w:rPr>
      </w:pPr>
      <w:r>
        <w:rPr>
          <w:rFonts w:ascii="Arial" w:cs="Arial" w:eastAsia="Arial" w:hAnsi="Arial"/>
          <w:sz w:val="18"/>
          <w:szCs w:val="18"/>
          <w:color w:val="auto"/>
        </w:rPr>
        <w:t>Upon any termination of employment, our NEOs are entitled to receive any accrued and unpaid base salary through the date of termination.</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Termination for Cause</w:t>
      </w:r>
    </w:p>
    <w:p>
      <w:pPr>
        <w:spacing w:after="0" w:line="193"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The executive is entitled to receive any accrued and unpaid base salary through the date of termination. All options granted automatically expire when terminated for cause and all unvested time-vested RSUs and all unvested awards under the LTIP and the EMIP are forfeited in the event of termination for cause.</w:t>
      </w:r>
    </w:p>
    <w:p>
      <w:pPr>
        <w:spacing w:after="0" w:line="13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240" w:top="459" w:right="5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Termination Due to Death, Disability, or Retirement</w:t>
      </w:r>
    </w:p>
    <w:p>
      <w:pPr>
        <w:spacing w:after="0" w:line="189" w:lineRule="exact"/>
        <w:rPr>
          <w:sz w:val="20"/>
          <w:szCs w:val="20"/>
          <w:color w:val="auto"/>
        </w:rPr>
      </w:pPr>
    </w:p>
    <w:p>
      <w:pPr>
        <w:ind w:left="4200"/>
        <w:spacing w:after="0"/>
        <w:rPr>
          <w:sz w:val="20"/>
          <w:szCs w:val="20"/>
          <w:color w:val="auto"/>
        </w:rPr>
      </w:pPr>
      <w:r>
        <w:rPr>
          <w:rFonts w:ascii="Arial" w:cs="Arial" w:eastAsia="Arial" w:hAnsi="Arial"/>
          <w:sz w:val="18"/>
          <w:szCs w:val="18"/>
          <w:i w:val="1"/>
          <w:iCs w:val="1"/>
          <w:color w:val="auto"/>
        </w:rPr>
        <w:t>What happens if termination is due to:</w:t>
      </w:r>
    </w:p>
    <w:p>
      <w:pPr>
        <w:spacing w:after="0" w:line="211" w:lineRule="exact"/>
        <w:rPr>
          <w:sz w:val="20"/>
          <w:szCs w:val="20"/>
          <w:color w:val="auto"/>
        </w:rPr>
      </w:pPr>
    </w:p>
    <w:tbl>
      <w:tblPr>
        <w:tblLayout w:type="fixed"/>
        <w:tblInd w:w="230" w:type="dxa"/>
        <w:tblCellMar>
          <w:top w:w="0" w:type="dxa"/>
          <w:left w:w="0" w:type="dxa"/>
          <w:bottom w:w="0" w:type="dxa"/>
          <w:right w:w="0" w:type="dxa"/>
        </w:tblCellMar>
      </w:tblPr>
      <w:tr>
        <w:trPr>
          <w:trHeight w:val="504"/>
        </w:trPr>
        <w:tc>
          <w:tcPr>
            <w:tcW w:w="2060" w:type="dxa"/>
            <w:vAlign w:val="bottom"/>
            <w:tcBorders>
              <w:right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0" w:type="dxa"/>
            <w:vAlign w:val="bottom"/>
            <w:tcBorders>
              <w:top w:val="single" w:sz="8" w:color="auto"/>
              <w:right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gridSpan w:val="3"/>
          </w:tcPr>
          <w:p>
            <w:pPr>
              <w:jc w:val="center"/>
              <w:ind w:right="560"/>
              <w:spacing w:after="0"/>
              <w:rPr>
                <w:sz w:val="20"/>
                <w:szCs w:val="20"/>
                <w:color w:val="auto"/>
              </w:rPr>
            </w:pPr>
            <w:r>
              <w:rPr>
                <w:rFonts w:ascii="Arial" w:cs="Arial" w:eastAsia="Arial" w:hAnsi="Arial"/>
                <w:sz w:val="14"/>
                <w:szCs w:val="14"/>
                <w:color w:val="auto"/>
                <w:w w:val="97"/>
              </w:rPr>
              <w:t xml:space="preserve">Retirement </w:t>
            </w:r>
            <w:r>
              <w:rPr>
                <w:rFonts w:ascii="Arial" w:cs="Arial" w:eastAsia="Arial" w:hAnsi="Arial"/>
                <w:sz w:val="24"/>
                <w:szCs w:val="24"/>
                <w:color w:val="auto"/>
                <w:w w:val="97"/>
                <w:vertAlign w:val="superscript"/>
              </w:rPr>
              <w:t>(1)</w:t>
            </w:r>
          </w:p>
        </w:tc>
        <w:tc>
          <w:tcPr>
            <w:tcW w:w="4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2060" w:type="dxa"/>
            <w:vAlign w:val="bottom"/>
            <w:tcBorders>
              <w:right w:val="single" w:sz="8" w:color="auto"/>
            </w:tcBorders>
          </w:tcPr>
          <w:p>
            <w:pPr>
              <w:spacing w:after="0"/>
              <w:rPr>
                <w:sz w:val="7"/>
                <w:szCs w:val="7"/>
                <w:color w:val="auto"/>
              </w:rPr>
            </w:pPr>
          </w:p>
        </w:tc>
        <w:tc>
          <w:tcPr>
            <w:tcW w:w="460" w:type="dxa"/>
            <w:vAlign w:val="bottom"/>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2020" w:type="dxa"/>
            <w:vAlign w:val="bottom"/>
            <w:tcBorders>
              <w:right w:val="single" w:sz="8" w:color="auto"/>
            </w:tcBorders>
            <w:gridSpan w:val="3"/>
            <w:vMerge w:val="restart"/>
          </w:tcPr>
          <w:p>
            <w:pPr>
              <w:jc w:val="center"/>
              <w:ind w:right="680"/>
              <w:spacing w:after="0"/>
              <w:rPr>
                <w:sz w:val="20"/>
                <w:szCs w:val="20"/>
                <w:color w:val="auto"/>
              </w:rPr>
            </w:pPr>
            <w:r>
              <w:rPr>
                <w:rFonts w:ascii="Arial" w:cs="Arial" w:eastAsia="Arial" w:hAnsi="Arial"/>
                <w:sz w:val="14"/>
                <w:szCs w:val="14"/>
                <w:color w:val="auto"/>
              </w:rPr>
              <w:t>Death or Disability</w:t>
            </w:r>
          </w:p>
        </w:tc>
        <w:tc>
          <w:tcPr>
            <w:tcW w:w="4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60" w:type="dxa"/>
            <w:vAlign w:val="bottom"/>
            <w:tcBorders>
              <w:right w:val="single" w:sz="8" w:color="auto"/>
            </w:tcBorders>
          </w:tcPr>
          <w:p>
            <w:pPr>
              <w:spacing w:after="0"/>
              <w:rPr>
                <w:sz w:val="5"/>
                <w:szCs w:val="5"/>
                <w:color w:val="auto"/>
              </w:rPr>
            </w:pPr>
          </w:p>
        </w:tc>
        <w:tc>
          <w:tcPr>
            <w:tcW w:w="46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2020" w:type="dxa"/>
            <w:vAlign w:val="bottom"/>
            <w:tcBorders>
              <w:right w:val="single" w:sz="8" w:color="auto"/>
            </w:tcBorders>
            <w:gridSpan w:val="3"/>
            <w:vMerge w:val="continue"/>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3"/>
            <w:vMerge w:val="restart"/>
          </w:tcPr>
          <w:p>
            <w:pPr>
              <w:jc w:val="center"/>
              <w:ind w:right="540"/>
              <w:spacing w:after="0"/>
              <w:rPr>
                <w:sz w:val="20"/>
                <w:szCs w:val="20"/>
                <w:color w:val="auto"/>
              </w:rPr>
            </w:pPr>
            <w:r>
              <w:rPr>
                <w:rFonts w:ascii="Arial" w:cs="Arial" w:eastAsia="Arial" w:hAnsi="Arial"/>
                <w:sz w:val="14"/>
                <w:szCs w:val="14"/>
                <w:color w:val="auto"/>
              </w:rPr>
              <w:t>2016 and</w:t>
            </w: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60" w:type="dxa"/>
            <w:vAlign w:val="bottom"/>
            <w:tcBorders>
              <w:right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3"/>
            <w:vMerge w:val="continue"/>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6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center"/>
              <w:ind w:right="560"/>
              <w:spacing w:after="0"/>
              <w:rPr>
                <w:sz w:val="20"/>
                <w:szCs w:val="20"/>
                <w:color w:val="auto"/>
              </w:rPr>
            </w:pPr>
            <w:r>
              <w:rPr>
                <w:rFonts w:ascii="Arial" w:cs="Arial" w:eastAsia="Arial" w:hAnsi="Arial"/>
                <w:sz w:val="14"/>
                <w:szCs w:val="14"/>
                <w:color w:val="auto"/>
              </w:rPr>
              <w:t>Prior Awards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Borders>
              <w:right w:val="single" w:sz="8" w:color="auto"/>
            </w:tcBorders>
            <w:gridSpan w:val="3"/>
          </w:tcPr>
          <w:p>
            <w:pPr>
              <w:jc w:val="center"/>
              <w:ind w:right="540"/>
              <w:spacing w:after="0"/>
              <w:rPr>
                <w:sz w:val="20"/>
                <w:szCs w:val="20"/>
                <w:color w:val="auto"/>
              </w:rPr>
            </w:pPr>
            <w:r>
              <w:rPr>
                <w:rFonts w:ascii="Arial" w:cs="Arial" w:eastAsia="Arial" w:hAnsi="Arial"/>
                <w:sz w:val="14"/>
                <w:szCs w:val="14"/>
                <w:color w:val="auto"/>
              </w:rPr>
              <w:t>2017 Awards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Borders>
              <w:right w:val="single" w:sz="8" w:color="auto"/>
            </w:tcBorders>
            <w:gridSpan w:val="3"/>
          </w:tcPr>
          <w:p>
            <w:pPr>
              <w:jc w:val="center"/>
              <w:ind w:right="560"/>
              <w:spacing w:after="0"/>
              <w:rPr>
                <w:sz w:val="20"/>
                <w:szCs w:val="20"/>
                <w:color w:val="auto"/>
              </w:rPr>
            </w:pPr>
            <w:r>
              <w:rPr>
                <w:rFonts w:ascii="Arial" w:cs="Arial" w:eastAsia="Arial" w:hAnsi="Arial"/>
                <w:sz w:val="14"/>
                <w:szCs w:val="14"/>
                <w:color w:val="auto"/>
              </w:rPr>
              <w:t>2018 Awards</w:t>
            </w:r>
          </w:p>
        </w:tc>
        <w:tc>
          <w:tcPr>
            <w:tcW w:w="0" w:type="dxa"/>
            <w:vAlign w:val="bottom"/>
          </w:tcPr>
          <w:p>
            <w:pPr>
              <w:spacing w:after="0"/>
              <w:rPr>
                <w:sz w:val="1"/>
                <w:szCs w:val="1"/>
                <w:color w:val="auto"/>
              </w:rPr>
            </w:pPr>
          </w:p>
        </w:tc>
      </w:tr>
      <w:tr>
        <w:trPr>
          <w:trHeight w:val="201"/>
        </w:trPr>
        <w:tc>
          <w:tcPr>
            <w:tcW w:w="206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55"/>
        </w:trPr>
        <w:tc>
          <w:tcPr>
            <w:tcW w:w="20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Annual Incentive</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Borders>
              <w:right w:val="single" w:sz="8" w:color="auto"/>
            </w:tcBorders>
            <w:gridSpan w:val="3"/>
            <w:vMerge w:val="restart"/>
          </w:tcPr>
          <w:p>
            <w:pPr>
              <w:jc w:val="center"/>
              <w:ind w:right="680"/>
              <w:spacing w:after="0"/>
              <w:rPr>
                <w:sz w:val="20"/>
                <w:szCs w:val="20"/>
                <w:color w:val="auto"/>
              </w:rPr>
            </w:pPr>
            <w:r>
              <w:rPr>
                <w:rFonts w:ascii="Arial" w:cs="Arial" w:eastAsia="Arial" w:hAnsi="Arial"/>
                <w:sz w:val="14"/>
                <w:szCs w:val="14"/>
                <w:color w:val="auto"/>
              </w:rPr>
              <w:t>Prorated</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3"/>
            <w:vMerge w:val="restart"/>
          </w:tcPr>
          <w:p>
            <w:pPr>
              <w:jc w:val="center"/>
              <w:ind w:right="540"/>
              <w:spacing w:after="0"/>
              <w:rPr>
                <w:sz w:val="20"/>
                <w:szCs w:val="20"/>
                <w:color w:val="auto"/>
              </w:rPr>
            </w:pPr>
            <w:r>
              <w:rPr>
                <w:rFonts w:ascii="Arial" w:cs="Arial" w:eastAsia="Arial" w:hAnsi="Arial"/>
                <w:sz w:val="14"/>
                <w:szCs w:val="14"/>
                <w:color w:val="auto"/>
              </w:rPr>
              <w:t>Prorated</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Borders>
              <w:right w:val="single" w:sz="8" w:color="auto"/>
            </w:tcBorders>
            <w:gridSpan w:val="3"/>
            <w:vMerge w:val="restart"/>
          </w:tcPr>
          <w:p>
            <w:pPr>
              <w:jc w:val="center"/>
              <w:ind w:right="540"/>
              <w:spacing w:after="0"/>
              <w:rPr>
                <w:sz w:val="20"/>
                <w:szCs w:val="20"/>
                <w:color w:val="auto"/>
              </w:rPr>
            </w:pPr>
            <w:r>
              <w:rPr>
                <w:rFonts w:ascii="Arial" w:cs="Arial" w:eastAsia="Arial" w:hAnsi="Arial"/>
                <w:sz w:val="14"/>
                <w:szCs w:val="14"/>
                <w:color w:val="auto"/>
              </w:rPr>
              <w:t>Prorated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Borders>
              <w:right w:val="single" w:sz="8" w:color="auto"/>
            </w:tcBorders>
            <w:gridSpan w:val="3"/>
            <w:vMerge w:val="restart"/>
          </w:tcPr>
          <w:p>
            <w:pPr>
              <w:jc w:val="center"/>
              <w:ind w:right="560"/>
              <w:spacing w:after="0"/>
              <w:rPr>
                <w:sz w:val="20"/>
                <w:szCs w:val="20"/>
                <w:color w:val="auto"/>
              </w:rPr>
            </w:pPr>
            <w:r>
              <w:rPr>
                <w:rFonts w:ascii="Arial" w:cs="Arial" w:eastAsia="Arial" w:hAnsi="Arial"/>
                <w:sz w:val="14"/>
                <w:szCs w:val="14"/>
                <w:color w:val="auto"/>
              </w:rPr>
              <w:t>Prorated</w:t>
            </w:r>
          </w:p>
        </w:tc>
        <w:tc>
          <w:tcPr>
            <w:tcW w:w="0" w:type="dxa"/>
            <w:vAlign w:val="bottom"/>
          </w:tcPr>
          <w:p>
            <w:pPr>
              <w:spacing w:after="0"/>
              <w:rPr>
                <w:sz w:val="1"/>
                <w:szCs w:val="1"/>
                <w:color w:val="auto"/>
              </w:rPr>
            </w:pPr>
          </w:p>
        </w:tc>
      </w:tr>
      <w:tr>
        <w:trPr>
          <w:trHeight w:val="99"/>
        </w:trPr>
        <w:tc>
          <w:tcPr>
            <w:tcW w:w="206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4"/>
                <w:szCs w:val="14"/>
                <w:color w:val="auto"/>
              </w:rPr>
              <w:t xml:space="preserve">Plan </w:t>
            </w:r>
            <w:r>
              <w:rPr>
                <w:rFonts w:ascii="Arial" w:cs="Arial" w:eastAsia="Arial" w:hAnsi="Arial"/>
                <w:sz w:val="24"/>
                <w:szCs w:val="24"/>
                <w:color w:val="auto"/>
                <w:vertAlign w:val="superscript"/>
              </w:rPr>
              <w:t>(2)</w:t>
            </w: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20" w:type="dxa"/>
            <w:vAlign w:val="bottom"/>
            <w:tcBorders>
              <w:right w:val="single" w:sz="8" w:color="auto"/>
            </w:tcBorders>
            <w:gridSpan w:val="3"/>
            <w:vMerge w:val="continue"/>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3"/>
            <w:vMerge w:val="continue"/>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Borders>
              <w:right w:val="single" w:sz="8" w:color="auto"/>
            </w:tcBorders>
            <w:gridSpan w:val="3"/>
            <w:vMerge w:val="continue"/>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2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60" w:type="dxa"/>
            <w:vAlign w:val="bottom"/>
            <w:tcBorders>
              <w:left w:val="single" w:sz="8" w:color="auto"/>
              <w:right w:val="single" w:sz="8" w:color="auto"/>
            </w:tcBorders>
            <w:vMerge w:val="continue"/>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63"/>
        </w:trPr>
        <w:tc>
          <w:tcPr>
            <w:tcW w:w="2060" w:type="dxa"/>
            <w:vAlign w:val="bottom"/>
            <w:tcBorders>
              <w:left w:val="single" w:sz="8" w:color="auto"/>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60" w:type="dxa"/>
            <w:vAlign w:val="bottom"/>
            <w:tcBorders>
              <w:right w:val="single" w:sz="8" w:color="auto"/>
            </w:tcBorders>
            <w:gridSpan w:val="5"/>
          </w:tcPr>
          <w:p>
            <w:pPr>
              <w:jc w:val="center"/>
              <w:spacing w:after="0"/>
              <w:rPr>
                <w:sz w:val="20"/>
                <w:szCs w:val="20"/>
                <w:color w:val="auto"/>
              </w:rPr>
            </w:pPr>
            <w:r>
              <w:rPr>
                <w:rFonts w:ascii="Arial" w:cs="Arial" w:eastAsia="Arial" w:hAnsi="Arial"/>
                <w:sz w:val="14"/>
                <w:szCs w:val="14"/>
                <w:color w:val="auto"/>
              </w:rPr>
              <w:t>If retire after 24-months</w:t>
            </w:r>
          </w:p>
        </w:tc>
        <w:tc>
          <w:tcPr>
            <w:tcW w:w="2080" w:type="dxa"/>
            <w:vAlign w:val="bottom"/>
            <w:tcBorders>
              <w:right w:val="single" w:sz="8" w:color="auto"/>
            </w:tcBorders>
            <w:gridSpan w:val="5"/>
          </w:tcPr>
          <w:p>
            <w:pPr>
              <w:jc w:val="center"/>
              <w:spacing w:after="0"/>
              <w:rPr>
                <w:sz w:val="20"/>
                <w:szCs w:val="20"/>
                <w:color w:val="auto"/>
              </w:rPr>
            </w:pPr>
            <w:r>
              <w:rPr>
                <w:rFonts w:ascii="Arial" w:cs="Arial" w:eastAsia="Arial" w:hAnsi="Arial"/>
                <w:sz w:val="14"/>
                <w:szCs w:val="14"/>
                <w:color w:val="auto"/>
              </w:rPr>
              <w:t>If retire after 18-months</w:t>
            </w: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60" w:type="dxa"/>
            <w:vAlign w:val="bottom"/>
            <w:tcBorders>
              <w:right w:val="single" w:sz="8" w:color="auto"/>
            </w:tcBorders>
            <w:gridSpan w:val="5"/>
          </w:tcPr>
          <w:p>
            <w:pPr>
              <w:jc w:val="center"/>
              <w:spacing w:after="0"/>
              <w:rPr>
                <w:sz w:val="20"/>
                <w:szCs w:val="20"/>
                <w:color w:val="auto"/>
              </w:rPr>
            </w:pPr>
            <w:r>
              <w:rPr>
                <w:rFonts w:ascii="Arial" w:cs="Arial" w:eastAsia="Arial" w:hAnsi="Arial"/>
                <w:sz w:val="14"/>
                <w:szCs w:val="14"/>
                <w:color w:val="auto"/>
              </w:rPr>
              <w:t>following grant date, continued</w:t>
            </w:r>
          </w:p>
        </w:tc>
        <w:tc>
          <w:tcPr>
            <w:tcW w:w="2080" w:type="dxa"/>
            <w:vAlign w:val="bottom"/>
            <w:tcBorders>
              <w:right w:val="single" w:sz="8" w:color="auto"/>
            </w:tcBorders>
            <w:gridSpan w:val="5"/>
          </w:tcPr>
          <w:p>
            <w:pPr>
              <w:jc w:val="center"/>
              <w:spacing w:after="0"/>
              <w:rPr>
                <w:sz w:val="20"/>
                <w:szCs w:val="20"/>
                <w:color w:val="auto"/>
              </w:rPr>
            </w:pPr>
            <w:r>
              <w:rPr>
                <w:rFonts w:ascii="Arial" w:cs="Arial" w:eastAsia="Arial" w:hAnsi="Arial"/>
                <w:sz w:val="14"/>
                <w:szCs w:val="14"/>
                <w:color w:val="auto"/>
              </w:rPr>
              <w:t>following grant date,</w:t>
            </w: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4"/>
                <w:szCs w:val="14"/>
                <w:color w:val="auto"/>
              </w:rPr>
              <w:t xml:space="preserve">Time-vested RSUs </w:t>
            </w:r>
            <w:r>
              <w:rPr>
                <w:rFonts w:ascii="Arial" w:cs="Arial" w:eastAsia="Arial" w:hAnsi="Arial"/>
                <w:sz w:val="24"/>
                <w:szCs w:val="24"/>
                <w:color w:val="auto"/>
                <w:vertAlign w:val="superscript"/>
              </w:rPr>
              <w:t>(3)</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20" w:type="dxa"/>
            <w:vAlign w:val="bottom"/>
            <w:tcBorders>
              <w:right w:val="single" w:sz="8" w:color="auto"/>
            </w:tcBorders>
            <w:gridSpan w:val="3"/>
            <w:vMerge w:val="restart"/>
          </w:tcPr>
          <w:p>
            <w:pPr>
              <w:jc w:val="center"/>
              <w:ind w:right="680"/>
              <w:spacing w:after="0"/>
              <w:rPr>
                <w:sz w:val="20"/>
                <w:szCs w:val="20"/>
                <w:color w:val="auto"/>
              </w:rPr>
            </w:pPr>
            <w:r>
              <w:rPr>
                <w:rFonts w:ascii="Arial" w:cs="Arial" w:eastAsia="Arial" w:hAnsi="Arial"/>
                <w:sz w:val="14"/>
                <w:szCs w:val="14"/>
                <w:color w:val="auto"/>
              </w:rPr>
              <w:t>Fully accelerated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vMerge w:val="restart"/>
          </w:tcPr>
          <w:p>
            <w:pPr>
              <w:jc w:val="center"/>
              <w:ind w:right="540"/>
              <w:spacing w:after="0"/>
              <w:rPr>
                <w:sz w:val="20"/>
                <w:szCs w:val="20"/>
                <w:color w:val="auto"/>
              </w:rPr>
            </w:pPr>
            <w:r>
              <w:rPr>
                <w:rFonts w:ascii="Arial" w:cs="Arial" w:eastAsia="Arial" w:hAnsi="Arial"/>
                <w:sz w:val="14"/>
                <w:szCs w:val="14"/>
                <w:color w:val="auto"/>
              </w:rPr>
              <w:t>Forfeited</w:t>
            </w:r>
          </w:p>
        </w:tc>
        <w:tc>
          <w:tcPr>
            <w:tcW w:w="2060" w:type="dxa"/>
            <w:vAlign w:val="bottom"/>
            <w:tcBorders>
              <w:right w:val="single" w:sz="8" w:color="auto"/>
            </w:tcBorders>
            <w:gridSpan w:val="5"/>
          </w:tcPr>
          <w:p>
            <w:pPr>
              <w:jc w:val="center"/>
              <w:spacing w:after="0"/>
              <w:rPr>
                <w:sz w:val="20"/>
                <w:szCs w:val="20"/>
                <w:color w:val="auto"/>
              </w:rPr>
            </w:pPr>
            <w:r>
              <w:rPr>
                <w:rFonts w:ascii="Arial" w:cs="Arial" w:eastAsia="Arial" w:hAnsi="Arial"/>
                <w:sz w:val="14"/>
                <w:szCs w:val="14"/>
                <w:color w:val="auto"/>
              </w:rPr>
              <w:t>vesting subject to completion</w:t>
            </w:r>
          </w:p>
        </w:tc>
        <w:tc>
          <w:tcPr>
            <w:tcW w:w="2080" w:type="dxa"/>
            <w:vAlign w:val="bottom"/>
            <w:tcBorders>
              <w:right w:val="single" w:sz="8" w:color="auto"/>
            </w:tcBorders>
            <w:gridSpan w:val="5"/>
          </w:tcPr>
          <w:p>
            <w:pPr>
              <w:jc w:val="center"/>
              <w:spacing w:after="0"/>
              <w:rPr>
                <w:sz w:val="20"/>
                <w:szCs w:val="20"/>
                <w:color w:val="auto"/>
              </w:rPr>
            </w:pPr>
            <w:r>
              <w:rPr>
                <w:rFonts w:ascii="Arial" w:cs="Arial" w:eastAsia="Arial" w:hAnsi="Arial"/>
                <w:sz w:val="14"/>
                <w:szCs w:val="14"/>
                <w:color w:val="auto"/>
              </w:rPr>
              <w:t>continued vesting subject to</w:t>
            </w: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right w:val="single" w:sz="8" w:color="auto"/>
            </w:tcBorders>
            <w:vMerge w:val="continue"/>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20" w:type="dxa"/>
            <w:vAlign w:val="bottom"/>
            <w:tcBorders>
              <w:right w:val="single" w:sz="8" w:color="auto"/>
            </w:tcBorders>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Borders>
              <w:right w:val="single" w:sz="8" w:color="auto"/>
            </w:tcBorders>
            <w:gridSpan w:val="3"/>
          </w:tcPr>
          <w:p>
            <w:pPr>
              <w:jc w:val="center"/>
              <w:ind w:right="520"/>
              <w:spacing w:after="0"/>
              <w:rPr>
                <w:sz w:val="20"/>
                <w:szCs w:val="20"/>
                <w:color w:val="auto"/>
              </w:rPr>
            </w:pPr>
            <w:r>
              <w:rPr>
                <w:rFonts w:ascii="Arial" w:cs="Arial" w:eastAsia="Arial" w:hAnsi="Arial"/>
                <w:sz w:val="14"/>
                <w:szCs w:val="14"/>
                <w:color w:val="auto"/>
              </w:rPr>
              <w:t>of new</w:t>
            </w:r>
          </w:p>
        </w:tc>
        <w:tc>
          <w:tcPr>
            <w:tcW w:w="2080" w:type="dxa"/>
            <w:vAlign w:val="bottom"/>
            <w:tcBorders>
              <w:right w:val="single" w:sz="8" w:color="auto"/>
            </w:tcBorders>
            <w:gridSpan w:val="5"/>
          </w:tcPr>
          <w:p>
            <w:pPr>
              <w:jc w:val="center"/>
              <w:spacing w:after="0"/>
              <w:rPr>
                <w:sz w:val="20"/>
                <w:szCs w:val="20"/>
                <w:color w:val="auto"/>
              </w:rPr>
            </w:pPr>
            <w:r>
              <w:rPr>
                <w:rFonts w:ascii="Arial" w:cs="Arial" w:eastAsia="Arial" w:hAnsi="Arial"/>
                <w:sz w:val="14"/>
                <w:szCs w:val="14"/>
                <w:color w:val="auto"/>
              </w:rPr>
              <w:t>completion of new</w:t>
            </w: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60" w:type="dxa"/>
            <w:vAlign w:val="bottom"/>
            <w:tcBorders>
              <w:right w:val="single" w:sz="8" w:color="auto"/>
            </w:tcBorders>
            <w:gridSpan w:val="5"/>
          </w:tcPr>
          <w:p>
            <w:pPr>
              <w:jc w:val="center"/>
              <w:spacing w:after="0"/>
              <w:rPr>
                <w:sz w:val="20"/>
                <w:szCs w:val="20"/>
                <w:color w:val="auto"/>
              </w:rPr>
            </w:pPr>
            <w:r>
              <w:rPr>
                <w:rFonts w:ascii="Arial" w:cs="Arial" w:eastAsia="Arial" w:hAnsi="Arial"/>
                <w:sz w:val="14"/>
                <w:szCs w:val="14"/>
                <w:color w:val="auto"/>
              </w:rPr>
              <w:t>non-compete/non-solicit</w:t>
            </w:r>
          </w:p>
        </w:tc>
        <w:tc>
          <w:tcPr>
            <w:tcW w:w="2080" w:type="dxa"/>
            <w:vAlign w:val="bottom"/>
            <w:tcBorders>
              <w:right w:val="single" w:sz="8" w:color="auto"/>
            </w:tcBorders>
            <w:gridSpan w:val="5"/>
          </w:tcPr>
          <w:p>
            <w:pPr>
              <w:jc w:val="center"/>
              <w:spacing w:after="0"/>
              <w:rPr>
                <w:sz w:val="20"/>
                <w:szCs w:val="20"/>
                <w:color w:val="auto"/>
              </w:rPr>
            </w:pPr>
            <w:r>
              <w:rPr>
                <w:rFonts w:ascii="Arial" w:cs="Arial" w:eastAsia="Arial" w:hAnsi="Arial"/>
                <w:sz w:val="14"/>
                <w:szCs w:val="14"/>
                <w:color w:val="auto"/>
              </w:rPr>
              <w:t>non-compete/non-solicit</w:t>
            </w: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60" w:type="dxa"/>
            <w:vAlign w:val="bottom"/>
            <w:tcBorders>
              <w:right w:val="single" w:sz="8" w:color="auto"/>
            </w:tcBorders>
            <w:gridSpan w:val="5"/>
          </w:tcPr>
          <w:p>
            <w:pPr>
              <w:jc w:val="center"/>
              <w:spacing w:after="0"/>
              <w:rPr>
                <w:sz w:val="20"/>
                <w:szCs w:val="20"/>
                <w:color w:val="auto"/>
              </w:rPr>
            </w:pPr>
            <w:r>
              <w:rPr>
                <w:rFonts w:ascii="Arial" w:cs="Arial" w:eastAsia="Arial" w:hAnsi="Arial"/>
                <w:sz w:val="14"/>
                <w:szCs w:val="14"/>
                <w:color w:val="auto"/>
              </w:rPr>
              <w:t>agreement and reasonable</w:t>
            </w:r>
          </w:p>
        </w:tc>
        <w:tc>
          <w:tcPr>
            <w:tcW w:w="2080" w:type="dxa"/>
            <w:vAlign w:val="bottom"/>
            <w:tcBorders>
              <w:right w:val="single" w:sz="8" w:color="auto"/>
            </w:tcBorders>
            <w:gridSpan w:val="5"/>
          </w:tcPr>
          <w:p>
            <w:pPr>
              <w:jc w:val="center"/>
              <w:spacing w:after="0"/>
              <w:rPr>
                <w:sz w:val="20"/>
                <w:szCs w:val="20"/>
                <w:color w:val="auto"/>
              </w:rPr>
            </w:pPr>
            <w:r>
              <w:rPr>
                <w:rFonts w:ascii="Arial" w:cs="Arial" w:eastAsia="Arial" w:hAnsi="Arial"/>
                <w:sz w:val="14"/>
                <w:szCs w:val="14"/>
                <w:color w:val="auto"/>
              </w:rPr>
              <w:t>agreement and reasonable</w:t>
            </w:r>
          </w:p>
        </w:tc>
        <w:tc>
          <w:tcPr>
            <w:tcW w:w="0" w:type="dxa"/>
            <w:vAlign w:val="bottom"/>
          </w:tcPr>
          <w:p>
            <w:pPr>
              <w:spacing w:after="0"/>
              <w:rPr>
                <w:sz w:val="1"/>
                <w:szCs w:val="1"/>
                <w:color w:val="auto"/>
              </w:rPr>
            </w:pPr>
          </w:p>
        </w:tc>
      </w:tr>
      <w:tr>
        <w:trPr>
          <w:trHeight w:val="172"/>
        </w:trPr>
        <w:tc>
          <w:tcPr>
            <w:tcW w:w="2060" w:type="dxa"/>
            <w:vAlign w:val="bottom"/>
            <w:tcBorders>
              <w:left w:val="single" w:sz="8" w:color="auto"/>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Borders>
              <w:right w:val="single" w:sz="8" w:color="auto"/>
            </w:tcBorders>
            <w:gridSpan w:val="3"/>
          </w:tcPr>
          <w:p>
            <w:pPr>
              <w:jc w:val="center"/>
              <w:ind w:right="520"/>
              <w:spacing w:after="0"/>
              <w:rPr>
                <w:sz w:val="20"/>
                <w:szCs w:val="20"/>
                <w:color w:val="auto"/>
              </w:rPr>
            </w:pPr>
            <w:r>
              <w:rPr>
                <w:rFonts w:ascii="Arial" w:cs="Arial" w:eastAsia="Arial" w:hAnsi="Arial"/>
                <w:sz w:val="14"/>
                <w:szCs w:val="14"/>
                <w:color w:val="auto"/>
              </w:rPr>
              <w:t>notice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Borders>
              <w:right w:val="single" w:sz="8" w:color="auto"/>
            </w:tcBorders>
            <w:gridSpan w:val="3"/>
          </w:tcPr>
          <w:p>
            <w:pPr>
              <w:jc w:val="center"/>
              <w:ind w:right="560"/>
              <w:spacing w:after="0"/>
              <w:rPr>
                <w:sz w:val="20"/>
                <w:szCs w:val="20"/>
                <w:color w:val="auto"/>
              </w:rPr>
            </w:pPr>
            <w:r>
              <w:rPr>
                <w:rFonts w:ascii="Arial" w:cs="Arial" w:eastAsia="Arial" w:hAnsi="Arial"/>
                <w:sz w:val="14"/>
                <w:szCs w:val="14"/>
                <w:color w:val="auto"/>
              </w:rPr>
              <w:t>notice</w:t>
            </w:r>
          </w:p>
        </w:tc>
        <w:tc>
          <w:tcPr>
            <w:tcW w:w="0" w:type="dxa"/>
            <w:vAlign w:val="bottom"/>
          </w:tcPr>
          <w:p>
            <w:pPr>
              <w:spacing w:after="0"/>
              <w:rPr>
                <w:sz w:val="1"/>
                <w:szCs w:val="1"/>
                <w:color w:val="auto"/>
              </w:rPr>
            </w:pPr>
          </w:p>
        </w:tc>
      </w:tr>
      <w:tr>
        <w:trPr>
          <w:trHeight w:val="120"/>
        </w:trPr>
        <w:tc>
          <w:tcPr>
            <w:tcW w:w="2060" w:type="dxa"/>
            <w:vAlign w:val="bottom"/>
            <w:tcBorders>
              <w:left w:val="single" w:sz="8" w:color="auto"/>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45"/>
        </w:trPr>
        <w:tc>
          <w:tcPr>
            <w:tcW w:w="2060" w:type="dxa"/>
            <w:vAlign w:val="bottom"/>
            <w:tcBorders>
              <w:left w:val="single" w:sz="8" w:color="auto"/>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rPr>
              <w:t>Unvested Options</w:t>
            </w:r>
          </w:p>
        </w:tc>
        <w:tc>
          <w:tcPr>
            <w:tcW w:w="44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rPr>
              <w:t>Unvested Options</w:t>
            </w:r>
          </w:p>
        </w:tc>
        <w:tc>
          <w:tcPr>
            <w:tcW w:w="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60" w:type="dxa"/>
            <w:vAlign w:val="bottom"/>
            <w:tcBorders>
              <w:left w:val="single" w:sz="8" w:color="auto"/>
              <w:right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60" w:type="dxa"/>
            <w:vAlign w:val="bottom"/>
            <w:tcBorders>
              <w:right w:val="single" w:sz="8" w:color="auto"/>
            </w:tcBorders>
            <w:gridSpan w:val="5"/>
          </w:tcPr>
          <w:p>
            <w:pPr>
              <w:jc w:val="center"/>
              <w:spacing w:after="0"/>
              <w:rPr>
                <w:sz w:val="20"/>
                <w:szCs w:val="20"/>
                <w:color w:val="auto"/>
              </w:rPr>
            </w:pPr>
            <w:r>
              <w:rPr>
                <w:rFonts w:ascii="Arial" w:cs="Arial" w:eastAsia="Arial" w:hAnsi="Arial"/>
                <w:sz w:val="14"/>
                <w:szCs w:val="14"/>
                <w:color w:val="auto"/>
              </w:rPr>
              <w:t>If retire after 24 months</w:t>
            </w:r>
          </w:p>
        </w:tc>
        <w:tc>
          <w:tcPr>
            <w:tcW w:w="2080" w:type="dxa"/>
            <w:vAlign w:val="bottom"/>
            <w:tcBorders>
              <w:right w:val="single" w:sz="8" w:color="auto"/>
            </w:tcBorders>
            <w:gridSpan w:val="5"/>
          </w:tcPr>
          <w:p>
            <w:pPr>
              <w:jc w:val="center"/>
              <w:spacing w:after="0"/>
              <w:rPr>
                <w:sz w:val="20"/>
                <w:szCs w:val="20"/>
                <w:color w:val="auto"/>
              </w:rPr>
            </w:pPr>
            <w:r>
              <w:rPr>
                <w:rFonts w:ascii="Arial" w:cs="Arial" w:eastAsia="Arial" w:hAnsi="Arial"/>
                <w:sz w:val="14"/>
                <w:szCs w:val="14"/>
                <w:color w:val="auto"/>
              </w:rPr>
              <w:t>If retire after 18 months</w:t>
            </w: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gridSpan w:val="3"/>
            <w:vMerge w:val="restart"/>
          </w:tcPr>
          <w:p>
            <w:pPr>
              <w:jc w:val="center"/>
              <w:spacing w:after="0"/>
              <w:rPr>
                <w:sz w:val="20"/>
                <w:szCs w:val="20"/>
                <w:color w:val="auto"/>
              </w:rPr>
            </w:pPr>
            <w:r>
              <w:rPr>
                <w:rFonts w:ascii="Arial" w:cs="Arial" w:eastAsia="Arial" w:hAnsi="Arial"/>
                <w:sz w:val="14"/>
                <w:szCs w:val="14"/>
                <w:color w:val="auto"/>
              </w:rPr>
              <w:t>Unvested Options</w:t>
            </w:r>
          </w:p>
        </w:tc>
        <w:tc>
          <w:tcPr>
            <w:tcW w:w="440" w:type="dxa"/>
            <w:vAlign w:val="bottom"/>
          </w:tcPr>
          <w:p>
            <w:pPr>
              <w:spacing w:after="0"/>
              <w:rPr>
                <w:sz w:val="14"/>
                <w:szCs w:val="14"/>
                <w:color w:val="auto"/>
              </w:rPr>
            </w:pPr>
          </w:p>
        </w:tc>
        <w:tc>
          <w:tcPr>
            <w:tcW w:w="2060" w:type="dxa"/>
            <w:vAlign w:val="bottom"/>
            <w:tcBorders>
              <w:right w:val="single" w:sz="8" w:color="auto"/>
            </w:tcBorders>
            <w:gridSpan w:val="5"/>
          </w:tcPr>
          <w:p>
            <w:pPr>
              <w:jc w:val="center"/>
              <w:spacing w:after="0"/>
              <w:rPr>
                <w:sz w:val="20"/>
                <w:szCs w:val="20"/>
                <w:color w:val="auto"/>
              </w:rPr>
            </w:pPr>
            <w:r>
              <w:rPr>
                <w:rFonts w:ascii="Arial" w:cs="Arial" w:eastAsia="Arial" w:hAnsi="Arial"/>
                <w:sz w:val="14"/>
                <w:szCs w:val="14"/>
                <w:color w:val="auto"/>
              </w:rPr>
              <w:t>following grant date, continued</w:t>
            </w:r>
          </w:p>
        </w:tc>
        <w:tc>
          <w:tcPr>
            <w:tcW w:w="2080" w:type="dxa"/>
            <w:vAlign w:val="bottom"/>
            <w:tcBorders>
              <w:right w:val="single" w:sz="8" w:color="auto"/>
            </w:tcBorders>
            <w:gridSpan w:val="5"/>
          </w:tcPr>
          <w:p>
            <w:pPr>
              <w:jc w:val="center"/>
              <w:spacing w:after="0"/>
              <w:rPr>
                <w:sz w:val="20"/>
                <w:szCs w:val="20"/>
                <w:color w:val="auto"/>
              </w:rPr>
            </w:pPr>
            <w:r>
              <w:rPr>
                <w:rFonts w:ascii="Arial" w:cs="Arial" w:eastAsia="Arial" w:hAnsi="Arial"/>
                <w:sz w:val="14"/>
                <w:szCs w:val="14"/>
                <w:color w:val="auto"/>
              </w:rPr>
              <w:t>following grant date,</w:t>
            </w:r>
          </w:p>
        </w:tc>
        <w:tc>
          <w:tcPr>
            <w:tcW w:w="0" w:type="dxa"/>
            <w:vAlign w:val="bottom"/>
          </w:tcPr>
          <w:p>
            <w:pPr>
              <w:spacing w:after="0"/>
              <w:rPr>
                <w:sz w:val="1"/>
                <w:szCs w:val="1"/>
                <w:color w:val="auto"/>
              </w:rPr>
            </w:pPr>
          </w:p>
        </w:tc>
      </w:tr>
      <w:tr>
        <w:trPr>
          <w:trHeight w:val="108"/>
        </w:trPr>
        <w:tc>
          <w:tcPr>
            <w:tcW w:w="2060" w:type="dxa"/>
            <w:vAlign w:val="bottom"/>
            <w:tcBorders>
              <w:left w:val="single" w:sz="8" w:color="auto"/>
              <w:right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480" w:type="dxa"/>
            <w:vAlign w:val="bottom"/>
            <w:vMerge w:val="restart"/>
          </w:tcPr>
          <w:p>
            <w:pPr>
              <w:spacing w:after="0"/>
              <w:rPr>
                <w:sz w:val="8"/>
                <w:szCs w:val="8"/>
                <w:color w:val="auto"/>
              </w:rPr>
            </w:pPr>
          </w:p>
        </w:tc>
        <w:tc>
          <w:tcPr>
            <w:tcW w:w="1160" w:type="dxa"/>
            <w:vAlign w:val="bottom"/>
            <w:tcBorders>
              <w:bottom w:val="single" w:sz="8" w:color="auto"/>
            </w:tcBorders>
            <w:gridSpan w:val="3"/>
            <w:vMerge w:val="continue"/>
          </w:tcPr>
          <w:p>
            <w:pPr>
              <w:spacing w:after="0"/>
              <w:rPr>
                <w:sz w:val="8"/>
                <w:szCs w:val="8"/>
                <w:color w:val="auto"/>
              </w:rPr>
            </w:pPr>
          </w:p>
        </w:tc>
        <w:tc>
          <w:tcPr>
            <w:tcW w:w="440" w:type="dxa"/>
            <w:vAlign w:val="bottom"/>
          </w:tcPr>
          <w:p>
            <w:pPr>
              <w:spacing w:after="0"/>
              <w:rPr>
                <w:sz w:val="8"/>
                <w:szCs w:val="8"/>
                <w:color w:val="auto"/>
              </w:rPr>
            </w:pPr>
          </w:p>
        </w:tc>
        <w:tc>
          <w:tcPr>
            <w:tcW w:w="2060" w:type="dxa"/>
            <w:vAlign w:val="bottom"/>
            <w:tcBorders>
              <w:right w:val="single" w:sz="8" w:color="auto"/>
            </w:tcBorders>
            <w:gridSpan w:val="5"/>
            <w:vMerge w:val="restart"/>
          </w:tcPr>
          <w:p>
            <w:pPr>
              <w:jc w:val="center"/>
              <w:spacing w:after="0"/>
              <w:rPr>
                <w:sz w:val="20"/>
                <w:szCs w:val="20"/>
                <w:color w:val="auto"/>
              </w:rPr>
            </w:pPr>
            <w:r>
              <w:rPr>
                <w:rFonts w:ascii="Arial" w:cs="Arial" w:eastAsia="Arial" w:hAnsi="Arial"/>
                <w:sz w:val="14"/>
                <w:szCs w:val="14"/>
                <w:color w:val="auto"/>
              </w:rPr>
              <w:t>vesting subject to completion</w:t>
            </w:r>
          </w:p>
        </w:tc>
        <w:tc>
          <w:tcPr>
            <w:tcW w:w="2080" w:type="dxa"/>
            <w:vAlign w:val="bottom"/>
            <w:tcBorders>
              <w:right w:val="single" w:sz="8" w:color="auto"/>
            </w:tcBorders>
            <w:gridSpan w:val="5"/>
            <w:vMerge w:val="restart"/>
          </w:tcPr>
          <w:p>
            <w:pPr>
              <w:jc w:val="center"/>
              <w:spacing w:after="0"/>
              <w:rPr>
                <w:sz w:val="20"/>
                <w:szCs w:val="20"/>
                <w:color w:val="auto"/>
              </w:rPr>
            </w:pPr>
            <w:r>
              <w:rPr>
                <w:rFonts w:ascii="Arial" w:cs="Arial" w:eastAsia="Arial" w:hAnsi="Arial"/>
                <w:sz w:val="14"/>
                <w:szCs w:val="14"/>
                <w:color w:val="auto"/>
              </w:rPr>
              <w:t>continued vesting subject to</w:t>
            </w:r>
          </w:p>
        </w:tc>
        <w:tc>
          <w:tcPr>
            <w:tcW w:w="0" w:type="dxa"/>
            <w:vAlign w:val="bottom"/>
          </w:tcPr>
          <w:p>
            <w:pPr>
              <w:spacing w:after="0"/>
              <w:rPr>
                <w:sz w:val="1"/>
                <w:szCs w:val="1"/>
                <w:color w:val="auto"/>
              </w:rPr>
            </w:pPr>
          </w:p>
        </w:tc>
      </w:tr>
      <w:tr>
        <w:trPr>
          <w:trHeight w:val="39"/>
        </w:trPr>
        <w:tc>
          <w:tcPr>
            <w:tcW w:w="2060" w:type="dxa"/>
            <w:vAlign w:val="bottom"/>
            <w:tcBorders>
              <w:left w:val="single" w:sz="8" w:color="auto"/>
              <w:right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4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gridSpan w:val="3"/>
            <w:vMerge w:val="restart"/>
          </w:tcPr>
          <w:p>
            <w:pPr>
              <w:jc w:val="center"/>
              <w:ind w:right="540"/>
              <w:spacing w:after="0"/>
              <w:rPr>
                <w:sz w:val="20"/>
                <w:szCs w:val="20"/>
                <w:color w:val="auto"/>
              </w:rPr>
            </w:pPr>
            <w:r>
              <w:rPr>
                <w:rFonts w:ascii="Arial" w:cs="Arial" w:eastAsia="Arial" w:hAnsi="Arial"/>
                <w:sz w:val="14"/>
                <w:szCs w:val="14"/>
                <w:color w:val="auto"/>
              </w:rPr>
              <w:t>Forfeited</w:t>
            </w:r>
          </w:p>
        </w:tc>
        <w:tc>
          <w:tcPr>
            <w:tcW w:w="2060" w:type="dxa"/>
            <w:vAlign w:val="bottom"/>
            <w:tcBorders>
              <w:right w:val="single" w:sz="8" w:color="auto"/>
            </w:tcBorders>
            <w:gridSpan w:val="5"/>
            <w:vMerge w:val="continue"/>
          </w:tcPr>
          <w:p>
            <w:pPr>
              <w:spacing w:after="0"/>
              <w:rPr>
                <w:sz w:val="3"/>
                <w:szCs w:val="3"/>
                <w:color w:val="auto"/>
              </w:rPr>
            </w:pPr>
          </w:p>
        </w:tc>
        <w:tc>
          <w:tcPr>
            <w:tcW w:w="2080" w:type="dxa"/>
            <w:vAlign w:val="bottom"/>
            <w:tcBorders>
              <w:right w:val="single" w:sz="8" w:color="auto"/>
            </w:tcBorders>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2060" w:type="dxa"/>
            <w:vAlign w:val="bottom"/>
            <w:tcBorders>
              <w:left w:val="single" w:sz="8" w:color="auto"/>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Borders>
              <w:right w:val="single" w:sz="8" w:color="auto"/>
            </w:tcBorders>
            <w:gridSpan w:val="3"/>
          </w:tcPr>
          <w:p>
            <w:pPr>
              <w:jc w:val="center"/>
              <w:ind w:right="520"/>
              <w:spacing w:after="0"/>
              <w:rPr>
                <w:sz w:val="20"/>
                <w:szCs w:val="20"/>
                <w:color w:val="auto"/>
              </w:rPr>
            </w:pPr>
            <w:r>
              <w:rPr>
                <w:rFonts w:ascii="Arial" w:cs="Arial" w:eastAsia="Arial" w:hAnsi="Arial"/>
                <w:sz w:val="14"/>
                <w:szCs w:val="14"/>
                <w:color w:val="auto"/>
              </w:rPr>
              <w:t>of new</w:t>
            </w:r>
          </w:p>
        </w:tc>
        <w:tc>
          <w:tcPr>
            <w:tcW w:w="2080" w:type="dxa"/>
            <w:vAlign w:val="bottom"/>
            <w:tcBorders>
              <w:right w:val="single" w:sz="8" w:color="auto"/>
            </w:tcBorders>
            <w:gridSpan w:val="5"/>
          </w:tcPr>
          <w:p>
            <w:pPr>
              <w:jc w:val="center"/>
              <w:spacing w:after="0"/>
              <w:rPr>
                <w:sz w:val="20"/>
                <w:szCs w:val="20"/>
                <w:color w:val="auto"/>
              </w:rPr>
            </w:pPr>
            <w:r>
              <w:rPr>
                <w:rFonts w:ascii="Arial" w:cs="Arial" w:eastAsia="Arial" w:hAnsi="Arial"/>
                <w:sz w:val="14"/>
                <w:szCs w:val="14"/>
                <w:color w:val="auto"/>
              </w:rPr>
              <w:t>completion of new</w:t>
            </w: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4"/>
                <w:szCs w:val="14"/>
                <w:color w:val="auto"/>
              </w:rPr>
              <w:t xml:space="preserve">Stock Options </w:t>
            </w:r>
            <w:r>
              <w:rPr>
                <w:rFonts w:ascii="Arial" w:cs="Arial" w:eastAsia="Arial" w:hAnsi="Arial"/>
                <w:sz w:val="24"/>
                <w:szCs w:val="24"/>
                <w:color w:val="auto"/>
                <w:vertAlign w:val="superscript"/>
              </w:rPr>
              <w:t>(4)</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20" w:type="dxa"/>
            <w:vAlign w:val="bottom"/>
            <w:tcBorders>
              <w:right w:val="single" w:sz="8" w:color="auto"/>
            </w:tcBorders>
            <w:gridSpan w:val="3"/>
            <w:vMerge w:val="restart"/>
          </w:tcPr>
          <w:p>
            <w:pPr>
              <w:jc w:val="center"/>
              <w:ind w:right="680"/>
              <w:spacing w:after="0"/>
              <w:rPr>
                <w:sz w:val="20"/>
                <w:szCs w:val="20"/>
                <w:color w:val="auto"/>
              </w:rPr>
            </w:pPr>
            <w:r>
              <w:rPr>
                <w:rFonts w:ascii="Arial" w:cs="Arial" w:eastAsia="Arial" w:hAnsi="Arial"/>
                <w:sz w:val="14"/>
                <w:szCs w:val="14"/>
                <w:color w:val="auto"/>
              </w:rPr>
              <w:t>Fully accelerated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60" w:type="dxa"/>
            <w:vAlign w:val="bottom"/>
            <w:tcBorders>
              <w:right w:val="single" w:sz="8" w:color="auto"/>
            </w:tcBorders>
            <w:gridSpan w:val="5"/>
          </w:tcPr>
          <w:p>
            <w:pPr>
              <w:jc w:val="center"/>
              <w:spacing w:after="0"/>
              <w:rPr>
                <w:sz w:val="20"/>
                <w:szCs w:val="20"/>
                <w:color w:val="auto"/>
              </w:rPr>
            </w:pPr>
            <w:r>
              <w:rPr>
                <w:rFonts w:ascii="Arial" w:cs="Arial" w:eastAsia="Arial" w:hAnsi="Arial"/>
                <w:sz w:val="14"/>
                <w:szCs w:val="14"/>
                <w:color w:val="auto"/>
              </w:rPr>
              <w:t>non-compete/non-solicit</w:t>
            </w:r>
          </w:p>
        </w:tc>
        <w:tc>
          <w:tcPr>
            <w:tcW w:w="2080" w:type="dxa"/>
            <w:vAlign w:val="bottom"/>
            <w:tcBorders>
              <w:right w:val="single" w:sz="8" w:color="auto"/>
            </w:tcBorders>
            <w:gridSpan w:val="5"/>
          </w:tcPr>
          <w:p>
            <w:pPr>
              <w:jc w:val="center"/>
              <w:spacing w:after="0"/>
              <w:rPr>
                <w:sz w:val="20"/>
                <w:szCs w:val="20"/>
                <w:color w:val="auto"/>
              </w:rPr>
            </w:pPr>
            <w:r>
              <w:rPr>
                <w:rFonts w:ascii="Arial" w:cs="Arial" w:eastAsia="Arial" w:hAnsi="Arial"/>
                <w:sz w:val="14"/>
                <w:szCs w:val="14"/>
                <w:color w:val="auto"/>
              </w:rPr>
              <w:t>non-compete/non-solicit</w:t>
            </w:r>
          </w:p>
        </w:tc>
        <w:tc>
          <w:tcPr>
            <w:tcW w:w="0" w:type="dxa"/>
            <w:vAlign w:val="bottom"/>
          </w:tcPr>
          <w:p>
            <w:pPr>
              <w:spacing w:after="0"/>
              <w:rPr>
                <w:sz w:val="1"/>
                <w:szCs w:val="1"/>
                <w:color w:val="auto"/>
              </w:rPr>
            </w:pPr>
          </w:p>
        </w:tc>
      </w:tr>
      <w:tr>
        <w:trPr>
          <w:trHeight w:val="144"/>
        </w:trPr>
        <w:tc>
          <w:tcPr>
            <w:tcW w:w="2060" w:type="dxa"/>
            <w:vAlign w:val="bottom"/>
            <w:tcBorders>
              <w:left w:val="single" w:sz="8" w:color="auto"/>
              <w:right w:val="single" w:sz="8" w:color="auto"/>
            </w:tcBorders>
            <w:vMerge w:val="continue"/>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20" w:type="dxa"/>
            <w:vAlign w:val="bottom"/>
            <w:tcBorders>
              <w:right w:val="single" w:sz="8" w:color="auto"/>
            </w:tcBorders>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tcPr>
          <w:p>
            <w:pPr>
              <w:jc w:val="center"/>
              <w:ind w:right="540"/>
              <w:spacing w:after="0" w:line="144" w:lineRule="exact"/>
              <w:rPr>
                <w:sz w:val="20"/>
                <w:szCs w:val="20"/>
                <w:color w:val="auto"/>
              </w:rPr>
            </w:pPr>
            <w:r>
              <w:rPr>
                <w:rFonts w:ascii="Arial" w:cs="Arial" w:eastAsia="Arial" w:hAnsi="Arial"/>
                <w:sz w:val="14"/>
                <w:szCs w:val="14"/>
                <w:color w:val="auto"/>
              </w:rPr>
              <w:t>Vested Options</w:t>
            </w:r>
          </w:p>
        </w:tc>
        <w:tc>
          <w:tcPr>
            <w:tcW w:w="2060" w:type="dxa"/>
            <w:vAlign w:val="bottom"/>
            <w:tcBorders>
              <w:right w:val="single" w:sz="8" w:color="auto"/>
            </w:tcBorders>
            <w:gridSpan w:val="5"/>
          </w:tcPr>
          <w:p>
            <w:pPr>
              <w:jc w:val="center"/>
              <w:spacing w:after="0" w:line="144" w:lineRule="exact"/>
              <w:rPr>
                <w:sz w:val="20"/>
                <w:szCs w:val="20"/>
                <w:color w:val="auto"/>
              </w:rPr>
            </w:pPr>
            <w:r>
              <w:rPr>
                <w:rFonts w:ascii="Arial" w:cs="Arial" w:eastAsia="Arial" w:hAnsi="Arial"/>
                <w:sz w:val="14"/>
                <w:szCs w:val="14"/>
                <w:color w:val="auto"/>
              </w:rPr>
              <w:t>agreement and reasonable</w:t>
            </w:r>
          </w:p>
        </w:tc>
        <w:tc>
          <w:tcPr>
            <w:tcW w:w="2080" w:type="dxa"/>
            <w:vAlign w:val="bottom"/>
            <w:tcBorders>
              <w:right w:val="single" w:sz="8" w:color="auto"/>
            </w:tcBorders>
            <w:gridSpan w:val="5"/>
          </w:tcPr>
          <w:p>
            <w:pPr>
              <w:jc w:val="center"/>
              <w:spacing w:after="0" w:line="144" w:lineRule="exact"/>
              <w:rPr>
                <w:sz w:val="20"/>
                <w:szCs w:val="20"/>
                <w:color w:val="auto"/>
              </w:rPr>
            </w:pPr>
            <w:r>
              <w:rPr>
                <w:rFonts w:ascii="Arial" w:cs="Arial" w:eastAsia="Arial" w:hAnsi="Arial"/>
                <w:sz w:val="14"/>
                <w:szCs w:val="14"/>
                <w:color w:val="auto"/>
              </w:rPr>
              <w:t>agreement and reasonable</w:t>
            </w:r>
          </w:p>
        </w:tc>
        <w:tc>
          <w:tcPr>
            <w:tcW w:w="0" w:type="dxa"/>
            <w:vAlign w:val="bottom"/>
          </w:tcPr>
          <w:p>
            <w:pPr>
              <w:spacing w:after="0"/>
              <w:rPr>
                <w:sz w:val="1"/>
                <w:szCs w:val="1"/>
                <w:color w:val="auto"/>
              </w:rPr>
            </w:pPr>
          </w:p>
        </w:tc>
      </w:tr>
      <w:tr>
        <w:trPr>
          <w:trHeight w:val="20"/>
        </w:trPr>
        <w:tc>
          <w:tcPr>
            <w:tcW w:w="2060" w:type="dxa"/>
            <w:vAlign w:val="bottom"/>
            <w:tcBorders>
              <w:left w:val="single" w:sz="8" w:color="auto"/>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right w:val="single" w:sz="8" w:color="auto"/>
            </w:tcBorders>
            <w:gridSpan w:val="3"/>
            <w:vMerge w:val="restart"/>
          </w:tcPr>
          <w:p>
            <w:pPr>
              <w:jc w:val="center"/>
              <w:ind w:right="520"/>
              <w:spacing w:after="0"/>
              <w:rPr>
                <w:sz w:val="20"/>
                <w:szCs w:val="20"/>
                <w:color w:val="auto"/>
              </w:rPr>
            </w:pPr>
            <w:r>
              <w:rPr>
                <w:rFonts w:ascii="Arial" w:cs="Arial" w:eastAsia="Arial" w:hAnsi="Arial"/>
                <w:sz w:val="14"/>
                <w:szCs w:val="14"/>
                <w:color w:val="auto"/>
              </w:rPr>
              <w:t>notice</w:t>
            </w: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right w:val="single" w:sz="8" w:color="auto"/>
            </w:tcBorders>
            <w:gridSpan w:val="3"/>
            <w:vMerge w:val="restart"/>
          </w:tcPr>
          <w:p>
            <w:pPr>
              <w:jc w:val="center"/>
              <w:ind w:right="560"/>
              <w:spacing w:after="0"/>
              <w:rPr>
                <w:sz w:val="20"/>
                <w:szCs w:val="20"/>
                <w:color w:val="auto"/>
              </w:rPr>
            </w:pPr>
            <w:r>
              <w:rPr>
                <w:rFonts w:ascii="Arial" w:cs="Arial" w:eastAsia="Arial" w:hAnsi="Arial"/>
                <w:sz w:val="14"/>
                <w:szCs w:val="14"/>
                <w:color w:val="auto"/>
              </w:rPr>
              <w:t>notice</w:t>
            </w:r>
          </w:p>
        </w:tc>
        <w:tc>
          <w:tcPr>
            <w:tcW w:w="0" w:type="dxa"/>
            <w:vAlign w:val="bottom"/>
          </w:tcPr>
          <w:p>
            <w:pPr>
              <w:spacing w:after="0" w:line="20" w:lineRule="exact"/>
              <w:rPr>
                <w:sz w:val="1"/>
                <w:szCs w:val="1"/>
                <w:color w:val="auto"/>
              </w:rPr>
            </w:pPr>
          </w:p>
        </w:tc>
      </w:tr>
      <w:tr>
        <w:trPr>
          <w:trHeight w:val="160"/>
        </w:trPr>
        <w:tc>
          <w:tcPr>
            <w:tcW w:w="2060" w:type="dxa"/>
            <w:vAlign w:val="bottom"/>
            <w:tcBorders>
              <w:left w:val="single" w:sz="8" w:color="auto"/>
              <w:right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2080" w:type="dxa"/>
            <w:vAlign w:val="bottom"/>
            <w:gridSpan w:val="5"/>
          </w:tcPr>
          <w:p>
            <w:pPr>
              <w:jc w:val="center"/>
              <w:spacing w:after="0"/>
              <w:rPr>
                <w:sz w:val="20"/>
                <w:szCs w:val="20"/>
                <w:color w:val="auto"/>
              </w:rPr>
            </w:pPr>
            <w:r>
              <w:rPr>
                <w:rFonts w:ascii="Arial" w:cs="Arial" w:eastAsia="Arial" w:hAnsi="Arial"/>
                <w:sz w:val="14"/>
                <w:szCs w:val="14"/>
                <w:color w:val="auto"/>
              </w:rPr>
              <w:t>Expire at end of earlier of 3</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Borders>
              <w:right w:val="single" w:sz="8" w:color="auto"/>
            </w:tcBorders>
            <w:gridSpan w:val="3"/>
            <w:vMerge w:val="continue"/>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Borders>
              <w:right w:val="single" w:sz="8" w:color="auto"/>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2080" w:type="dxa"/>
            <w:vAlign w:val="bottom"/>
            <w:gridSpan w:val="5"/>
          </w:tcPr>
          <w:p>
            <w:pPr>
              <w:jc w:val="center"/>
              <w:spacing w:after="0"/>
              <w:rPr>
                <w:sz w:val="20"/>
                <w:szCs w:val="20"/>
                <w:color w:val="auto"/>
              </w:rPr>
            </w:pPr>
            <w:r>
              <w:rPr>
                <w:rFonts w:ascii="Arial" w:cs="Arial" w:eastAsia="Arial" w:hAnsi="Arial"/>
                <w:sz w:val="14"/>
                <w:szCs w:val="14"/>
                <w:color w:val="auto"/>
              </w:rPr>
              <w:t>years or original expiration</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60" w:type="dxa"/>
            <w:vAlign w:val="bottom"/>
            <w:tcBorders>
              <w:left w:val="single" w:sz="8" w:color="auto"/>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1600" w:type="dxa"/>
            <w:vAlign w:val="bottom"/>
            <w:gridSpan w:val="4"/>
          </w:tcPr>
          <w:p>
            <w:pPr>
              <w:jc w:val="center"/>
              <w:ind w:right="440"/>
              <w:spacing w:after="0"/>
              <w:rPr>
                <w:sz w:val="20"/>
                <w:szCs w:val="20"/>
                <w:color w:val="auto"/>
              </w:rPr>
            </w:pPr>
            <w:r>
              <w:rPr>
                <w:rFonts w:ascii="Arial" w:cs="Arial" w:eastAsia="Arial" w:hAnsi="Arial"/>
                <w:sz w:val="14"/>
                <w:szCs w:val="14"/>
                <w:color w:val="auto"/>
              </w:rPr>
              <w:t>date of the grant</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Vested Options</w:t>
            </w:r>
          </w:p>
        </w:tc>
        <w:tc>
          <w:tcPr>
            <w:tcW w:w="520" w:type="dxa"/>
            <w:vAlign w:val="bottom"/>
            <w:tcBorders>
              <w:right w:val="single" w:sz="8" w:color="auto"/>
            </w:tcBorders>
            <w:gridSpan w:val="2"/>
          </w:tcPr>
          <w:p>
            <w:pPr>
              <w:spacing w:after="0"/>
              <w:rPr>
                <w:sz w:val="16"/>
                <w:szCs w:val="16"/>
                <w:color w:val="auto"/>
              </w:rPr>
            </w:pPr>
          </w:p>
        </w:tc>
        <w:tc>
          <w:tcPr>
            <w:tcW w:w="460" w:type="dxa"/>
            <w:vAlign w:val="bottom"/>
          </w:tcPr>
          <w:p>
            <w:pPr>
              <w:spacing w:after="0"/>
              <w:rPr>
                <w:sz w:val="16"/>
                <w:szCs w:val="16"/>
                <w:color w:val="auto"/>
              </w:rPr>
            </w:pPr>
          </w:p>
        </w:tc>
        <w:tc>
          <w:tcPr>
            <w:tcW w:w="1620" w:type="dxa"/>
            <w:vAlign w:val="bottom"/>
            <w:tcBorders>
              <w:right w:val="single" w:sz="8" w:color="auto"/>
            </w:tcBorders>
            <w:gridSpan w:val="4"/>
          </w:tcPr>
          <w:p>
            <w:pPr>
              <w:jc w:val="center"/>
              <w:ind w:right="460"/>
              <w:spacing w:after="0"/>
              <w:rPr>
                <w:sz w:val="20"/>
                <w:szCs w:val="20"/>
                <w:color w:val="auto"/>
              </w:rPr>
            </w:pPr>
            <w:r>
              <w:rPr>
                <w:rFonts w:ascii="Arial" w:cs="Arial" w:eastAsia="Arial" w:hAnsi="Arial"/>
                <w:sz w:val="14"/>
                <w:szCs w:val="14"/>
                <w:color w:val="auto"/>
              </w:rPr>
              <w:t>Vested Options</w:t>
            </w:r>
          </w:p>
        </w:tc>
        <w:tc>
          <w:tcPr>
            <w:tcW w:w="0" w:type="dxa"/>
            <w:vAlign w:val="bottom"/>
          </w:tcPr>
          <w:p>
            <w:pPr>
              <w:spacing w:after="0"/>
              <w:rPr>
                <w:sz w:val="1"/>
                <w:szCs w:val="1"/>
                <w:color w:val="auto"/>
              </w:rPr>
            </w:pPr>
          </w:p>
        </w:tc>
      </w:tr>
      <w:tr>
        <w:trPr>
          <w:trHeight w:val="20"/>
        </w:trPr>
        <w:tc>
          <w:tcPr>
            <w:tcW w:w="2060" w:type="dxa"/>
            <w:vAlign w:val="bottom"/>
            <w:tcBorders>
              <w:left w:val="single" w:sz="8" w:color="auto"/>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60" w:type="dxa"/>
            <w:vAlign w:val="bottom"/>
            <w:tcBorders>
              <w:left w:val="single" w:sz="8" w:color="auto"/>
              <w:right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60" w:type="dxa"/>
            <w:vAlign w:val="bottom"/>
            <w:tcBorders>
              <w:right w:val="single" w:sz="8" w:color="auto"/>
            </w:tcBorders>
            <w:gridSpan w:val="5"/>
          </w:tcPr>
          <w:p>
            <w:pPr>
              <w:jc w:val="center"/>
              <w:spacing w:after="0"/>
              <w:rPr>
                <w:sz w:val="20"/>
                <w:szCs w:val="20"/>
                <w:color w:val="auto"/>
              </w:rPr>
            </w:pPr>
            <w:r>
              <w:rPr>
                <w:rFonts w:ascii="Arial" w:cs="Arial" w:eastAsia="Arial" w:hAnsi="Arial"/>
                <w:sz w:val="14"/>
                <w:szCs w:val="14"/>
                <w:color w:val="auto"/>
              </w:rPr>
              <w:t>Expire at end of earlier of 3</w:t>
            </w:r>
          </w:p>
        </w:tc>
        <w:tc>
          <w:tcPr>
            <w:tcW w:w="2080" w:type="dxa"/>
            <w:vAlign w:val="bottom"/>
            <w:tcBorders>
              <w:right w:val="single" w:sz="8" w:color="auto"/>
            </w:tcBorders>
            <w:gridSpan w:val="5"/>
          </w:tcPr>
          <w:p>
            <w:pPr>
              <w:jc w:val="center"/>
              <w:spacing w:after="0"/>
              <w:rPr>
                <w:sz w:val="20"/>
                <w:szCs w:val="20"/>
                <w:color w:val="auto"/>
              </w:rPr>
            </w:pPr>
            <w:r>
              <w:rPr>
                <w:rFonts w:ascii="Arial" w:cs="Arial" w:eastAsia="Arial" w:hAnsi="Arial"/>
                <w:sz w:val="14"/>
                <w:szCs w:val="14"/>
                <w:color w:val="auto"/>
              </w:rPr>
              <w:t>Expire at end of earlier of 3</w:t>
            </w: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60" w:type="dxa"/>
            <w:vAlign w:val="bottom"/>
            <w:tcBorders>
              <w:right w:val="single" w:sz="8" w:color="auto"/>
            </w:tcBorders>
            <w:gridSpan w:val="5"/>
          </w:tcPr>
          <w:p>
            <w:pPr>
              <w:jc w:val="center"/>
              <w:spacing w:after="0"/>
              <w:rPr>
                <w:sz w:val="20"/>
                <w:szCs w:val="20"/>
                <w:color w:val="auto"/>
              </w:rPr>
            </w:pPr>
            <w:r>
              <w:rPr>
                <w:rFonts w:ascii="Arial" w:cs="Arial" w:eastAsia="Arial" w:hAnsi="Arial"/>
                <w:sz w:val="14"/>
                <w:szCs w:val="14"/>
                <w:color w:val="auto"/>
              </w:rPr>
              <w:t>years or original expiration</w:t>
            </w:r>
          </w:p>
        </w:tc>
        <w:tc>
          <w:tcPr>
            <w:tcW w:w="2080" w:type="dxa"/>
            <w:vAlign w:val="bottom"/>
            <w:tcBorders>
              <w:right w:val="single" w:sz="8" w:color="auto"/>
            </w:tcBorders>
            <w:gridSpan w:val="5"/>
          </w:tcPr>
          <w:p>
            <w:pPr>
              <w:jc w:val="center"/>
              <w:spacing w:after="0"/>
              <w:rPr>
                <w:sz w:val="20"/>
                <w:szCs w:val="20"/>
                <w:color w:val="auto"/>
              </w:rPr>
            </w:pPr>
            <w:r>
              <w:rPr>
                <w:rFonts w:ascii="Arial" w:cs="Arial" w:eastAsia="Arial" w:hAnsi="Arial"/>
                <w:sz w:val="14"/>
                <w:szCs w:val="14"/>
                <w:color w:val="auto"/>
              </w:rPr>
              <w:t>years or original expiration</w:t>
            </w:r>
          </w:p>
        </w:tc>
        <w:tc>
          <w:tcPr>
            <w:tcW w:w="0" w:type="dxa"/>
            <w:vAlign w:val="bottom"/>
          </w:tcPr>
          <w:p>
            <w:pPr>
              <w:spacing w:after="0"/>
              <w:rPr>
                <w:sz w:val="1"/>
                <w:szCs w:val="1"/>
                <w:color w:val="auto"/>
              </w:rPr>
            </w:pPr>
          </w:p>
        </w:tc>
      </w:tr>
      <w:tr>
        <w:trPr>
          <w:trHeight w:val="172"/>
        </w:trPr>
        <w:tc>
          <w:tcPr>
            <w:tcW w:w="2060" w:type="dxa"/>
            <w:vAlign w:val="bottom"/>
            <w:tcBorders>
              <w:left w:val="single" w:sz="8" w:color="auto"/>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Borders>
              <w:right w:val="single" w:sz="8" w:color="auto"/>
            </w:tcBorders>
            <w:gridSpan w:val="4"/>
          </w:tcPr>
          <w:p>
            <w:pPr>
              <w:jc w:val="center"/>
              <w:ind w:right="460"/>
              <w:spacing w:after="0"/>
              <w:rPr>
                <w:sz w:val="20"/>
                <w:szCs w:val="20"/>
                <w:color w:val="auto"/>
              </w:rPr>
            </w:pPr>
            <w:r>
              <w:rPr>
                <w:rFonts w:ascii="Arial" w:cs="Arial" w:eastAsia="Arial" w:hAnsi="Arial"/>
                <w:sz w:val="14"/>
                <w:szCs w:val="14"/>
                <w:color w:val="auto"/>
              </w:rPr>
              <w:t>date of the grant</w:t>
            </w:r>
          </w:p>
        </w:tc>
        <w:tc>
          <w:tcPr>
            <w:tcW w:w="460" w:type="dxa"/>
            <w:vAlign w:val="bottom"/>
          </w:tcPr>
          <w:p>
            <w:pPr>
              <w:spacing w:after="0"/>
              <w:rPr>
                <w:sz w:val="14"/>
                <w:szCs w:val="14"/>
                <w:color w:val="auto"/>
              </w:rPr>
            </w:pPr>
          </w:p>
        </w:tc>
        <w:tc>
          <w:tcPr>
            <w:tcW w:w="1620" w:type="dxa"/>
            <w:vAlign w:val="bottom"/>
            <w:tcBorders>
              <w:right w:val="single" w:sz="8" w:color="auto"/>
            </w:tcBorders>
            <w:gridSpan w:val="4"/>
          </w:tcPr>
          <w:p>
            <w:pPr>
              <w:jc w:val="center"/>
              <w:ind w:right="460"/>
              <w:spacing w:after="0"/>
              <w:rPr>
                <w:sz w:val="20"/>
                <w:szCs w:val="20"/>
                <w:color w:val="auto"/>
              </w:rPr>
            </w:pPr>
            <w:r>
              <w:rPr>
                <w:rFonts w:ascii="Arial" w:cs="Arial" w:eastAsia="Arial" w:hAnsi="Arial"/>
                <w:sz w:val="14"/>
                <w:szCs w:val="14"/>
                <w:color w:val="auto"/>
              </w:rPr>
              <w:t>date of the grant</w:t>
            </w:r>
          </w:p>
        </w:tc>
        <w:tc>
          <w:tcPr>
            <w:tcW w:w="0" w:type="dxa"/>
            <w:vAlign w:val="bottom"/>
          </w:tcPr>
          <w:p>
            <w:pPr>
              <w:spacing w:after="0"/>
              <w:rPr>
                <w:sz w:val="1"/>
                <w:szCs w:val="1"/>
                <w:color w:val="auto"/>
              </w:rPr>
            </w:pPr>
          </w:p>
        </w:tc>
      </w:tr>
      <w:tr>
        <w:trPr>
          <w:trHeight w:val="120"/>
        </w:trPr>
        <w:tc>
          <w:tcPr>
            <w:tcW w:w="2060" w:type="dxa"/>
            <w:vAlign w:val="bottom"/>
            <w:tcBorders>
              <w:left w:val="single" w:sz="8" w:color="auto"/>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45"/>
        </w:trPr>
        <w:tc>
          <w:tcPr>
            <w:tcW w:w="2060" w:type="dxa"/>
            <w:vAlign w:val="bottom"/>
            <w:tcBorders>
              <w:left w:val="single" w:sz="8" w:color="auto"/>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300" w:type="dxa"/>
            <w:vAlign w:val="bottom"/>
            <w:tcBorders>
              <w:right w:val="single" w:sz="8" w:color="auto"/>
            </w:tcBorders>
            <w:gridSpan w:val="4"/>
          </w:tcPr>
          <w:p>
            <w:pPr>
              <w:jc w:val="center"/>
              <w:ind w:right="400"/>
              <w:spacing w:after="0"/>
              <w:rPr>
                <w:sz w:val="20"/>
                <w:szCs w:val="20"/>
                <w:color w:val="auto"/>
              </w:rPr>
            </w:pPr>
            <w:r>
              <w:rPr>
                <w:rFonts w:ascii="Arial" w:cs="Arial" w:eastAsia="Arial" w:hAnsi="Arial"/>
                <w:sz w:val="14"/>
                <w:szCs w:val="14"/>
                <w:color w:val="auto"/>
              </w:rPr>
              <w:t>2016 &amp; Prior Awards Prorated</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60" w:type="dxa"/>
            <w:vAlign w:val="bottom"/>
            <w:tcBorders>
              <w:left w:val="single" w:sz="8" w:color="auto"/>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60" w:type="dxa"/>
            <w:vAlign w:val="bottom"/>
            <w:tcBorders>
              <w:right w:val="single" w:sz="8" w:color="auto"/>
            </w:tcBorders>
            <w:gridSpan w:val="5"/>
          </w:tcPr>
          <w:p>
            <w:pPr>
              <w:spacing w:after="0" w:line="20" w:lineRule="exact"/>
              <w:rPr>
                <w:sz w:val="1"/>
                <w:szCs w:val="1"/>
                <w:color w:val="auto"/>
              </w:rPr>
            </w:pPr>
          </w:p>
        </w:tc>
        <w:tc>
          <w:tcPr>
            <w:tcW w:w="2080" w:type="dxa"/>
            <w:vAlign w:val="bottom"/>
            <w:tcBorders>
              <w:right w:val="single" w:sz="8" w:color="auto"/>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60" w:type="dxa"/>
            <w:vAlign w:val="bottom"/>
            <w:tcBorders>
              <w:left w:val="single" w:sz="8" w:color="auto"/>
              <w:right w:val="single" w:sz="8" w:color="auto"/>
            </w:tcBorders>
          </w:tcPr>
          <w:p>
            <w:pPr>
              <w:spacing w:after="0"/>
              <w:rPr>
                <w:sz w:val="13"/>
                <w:szCs w:val="13"/>
                <w:color w:val="auto"/>
              </w:rPr>
            </w:pPr>
          </w:p>
        </w:tc>
        <w:tc>
          <w:tcPr>
            <w:tcW w:w="2760" w:type="dxa"/>
            <w:vAlign w:val="bottom"/>
            <w:tcBorders>
              <w:right w:val="single" w:sz="8" w:color="auto"/>
            </w:tcBorders>
            <w:gridSpan w:val="5"/>
          </w:tcPr>
          <w:p>
            <w:pPr>
              <w:jc w:val="center"/>
              <w:spacing w:after="0"/>
              <w:rPr>
                <w:sz w:val="20"/>
                <w:szCs w:val="20"/>
                <w:color w:val="auto"/>
              </w:rPr>
            </w:pPr>
            <w:r>
              <w:rPr>
                <w:rFonts w:ascii="Arial" w:cs="Arial" w:eastAsia="Arial" w:hAnsi="Arial"/>
                <w:sz w:val="14"/>
                <w:szCs w:val="14"/>
                <w:color w:val="auto"/>
              </w:rPr>
              <w:t>Pro-rated based on days employed</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60" w:type="dxa"/>
            <w:vAlign w:val="bottom"/>
            <w:tcBorders>
              <w:right w:val="single" w:sz="8" w:color="auto"/>
            </w:tcBorders>
            <w:gridSpan w:val="5"/>
          </w:tcPr>
          <w:p>
            <w:pPr>
              <w:jc w:val="center"/>
              <w:spacing w:after="0"/>
              <w:rPr>
                <w:sz w:val="20"/>
                <w:szCs w:val="20"/>
                <w:color w:val="auto"/>
              </w:rPr>
            </w:pPr>
            <w:r>
              <w:rPr>
                <w:rFonts w:ascii="Arial" w:cs="Arial" w:eastAsia="Arial" w:hAnsi="Arial"/>
                <w:sz w:val="14"/>
                <w:szCs w:val="14"/>
                <w:color w:val="auto"/>
              </w:rPr>
              <w:t>If retire after 24 months</w:t>
            </w:r>
          </w:p>
        </w:tc>
        <w:tc>
          <w:tcPr>
            <w:tcW w:w="2080" w:type="dxa"/>
            <w:vAlign w:val="bottom"/>
            <w:tcBorders>
              <w:right w:val="single" w:sz="8" w:color="auto"/>
            </w:tcBorders>
            <w:gridSpan w:val="5"/>
          </w:tcPr>
          <w:p>
            <w:pPr>
              <w:jc w:val="center"/>
              <w:spacing w:after="0"/>
              <w:rPr>
                <w:sz w:val="20"/>
                <w:szCs w:val="20"/>
                <w:color w:val="auto"/>
              </w:rPr>
            </w:pPr>
            <w:r>
              <w:rPr>
                <w:rFonts w:ascii="Arial" w:cs="Arial" w:eastAsia="Arial" w:hAnsi="Arial"/>
                <w:sz w:val="14"/>
                <w:szCs w:val="14"/>
                <w:color w:val="auto"/>
              </w:rPr>
              <w:t>If retire after 18 months</w:t>
            </w: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right w:val="single" w:sz="8" w:color="auto"/>
            </w:tcBorders>
          </w:tcPr>
          <w:p>
            <w:pPr>
              <w:spacing w:after="0"/>
              <w:rPr>
                <w:sz w:val="14"/>
                <w:szCs w:val="14"/>
                <w:color w:val="auto"/>
              </w:rPr>
            </w:pPr>
          </w:p>
        </w:tc>
        <w:tc>
          <w:tcPr>
            <w:tcW w:w="2760" w:type="dxa"/>
            <w:vAlign w:val="bottom"/>
            <w:tcBorders>
              <w:right w:val="single" w:sz="8" w:color="auto"/>
            </w:tcBorders>
            <w:gridSpan w:val="5"/>
          </w:tcPr>
          <w:p>
            <w:pPr>
              <w:jc w:val="center"/>
              <w:spacing w:after="0"/>
              <w:rPr>
                <w:sz w:val="20"/>
                <w:szCs w:val="20"/>
                <w:color w:val="auto"/>
              </w:rPr>
            </w:pPr>
            <w:r>
              <w:rPr>
                <w:rFonts w:ascii="Arial" w:cs="Arial" w:eastAsia="Arial" w:hAnsi="Arial"/>
                <w:sz w:val="14"/>
                <w:szCs w:val="14"/>
                <w:color w:val="auto"/>
              </w:rPr>
              <w:t>during the performance period and</w:t>
            </w:r>
          </w:p>
        </w:tc>
        <w:tc>
          <w:tcPr>
            <w:tcW w:w="2080" w:type="dxa"/>
            <w:vAlign w:val="bottom"/>
            <w:gridSpan w:val="5"/>
            <w:vMerge w:val="restart"/>
          </w:tcPr>
          <w:p>
            <w:pPr>
              <w:jc w:val="center"/>
              <w:spacing w:after="0"/>
              <w:rPr>
                <w:sz w:val="20"/>
                <w:szCs w:val="20"/>
                <w:color w:val="auto"/>
              </w:rPr>
            </w:pPr>
            <w:r>
              <w:rPr>
                <w:rFonts w:ascii="Arial" w:cs="Arial" w:eastAsia="Arial" w:hAnsi="Arial"/>
                <w:sz w:val="14"/>
                <w:szCs w:val="14"/>
                <w:color w:val="auto"/>
              </w:rPr>
              <w:t>Pro-rated based on number</w:t>
            </w:r>
          </w:p>
        </w:tc>
        <w:tc>
          <w:tcPr>
            <w:tcW w:w="2060" w:type="dxa"/>
            <w:vAlign w:val="bottom"/>
            <w:tcBorders>
              <w:right w:val="single" w:sz="8" w:color="auto"/>
            </w:tcBorders>
            <w:gridSpan w:val="5"/>
          </w:tcPr>
          <w:p>
            <w:pPr>
              <w:jc w:val="center"/>
              <w:spacing w:after="0"/>
              <w:rPr>
                <w:sz w:val="20"/>
                <w:szCs w:val="20"/>
                <w:color w:val="auto"/>
              </w:rPr>
            </w:pPr>
            <w:r>
              <w:rPr>
                <w:rFonts w:ascii="Arial" w:cs="Arial" w:eastAsia="Arial" w:hAnsi="Arial"/>
                <w:sz w:val="14"/>
                <w:szCs w:val="14"/>
                <w:color w:val="auto"/>
              </w:rPr>
              <w:t>following grant date, shares</w:t>
            </w:r>
          </w:p>
        </w:tc>
        <w:tc>
          <w:tcPr>
            <w:tcW w:w="2080" w:type="dxa"/>
            <w:vAlign w:val="bottom"/>
            <w:tcBorders>
              <w:right w:val="single" w:sz="8" w:color="auto"/>
            </w:tcBorders>
            <w:gridSpan w:val="5"/>
          </w:tcPr>
          <w:p>
            <w:pPr>
              <w:jc w:val="center"/>
              <w:spacing w:after="0"/>
              <w:rPr>
                <w:sz w:val="20"/>
                <w:szCs w:val="20"/>
                <w:color w:val="auto"/>
              </w:rPr>
            </w:pPr>
            <w:r>
              <w:rPr>
                <w:rFonts w:ascii="Arial" w:cs="Arial" w:eastAsia="Arial" w:hAnsi="Arial"/>
                <w:sz w:val="14"/>
                <w:szCs w:val="14"/>
                <w:color w:val="auto"/>
              </w:rPr>
              <w:t>following grant date, shares</w:t>
            </w:r>
          </w:p>
        </w:tc>
        <w:tc>
          <w:tcPr>
            <w:tcW w:w="0" w:type="dxa"/>
            <w:vAlign w:val="bottom"/>
          </w:tcPr>
          <w:p>
            <w:pPr>
              <w:spacing w:after="0"/>
              <w:rPr>
                <w:sz w:val="1"/>
                <w:szCs w:val="1"/>
                <w:color w:val="auto"/>
              </w:rPr>
            </w:pPr>
          </w:p>
        </w:tc>
      </w:tr>
      <w:tr>
        <w:trPr>
          <w:trHeight w:val="95"/>
        </w:trPr>
        <w:tc>
          <w:tcPr>
            <w:tcW w:w="2060" w:type="dxa"/>
            <w:vAlign w:val="bottom"/>
            <w:tcBorders>
              <w:left w:val="single" w:sz="8" w:color="auto"/>
              <w:right w:val="single" w:sz="8" w:color="auto"/>
            </w:tcBorders>
          </w:tcPr>
          <w:p>
            <w:pPr>
              <w:spacing w:after="0"/>
              <w:rPr>
                <w:sz w:val="8"/>
                <w:szCs w:val="8"/>
                <w:color w:val="auto"/>
              </w:rPr>
            </w:pPr>
          </w:p>
        </w:tc>
        <w:tc>
          <w:tcPr>
            <w:tcW w:w="2760" w:type="dxa"/>
            <w:vAlign w:val="bottom"/>
            <w:tcBorders>
              <w:right w:val="single" w:sz="8" w:color="auto"/>
            </w:tcBorders>
            <w:gridSpan w:val="5"/>
            <w:vMerge w:val="restart"/>
          </w:tcPr>
          <w:p>
            <w:pPr>
              <w:jc w:val="center"/>
              <w:spacing w:after="0"/>
              <w:rPr>
                <w:sz w:val="20"/>
                <w:szCs w:val="20"/>
                <w:color w:val="auto"/>
              </w:rPr>
            </w:pPr>
            <w:r>
              <w:rPr>
                <w:rFonts w:ascii="Arial" w:cs="Arial" w:eastAsia="Arial" w:hAnsi="Arial"/>
                <w:sz w:val="14"/>
                <w:szCs w:val="14"/>
                <w:color w:val="auto"/>
              </w:rPr>
              <w:t>shares awarded based on actual</w:t>
            </w:r>
          </w:p>
        </w:tc>
        <w:tc>
          <w:tcPr>
            <w:tcW w:w="2080" w:type="dxa"/>
            <w:vAlign w:val="bottom"/>
            <w:gridSpan w:val="5"/>
            <w:vMerge w:val="continue"/>
          </w:tcPr>
          <w:p>
            <w:pPr>
              <w:spacing w:after="0"/>
              <w:rPr>
                <w:sz w:val="8"/>
                <w:szCs w:val="8"/>
                <w:color w:val="auto"/>
              </w:rPr>
            </w:pPr>
          </w:p>
        </w:tc>
        <w:tc>
          <w:tcPr>
            <w:tcW w:w="2060" w:type="dxa"/>
            <w:vAlign w:val="bottom"/>
            <w:tcBorders>
              <w:right w:val="single" w:sz="8" w:color="auto"/>
            </w:tcBorders>
            <w:gridSpan w:val="5"/>
            <w:vMerge w:val="restart"/>
          </w:tcPr>
          <w:p>
            <w:pPr>
              <w:jc w:val="center"/>
              <w:spacing w:after="0"/>
              <w:rPr>
                <w:sz w:val="20"/>
                <w:szCs w:val="20"/>
                <w:color w:val="auto"/>
              </w:rPr>
            </w:pPr>
            <w:r>
              <w:rPr>
                <w:rFonts w:ascii="Arial" w:cs="Arial" w:eastAsia="Arial" w:hAnsi="Arial"/>
                <w:sz w:val="14"/>
                <w:szCs w:val="14"/>
                <w:color w:val="auto"/>
              </w:rPr>
              <w:t>awarded at the end of the</w:t>
            </w:r>
          </w:p>
        </w:tc>
        <w:tc>
          <w:tcPr>
            <w:tcW w:w="2080" w:type="dxa"/>
            <w:vAlign w:val="bottom"/>
            <w:tcBorders>
              <w:right w:val="single" w:sz="8" w:color="auto"/>
            </w:tcBorders>
            <w:gridSpan w:val="5"/>
            <w:vMerge w:val="restart"/>
          </w:tcPr>
          <w:p>
            <w:pPr>
              <w:jc w:val="center"/>
              <w:spacing w:after="0"/>
              <w:rPr>
                <w:sz w:val="20"/>
                <w:szCs w:val="20"/>
                <w:color w:val="auto"/>
              </w:rPr>
            </w:pPr>
            <w:r>
              <w:rPr>
                <w:rFonts w:ascii="Arial" w:cs="Arial" w:eastAsia="Arial" w:hAnsi="Arial"/>
                <w:sz w:val="14"/>
                <w:szCs w:val="14"/>
                <w:color w:val="auto"/>
              </w:rPr>
              <w:t>awarded at the end of the</w:t>
            </w:r>
          </w:p>
        </w:tc>
        <w:tc>
          <w:tcPr>
            <w:tcW w:w="0" w:type="dxa"/>
            <w:vAlign w:val="bottom"/>
          </w:tcPr>
          <w:p>
            <w:pPr>
              <w:spacing w:after="0"/>
              <w:rPr>
                <w:sz w:val="1"/>
                <w:szCs w:val="1"/>
                <w:color w:val="auto"/>
              </w:rPr>
            </w:pPr>
          </w:p>
        </w:tc>
      </w:tr>
      <w:tr>
        <w:trPr>
          <w:trHeight w:val="68"/>
        </w:trPr>
        <w:tc>
          <w:tcPr>
            <w:tcW w:w="2060" w:type="dxa"/>
            <w:vAlign w:val="bottom"/>
            <w:tcBorders>
              <w:left w:val="single" w:sz="8" w:color="auto"/>
              <w:right w:val="single" w:sz="8" w:color="auto"/>
            </w:tcBorders>
          </w:tcPr>
          <w:p>
            <w:pPr>
              <w:spacing w:after="0"/>
              <w:rPr>
                <w:sz w:val="5"/>
                <w:szCs w:val="5"/>
                <w:color w:val="auto"/>
              </w:rPr>
            </w:pPr>
          </w:p>
        </w:tc>
        <w:tc>
          <w:tcPr>
            <w:tcW w:w="2760" w:type="dxa"/>
            <w:vAlign w:val="bottom"/>
            <w:tcBorders>
              <w:right w:val="single" w:sz="8" w:color="auto"/>
            </w:tcBorders>
            <w:gridSpan w:val="5"/>
            <w:vMerge w:val="continue"/>
          </w:tcPr>
          <w:p>
            <w:pPr>
              <w:spacing w:after="0"/>
              <w:rPr>
                <w:sz w:val="5"/>
                <w:szCs w:val="5"/>
                <w:color w:val="auto"/>
              </w:rPr>
            </w:pPr>
          </w:p>
        </w:tc>
        <w:tc>
          <w:tcPr>
            <w:tcW w:w="2080" w:type="dxa"/>
            <w:vAlign w:val="bottom"/>
            <w:gridSpan w:val="5"/>
            <w:vMerge w:val="restart"/>
          </w:tcPr>
          <w:p>
            <w:pPr>
              <w:jc w:val="center"/>
              <w:spacing w:after="0"/>
              <w:rPr>
                <w:sz w:val="20"/>
                <w:szCs w:val="20"/>
                <w:color w:val="auto"/>
              </w:rPr>
            </w:pPr>
            <w:r>
              <w:rPr>
                <w:rFonts w:ascii="Arial" w:cs="Arial" w:eastAsia="Arial" w:hAnsi="Arial"/>
                <w:sz w:val="14"/>
                <w:szCs w:val="14"/>
                <w:color w:val="auto"/>
              </w:rPr>
              <w:t>days employed during the</w:t>
            </w:r>
          </w:p>
        </w:tc>
        <w:tc>
          <w:tcPr>
            <w:tcW w:w="2060" w:type="dxa"/>
            <w:vAlign w:val="bottom"/>
            <w:tcBorders>
              <w:right w:val="single" w:sz="8" w:color="auto"/>
            </w:tcBorders>
            <w:gridSpan w:val="5"/>
            <w:vMerge w:val="continue"/>
          </w:tcPr>
          <w:p>
            <w:pPr>
              <w:spacing w:after="0"/>
              <w:rPr>
                <w:sz w:val="5"/>
                <w:szCs w:val="5"/>
                <w:color w:val="auto"/>
              </w:rPr>
            </w:pPr>
          </w:p>
        </w:tc>
        <w:tc>
          <w:tcPr>
            <w:tcW w:w="208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60" w:type="dxa"/>
            <w:vAlign w:val="bottom"/>
            <w:tcBorders>
              <w:left w:val="single" w:sz="8" w:color="auto"/>
              <w:right w:val="single" w:sz="8" w:color="auto"/>
            </w:tcBorders>
          </w:tcPr>
          <w:p>
            <w:pPr>
              <w:spacing w:after="0"/>
              <w:rPr>
                <w:sz w:val="8"/>
                <w:szCs w:val="8"/>
                <w:color w:val="auto"/>
              </w:rPr>
            </w:pPr>
          </w:p>
        </w:tc>
        <w:tc>
          <w:tcPr>
            <w:tcW w:w="2760" w:type="dxa"/>
            <w:vAlign w:val="bottom"/>
            <w:tcBorders>
              <w:right w:val="single" w:sz="8" w:color="auto"/>
            </w:tcBorders>
            <w:gridSpan w:val="5"/>
            <w:vMerge w:val="restart"/>
          </w:tcPr>
          <w:p>
            <w:pPr>
              <w:jc w:val="center"/>
              <w:spacing w:after="0"/>
              <w:rPr>
                <w:sz w:val="20"/>
                <w:szCs w:val="20"/>
                <w:color w:val="auto"/>
              </w:rPr>
            </w:pPr>
            <w:r>
              <w:rPr>
                <w:rFonts w:ascii="Arial" w:cs="Arial" w:eastAsia="Arial" w:hAnsi="Arial"/>
                <w:sz w:val="14"/>
                <w:szCs w:val="14"/>
                <w:color w:val="auto"/>
              </w:rPr>
              <w:t>attainment as measured at end of the</w:t>
            </w:r>
          </w:p>
        </w:tc>
        <w:tc>
          <w:tcPr>
            <w:tcW w:w="2080" w:type="dxa"/>
            <w:vAlign w:val="bottom"/>
            <w:gridSpan w:val="5"/>
            <w:vMerge w:val="continue"/>
          </w:tcPr>
          <w:p>
            <w:pPr>
              <w:spacing w:after="0"/>
              <w:rPr>
                <w:sz w:val="8"/>
                <w:szCs w:val="8"/>
                <w:color w:val="auto"/>
              </w:rPr>
            </w:pPr>
          </w:p>
        </w:tc>
        <w:tc>
          <w:tcPr>
            <w:tcW w:w="2060" w:type="dxa"/>
            <w:vAlign w:val="bottom"/>
            <w:tcBorders>
              <w:right w:val="single" w:sz="8" w:color="auto"/>
            </w:tcBorders>
            <w:gridSpan w:val="5"/>
            <w:vMerge w:val="restart"/>
          </w:tcPr>
          <w:p>
            <w:pPr>
              <w:jc w:val="center"/>
              <w:spacing w:after="0"/>
              <w:rPr>
                <w:sz w:val="20"/>
                <w:szCs w:val="20"/>
                <w:color w:val="auto"/>
              </w:rPr>
            </w:pPr>
            <w:r>
              <w:rPr>
                <w:rFonts w:ascii="Arial" w:cs="Arial" w:eastAsia="Arial" w:hAnsi="Arial"/>
                <w:sz w:val="14"/>
                <w:szCs w:val="14"/>
                <w:color w:val="auto"/>
              </w:rPr>
              <w:t>performance period based on</w:t>
            </w:r>
          </w:p>
        </w:tc>
        <w:tc>
          <w:tcPr>
            <w:tcW w:w="2080" w:type="dxa"/>
            <w:vAlign w:val="bottom"/>
            <w:tcBorders>
              <w:right w:val="single" w:sz="8" w:color="auto"/>
            </w:tcBorders>
            <w:gridSpan w:val="5"/>
            <w:vMerge w:val="restart"/>
          </w:tcPr>
          <w:p>
            <w:pPr>
              <w:jc w:val="center"/>
              <w:spacing w:after="0"/>
              <w:rPr>
                <w:sz w:val="20"/>
                <w:szCs w:val="20"/>
                <w:color w:val="auto"/>
              </w:rPr>
            </w:pPr>
            <w:r>
              <w:rPr>
                <w:rFonts w:ascii="Arial" w:cs="Arial" w:eastAsia="Arial" w:hAnsi="Arial"/>
                <w:sz w:val="14"/>
                <w:szCs w:val="14"/>
                <w:color w:val="auto"/>
              </w:rPr>
              <w:t>performance period based on</w:t>
            </w:r>
          </w:p>
        </w:tc>
        <w:tc>
          <w:tcPr>
            <w:tcW w:w="0" w:type="dxa"/>
            <w:vAlign w:val="bottom"/>
          </w:tcPr>
          <w:p>
            <w:pPr>
              <w:spacing w:after="0"/>
              <w:rPr>
                <w:sz w:val="1"/>
                <w:szCs w:val="1"/>
                <w:color w:val="auto"/>
              </w:rPr>
            </w:pPr>
          </w:p>
        </w:tc>
      </w:tr>
      <w:tr>
        <w:trPr>
          <w:trHeight w:val="68"/>
        </w:trPr>
        <w:tc>
          <w:tcPr>
            <w:tcW w:w="2060" w:type="dxa"/>
            <w:vAlign w:val="bottom"/>
            <w:tcBorders>
              <w:left w:val="single" w:sz="8" w:color="auto"/>
              <w:right w:val="single" w:sz="8" w:color="auto"/>
            </w:tcBorders>
          </w:tcPr>
          <w:p>
            <w:pPr>
              <w:spacing w:after="0"/>
              <w:rPr>
                <w:sz w:val="5"/>
                <w:szCs w:val="5"/>
                <w:color w:val="auto"/>
              </w:rPr>
            </w:pPr>
          </w:p>
        </w:tc>
        <w:tc>
          <w:tcPr>
            <w:tcW w:w="2760" w:type="dxa"/>
            <w:vAlign w:val="bottom"/>
            <w:tcBorders>
              <w:right w:val="single" w:sz="8" w:color="auto"/>
            </w:tcBorders>
            <w:gridSpan w:val="5"/>
            <w:vMerge w:val="continue"/>
          </w:tcPr>
          <w:p>
            <w:pPr>
              <w:spacing w:after="0"/>
              <w:rPr>
                <w:sz w:val="5"/>
                <w:szCs w:val="5"/>
                <w:color w:val="auto"/>
              </w:rPr>
            </w:pPr>
          </w:p>
        </w:tc>
        <w:tc>
          <w:tcPr>
            <w:tcW w:w="2080" w:type="dxa"/>
            <w:vAlign w:val="bottom"/>
            <w:gridSpan w:val="5"/>
            <w:vMerge w:val="restart"/>
          </w:tcPr>
          <w:p>
            <w:pPr>
              <w:jc w:val="center"/>
              <w:spacing w:after="0"/>
              <w:rPr>
                <w:sz w:val="20"/>
                <w:szCs w:val="20"/>
                <w:color w:val="auto"/>
              </w:rPr>
            </w:pPr>
            <w:r>
              <w:rPr>
                <w:rFonts w:ascii="Arial" w:cs="Arial" w:eastAsia="Arial" w:hAnsi="Arial"/>
                <w:sz w:val="14"/>
                <w:szCs w:val="14"/>
                <w:color w:val="auto"/>
              </w:rPr>
              <w:t>performance period, shares</w:t>
            </w:r>
          </w:p>
        </w:tc>
        <w:tc>
          <w:tcPr>
            <w:tcW w:w="2060" w:type="dxa"/>
            <w:vAlign w:val="bottom"/>
            <w:tcBorders>
              <w:right w:val="single" w:sz="8" w:color="auto"/>
            </w:tcBorders>
            <w:gridSpan w:val="5"/>
            <w:vMerge w:val="continue"/>
          </w:tcPr>
          <w:p>
            <w:pPr>
              <w:spacing w:after="0"/>
              <w:rPr>
                <w:sz w:val="5"/>
                <w:szCs w:val="5"/>
                <w:color w:val="auto"/>
              </w:rPr>
            </w:pPr>
          </w:p>
        </w:tc>
        <w:tc>
          <w:tcPr>
            <w:tcW w:w="208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6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4"/>
                <w:szCs w:val="14"/>
                <w:color w:val="auto"/>
              </w:rPr>
              <w:t>Performance-Based RSUs</w:t>
            </w: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20" w:type="dxa"/>
            <w:vAlign w:val="bottom"/>
            <w:tcBorders>
              <w:right w:val="single" w:sz="8" w:color="auto"/>
            </w:tcBorders>
            <w:gridSpan w:val="3"/>
            <w:vMerge w:val="restart"/>
          </w:tcPr>
          <w:p>
            <w:pPr>
              <w:jc w:val="center"/>
              <w:ind w:right="680"/>
              <w:spacing w:after="0"/>
              <w:rPr>
                <w:sz w:val="20"/>
                <w:szCs w:val="20"/>
                <w:color w:val="auto"/>
              </w:rPr>
            </w:pPr>
            <w:r>
              <w:rPr>
                <w:rFonts w:ascii="Arial" w:cs="Arial" w:eastAsia="Arial" w:hAnsi="Arial"/>
                <w:sz w:val="14"/>
                <w:szCs w:val="14"/>
                <w:color w:val="auto"/>
              </w:rPr>
              <w:t>performance period.</w:t>
            </w:r>
          </w:p>
        </w:tc>
        <w:tc>
          <w:tcPr>
            <w:tcW w:w="2080" w:type="dxa"/>
            <w:vAlign w:val="bottom"/>
            <w:gridSpan w:val="5"/>
            <w:vMerge w:val="continue"/>
          </w:tcPr>
          <w:p>
            <w:pPr>
              <w:spacing w:after="0"/>
              <w:rPr>
                <w:sz w:val="8"/>
                <w:szCs w:val="8"/>
                <w:color w:val="auto"/>
              </w:rPr>
            </w:pPr>
          </w:p>
        </w:tc>
        <w:tc>
          <w:tcPr>
            <w:tcW w:w="2060" w:type="dxa"/>
            <w:vAlign w:val="bottom"/>
            <w:tcBorders>
              <w:right w:val="single" w:sz="8" w:color="auto"/>
            </w:tcBorders>
            <w:gridSpan w:val="5"/>
            <w:vMerge w:val="restart"/>
          </w:tcPr>
          <w:p>
            <w:pPr>
              <w:jc w:val="center"/>
              <w:spacing w:after="0"/>
              <w:rPr>
                <w:sz w:val="20"/>
                <w:szCs w:val="20"/>
                <w:color w:val="auto"/>
              </w:rPr>
            </w:pPr>
            <w:r>
              <w:rPr>
                <w:rFonts w:ascii="Arial" w:cs="Arial" w:eastAsia="Arial" w:hAnsi="Arial"/>
                <w:sz w:val="14"/>
                <w:szCs w:val="14"/>
                <w:color w:val="auto"/>
              </w:rPr>
              <w:t>actual attainment of</w:t>
            </w:r>
          </w:p>
        </w:tc>
        <w:tc>
          <w:tcPr>
            <w:tcW w:w="2080" w:type="dxa"/>
            <w:vAlign w:val="bottom"/>
            <w:tcBorders>
              <w:right w:val="single" w:sz="8" w:color="auto"/>
            </w:tcBorders>
            <w:gridSpan w:val="5"/>
            <w:vMerge w:val="restart"/>
          </w:tcPr>
          <w:p>
            <w:pPr>
              <w:jc w:val="center"/>
              <w:spacing w:after="0"/>
              <w:rPr>
                <w:sz w:val="20"/>
                <w:szCs w:val="20"/>
                <w:color w:val="auto"/>
              </w:rPr>
            </w:pPr>
            <w:r>
              <w:rPr>
                <w:rFonts w:ascii="Arial" w:cs="Arial" w:eastAsia="Arial" w:hAnsi="Arial"/>
                <w:sz w:val="14"/>
                <w:szCs w:val="14"/>
                <w:color w:val="auto"/>
              </w:rPr>
              <w:t>actual attainment of</w:t>
            </w:r>
          </w:p>
        </w:tc>
        <w:tc>
          <w:tcPr>
            <w:tcW w:w="0" w:type="dxa"/>
            <w:vAlign w:val="bottom"/>
          </w:tcPr>
          <w:p>
            <w:pPr>
              <w:spacing w:after="0"/>
              <w:rPr>
                <w:sz w:val="1"/>
                <w:szCs w:val="1"/>
                <w:color w:val="auto"/>
              </w:rPr>
            </w:pPr>
          </w:p>
        </w:tc>
      </w:tr>
      <w:tr>
        <w:trPr>
          <w:trHeight w:val="81"/>
        </w:trPr>
        <w:tc>
          <w:tcPr>
            <w:tcW w:w="2060" w:type="dxa"/>
            <w:vAlign w:val="bottom"/>
            <w:tcBorders>
              <w:left w:val="single" w:sz="8" w:color="auto"/>
              <w:right w:val="single" w:sz="8" w:color="auto"/>
            </w:tcBorders>
            <w:vMerge w:val="continue"/>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20" w:type="dxa"/>
            <w:vAlign w:val="bottom"/>
            <w:tcBorders>
              <w:right w:val="single" w:sz="8" w:color="auto"/>
            </w:tcBorders>
            <w:gridSpan w:val="3"/>
            <w:vMerge w:val="continue"/>
          </w:tcPr>
          <w:p>
            <w:pPr>
              <w:spacing w:after="0"/>
              <w:rPr>
                <w:sz w:val="7"/>
                <w:szCs w:val="7"/>
                <w:color w:val="auto"/>
              </w:rPr>
            </w:pPr>
          </w:p>
        </w:tc>
        <w:tc>
          <w:tcPr>
            <w:tcW w:w="2080" w:type="dxa"/>
            <w:vAlign w:val="bottom"/>
            <w:gridSpan w:val="5"/>
            <w:vMerge w:val="restart"/>
          </w:tcPr>
          <w:p>
            <w:pPr>
              <w:jc w:val="center"/>
              <w:spacing w:after="0" w:line="141" w:lineRule="exact"/>
              <w:rPr>
                <w:sz w:val="20"/>
                <w:szCs w:val="20"/>
                <w:color w:val="auto"/>
              </w:rPr>
            </w:pPr>
            <w:r>
              <w:rPr>
                <w:rFonts w:ascii="Arial" w:cs="Arial" w:eastAsia="Arial" w:hAnsi="Arial"/>
                <w:sz w:val="14"/>
                <w:szCs w:val="14"/>
                <w:color w:val="auto"/>
              </w:rPr>
              <w:t>awarded at the end of the</w:t>
            </w:r>
          </w:p>
        </w:tc>
        <w:tc>
          <w:tcPr>
            <w:tcW w:w="2060" w:type="dxa"/>
            <w:vAlign w:val="bottom"/>
            <w:tcBorders>
              <w:right w:val="single" w:sz="8" w:color="auto"/>
            </w:tcBorders>
            <w:gridSpan w:val="5"/>
            <w:vMerge w:val="continue"/>
          </w:tcPr>
          <w:p>
            <w:pPr>
              <w:spacing w:after="0"/>
              <w:rPr>
                <w:sz w:val="7"/>
                <w:szCs w:val="7"/>
                <w:color w:val="auto"/>
              </w:rPr>
            </w:pPr>
          </w:p>
        </w:tc>
        <w:tc>
          <w:tcPr>
            <w:tcW w:w="2080" w:type="dxa"/>
            <w:vAlign w:val="bottom"/>
            <w:tcBorders>
              <w:right w:val="single" w:sz="8" w:color="auto"/>
            </w:tcBorders>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60" w:type="dxa"/>
            <w:vAlign w:val="bottom"/>
            <w:tcBorders>
              <w:left w:val="single" w:sz="8" w:color="auto"/>
              <w:right w:val="single" w:sz="8" w:color="auto"/>
            </w:tcBorders>
            <w:vMerge w:val="continue"/>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2080" w:type="dxa"/>
            <w:vAlign w:val="bottom"/>
            <w:gridSpan w:val="5"/>
            <w:vMerge w:val="continue"/>
          </w:tcPr>
          <w:p>
            <w:pPr>
              <w:spacing w:after="0"/>
              <w:rPr>
                <w:sz w:val="5"/>
                <w:szCs w:val="5"/>
                <w:color w:val="auto"/>
              </w:rPr>
            </w:pPr>
          </w:p>
        </w:tc>
        <w:tc>
          <w:tcPr>
            <w:tcW w:w="2060" w:type="dxa"/>
            <w:vAlign w:val="bottom"/>
            <w:tcBorders>
              <w:right w:val="single" w:sz="8" w:color="auto"/>
            </w:tcBorders>
            <w:gridSpan w:val="5"/>
            <w:vMerge w:val="restart"/>
          </w:tcPr>
          <w:p>
            <w:pPr>
              <w:jc w:val="center"/>
              <w:spacing w:after="0"/>
              <w:rPr>
                <w:sz w:val="20"/>
                <w:szCs w:val="20"/>
                <w:color w:val="auto"/>
              </w:rPr>
            </w:pPr>
            <w:r>
              <w:rPr>
                <w:rFonts w:ascii="Arial" w:cs="Arial" w:eastAsia="Arial" w:hAnsi="Arial"/>
                <w:sz w:val="14"/>
                <w:szCs w:val="14"/>
                <w:color w:val="auto"/>
              </w:rPr>
              <w:t>performance results as</w:t>
            </w:r>
          </w:p>
        </w:tc>
        <w:tc>
          <w:tcPr>
            <w:tcW w:w="2080" w:type="dxa"/>
            <w:vAlign w:val="bottom"/>
            <w:tcBorders>
              <w:right w:val="single" w:sz="8" w:color="auto"/>
            </w:tcBorders>
            <w:gridSpan w:val="5"/>
            <w:vMerge w:val="restart"/>
          </w:tcPr>
          <w:p>
            <w:pPr>
              <w:jc w:val="center"/>
              <w:spacing w:after="0"/>
              <w:rPr>
                <w:sz w:val="20"/>
                <w:szCs w:val="20"/>
                <w:color w:val="auto"/>
              </w:rPr>
            </w:pPr>
            <w:r>
              <w:rPr>
                <w:rFonts w:ascii="Arial" w:cs="Arial" w:eastAsia="Arial" w:hAnsi="Arial"/>
                <w:sz w:val="14"/>
                <w:szCs w:val="14"/>
                <w:color w:val="auto"/>
              </w:rPr>
              <w:t>performance results as</w:t>
            </w:r>
          </w:p>
        </w:tc>
        <w:tc>
          <w:tcPr>
            <w:tcW w:w="0" w:type="dxa"/>
            <w:vAlign w:val="bottom"/>
          </w:tcPr>
          <w:p>
            <w:pPr>
              <w:spacing w:after="0"/>
              <w:rPr>
                <w:sz w:val="1"/>
                <w:szCs w:val="1"/>
                <w:color w:val="auto"/>
              </w:rPr>
            </w:pPr>
          </w:p>
        </w:tc>
      </w:tr>
      <w:tr>
        <w:trPr>
          <w:trHeight w:val="102"/>
        </w:trPr>
        <w:tc>
          <w:tcPr>
            <w:tcW w:w="2060" w:type="dxa"/>
            <w:vAlign w:val="bottom"/>
            <w:tcBorders>
              <w:left w:val="single" w:sz="8" w:color="auto"/>
              <w:right w:val="single" w:sz="8" w:color="auto"/>
            </w:tcBorders>
            <w:vMerge w:val="restart"/>
          </w:tcPr>
          <w:p>
            <w:pPr>
              <w:ind w:left="140"/>
              <w:spacing w:after="0" w:line="183" w:lineRule="exact"/>
              <w:rPr>
                <w:sz w:val="20"/>
                <w:szCs w:val="20"/>
                <w:color w:val="auto"/>
              </w:rPr>
            </w:pPr>
            <w:r>
              <w:rPr>
                <w:rFonts w:ascii="Arial" w:cs="Arial" w:eastAsia="Arial" w:hAnsi="Arial"/>
                <w:sz w:val="13"/>
                <w:szCs w:val="13"/>
                <w:color w:val="auto"/>
              </w:rPr>
              <w:t xml:space="preserve">(PRSUs) </w:t>
            </w:r>
            <w:r>
              <w:rPr>
                <w:rFonts w:ascii="Arial" w:cs="Arial" w:eastAsia="Arial" w:hAnsi="Arial"/>
                <w:sz w:val="21"/>
                <w:szCs w:val="21"/>
                <w:color w:val="auto"/>
                <w:vertAlign w:val="superscript"/>
              </w:rPr>
              <w:t>(5)</w:t>
            </w: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2080" w:type="dxa"/>
            <w:vAlign w:val="bottom"/>
            <w:gridSpan w:val="5"/>
            <w:vMerge w:val="restart"/>
          </w:tcPr>
          <w:p>
            <w:pPr>
              <w:jc w:val="center"/>
              <w:spacing w:after="0"/>
              <w:rPr>
                <w:sz w:val="20"/>
                <w:szCs w:val="20"/>
                <w:color w:val="auto"/>
              </w:rPr>
            </w:pPr>
            <w:r>
              <w:rPr>
                <w:rFonts w:ascii="Arial" w:cs="Arial" w:eastAsia="Arial" w:hAnsi="Arial"/>
                <w:sz w:val="14"/>
                <w:szCs w:val="14"/>
                <w:color w:val="auto"/>
              </w:rPr>
              <w:t>performance period based on</w:t>
            </w:r>
          </w:p>
        </w:tc>
        <w:tc>
          <w:tcPr>
            <w:tcW w:w="2060" w:type="dxa"/>
            <w:vAlign w:val="bottom"/>
            <w:tcBorders>
              <w:right w:val="single" w:sz="8" w:color="auto"/>
            </w:tcBorders>
            <w:gridSpan w:val="5"/>
            <w:vMerge w:val="continue"/>
          </w:tcPr>
          <w:p>
            <w:pPr>
              <w:spacing w:after="0"/>
              <w:rPr>
                <w:sz w:val="8"/>
                <w:szCs w:val="8"/>
                <w:color w:val="auto"/>
              </w:rPr>
            </w:pPr>
          </w:p>
        </w:tc>
        <w:tc>
          <w:tcPr>
            <w:tcW w:w="2080" w:type="dxa"/>
            <w:vAlign w:val="bottom"/>
            <w:tcBorders>
              <w:right w:val="single" w:sz="8" w:color="auto"/>
            </w:tcBorders>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60" w:type="dxa"/>
            <w:vAlign w:val="bottom"/>
            <w:tcBorders>
              <w:left w:val="single" w:sz="8" w:color="auto"/>
              <w:right w:val="single" w:sz="8" w:color="auto"/>
            </w:tcBorders>
            <w:vMerge w:val="continue"/>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color w:val="auto"/>
              </w:rPr>
              <w:t>2017 &amp; 2018 Awards</w:t>
            </w:r>
          </w:p>
        </w:tc>
        <w:tc>
          <w:tcPr>
            <w:tcW w:w="680" w:type="dxa"/>
            <w:vAlign w:val="bottom"/>
            <w:tcBorders>
              <w:right w:val="single" w:sz="8" w:color="auto"/>
            </w:tcBorders>
            <w:gridSpan w:val="2"/>
            <w:vMerge w:val="restart"/>
          </w:tcPr>
          <w:p>
            <w:pPr>
              <w:spacing w:after="0"/>
              <w:rPr>
                <w:sz w:val="7"/>
                <w:szCs w:val="7"/>
                <w:color w:val="auto"/>
              </w:rPr>
            </w:pPr>
          </w:p>
        </w:tc>
        <w:tc>
          <w:tcPr>
            <w:tcW w:w="2080" w:type="dxa"/>
            <w:vAlign w:val="bottom"/>
            <w:gridSpan w:val="5"/>
            <w:vMerge w:val="continue"/>
          </w:tcPr>
          <w:p>
            <w:pPr>
              <w:spacing w:after="0"/>
              <w:rPr>
                <w:sz w:val="7"/>
                <w:szCs w:val="7"/>
                <w:color w:val="auto"/>
              </w:rPr>
            </w:pPr>
          </w:p>
        </w:tc>
        <w:tc>
          <w:tcPr>
            <w:tcW w:w="2060" w:type="dxa"/>
            <w:vAlign w:val="bottom"/>
            <w:tcBorders>
              <w:right w:val="single" w:sz="8" w:color="auto"/>
            </w:tcBorders>
            <w:gridSpan w:val="5"/>
            <w:vMerge w:val="restart"/>
          </w:tcPr>
          <w:p>
            <w:pPr>
              <w:jc w:val="center"/>
              <w:spacing w:after="0"/>
              <w:rPr>
                <w:sz w:val="20"/>
                <w:szCs w:val="20"/>
                <w:color w:val="auto"/>
              </w:rPr>
            </w:pPr>
            <w:r>
              <w:rPr>
                <w:rFonts w:ascii="Arial" w:cs="Arial" w:eastAsia="Arial" w:hAnsi="Arial"/>
                <w:sz w:val="14"/>
                <w:szCs w:val="14"/>
                <w:color w:val="auto"/>
              </w:rPr>
              <w:t>measured at the end of the</w:t>
            </w:r>
          </w:p>
        </w:tc>
        <w:tc>
          <w:tcPr>
            <w:tcW w:w="2080" w:type="dxa"/>
            <w:vAlign w:val="bottom"/>
            <w:tcBorders>
              <w:right w:val="single" w:sz="8" w:color="auto"/>
            </w:tcBorders>
            <w:gridSpan w:val="5"/>
            <w:vMerge w:val="restart"/>
          </w:tcPr>
          <w:p>
            <w:pPr>
              <w:jc w:val="center"/>
              <w:spacing w:after="0"/>
              <w:rPr>
                <w:sz w:val="20"/>
                <w:szCs w:val="20"/>
                <w:color w:val="auto"/>
              </w:rPr>
            </w:pPr>
            <w:r>
              <w:rPr>
                <w:rFonts w:ascii="Arial" w:cs="Arial" w:eastAsia="Arial" w:hAnsi="Arial"/>
                <w:sz w:val="14"/>
                <w:szCs w:val="14"/>
                <w:color w:val="auto"/>
              </w:rPr>
              <w:t>measured at the end of the</w:t>
            </w:r>
          </w:p>
        </w:tc>
        <w:tc>
          <w:tcPr>
            <w:tcW w:w="0" w:type="dxa"/>
            <w:vAlign w:val="bottom"/>
          </w:tcPr>
          <w:p>
            <w:pPr>
              <w:spacing w:after="0"/>
              <w:rPr>
                <w:sz w:val="1"/>
                <w:szCs w:val="1"/>
                <w:color w:val="auto"/>
              </w:rPr>
            </w:pPr>
          </w:p>
        </w:tc>
      </w:tr>
      <w:tr>
        <w:trPr>
          <w:trHeight w:val="88"/>
        </w:trPr>
        <w:tc>
          <w:tcPr>
            <w:tcW w:w="2060" w:type="dxa"/>
            <w:vAlign w:val="bottom"/>
            <w:tcBorders>
              <w:left w:val="single" w:sz="8" w:color="auto"/>
              <w:righ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40" w:type="dxa"/>
            <w:vAlign w:val="bottom"/>
            <w:tcBorders>
              <w:bottom w:val="single" w:sz="8" w:color="auto"/>
            </w:tcBorders>
            <w:vMerge w:val="continue"/>
          </w:tcPr>
          <w:p>
            <w:pPr>
              <w:spacing w:after="0"/>
              <w:rPr>
                <w:sz w:val="7"/>
                <w:szCs w:val="7"/>
                <w:color w:val="auto"/>
              </w:rPr>
            </w:pPr>
          </w:p>
        </w:tc>
        <w:tc>
          <w:tcPr>
            <w:tcW w:w="680" w:type="dxa"/>
            <w:vAlign w:val="bottom"/>
            <w:tcBorders>
              <w:right w:val="single" w:sz="8" w:color="auto"/>
            </w:tcBorders>
            <w:gridSpan w:val="2"/>
            <w:vMerge w:val="continue"/>
          </w:tcPr>
          <w:p>
            <w:pPr>
              <w:spacing w:after="0"/>
              <w:rPr>
                <w:sz w:val="7"/>
                <w:szCs w:val="7"/>
                <w:color w:val="auto"/>
              </w:rPr>
            </w:pPr>
          </w:p>
        </w:tc>
        <w:tc>
          <w:tcPr>
            <w:tcW w:w="2080" w:type="dxa"/>
            <w:vAlign w:val="bottom"/>
            <w:gridSpan w:val="5"/>
            <w:vMerge w:val="restart"/>
          </w:tcPr>
          <w:p>
            <w:pPr>
              <w:jc w:val="center"/>
              <w:spacing w:after="0"/>
              <w:rPr>
                <w:sz w:val="20"/>
                <w:szCs w:val="20"/>
                <w:color w:val="auto"/>
              </w:rPr>
            </w:pPr>
            <w:r>
              <w:rPr>
                <w:rFonts w:ascii="Arial" w:cs="Arial" w:eastAsia="Arial" w:hAnsi="Arial"/>
                <w:sz w:val="14"/>
                <w:szCs w:val="14"/>
                <w:color w:val="auto"/>
              </w:rPr>
              <w:t>actual attainment of</w:t>
            </w:r>
          </w:p>
        </w:tc>
        <w:tc>
          <w:tcPr>
            <w:tcW w:w="2060" w:type="dxa"/>
            <w:vAlign w:val="bottom"/>
            <w:tcBorders>
              <w:right w:val="single" w:sz="8" w:color="auto"/>
            </w:tcBorders>
            <w:gridSpan w:val="5"/>
            <w:vMerge w:val="continue"/>
          </w:tcPr>
          <w:p>
            <w:pPr>
              <w:spacing w:after="0"/>
              <w:rPr>
                <w:sz w:val="7"/>
                <w:szCs w:val="7"/>
                <w:color w:val="auto"/>
              </w:rPr>
            </w:pPr>
          </w:p>
        </w:tc>
        <w:tc>
          <w:tcPr>
            <w:tcW w:w="2080" w:type="dxa"/>
            <w:vAlign w:val="bottom"/>
            <w:tcBorders>
              <w:right w:val="single" w:sz="8" w:color="auto"/>
            </w:tcBorders>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60" w:type="dxa"/>
            <w:vAlign w:val="bottom"/>
            <w:tcBorders>
              <w:left w:val="single" w:sz="8" w:color="auto"/>
              <w:right w:val="single" w:sz="8" w:color="auto"/>
            </w:tcBorders>
          </w:tcPr>
          <w:p>
            <w:pPr>
              <w:spacing w:after="0"/>
              <w:rPr>
                <w:sz w:val="5"/>
                <w:szCs w:val="5"/>
                <w:color w:val="auto"/>
              </w:rPr>
            </w:pPr>
          </w:p>
        </w:tc>
        <w:tc>
          <w:tcPr>
            <w:tcW w:w="2760" w:type="dxa"/>
            <w:vAlign w:val="bottom"/>
            <w:tcBorders>
              <w:right w:val="single" w:sz="8" w:color="auto"/>
            </w:tcBorders>
            <w:gridSpan w:val="5"/>
            <w:vMerge w:val="restart"/>
          </w:tcPr>
          <w:p>
            <w:pPr>
              <w:jc w:val="center"/>
              <w:spacing w:after="0" w:line="140" w:lineRule="exact"/>
              <w:rPr>
                <w:sz w:val="20"/>
                <w:szCs w:val="20"/>
                <w:color w:val="auto"/>
              </w:rPr>
            </w:pPr>
            <w:r>
              <w:rPr>
                <w:rFonts w:ascii="Arial" w:cs="Arial" w:eastAsia="Arial" w:hAnsi="Arial"/>
                <w:sz w:val="14"/>
                <w:szCs w:val="14"/>
                <w:color w:val="auto"/>
              </w:rPr>
              <w:t>Shares awarded and settled based on</w:t>
            </w:r>
          </w:p>
        </w:tc>
        <w:tc>
          <w:tcPr>
            <w:tcW w:w="2080" w:type="dxa"/>
            <w:vAlign w:val="bottom"/>
            <w:gridSpan w:val="5"/>
            <w:vMerge w:val="continue"/>
          </w:tcPr>
          <w:p>
            <w:pPr>
              <w:spacing w:after="0"/>
              <w:rPr>
                <w:sz w:val="5"/>
                <w:szCs w:val="5"/>
                <w:color w:val="auto"/>
              </w:rPr>
            </w:pPr>
          </w:p>
        </w:tc>
        <w:tc>
          <w:tcPr>
            <w:tcW w:w="2060" w:type="dxa"/>
            <w:vAlign w:val="bottom"/>
            <w:tcBorders>
              <w:right w:val="single" w:sz="8" w:color="auto"/>
            </w:tcBorders>
            <w:gridSpan w:val="5"/>
            <w:vMerge w:val="restart"/>
          </w:tcPr>
          <w:p>
            <w:pPr>
              <w:jc w:val="center"/>
              <w:spacing w:after="0" w:line="140" w:lineRule="exact"/>
              <w:rPr>
                <w:sz w:val="20"/>
                <w:szCs w:val="20"/>
                <w:color w:val="auto"/>
              </w:rPr>
            </w:pPr>
            <w:r>
              <w:rPr>
                <w:rFonts w:ascii="Arial" w:cs="Arial" w:eastAsia="Arial" w:hAnsi="Arial"/>
                <w:sz w:val="14"/>
                <w:szCs w:val="14"/>
                <w:color w:val="auto"/>
              </w:rPr>
              <w:t>performance period. Number</w:t>
            </w:r>
          </w:p>
        </w:tc>
        <w:tc>
          <w:tcPr>
            <w:tcW w:w="2080" w:type="dxa"/>
            <w:vAlign w:val="bottom"/>
            <w:tcBorders>
              <w:right w:val="single" w:sz="8" w:color="auto"/>
            </w:tcBorders>
            <w:gridSpan w:val="5"/>
            <w:vMerge w:val="restart"/>
          </w:tcPr>
          <w:p>
            <w:pPr>
              <w:jc w:val="center"/>
              <w:spacing w:after="0" w:line="140" w:lineRule="exact"/>
              <w:rPr>
                <w:sz w:val="20"/>
                <w:szCs w:val="20"/>
                <w:color w:val="auto"/>
              </w:rPr>
            </w:pPr>
            <w:r>
              <w:rPr>
                <w:rFonts w:ascii="Arial" w:cs="Arial" w:eastAsia="Arial" w:hAnsi="Arial"/>
                <w:sz w:val="14"/>
                <w:szCs w:val="14"/>
                <w:color w:val="auto"/>
              </w:rPr>
              <w:t>performance period. Number</w:t>
            </w:r>
          </w:p>
        </w:tc>
        <w:tc>
          <w:tcPr>
            <w:tcW w:w="0" w:type="dxa"/>
            <w:vAlign w:val="bottom"/>
          </w:tcPr>
          <w:p>
            <w:pPr>
              <w:spacing w:after="0"/>
              <w:rPr>
                <w:sz w:val="1"/>
                <w:szCs w:val="1"/>
                <w:color w:val="auto"/>
              </w:rPr>
            </w:pPr>
          </w:p>
        </w:tc>
      </w:tr>
      <w:tr>
        <w:trPr>
          <w:trHeight w:val="81"/>
        </w:trPr>
        <w:tc>
          <w:tcPr>
            <w:tcW w:w="2060" w:type="dxa"/>
            <w:vAlign w:val="bottom"/>
            <w:tcBorders>
              <w:left w:val="single" w:sz="8" w:color="auto"/>
              <w:right w:val="single" w:sz="8" w:color="auto"/>
            </w:tcBorders>
          </w:tcPr>
          <w:p>
            <w:pPr>
              <w:spacing w:after="0"/>
              <w:rPr>
                <w:sz w:val="7"/>
                <w:szCs w:val="7"/>
                <w:color w:val="auto"/>
              </w:rPr>
            </w:pPr>
          </w:p>
        </w:tc>
        <w:tc>
          <w:tcPr>
            <w:tcW w:w="2760" w:type="dxa"/>
            <w:vAlign w:val="bottom"/>
            <w:tcBorders>
              <w:right w:val="single" w:sz="8" w:color="auto"/>
            </w:tcBorders>
            <w:gridSpan w:val="5"/>
            <w:vMerge w:val="continue"/>
          </w:tcPr>
          <w:p>
            <w:pPr>
              <w:spacing w:after="0"/>
              <w:rPr>
                <w:sz w:val="7"/>
                <w:szCs w:val="7"/>
                <w:color w:val="auto"/>
              </w:rPr>
            </w:pPr>
          </w:p>
        </w:tc>
        <w:tc>
          <w:tcPr>
            <w:tcW w:w="2080" w:type="dxa"/>
            <w:vAlign w:val="bottom"/>
            <w:gridSpan w:val="5"/>
            <w:vMerge w:val="restart"/>
          </w:tcPr>
          <w:p>
            <w:pPr>
              <w:jc w:val="center"/>
              <w:spacing w:after="0"/>
              <w:rPr>
                <w:sz w:val="20"/>
                <w:szCs w:val="20"/>
                <w:color w:val="auto"/>
              </w:rPr>
            </w:pPr>
            <w:r>
              <w:rPr>
                <w:rFonts w:ascii="Arial" w:cs="Arial" w:eastAsia="Arial" w:hAnsi="Arial"/>
                <w:sz w:val="14"/>
                <w:szCs w:val="14"/>
                <w:color w:val="auto"/>
              </w:rPr>
              <w:t>performance results as</w:t>
            </w:r>
          </w:p>
        </w:tc>
        <w:tc>
          <w:tcPr>
            <w:tcW w:w="2060" w:type="dxa"/>
            <w:vAlign w:val="bottom"/>
            <w:tcBorders>
              <w:right w:val="single" w:sz="8" w:color="auto"/>
            </w:tcBorders>
            <w:gridSpan w:val="5"/>
            <w:vMerge w:val="continue"/>
          </w:tcPr>
          <w:p>
            <w:pPr>
              <w:spacing w:after="0"/>
              <w:rPr>
                <w:sz w:val="7"/>
                <w:szCs w:val="7"/>
                <w:color w:val="auto"/>
              </w:rPr>
            </w:pPr>
          </w:p>
        </w:tc>
        <w:tc>
          <w:tcPr>
            <w:tcW w:w="2080" w:type="dxa"/>
            <w:vAlign w:val="bottom"/>
            <w:tcBorders>
              <w:right w:val="single" w:sz="8" w:color="auto"/>
            </w:tcBorders>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60" w:type="dxa"/>
            <w:vAlign w:val="bottom"/>
            <w:tcBorders>
              <w:left w:val="single" w:sz="8" w:color="auto"/>
              <w:right w:val="single" w:sz="8" w:color="auto"/>
            </w:tcBorders>
          </w:tcPr>
          <w:p>
            <w:pPr>
              <w:spacing w:after="0"/>
              <w:rPr>
                <w:sz w:val="7"/>
                <w:szCs w:val="7"/>
                <w:color w:val="auto"/>
              </w:rPr>
            </w:pPr>
          </w:p>
        </w:tc>
        <w:tc>
          <w:tcPr>
            <w:tcW w:w="2760" w:type="dxa"/>
            <w:vAlign w:val="bottom"/>
            <w:tcBorders>
              <w:right w:val="single" w:sz="8" w:color="auto"/>
            </w:tcBorders>
            <w:gridSpan w:val="5"/>
            <w:vMerge w:val="restart"/>
          </w:tcPr>
          <w:p>
            <w:pPr>
              <w:jc w:val="center"/>
              <w:spacing w:after="0"/>
              <w:rPr>
                <w:sz w:val="20"/>
                <w:szCs w:val="20"/>
                <w:color w:val="auto"/>
              </w:rPr>
            </w:pPr>
            <w:r>
              <w:rPr>
                <w:rFonts w:ascii="Arial" w:cs="Arial" w:eastAsia="Arial" w:hAnsi="Arial"/>
                <w:sz w:val="14"/>
                <w:szCs w:val="14"/>
                <w:color w:val="auto"/>
              </w:rPr>
              <w:t>the performance period and results</w:t>
            </w:r>
          </w:p>
        </w:tc>
        <w:tc>
          <w:tcPr>
            <w:tcW w:w="2080" w:type="dxa"/>
            <w:vAlign w:val="bottom"/>
            <w:gridSpan w:val="5"/>
            <w:vMerge w:val="continue"/>
          </w:tcPr>
          <w:p>
            <w:pPr>
              <w:spacing w:after="0"/>
              <w:rPr>
                <w:sz w:val="7"/>
                <w:szCs w:val="7"/>
                <w:color w:val="auto"/>
              </w:rPr>
            </w:pPr>
          </w:p>
        </w:tc>
        <w:tc>
          <w:tcPr>
            <w:tcW w:w="2060" w:type="dxa"/>
            <w:vAlign w:val="bottom"/>
            <w:tcBorders>
              <w:right w:val="single" w:sz="8" w:color="auto"/>
            </w:tcBorders>
            <w:gridSpan w:val="5"/>
            <w:vMerge w:val="restart"/>
          </w:tcPr>
          <w:p>
            <w:pPr>
              <w:jc w:val="center"/>
              <w:spacing w:after="0"/>
              <w:rPr>
                <w:sz w:val="20"/>
                <w:szCs w:val="20"/>
                <w:color w:val="auto"/>
              </w:rPr>
            </w:pPr>
            <w:r>
              <w:rPr>
                <w:rFonts w:ascii="Arial" w:cs="Arial" w:eastAsia="Arial" w:hAnsi="Arial"/>
                <w:sz w:val="14"/>
                <w:szCs w:val="14"/>
                <w:color w:val="auto"/>
              </w:rPr>
              <w:t>of shares awarded is not</w:t>
            </w:r>
          </w:p>
        </w:tc>
        <w:tc>
          <w:tcPr>
            <w:tcW w:w="2080" w:type="dxa"/>
            <w:vAlign w:val="bottom"/>
            <w:tcBorders>
              <w:right w:val="single" w:sz="8" w:color="auto"/>
            </w:tcBorders>
            <w:gridSpan w:val="5"/>
            <w:vMerge w:val="restart"/>
          </w:tcPr>
          <w:p>
            <w:pPr>
              <w:jc w:val="center"/>
              <w:spacing w:after="0"/>
              <w:rPr>
                <w:sz w:val="20"/>
                <w:szCs w:val="20"/>
                <w:color w:val="auto"/>
              </w:rPr>
            </w:pPr>
            <w:r>
              <w:rPr>
                <w:rFonts w:ascii="Arial" w:cs="Arial" w:eastAsia="Arial" w:hAnsi="Arial"/>
                <w:sz w:val="14"/>
                <w:szCs w:val="14"/>
                <w:color w:val="auto"/>
              </w:rPr>
              <w:t>of shares awarded is not</w:t>
            </w:r>
          </w:p>
        </w:tc>
        <w:tc>
          <w:tcPr>
            <w:tcW w:w="0" w:type="dxa"/>
            <w:vAlign w:val="bottom"/>
          </w:tcPr>
          <w:p>
            <w:pPr>
              <w:spacing w:after="0"/>
              <w:rPr>
                <w:sz w:val="1"/>
                <w:szCs w:val="1"/>
                <w:color w:val="auto"/>
              </w:rPr>
            </w:pPr>
          </w:p>
        </w:tc>
      </w:tr>
      <w:tr>
        <w:trPr>
          <w:trHeight w:val="81"/>
        </w:trPr>
        <w:tc>
          <w:tcPr>
            <w:tcW w:w="2060" w:type="dxa"/>
            <w:vAlign w:val="bottom"/>
            <w:tcBorders>
              <w:left w:val="single" w:sz="8" w:color="auto"/>
              <w:right w:val="single" w:sz="8" w:color="auto"/>
            </w:tcBorders>
          </w:tcPr>
          <w:p>
            <w:pPr>
              <w:spacing w:after="0"/>
              <w:rPr>
                <w:sz w:val="7"/>
                <w:szCs w:val="7"/>
                <w:color w:val="auto"/>
              </w:rPr>
            </w:pPr>
          </w:p>
        </w:tc>
        <w:tc>
          <w:tcPr>
            <w:tcW w:w="2760" w:type="dxa"/>
            <w:vAlign w:val="bottom"/>
            <w:tcBorders>
              <w:right w:val="single" w:sz="8" w:color="auto"/>
            </w:tcBorders>
            <w:gridSpan w:val="5"/>
            <w:vMerge w:val="continue"/>
          </w:tcPr>
          <w:p>
            <w:pPr>
              <w:spacing w:after="0"/>
              <w:rPr>
                <w:sz w:val="7"/>
                <w:szCs w:val="7"/>
                <w:color w:val="auto"/>
              </w:rPr>
            </w:pPr>
          </w:p>
        </w:tc>
        <w:tc>
          <w:tcPr>
            <w:tcW w:w="2080" w:type="dxa"/>
            <w:vAlign w:val="bottom"/>
            <w:gridSpan w:val="5"/>
            <w:vMerge w:val="restart"/>
          </w:tcPr>
          <w:p>
            <w:pPr>
              <w:jc w:val="center"/>
              <w:spacing w:after="0"/>
              <w:rPr>
                <w:sz w:val="20"/>
                <w:szCs w:val="20"/>
                <w:color w:val="auto"/>
              </w:rPr>
            </w:pPr>
            <w:r>
              <w:rPr>
                <w:rFonts w:ascii="Arial" w:cs="Arial" w:eastAsia="Arial" w:hAnsi="Arial"/>
                <w:sz w:val="14"/>
                <w:szCs w:val="14"/>
                <w:color w:val="auto"/>
              </w:rPr>
              <w:t>measured at the end of the</w:t>
            </w:r>
          </w:p>
        </w:tc>
        <w:tc>
          <w:tcPr>
            <w:tcW w:w="2060" w:type="dxa"/>
            <w:vAlign w:val="bottom"/>
            <w:tcBorders>
              <w:right w:val="single" w:sz="8" w:color="auto"/>
            </w:tcBorders>
            <w:gridSpan w:val="5"/>
            <w:vMerge w:val="continue"/>
          </w:tcPr>
          <w:p>
            <w:pPr>
              <w:spacing w:after="0"/>
              <w:rPr>
                <w:sz w:val="7"/>
                <w:szCs w:val="7"/>
                <w:color w:val="auto"/>
              </w:rPr>
            </w:pPr>
          </w:p>
        </w:tc>
        <w:tc>
          <w:tcPr>
            <w:tcW w:w="2080" w:type="dxa"/>
            <w:vAlign w:val="bottom"/>
            <w:tcBorders>
              <w:right w:val="single" w:sz="8" w:color="auto"/>
            </w:tcBorders>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60" w:type="dxa"/>
            <w:vAlign w:val="bottom"/>
            <w:tcBorders>
              <w:left w:val="single" w:sz="8" w:color="auto"/>
              <w:right w:val="single" w:sz="8" w:color="auto"/>
            </w:tcBorders>
          </w:tcPr>
          <w:p>
            <w:pPr>
              <w:spacing w:after="0"/>
              <w:rPr>
                <w:sz w:val="7"/>
                <w:szCs w:val="7"/>
                <w:color w:val="auto"/>
              </w:rPr>
            </w:pPr>
          </w:p>
        </w:tc>
        <w:tc>
          <w:tcPr>
            <w:tcW w:w="2760" w:type="dxa"/>
            <w:vAlign w:val="bottom"/>
            <w:tcBorders>
              <w:right w:val="single" w:sz="8" w:color="auto"/>
            </w:tcBorders>
            <w:gridSpan w:val="5"/>
            <w:vMerge w:val="restart"/>
          </w:tcPr>
          <w:p>
            <w:pPr>
              <w:jc w:val="center"/>
              <w:spacing w:after="0"/>
              <w:rPr>
                <w:sz w:val="20"/>
                <w:szCs w:val="20"/>
                <w:color w:val="auto"/>
              </w:rPr>
            </w:pPr>
            <w:r>
              <w:rPr>
                <w:rFonts w:ascii="Arial" w:cs="Arial" w:eastAsia="Arial" w:hAnsi="Arial"/>
                <w:sz w:val="14"/>
                <w:szCs w:val="14"/>
                <w:color w:val="auto"/>
              </w:rPr>
              <w:t>ending in the year of death or disability.</w:t>
            </w:r>
          </w:p>
        </w:tc>
        <w:tc>
          <w:tcPr>
            <w:tcW w:w="2080" w:type="dxa"/>
            <w:vAlign w:val="bottom"/>
            <w:gridSpan w:val="5"/>
            <w:vMerge w:val="continue"/>
          </w:tcPr>
          <w:p>
            <w:pPr>
              <w:spacing w:after="0"/>
              <w:rPr>
                <w:sz w:val="7"/>
                <w:szCs w:val="7"/>
                <w:color w:val="auto"/>
              </w:rPr>
            </w:pPr>
          </w:p>
        </w:tc>
        <w:tc>
          <w:tcPr>
            <w:tcW w:w="2060" w:type="dxa"/>
            <w:vAlign w:val="bottom"/>
            <w:tcBorders>
              <w:right w:val="single" w:sz="8" w:color="auto"/>
            </w:tcBorders>
            <w:gridSpan w:val="5"/>
            <w:vMerge w:val="restart"/>
          </w:tcPr>
          <w:p>
            <w:pPr>
              <w:jc w:val="center"/>
              <w:spacing w:after="0"/>
              <w:rPr>
                <w:sz w:val="20"/>
                <w:szCs w:val="20"/>
                <w:color w:val="auto"/>
              </w:rPr>
            </w:pPr>
            <w:r>
              <w:rPr>
                <w:rFonts w:ascii="Arial" w:cs="Arial" w:eastAsia="Arial" w:hAnsi="Arial"/>
                <w:sz w:val="14"/>
                <w:szCs w:val="14"/>
                <w:color w:val="auto"/>
              </w:rPr>
              <w:t>pro-rated for partial</w:t>
            </w:r>
          </w:p>
        </w:tc>
        <w:tc>
          <w:tcPr>
            <w:tcW w:w="2080" w:type="dxa"/>
            <w:vAlign w:val="bottom"/>
            <w:tcBorders>
              <w:right w:val="single" w:sz="8" w:color="auto"/>
            </w:tcBorders>
            <w:gridSpan w:val="5"/>
            <w:vMerge w:val="restart"/>
          </w:tcPr>
          <w:p>
            <w:pPr>
              <w:jc w:val="center"/>
              <w:spacing w:after="0"/>
              <w:rPr>
                <w:sz w:val="20"/>
                <w:szCs w:val="20"/>
                <w:color w:val="auto"/>
              </w:rPr>
            </w:pPr>
            <w:r>
              <w:rPr>
                <w:rFonts w:ascii="Arial" w:cs="Arial" w:eastAsia="Arial" w:hAnsi="Arial"/>
                <w:sz w:val="14"/>
                <w:szCs w:val="14"/>
                <w:color w:val="auto"/>
              </w:rPr>
              <w:t>pro-rated for partial</w:t>
            </w:r>
          </w:p>
        </w:tc>
        <w:tc>
          <w:tcPr>
            <w:tcW w:w="0" w:type="dxa"/>
            <w:vAlign w:val="bottom"/>
          </w:tcPr>
          <w:p>
            <w:pPr>
              <w:spacing w:after="0"/>
              <w:rPr>
                <w:sz w:val="1"/>
                <w:szCs w:val="1"/>
                <w:color w:val="auto"/>
              </w:rPr>
            </w:pPr>
          </w:p>
        </w:tc>
      </w:tr>
      <w:tr>
        <w:trPr>
          <w:trHeight w:val="81"/>
        </w:trPr>
        <w:tc>
          <w:tcPr>
            <w:tcW w:w="2060" w:type="dxa"/>
            <w:vAlign w:val="bottom"/>
            <w:tcBorders>
              <w:left w:val="single" w:sz="8" w:color="auto"/>
              <w:right w:val="single" w:sz="8" w:color="auto"/>
            </w:tcBorders>
          </w:tcPr>
          <w:p>
            <w:pPr>
              <w:spacing w:after="0"/>
              <w:rPr>
                <w:sz w:val="7"/>
                <w:szCs w:val="7"/>
                <w:color w:val="auto"/>
              </w:rPr>
            </w:pPr>
          </w:p>
        </w:tc>
        <w:tc>
          <w:tcPr>
            <w:tcW w:w="2760" w:type="dxa"/>
            <w:vAlign w:val="bottom"/>
            <w:tcBorders>
              <w:right w:val="single" w:sz="8" w:color="auto"/>
            </w:tcBorders>
            <w:gridSpan w:val="5"/>
            <w:vMerge w:val="continue"/>
          </w:tcPr>
          <w:p>
            <w:pPr>
              <w:spacing w:after="0"/>
              <w:rPr>
                <w:sz w:val="7"/>
                <w:szCs w:val="7"/>
                <w:color w:val="auto"/>
              </w:rPr>
            </w:pPr>
          </w:p>
        </w:tc>
        <w:tc>
          <w:tcPr>
            <w:tcW w:w="2080" w:type="dxa"/>
            <w:vAlign w:val="bottom"/>
            <w:gridSpan w:val="5"/>
            <w:vMerge w:val="restart"/>
          </w:tcPr>
          <w:p>
            <w:pPr>
              <w:jc w:val="center"/>
              <w:spacing w:after="0"/>
              <w:rPr>
                <w:sz w:val="20"/>
                <w:szCs w:val="20"/>
                <w:color w:val="auto"/>
              </w:rPr>
            </w:pPr>
            <w:r>
              <w:rPr>
                <w:rFonts w:ascii="Arial" w:cs="Arial" w:eastAsia="Arial" w:hAnsi="Arial"/>
                <w:sz w:val="14"/>
                <w:szCs w:val="14"/>
                <w:color w:val="auto"/>
              </w:rPr>
              <w:t>performance period.</w:t>
            </w:r>
          </w:p>
        </w:tc>
        <w:tc>
          <w:tcPr>
            <w:tcW w:w="2060" w:type="dxa"/>
            <w:vAlign w:val="bottom"/>
            <w:tcBorders>
              <w:right w:val="single" w:sz="8" w:color="auto"/>
            </w:tcBorders>
            <w:gridSpan w:val="5"/>
            <w:vMerge w:val="continue"/>
          </w:tcPr>
          <w:p>
            <w:pPr>
              <w:spacing w:after="0"/>
              <w:rPr>
                <w:sz w:val="7"/>
                <w:szCs w:val="7"/>
                <w:color w:val="auto"/>
              </w:rPr>
            </w:pPr>
          </w:p>
        </w:tc>
        <w:tc>
          <w:tcPr>
            <w:tcW w:w="2080" w:type="dxa"/>
            <w:vAlign w:val="bottom"/>
            <w:tcBorders>
              <w:right w:val="single" w:sz="8" w:color="auto"/>
            </w:tcBorders>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60" w:type="dxa"/>
            <w:vAlign w:val="bottom"/>
            <w:tcBorders>
              <w:left w:val="single" w:sz="8" w:color="auto"/>
              <w:right w:val="single" w:sz="8" w:color="auto"/>
            </w:tcBorders>
          </w:tcPr>
          <w:p>
            <w:pPr>
              <w:spacing w:after="0"/>
              <w:rPr>
                <w:sz w:val="7"/>
                <w:szCs w:val="7"/>
                <w:color w:val="auto"/>
              </w:rPr>
            </w:pPr>
          </w:p>
        </w:tc>
        <w:tc>
          <w:tcPr>
            <w:tcW w:w="2760" w:type="dxa"/>
            <w:vAlign w:val="bottom"/>
            <w:tcBorders>
              <w:right w:val="single" w:sz="8" w:color="auto"/>
            </w:tcBorders>
            <w:gridSpan w:val="5"/>
            <w:vMerge w:val="restart"/>
          </w:tcPr>
          <w:p>
            <w:pPr>
              <w:jc w:val="center"/>
              <w:spacing w:after="0"/>
              <w:rPr>
                <w:sz w:val="20"/>
                <w:szCs w:val="20"/>
                <w:color w:val="auto"/>
              </w:rPr>
            </w:pPr>
            <w:r>
              <w:rPr>
                <w:rFonts w:ascii="Arial" w:cs="Arial" w:eastAsia="Arial" w:hAnsi="Arial"/>
                <w:sz w:val="14"/>
                <w:szCs w:val="14"/>
                <w:color w:val="auto"/>
              </w:rPr>
              <w:t>Number of shares awarded is not</w:t>
            </w:r>
          </w:p>
        </w:tc>
        <w:tc>
          <w:tcPr>
            <w:tcW w:w="2080" w:type="dxa"/>
            <w:vAlign w:val="bottom"/>
            <w:gridSpan w:val="5"/>
            <w:vMerge w:val="continue"/>
          </w:tcPr>
          <w:p>
            <w:pPr>
              <w:spacing w:after="0"/>
              <w:rPr>
                <w:sz w:val="7"/>
                <w:szCs w:val="7"/>
                <w:color w:val="auto"/>
              </w:rPr>
            </w:pPr>
          </w:p>
        </w:tc>
        <w:tc>
          <w:tcPr>
            <w:tcW w:w="2060" w:type="dxa"/>
            <w:vAlign w:val="bottom"/>
            <w:tcBorders>
              <w:right w:val="single" w:sz="8" w:color="auto"/>
            </w:tcBorders>
            <w:gridSpan w:val="5"/>
            <w:vMerge w:val="restart"/>
          </w:tcPr>
          <w:p>
            <w:pPr>
              <w:jc w:val="center"/>
              <w:spacing w:after="0"/>
              <w:rPr>
                <w:sz w:val="20"/>
                <w:szCs w:val="20"/>
                <w:color w:val="auto"/>
              </w:rPr>
            </w:pPr>
            <w:r>
              <w:rPr>
                <w:rFonts w:ascii="Arial" w:cs="Arial" w:eastAsia="Arial" w:hAnsi="Arial"/>
                <w:sz w:val="14"/>
                <w:szCs w:val="14"/>
                <w:color w:val="auto"/>
              </w:rPr>
              <w:t>employment during the</w:t>
            </w:r>
          </w:p>
        </w:tc>
        <w:tc>
          <w:tcPr>
            <w:tcW w:w="2080" w:type="dxa"/>
            <w:vAlign w:val="bottom"/>
            <w:tcBorders>
              <w:right w:val="single" w:sz="8" w:color="auto"/>
            </w:tcBorders>
            <w:gridSpan w:val="5"/>
            <w:vMerge w:val="restart"/>
          </w:tcPr>
          <w:p>
            <w:pPr>
              <w:jc w:val="center"/>
              <w:spacing w:after="0"/>
              <w:rPr>
                <w:sz w:val="20"/>
                <w:szCs w:val="20"/>
                <w:color w:val="auto"/>
              </w:rPr>
            </w:pPr>
            <w:r>
              <w:rPr>
                <w:rFonts w:ascii="Arial" w:cs="Arial" w:eastAsia="Arial" w:hAnsi="Arial"/>
                <w:sz w:val="14"/>
                <w:szCs w:val="14"/>
                <w:color w:val="auto"/>
              </w:rPr>
              <w:t>employment during the</w:t>
            </w:r>
          </w:p>
        </w:tc>
        <w:tc>
          <w:tcPr>
            <w:tcW w:w="0" w:type="dxa"/>
            <w:vAlign w:val="bottom"/>
          </w:tcPr>
          <w:p>
            <w:pPr>
              <w:spacing w:after="0"/>
              <w:rPr>
                <w:sz w:val="1"/>
                <w:szCs w:val="1"/>
                <w:color w:val="auto"/>
              </w:rPr>
            </w:pPr>
          </w:p>
        </w:tc>
      </w:tr>
      <w:tr>
        <w:trPr>
          <w:trHeight w:val="71"/>
        </w:trPr>
        <w:tc>
          <w:tcPr>
            <w:tcW w:w="2060" w:type="dxa"/>
            <w:vAlign w:val="bottom"/>
            <w:tcBorders>
              <w:left w:val="single" w:sz="8" w:color="auto"/>
              <w:right w:val="single" w:sz="8" w:color="auto"/>
            </w:tcBorders>
          </w:tcPr>
          <w:p>
            <w:pPr>
              <w:spacing w:after="0"/>
              <w:rPr>
                <w:sz w:val="6"/>
                <w:szCs w:val="6"/>
                <w:color w:val="auto"/>
              </w:rPr>
            </w:pPr>
          </w:p>
        </w:tc>
        <w:tc>
          <w:tcPr>
            <w:tcW w:w="2760" w:type="dxa"/>
            <w:vAlign w:val="bottom"/>
            <w:tcBorders>
              <w:right w:val="single" w:sz="8" w:color="auto"/>
            </w:tcBorders>
            <w:gridSpan w:val="5"/>
            <w:vMerge w:val="continue"/>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60" w:type="dxa"/>
            <w:vAlign w:val="bottom"/>
            <w:tcBorders>
              <w:right w:val="single" w:sz="8" w:color="auto"/>
            </w:tcBorders>
            <w:gridSpan w:val="5"/>
            <w:vMerge w:val="continue"/>
          </w:tcPr>
          <w:p>
            <w:pPr>
              <w:spacing w:after="0"/>
              <w:rPr>
                <w:sz w:val="6"/>
                <w:szCs w:val="6"/>
                <w:color w:val="auto"/>
              </w:rPr>
            </w:pPr>
          </w:p>
        </w:tc>
        <w:tc>
          <w:tcPr>
            <w:tcW w:w="2080" w:type="dxa"/>
            <w:vAlign w:val="bottom"/>
            <w:tcBorders>
              <w:right w:val="single" w:sz="8" w:color="auto"/>
            </w:tcBorders>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60" w:type="dxa"/>
            <w:vAlign w:val="bottom"/>
            <w:tcBorders>
              <w:left w:val="single" w:sz="8" w:color="auto"/>
              <w:right w:val="single" w:sz="8" w:color="auto"/>
            </w:tcBorders>
          </w:tcPr>
          <w:p>
            <w:pPr>
              <w:spacing w:after="0"/>
              <w:rPr>
                <w:sz w:val="16"/>
                <w:szCs w:val="16"/>
                <w:color w:val="auto"/>
              </w:rPr>
            </w:pPr>
          </w:p>
        </w:tc>
        <w:tc>
          <w:tcPr>
            <w:tcW w:w="2760" w:type="dxa"/>
            <w:vAlign w:val="bottom"/>
            <w:tcBorders>
              <w:right w:val="single" w:sz="8" w:color="auto"/>
            </w:tcBorders>
            <w:gridSpan w:val="5"/>
          </w:tcPr>
          <w:p>
            <w:pPr>
              <w:jc w:val="center"/>
              <w:spacing w:after="0"/>
              <w:rPr>
                <w:sz w:val="20"/>
                <w:szCs w:val="20"/>
                <w:color w:val="auto"/>
              </w:rPr>
            </w:pPr>
            <w:r>
              <w:rPr>
                <w:rFonts w:ascii="Arial" w:cs="Arial" w:eastAsia="Arial" w:hAnsi="Arial"/>
                <w:sz w:val="14"/>
                <w:szCs w:val="14"/>
                <w:color w:val="auto"/>
              </w:rPr>
              <w:t>pro-rated for partial employment during</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60" w:type="dxa"/>
            <w:vAlign w:val="bottom"/>
            <w:tcBorders>
              <w:right w:val="single" w:sz="8" w:color="auto"/>
            </w:tcBorders>
            <w:gridSpan w:val="5"/>
          </w:tcPr>
          <w:p>
            <w:pPr>
              <w:jc w:val="center"/>
              <w:spacing w:after="0"/>
              <w:rPr>
                <w:sz w:val="20"/>
                <w:szCs w:val="20"/>
                <w:color w:val="auto"/>
              </w:rPr>
            </w:pPr>
            <w:r>
              <w:rPr>
                <w:rFonts w:ascii="Arial" w:cs="Arial" w:eastAsia="Arial" w:hAnsi="Arial"/>
                <w:sz w:val="14"/>
                <w:szCs w:val="14"/>
                <w:color w:val="auto"/>
              </w:rPr>
              <w:t>performance period.</w:t>
            </w:r>
          </w:p>
        </w:tc>
        <w:tc>
          <w:tcPr>
            <w:tcW w:w="2080" w:type="dxa"/>
            <w:vAlign w:val="bottom"/>
            <w:tcBorders>
              <w:right w:val="single" w:sz="8" w:color="auto"/>
            </w:tcBorders>
            <w:gridSpan w:val="5"/>
          </w:tcPr>
          <w:p>
            <w:pPr>
              <w:jc w:val="center"/>
              <w:spacing w:after="0"/>
              <w:rPr>
                <w:sz w:val="20"/>
                <w:szCs w:val="20"/>
                <w:color w:val="auto"/>
              </w:rPr>
            </w:pPr>
            <w:r>
              <w:rPr>
                <w:rFonts w:ascii="Arial" w:cs="Arial" w:eastAsia="Arial" w:hAnsi="Arial"/>
                <w:sz w:val="14"/>
                <w:szCs w:val="14"/>
                <w:color w:val="auto"/>
              </w:rPr>
              <w:t>performance period.</w:t>
            </w:r>
          </w:p>
        </w:tc>
        <w:tc>
          <w:tcPr>
            <w:tcW w:w="0" w:type="dxa"/>
            <w:vAlign w:val="bottom"/>
          </w:tcPr>
          <w:p>
            <w:pPr>
              <w:spacing w:after="0"/>
              <w:rPr>
                <w:sz w:val="1"/>
                <w:szCs w:val="1"/>
                <w:color w:val="auto"/>
              </w:rPr>
            </w:pPr>
          </w:p>
        </w:tc>
      </w:tr>
      <w:tr>
        <w:trPr>
          <w:trHeight w:val="171"/>
        </w:trPr>
        <w:tc>
          <w:tcPr>
            <w:tcW w:w="2060" w:type="dxa"/>
            <w:vAlign w:val="bottom"/>
            <w:tcBorders>
              <w:left w:val="single" w:sz="8" w:color="auto"/>
              <w:bottom w:val="single" w:sz="8" w:color="auto"/>
              <w:right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300" w:type="dxa"/>
            <w:vAlign w:val="bottom"/>
            <w:tcBorders>
              <w:bottom w:val="single" w:sz="8" w:color="auto"/>
              <w:right w:val="single" w:sz="8" w:color="auto"/>
            </w:tcBorders>
            <w:gridSpan w:val="4"/>
          </w:tcPr>
          <w:p>
            <w:pPr>
              <w:jc w:val="center"/>
              <w:ind w:right="400"/>
              <w:spacing w:after="0"/>
              <w:rPr>
                <w:sz w:val="20"/>
                <w:szCs w:val="20"/>
                <w:color w:val="auto"/>
              </w:rPr>
            </w:pPr>
            <w:r>
              <w:rPr>
                <w:rFonts w:ascii="Arial" w:cs="Arial" w:eastAsia="Arial" w:hAnsi="Arial"/>
                <w:sz w:val="14"/>
                <w:szCs w:val="14"/>
                <w:color w:val="auto"/>
              </w:rPr>
              <w:t>the performance period.</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6" w:lineRule="exact"/>
        <w:rPr>
          <w:sz w:val="20"/>
          <w:szCs w:val="20"/>
          <w:color w:val="auto"/>
        </w:rPr>
      </w:pPr>
    </w:p>
    <w:p>
      <w:pPr>
        <w:ind w:left="740" w:right="80" w:hanging="428"/>
        <w:spacing w:after="0" w:line="279" w:lineRule="auto"/>
        <w:tabs>
          <w:tab w:leader="none" w:pos="740" w:val="left"/>
        </w:tabs>
        <w:numPr>
          <w:ilvl w:val="0"/>
          <w:numId w:val="53"/>
        </w:numPr>
        <w:rPr>
          <w:rFonts w:ascii="Arial" w:cs="Arial" w:eastAsia="Arial" w:hAnsi="Arial"/>
          <w:sz w:val="14"/>
          <w:szCs w:val="14"/>
          <w:color w:val="auto"/>
        </w:rPr>
      </w:pPr>
      <w:r>
        <w:rPr>
          <w:rFonts w:ascii="Arial" w:cs="Arial" w:eastAsia="Arial" w:hAnsi="Arial"/>
          <w:sz w:val="14"/>
          <w:szCs w:val="14"/>
          <w:i w:val="1"/>
          <w:iCs w:val="1"/>
          <w:color w:val="auto"/>
        </w:rPr>
        <w:t xml:space="preserve">Definition of Retirement: </w:t>
      </w:r>
      <w:r>
        <w:rPr>
          <w:rFonts w:ascii="Arial" w:cs="Arial" w:eastAsia="Arial" w:hAnsi="Arial"/>
          <w:sz w:val="14"/>
          <w:szCs w:val="14"/>
          <w:color w:val="auto"/>
        </w:rPr>
        <w:t>For purposes of all awards granted under the Second A&amp;R 2010 Plan to NEOs located in the U.S., “retirement” means the earlier of age 65</w:t>
      </w:r>
      <w:r>
        <w:rPr>
          <w:rFonts w:ascii="Arial" w:cs="Arial" w:eastAsia="Arial" w:hAnsi="Arial"/>
          <w:sz w:val="14"/>
          <w:szCs w:val="14"/>
          <w:i w:val="1"/>
          <w:iCs w:val="1"/>
          <w:color w:val="auto"/>
        </w:rPr>
        <w:t xml:space="preserve"> </w:t>
      </w:r>
      <w:r>
        <w:rPr>
          <w:rFonts w:ascii="Arial" w:cs="Arial" w:eastAsia="Arial" w:hAnsi="Arial"/>
          <w:sz w:val="14"/>
          <w:szCs w:val="14"/>
          <w:color w:val="auto"/>
        </w:rPr>
        <w:t>or age 55 with at least 10 years of service with Itron. For stock options granted in 2008 or later, “retirement” means attainment of age 65.</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240" w:top="459" w:right="4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40" w:right="240" w:hanging="428"/>
        <w:spacing w:after="0" w:line="252" w:lineRule="auto"/>
        <w:tabs>
          <w:tab w:leader="none" w:pos="740" w:val="left"/>
        </w:tabs>
        <w:numPr>
          <w:ilvl w:val="0"/>
          <w:numId w:val="54"/>
        </w:numPr>
        <w:rPr>
          <w:rFonts w:ascii="Arial" w:cs="Arial" w:eastAsia="Arial" w:hAnsi="Arial"/>
          <w:sz w:val="14"/>
          <w:szCs w:val="14"/>
          <w:color w:val="auto"/>
        </w:rPr>
      </w:pPr>
      <w:r>
        <w:rPr>
          <w:rFonts w:ascii="Arial" w:cs="Arial" w:eastAsia="Arial" w:hAnsi="Arial"/>
          <w:sz w:val="14"/>
          <w:szCs w:val="14"/>
          <w:i w:val="1"/>
          <w:iCs w:val="1"/>
          <w:color w:val="auto"/>
        </w:rPr>
        <w:t xml:space="preserve">Annual Incentive Plan: </w:t>
      </w:r>
      <w:r>
        <w:rPr>
          <w:rFonts w:ascii="Arial" w:cs="Arial" w:eastAsia="Arial" w:hAnsi="Arial"/>
          <w:sz w:val="14"/>
          <w:szCs w:val="14"/>
          <w:color w:val="auto"/>
        </w:rPr>
        <w:t>For awards under the EMIP, participants would receive a prorated award (assuming an award is earned) based on the number of calendar</w:t>
      </w:r>
      <w:r>
        <w:rPr>
          <w:rFonts w:ascii="Arial" w:cs="Arial" w:eastAsia="Arial" w:hAnsi="Arial"/>
          <w:sz w:val="14"/>
          <w:szCs w:val="14"/>
          <w:i w:val="1"/>
          <w:iCs w:val="1"/>
          <w:color w:val="auto"/>
        </w:rPr>
        <w:t xml:space="preserve"> </w:t>
      </w:r>
      <w:r>
        <w:rPr>
          <w:rFonts w:ascii="Arial" w:cs="Arial" w:eastAsia="Arial" w:hAnsi="Arial"/>
          <w:sz w:val="14"/>
          <w:szCs w:val="14"/>
          <w:color w:val="auto"/>
        </w:rPr>
        <w:t>days employed during the performance period and such payout, if any, will be made at the same time as the other participants.</w:t>
      </w:r>
    </w:p>
    <w:p>
      <w:pPr>
        <w:ind w:left="740" w:hanging="428"/>
        <w:spacing w:after="0" w:line="242" w:lineRule="auto"/>
        <w:tabs>
          <w:tab w:leader="none" w:pos="740" w:val="left"/>
        </w:tabs>
        <w:numPr>
          <w:ilvl w:val="0"/>
          <w:numId w:val="54"/>
        </w:numPr>
        <w:rPr>
          <w:rFonts w:ascii="Arial" w:cs="Arial" w:eastAsia="Arial" w:hAnsi="Arial"/>
          <w:sz w:val="14"/>
          <w:szCs w:val="14"/>
          <w:color w:val="auto"/>
        </w:rPr>
      </w:pPr>
      <w:r>
        <w:rPr>
          <w:rFonts w:ascii="Arial" w:cs="Arial" w:eastAsia="Arial" w:hAnsi="Arial"/>
          <w:sz w:val="14"/>
          <w:szCs w:val="14"/>
          <w:i w:val="1"/>
          <w:iCs w:val="1"/>
          <w:color w:val="auto"/>
        </w:rPr>
        <w:t xml:space="preserve">Time-vested RSUs: </w:t>
      </w:r>
      <w:r>
        <w:rPr>
          <w:rFonts w:ascii="Arial" w:cs="Arial" w:eastAsia="Arial" w:hAnsi="Arial"/>
          <w:sz w:val="14"/>
          <w:szCs w:val="14"/>
          <w:color w:val="auto"/>
        </w:rPr>
        <w:t>If termination is due to retirement, any unvested RSUs granted in 2016 or prior would immediately be forfeited. However, for the awards granted</w:t>
      </w:r>
      <w:r>
        <w:rPr>
          <w:rFonts w:ascii="Arial" w:cs="Arial" w:eastAsia="Arial" w:hAnsi="Arial"/>
          <w:sz w:val="14"/>
          <w:szCs w:val="14"/>
          <w:i w:val="1"/>
          <w:iCs w:val="1"/>
          <w:color w:val="auto"/>
        </w:rPr>
        <w:t xml:space="preserve"> </w:t>
      </w:r>
      <w:r>
        <w:rPr>
          <w:rFonts w:ascii="Arial" w:cs="Arial" w:eastAsia="Arial" w:hAnsi="Arial"/>
          <w:sz w:val="14"/>
          <w:szCs w:val="14"/>
          <w:color w:val="auto"/>
        </w:rPr>
        <w:t>in fiscal 2017, if a retirement occurs following the second anniversary of the grant date, RSUs will continue to vest subject to non-compete/non-solicit and reasonable notice restrictions. For the awards granted in fiscal 2018, if a retirement occurs after 18 months following the grant date, RSUs will continue to vest subject to non-compete/non-solicit and reasonable notice restrictions. If termination is due to death or disability (as defined in the Second A&amp;R 2010 Plan), any unvested RSUs will vest immediately.</w:t>
      </w:r>
    </w:p>
    <w:p>
      <w:pPr>
        <w:spacing w:after="0" w:line="160" w:lineRule="exact"/>
        <w:rPr>
          <w:rFonts w:ascii="Arial" w:cs="Arial" w:eastAsia="Arial" w:hAnsi="Arial"/>
          <w:sz w:val="14"/>
          <w:szCs w:val="14"/>
          <w:color w:val="auto"/>
        </w:rPr>
      </w:pPr>
    </w:p>
    <w:p>
      <w:pPr>
        <w:ind w:left="740" w:right="20" w:hanging="428"/>
        <w:spacing w:after="0" w:line="241" w:lineRule="auto"/>
        <w:tabs>
          <w:tab w:leader="none" w:pos="740" w:val="left"/>
        </w:tabs>
        <w:numPr>
          <w:ilvl w:val="0"/>
          <w:numId w:val="54"/>
        </w:numPr>
        <w:rPr>
          <w:rFonts w:ascii="Arial" w:cs="Arial" w:eastAsia="Arial" w:hAnsi="Arial"/>
          <w:sz w:val="14"/>
          <w:szCs w:val="14"/>
          <w:color w:val="auto"/>
        </w:rPr>
      </w:pPr>
      <w:r>
        <w:rPr>
          <w:rFonts w:ascii="Arial" w:cs="Arial" w:eastAsia="Arial" w:hAnsi="Arial"/>
          <w:sz w:val="14"/>
          <w:szCs w:val="14"/>
          <w:i w:val="1"/>
          <w:iCs w:val="1"/>
          <w:color w:val="auto"/>
        </w:rPr>
        <w:t xml:space="preserve">Stock Options: </w:t>
      </w:r>
      <w:r>
        <w:rPr>
          <w:rFonts w:ascii="Arial" w:cs="Arial" w:eastAsia="Arial" w:hAnsi="Arial"/>
          <w:sz w:val="14"/>
          <w:szCs w:val="14"/>
          <w:color w:val="auto"/>
        </w:rPr>
        <w:t>Upon retirement, all unvested options automatically expire. Vested options granted in 2016 or prior would remain exercisable until the earlier of three</w:t>
      </w:r>
      <w:r>
        <w:rPr>
          <w:rFonts w:ascii="Arial" w:cs="Arial" w:eastAsia="Arial" w:hAnsi="Arial"/>
          <w:sz w:val="14"/>
          <w:szCs w:val="14"/>
          <w:i w:val="1"/>
          <w:iCs w:val="1"/>
          <w:color w:val="auto"/>
        </w:rPr>
        <w:t xml:space="preserve"> </w:t>
      </w:r>
      <w:r>
        <w:rPr>
          <w:rFonts w:ascii="Arial" w:cs="Arial" w:eastAsia="Arial" w:hAnsi="Arial"/>
          <w:sz w:val="14"/>
          <w:szCs w:val="14"/>
          <w:color w:val="auto"/>
        </w:rPr>
        <w:t>years following retirement or the option expiration date. However, for the awards granted in fiscal 2017, if a retirement occurs following the second anniversary of the grant date, options will continue to vest subject to non-compete/non-solicit and reasonable notice restrictions. For the awards granted in fiscal 2018, if a retirement occurs after 18 months following the grant date, options will continue to vest subject to non-compete/non-solicit and reasonable notice restrictions. If termination is due to death or disability, all unvested options become exercisable and remain exercisable until the earlier of one year following the date of death or disability, or the date on which the options expire by their terms.</w:t>
      </w:r>
    </w:p>
    <w:p>
      <w:pPr>
        <w:spacing w:after="0" w:line="2" w:lineRule="exact"/>
        <w:rPr>
          <w:rFonts w:ascii="Arial" w:cs="Arial" w:eastAsia="Arial" w:hAnsi="Arial"/>
          <w:sz w:val="14"/>
          <w:szCs w:val="14"/>
          <w:color w:val="auto"/>
        </w:rPr>
      </w:pPr>
    </w:p>
    <w:p>
      <w:pPr>
        <w:ind w:left="740" w:right="40" w:hanging="428"/>
        <w:spacing w:after="0" w:line="243" w:lineRule="auto"/>
        <w:tabs>
          <w:tab w:leader="none" w:pos="740" w:val="left"/>
        </w:tabs>
        <w:numPr>
          <w:ilvl w:val="0"/>
          <w:numId w:val="54"/>
        </w:numPr>
        <w:rPr>
          <w:rFonts w:ascii="Arial" w:cs="Arial" w:eastAsia="Arial" w:hAnsi="Arial"/>
          <w:sz w:val="14"/>
          <w:szCs w:val="14"/>
          <w:color w:val="auto"/>
        </w:rPr>
      </w:pPr>
      <w:r>
        <w:rPr>
          <w:rFonts w:ascii="Arial" w:cs="Arial" w:eastAsia="Arial" w:hAnsi="Arial"/>
          <w:sz w:val="14"/>
          <w:szCs w:val="14"/>
          <w:i w:val="1"/>
          <w:iCs w:val="1"/>
          <w:color w:val="auto"/>
        </w:rPr>
        <w:t xml:space="preserve">Performance-Based RSUs (PRSUs): </w:t>
      </w:r>
      <w:r>
        <w:rPr>
          <w:rFonts w:ascii="Arial" w:cs="Arial" w:eastAsia="Arial" w:hAnsi="Arial"/>
          <w:sz w:val="14"/>
          <w:szCs w:val="14"/>
          <w:color w:val="auto"/>
        </w:rPr>
        <w:t>If termination occurs due to death or disability during the performance period, for the awards granted in fiscal 2016 awards will</w:t>
      </w:r>
      <w:r>
        <w:rPr>
          <w:rFonts w:ascii="Arial" w:cs="Arial" w:eastAsia="Arial" w:hAnsi="Arial"/>
          <w:sz w:val="14"/>
          <w:szCs w:val="14"/>
          <w:i w:val="1"/>
          <w:iCs w:val="1"/>
          <w:color w:val="auto"/>
        </w:rPr>
        <w:t xml:space="preserve"> </w:t>
      </w:r>
      <w:r>
        <w:rPr>
          <w:rFonts w:ascii="Arial" w:cs="Arial" w:eastAsia="Arial" w:hAnsi="Arial"/>
          <w:sz w:val="14"/>
          <w:szCs w:val="14"/>
          <w:color w:val="auto"/>
        </w:rPr>
        <w:t>be pro-rated based on days employed during the performance period and will be vested based on actual performance at the conclusion of the performance period. However, for the awards granted in fiscal 2017 and 2018, shares will be awarded and settled based on the performance period and results ending in the year of death or disability, and will not be pro-rated for partial employment during the performance period. If termination occurs due to retirement, for the awards granted in fiscal 2016 awards will be vested at actual performance and applied TSR multiplier after then end of the performance period, and pro-rated based on the number of calendar days between the beginning of the performance period and the date of retirement. However, for the awards granted in fiscal 2017, if a retirement occurs following the second anniversary of the grant date, awards will vest in full based on actual performance and the applied TSR multiplier calculated at the end of the performance period, subject to non-compete/non-solicit and reasonable notice restrictions. For the awards granted in fiscal 2018, if a retirement occurs after 18 months following the grant date, awards will vest in full based on actual performance and the applied TSR multiplier calculated at the end of the performance period, subject to non-compete/non-solicit and reasonable notice restrictions. Vested units generally will be settled at the original vesting date set forth in the award agreement, and in accordance with the provisions of Section 409A of the Code.</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Voluntary Termination or Termination without Cause</w:t>
      </w:r>
    </w:p>
    <w:p>
      <w:pPr>
        <w:spacing w:after="0" w:line="93" w:lineRule="exact"/>
        <w:rPr>
          <w:sz w:val="20"/>
          <w:szCs w:val="20"/>
          <w:color w:val="auto"/>
        </w:rPr>
      </w:pPr>
    </w:p>
    <w:p>
      <w:pPr>
        <w:ind w:left="860" w:right="240"/>
        <w:spacing w:after="0" w:line="251"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All unvested options automatically expire due to voluntary termination or termination by the Company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cause. Any vested options would remain exercisable until the earlier of 90 days following termination of employment or the date on which the options expire by their terms.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Time-vested RSUs: </w:t>
      </w:r>
      <w:r>
        <w:rPr>
          <w:rFonts w:ascii="Arial" w:cs="Arial" w:eastAsia="Arial" w:hAnsi="Arial"/>
          <w:sz w:val="18"/>
          <w:szCs w:val="18"/>
          <w:color w:val="auto"/>
        </w:rPr>
        <w:t>All unvested RSUs are forfeited upon voluntary termination or termination without cause.</w:t>
      </w:r>
    </w:p>
    <w:p>
      <w:pPr>
        <w:spacing w:after="0" w:line="130" w:lineRule="exact"/>
        <w:rPr>
          <w:sz w:val="20"/>
          <w:szCs w:val="20"/>
          <w:color w:val="auto"/>
        </w:rPr>
      </w:pPr>
    </w:p>
    <w:p>
      <w:pPr>
        <w:ind w:left="860" w:right="240"/>
        <w:spacing w:after="0" w:line="267" w:lineRule="auto"/>
        <w:rPr>
          <w:sz w:val="20"/>
          <w:szCs w:val="20"/>
          <w:color w:val="auto"/>
        </w:rPr>
      </w:pPr>
      <w:r>
        <w:rPr>
          <w:rFonts w:ascii="Arial" w:cs="Arial" w:eastAsia="Arial" w:hAnsi="Arial"/>
          <w:sz w:val="18"/>
          <w:szCs w:val="18"/>
          <w:i w:val="1"/>
          <w:iCs w:val="1"/>
          <w:color w:val="auto"/>
        </w:rPr>
        <w:t xml:space="preserve">Performance-Based RSUs (PRSUs): </w:t>
      </w:r>
      <w:r>
        <w:rPr>
          <w:rFonts w:ascii="Arial" w:cs="Arial" w:eastAsia="Arial" w:hAnsi="Arial"/>
          <w:sz w:val="18"/>
          <w:szCs w:val="18"/>
          <w:color w:val="auto"/>
        </w:rPr>
        <w:t>All unvested PRSUs are forfeited upon voluntary termination or termination without cause.</w:t>
      </w:r>
      <w:r>
        <w:rPr>
          <w:rFonts w:ascii="Arial" w:cs="Arial" w:eastAsia="Arial" w:hAnsi="Arial"/>
          <w:sz w:val="18"/>
          <w:szCs w:val="18"/>
          <w:i w:val="1"/>
          <w:iCs w:val="1"/>
          <w:color w:val="auto"/>
        </w:rPr>
        <w:t xml:space="preserve"> </w:t>
      </w:r>
      <w:r>
        <w:rPr>
          <w:rFonts w:ascii="Arial" w:cs="Arial" w:eastAsia="Arial" w:hAnsi="Arial"/>
          <w:sz w:val="18"/>
          <w:szCs w:val="18"/>
          <w:color w:val="auto"/>
        </w:rPr>
        <w:t>Vested units will be settled in accordance with the provisions of Section 409A of the Code.</w:t>
      </w:r>
    </w:p>
    <w:p>
      <w:pPr>
        <w:spacing w:after="0" w:line="66" w:lineRule="exact"/>
        <w:rPr>
          <w:sz w:val="20"/>
          <w:szCs w:val="20"/>
          <w:color w:val="auto"/>
        </w:rPr>
      </w:pPr>
    </w:p>
    <w:p>
      <w:pPr>
        <w:ind w:left="860" w:right="80"/>
        <w:spacing w:after="0" w:line="267" w:lineRule="auto"/>
        <w:rPr>
          <w:sz w:val="20"/>
          <w:szCs w:val="20"/>
          <w:color w:val="auto"/>
        </w:rPr>
      </w:pPr>
      <w:r>
        <w:rPr>
          <w:rFonts w:ascii="Arial" w:cs="Arial" w:eastAsia="Arial" w:hAnsi="Arial"/>
          <w:sz w:val="18"/>
          <w:szCs w:val="18"/>
          <w:i w:val="1"/>
          <w:iCs w:val="1"/>
          <w:color w:val="auto"/>
        </w:rPr>
        <w:t xml:space="preserve">Annual Incentive Plan: </w:t>
      </w:r>
      <w:r>
        <w:rPr>
          <w:rFonts w:ascii="Arial" w:cs="Arial" w:eastAsia="Arial" w:hAnsi="Arial"/>
          <w:sz w:val="18"/>
          <w:szCs w:val="18"/>
          <w:color w:val="auto"/>
        </w:rPr>
        <w:t>The bonus under the EMIP would be forfeited in its entirety if the NEO is not employed by the Company or</w:t>
      </w:r>
      <w:r>
        <w:rPr>
          <w:rFonts w:ascii="Arial" w:cs="Arial" w:eastAsia="Arial" w:hAnsi="Arial"/>
          <w:sz w:val="18"/>
          <w:szCs w:val="18"/>
          <w:i w:val="1"/>
          <w:iCs w:val="1"/>
          <w:color w:val="auto"/>
        </w:rPr>
        <w:t xml:space="preserve"> </w:t>
      </w:r>
      <w:r>
        <w:rPr>
          <w:rFonts w:ascii="Arial" w:cs="Arial" w:eastAsia="Arial" w:hAnsi="Arial"/>
          <w:sz w:val="18"/>
          <w:szCs w:val="18"/>
          <w:color w:val="auto"/>
        </w:rPr>
        <w:t>working as a service contractor for the Company at the time of the payout.</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Potential Payments upon Change-in-Control</w:t>
      </w:r>
    </w:p>
    <w:p>
      <w:pPr>
        <w:spacing w:after="0" w:line="193" w:lineRule="exact"/>
        <w:rPr>
          <w:sz w:val="20"/>
          <w:szCs w:val="20"/>
          <w:color w:val="auto"/>
        </w:rPr>
      </w:pPr>
    </w:p>
    <w:p>
      <w:pPr>
        <w:ind w:left="200" w:right="300"/>
        <w:spacing w:after="0"/>
        <w:rPr>
          <w:sz w:val="20"/>
          <w:szCs w:val="20"/>
          <w:color w:val="auto"/>
        </w:rPr>
      </w:pPr>
      <w:r>
        <w:rPr>
          <w:rFonts w:ascii="Arial" w:cs="Arial" w:eastAsia="Arial" w:hAnsi="Arial"/>
          <w:sz w:val="18"/>
          <w:szCs w:val="18"/>
          <w:color w:val="auto"/>
        </w:rPr>
        <w:t>The following describes the material provisions of the change-in-control agreements that we have entered into with our NEOs. The change-in-control agreements provide for the following benefits if there is a change-in-control and the NEO’s employment is terminated within 24 months by the Company without cause or by the NEO for “good reason”:</w:t>
      </w:r>
    </w:p>
    <w:p>
      <w:pPr>
        <w:spacing w:after="0" w:line="62" w:lineRule="exact"/>
        <w:rPr>
          <w:sz w:val="20"/>
          <w:szCs w:val="20"/>
          <w:color w:val="auto"/>
        </w:rPr>
      </w:pPr>
    </w:p>
    <w:p>
      <w:pPr>
        <w:ind w:left="860" w:right="160"/>
        <w:spacing w:after="0" w:line="267" w:lineRule="auto"/>
        <w:rPr>
          <w:sz w:val="20"/>
          <w:szCs w:val="20"/>
          <w:color w:val="auto"/>
        </w:rPr>
      </w:pPr>
      <w:r>
        <w:rPr>
          <w:rFonts w:ascii="Arial" w:cs="Arial" w:eastAsia="Arial" w:hAnsi="Arial"/>
          <w:sz w:val="18"/>
          <w:szCs w:val="18"/>
          <w:i w:val="1"/>
          <w:iCs w:val="1"/>
          <w:color w:val="auto"/>
        </w:rPr>
        <w:t xml:space="preserve">Severance Benefit: </w:t>
      </w:r>
      <w:r>
        <w:rPr>
          <w:rFonts w:ascii="Arial" w:cs="Arial" w:eastAsia="Arial" w:hAnsi="Arial"/>
          <w:sz w:val="18"/>
          <w:szCs w:val="18"/>
          <w:color w:val="auto"/>
        </w:rPr>
        <w:t>The change-in-control agreements provide Messrs. Mezey and Deitrich with a severance benefit equal to 2.5</w:t>
      </w:r>
      <w:r>
        <w:rPr>
          <w:rFonts w:ascii="Arial" w:cs="Arial" w:eastAsia="Arial" w:hAnsi="Arial"/>
          <w:sz w:val="18"/>
          <w:szCs w:val="18"/>
          <w:i w:val="1"/>
          <w:iCs w:val="1"/>
          <w:color w:val="auto"/>
        </w:rPr>
        <w:t xml:space="preserve"> </w:t>
      </w:r>
      <w:r>
        <w:rPr>
          <w:rFonts w:ascii="Arial" w:cs="Arial" w:eastAsia="Arial" w:hAnsi="Arial"/>
          <w:sz w:val="18"/>
          <w:szCs w:val="18"/>
          <w:color w:val="auto"/>
        </w:rPr>
        <w:t>times the sum of base salary and target annual incentive</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60" w:right="420"/>
        <w:spacing w:after="0" w:line="246" w:lineRule="auto"/>
        <w:rPr>
          <w:sz w:val="20"/>
          <w:szCs w:val="20"/>
          <w:color w:val="auto"/>
        </w:rPr>
      </w:pPr>
      <w:r>
        <w:rPr>
          <w:rFonts w:ascii="Arial" w:cs="Arial" w:eastAsia="Arial" w:hAnsi="Arial"/>
          <w:sz w:val="18"/>
          <w:szCs w:val="18"/>
          <w:color w:val="auto"/>
        </w:rPr>
        <w:t>opportunity. For Ms. Hlavinka, Ms. Hooper, and Mr. Cadieux, the benefit is equal to 2 times the sum of base salary and target annual incentive opportunity. For all, the benefit is paid in cash in one lump sum.</w:t>
      </w:r>
    </w:p>
    <w:p>
      <w:pPr>
        <w:spacing w:after="0" w:line="56" w:lineRule="exact"/>
        <w:rPr>
          <w:sz w:val="20"/>
          <w:szCs w:val="20"/>
          <w:color w:val="auto"/>
        </w:rPr>
      </w:pPr>
    </w:p>
    <w:p>
      <w:pPr>
        <w:ind w:left="860" w:right="20"/>
        <w:spacing w:after="0" w:line="253" w:lineRule="auto"/>
        <w:rPr>
          <w:sz w:val="20"/>
          <w:szCs w:val="20"/>
          <w:color w:val="auto"/>
        </w:rPr>
      </w:pPr>
      <w:r>
        <w:rPr>
          <w:rFonts w:ascii="Arial" w:cs="Arial" w:eastAsia="Arial" w:hAnsi="Arial"/>
          <w:sz w:val="18"/>
          <w:szCs w:val="18"/>
          <w:i w:val="1"/>
          <w:iCs w:val="1"/>
          <w:color w:val="auto"/>
        </w:rPr>
        <w:t>Pro-Rata Annual Incentive for Year of Termination</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change-in-control agreements provide for a payment based on the greater</w:t>
      </w:r>
      <w:r>
        <w:rPr>
          <w:rFonts w:ascii="Arial" w:cs="Arial" w:eastAsia="Arial" w:hAnsi="Arial"/>
          <w:sz w:val="18"/>
          <w:szCs w:val="18"/>
          <w:i w:val="1"/>
          <w:iCs w:val="1"/>
          <w:color w:val="auto"/>
        </w:rPr>
        <w:t xml:space="preserve"> </w:t>
      </w:r>
      <w:r>
        <w:rPr>
          <w:rFonts w:ascii="Arial" w:cs="Arial" w:eastAsia="Arial" w:hAnsi="Arial"/>
          <w:sz w:val="18"/>
          <w:szCs w:val="18"/>
          <w:color w:val="auto"/>
        </w:rPr>
        <w:t>of target opportunity or actual performance (as determined by the Board), prorated for the time worked during the year of termination.</w:t>
      </w:r>
    </w:p>
    <w:p>
      <w:pPr>
        <w:spacing w:after="0" w:line="74" w:lineRule="exact"/>
        <w:rPr>
          <w:sz w:val="20"/>
          <w:szCs w:val="20"/>
          <w:color w:val="auto"/>
        </w:rPr>
      </w:pPr>
    </w:p>
    <w:p>
      <w:pPr>
        <w:ind w:left="860" w:right="300"/>
        <w:spacing w:after="0" w:line="245" w:lineRule="auto"/>
        <w:rPr>
          <w:sz w:val="20"/>
          <w:szCs w:val="20"/>
          <w:color w:val="auto"/>
        </w:rPr>
      </w:pPr>
      <w:r>
        <w:rPr>
          <w:rFonts w:ascii="Arial" w:cs="Arial" w:eastAsia="Arial" w:hAnsi="Arial"/>
          <w:sz w:val="18"/>
          <w:szCs w:val="18"/>
          <w:i w:val="1"/>
          <w:iCs w:val="1"/>
          <w:color w:val="auto"/>
        </w:rPr>
        <w:t xml:space="preserve">Welfare Benefit Continuation: </w:t>
      </w:r>
      <w:r>
        <w:rPr>
          <w:rFonts w:ascii="Arial" w:cs="Arial" w:eastAsia="Arial" w:hAnsi="Arial"/>
          <w:sz w:val="18"/>
          <w:szCs w:val="18"/>
          <w:color w:val="auto"/>
        </w:rPr>
        <w:t>The change-in-control agreements provide Messrs. Mezey and Deitrich with 2.5 years of life and</w:t>
      </w:r>
      <w:r>
        <w:rPr>
          <w:rFonts w:ascii="Arial" w:cs="Arial" w:eastAsia="Arial" w:hAnsi="Arial"/>
          <w:sz w:val="18"/>
          <w:szCs w:val="18"/>
          <w:i w:val="1"/>
          <w:iCs w:val="1"/>
          <w:color w:val="auto"/>
        </w:rPr>
        <w:t xml:space="preserve"> </w:t>
      </w:r>
      <w:r>
        <w:rPr>
          <w:rFonts w:ascii="Arial" w:cs="Arial" w:eastAsia="Arial" w:hAnsi="Arial"/>
          <w:sz w:val="18"/>
          <w:szCs w:val="18"/>
          <w:color w:val="auto"/>
        </w:rPr>
        <w:t>disability insurance coverage (with no tax gross-up). For Ms. Hlavinka, Ms. Hooper, and Mr. Cadieux, this benefit is equal to 2 years of life and disability insurance coverage (with no tax gross-up). The Agreements also provide our NEOs and their dependents with the same respective years of health care coverage.</w:t>
      </w:r>
    </w:p>
    <w:p>
      <w:pPr>
        <w:spacing w:after="0" w:line="86" w:lineRule="exact"/>
        <w:rPr>
          <w:sz w:val="20"/>
          <w:szCs w:val="20"/>
          <w:color w:val="auto"/>
        </w:rPr>
      </w:pPr>
    </w:p>
    <w:p>
      <w:pPr>
        <w:ind w:left="860" w:right="440"/>
        <w:spacing w:after="0" w:line="272" w:lineRule="auto"/>
        <w:rPr>
          <w:sz w:val="20"/>
          <w:szCs w:val="20"/>
          <w:color w:val="auto"/>
        </w:rPr>
      </w:pPr>
      <w:r>
        <w:rPr>
          <w:rFonts w:ascii="Arial" w:cs="Arial" w:eastAsia="Arial" w:hAnsi="Arial"/>
          <w:sz w:val="17"/>
          <w:szCs w:val="17"/>
          <w:i w:val="1"/>
          <w:iCs w:val="1"/>
          <w:color w:val="auto"/>
        </w:rPr>
        <w:t xml:space="preserve">Equity Award Vesting and Acceleration (Double Trigger): </w:t>
      </w:r>
      <w:r>
        <w:rPr>
          <w:rFonts w:ascii="Arial" w:cs="Arial" w:eastAsia="Arial" w:hAnsi="Arial"/>
          <w:sz w:val="17"/>
          <w:szCs w:val="17"/>
          <w:color w:val="auto"/>
        </w:rPr>
        <w:t>The change-in-control agreements provide that any acceleration for</w:t>
      </w:r>
      <w:r>
        <w:rPr>
          <w:rFonts w:ascii="Arial" w:cs="Arial" w:eastAsia="Arial" w:hAnsi="Arial"/>
          <w:sz w:val="17"/>
          <w:szCs w:val="17"/>
          <w:i w:val="1"/>
          <w:iCs w:val="1"/>
          <w:color w:val="auto"/>
        </w:rPr>
        <w:t xml:space="preserve"> </w:t>
      </w:r>
      <w:r>
        <w:rPr>
          <w:rFonts w:ascii="Arial" w:cs="Arial" w:eastAsia="Arial" w:hAnsi="Arial"/>
          <w:sz w:val="17"/>
          <w:szCs w:val="17"/>
          <w:color w:val="auto"/>
        </w:rPr>
        <w:t>equity awards is “double trigger” and thus will occur only upon a change-in-control and a qualifying termination (a termination without cause or for good reason). All vesting acceleration is subject to consummation of the change-in-control transaction.</w:t>
      </w:r>
    </w:p>
    <w:p>
      <w:pPr>
        <w:spacing w:after="0" w:line="6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Excise Tax Gross-Up: </w:t>
      </w:r>
      <w:r>
        <w:rPr>
          <w:rFonts w:ascii="Arial" w:cs="Arial" w:eastAsia="Arial" w:hAnsi="Arial"/>
          <w:sz w:val="18"/>
          <w:szCs w:val="18"/>
          <w:color w:val="auto"/>
        </w:rPr>
        <w:t>There are no effective provisions for an excise tax gross-up.</w:t>
      </w:r>
    </w:p>
    <w:p>
      <w:pPr>
        <w:spacing w:after="0" w:line="130" w:lineRule="exact"/>
        <w:rPr>
          <w:sz w:val="20"/>
          <w:szCs w:val="20"/>
          <w:color w:val="auto"/>
        </w:rPr>
      </w:pPr>
    </w:p>
    <w:p>
      <w:pPr>
        <w:ind w:left="860" w:right="440"/>
        <w:spacing w:after="0" w:line="267" w:lineRule="auto"/>
        <w:rPr>
          <w:sz w:val="20"/>
          <w:szCs w:val="20"/>
          <w:color w:val="auto"/>
        </w:rPr>
      </w:pPr>
      <w:r>
        <w:rPr>
          <w:rFonts w:ascii="Arial" w:cs="Arial" w:eastAsia="Arial" w:hAnsi="Arial"/>
          <w:sz w:val="18"/>
          <w:szCs w:val="18"/>
          <w:i w:val="1"/>
          <w:iCs w:val="1"/>
          <w:color w:val="auto"/>
        </w:rPr>
        <w:t xml:space="preserve">Legal Fees: </w:t>
      </w:r>
      <w:r>
        <w:rPr>
          <w:rFonts w:ascii="Arial" w:cs="Arial" w:eastAsia="Arial" w:hAnsi="Arial"/>
          <w:sz w:val="18"/>
          <w:szCs w:val="18"/>
          <w:color w:val="auto"/>
        </w:rPr>
        <w:t>The change-in-control agreements provide that NEOs will be reimbursed for legal fees and expenses incurred in</w:t>
      </w:r>
      <w:r>
        <w:rPr>
          <w:rFonts w:ascii="Arial" w:cs="Arial" w:eastAsia="Arial" w:hAnsi="Arial"/>
          <w:sz w:val="18"/>
          <w:szCs w:val="18"/>
          <w:i w:val="1"/>
          <w:iCs w:val="1"/>
          <w:color w:val="auto"/>
        </w:rPr>
        <w:t xml:space="preserve"> </w:t>
      </w:r>
      <w:r>
        <w:rPr>
          <w:rFonts w:ascii="Arial" w:cs="Arial" w:eastAsia="Arial" w:hAnsi="Arial"/>
          <w:sz w:val="18"/>
          <w:szCs w:val="18"/>
          <w:color w:val="auto"/>
        </w:rPr>
        <w:t>seeking to enforce the change-in-control agreement.</w:t>
      </w:r>
    </w:p>
    <w:p>
      <w:pPr>
        <w:spacing w:after="0" w:line="66" w:lineRule="exact"/>
        <w:rPr>
          <w:sz w:val="20"/>
          <w:szCs w:val="20"/>
          <w:color w:val="auto"/>
        </w:rPr>
      </w:pPr>
    </w:p>
    <w:p>
      <w:pPr>
        <w:ind w:left="860" w:right="420"/>
        <w:spacing w:after="0" w:line="297" w:lineRule="auto"/>
        <w:rPr>
          <w:sz w:val="20"/>
          <w:szCs w:val="20"/>
          <w:color w:val="auto"/>
        </w:rPr>
      </w:pPr>
      <w:r>
        <w:rPr>
          <w:rFonts w:ascii="Arial" w:cs="Arial" w:eastAsia="Arial" w:hAnsi="Arial"/>
          <w:sz w:val="17"/>
          <w:szCs w:val="17"/>
          <w:i w:val="1"/>
          <w:iCs w:val="1"/>
          <w:color w:val="auto"/>
        </w:rPr>
        <w:t xml:space="preserve">Restrictive Covenants: </w:t>
      </w:r>
      <w:r>
        <w:rPr>
          <w:rFonts w:ascii="Arial" w:cs="Arial" w:eastAsia="Arial" w:hAnsi="Arial"/>
          <w:sz w:val="17"/>
          <w:szCs w:val="17"/>
          <w:color w:val="auto"/>
        </w:rPr>
        <w:t>The change-in-control agreements include restrictive covenants relating to non-solicitation (one-year),</w:t>
      </w:r>
      <w:r>
        <w:rPr>
          <w:rFonts w:ascii="Arial" w:cs="Arial" w:eastAsia="Arial" w:hAnsi="Arial"/>
          <w:sz w:val="17"/>
          <w:szCs w:val="17"/>
          <w:i w:val="1"/>
          <w:iCs w:val="1"/>
          <w:color w:val="auto"/>
        </w:rPr>
        <w:t xml:space="preserve"> </w:t>
      </w:r>
      <w:r>
        <w:rPr>
          <w:rFonts w:ascii="Arial" w:cs="Arial" w:eastAsia="Arial" w:hAnsi="Arial"/>
          <w:sz w:val="17"/>
          <w:szCs w:val="17"/>
          <w:color w:val="auto"/>
        </w:rPr>
        <w:t>non-disparagement, and non-competition (where enforceable), and require a release of all claims against the Company.</w:t>
      </w:r>
    </w:p>
    <w:p>
      <w:pPr>
        <w:spacing w:after="0" w:line="42" w:lineRule="exact"/>
        <w:rPr>
          <w:sz w:val="20"/>
          <w:szCs w:val="20"/>
          <w:color w:val="auto"/>
        </w:rPr>
      </w:pPr>
    </w:p>
    <w:p>
      <w:pPr>
        <w:ind w:left="860"/>
        <w:spacing w:after="0" w:line="267" w:lineRule="auto"/>
        <w:rPr>
          <w:sz w:val="20"/>
          <w:szCs w:val="20"/>
          <w:color w:val="auto"/>
        </w:rPr>
      </w:pPr>
      <w:r>
        <w:rPr>
          <w:rFonts w:ascii="Arial" w:cs="Arial" w:eastAsia="Arial" w:hAnsi="Arial"/>
          <w:sz w:val="18"/>
          <w:szCs w:val="18"/>
          <w:i w:val="1"/>
          <w:iCs w:val="1"/>
          <w:color w:val="auto"/>
        </w:rPr>
        <w:t xml:space="preserve">Definition of Change-in-Control: </w:t>
      </w:r>
      <w:r>
        <w:rPr>
          <w:rFonts w:ascii="Arial" w:cs="Arial" w:eastAsia="Arial" w:hAnsi="Arial"/>
          <w:sz w:val="18"/>
          <w:szCs w:val="18"/>
          <w:color w:val="auto"/>
        </w:rPr>
        <w:t>For purposes of the change-in-control agreements, a “change-in-control” generally consists of any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following:</w:t>
      </w:r>
    </w:p>
    <w:p>
      <w:pPr>
        <w:spacing w:after="0" w:line="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 acquisition of 25 percent or more of our voting securities;</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Our current Board of Directors (and their approved successors) ceasing to constitute a majority of the Board;</w:t>
      </w:r>
    </w:p>
    <w:p>
      <w:pPr>
        <w:spacing w:after="0" w:line="130" w:lineRule="exact"/>
        <w:rPr>
          <w:sz w:val="20"/>
          <w:szCs w:val="20"/>
          <w:color w:val="auto"/>
        </w:rPr>
      </w:pPr>
    </w:p>
    <w:p>
      <w:pPr>
        <w:ind w:left="1740" w:right="40"/>
        <w:spacing w:after="0"/>
        <w:rPr>
          <w:sz w:val="20"/>
          <w:szCs w:val="20"/>
          <w:color w:val="auto"/>
        </w:rPr>
      </w:pPr>
      <w:r>
        <w:rPr>
          <w:rFonts w:ascii="Arial" w:cs="Arial" w:eastAsia="Arial" w:hAnsi="Arial"/>
          <w:sz w:val="18"/>
          <w:szCs w:val="18"/>
          <w:color w:val="auto"/>
        </w:rPr>
        <w:t>Consummation of any merger or consolidation with or into another corporation, the effect of which would be that our Board would consist of a majority of directors who were not members of the Board prior to the merger or consolidation; or</w:t>
      </w:r>
    </w:p>
    <w:p>
      <w:pPr>
        <w:spacing w:after="0" w:line="108" w:lineRule="exact"/>
        <w:rPr>
          <w:sz w:val="20"/>
          <w:szCs w:val="20"/>
          <w:color w:val="auto"/>
        </w:rPr>
      </w:pPr>
    </w:p>
    <w:p>
      <w:pPr>
        <w:ind w:left="1740" w:right="100"/>
        <w:spacing w:after="0" w:line="246" w:lineRule="auto"/>
        <w:rPr>
          <w:sz w:val="20"/>
          <w:szCs w:val="20"/>
          <w:color w:val="auto"/>
        </w:rPr>
      </w:pPr>
      <w:r>
        <w:rPr>
          <w:rFonts w:ascii="Arial" w:cs="Arial" w:eastAsia="Arial" w:hAnsi="Arial"/>
          <w:sz w:val="18"/>
          <w:szCs w:val="18"/>
          <w:color w:val="auto"/>
        </w:rPr>
        <w:t>Consummation of any sale or disposition of all or substantially all of our assets, or the approval by our shareholders of a plan of complete liquidation or dissolution of the Company.</w:t>
      </w:r>
    </w:p>
    <w:p>
      <w:pPr>
        <w:spacing w:after="0" w:line="102" w:lineRule="exact"/>
        <w:rPr>
          <w:sz w:val="20"/>
          <w:szCs w:val="20"/>
          <w:color w:val="auto"/>
        </w:rPr>
      </w:pPr>
    </w:p>
    <w:p>
      <w:pPr>
        <w:ind w:left="960" w:right="140"/>
        <w:spacing w:after="0" w:line="267" w:lineRule="auto"/>
        <w:rPr>
          <w:sz w:val="20"/>
          <w:szCs w:val="20"/>
          <w:color w:val="auto"/>
        </w:rPr>
      </w:pPr>
      <w:r>
        <w:rPr>
          <w:rFonts w:ascii="Arial" w:cs="Arial" w:eastAsia="Arial" w:hAnsi="Arial"/>
          <w:sz w:val="18"/>
          <w:szCs w:val="18"/>
          <w:i w:val="1"/>
          <w:iCs w:val="1"/>
          <w:color w:val="auto"/>
        </w:rPr>
        <w:t xml:space="preserve">Definition of Good Reason: </w:t>
      </w:r>
      <w:r>
        <w:rPr>
          <w:rFonts w:ascii="Arial" w:cs="Arial" w:eastAsia="Arial" w:hAnsi="Arial"/>
          <w:sz w:val="18"/>
          <w:szCs w:val="18"/>
          <w:color w:val="auto"/>
        </w:rPr>
        <w:t>For purposes of the change-in-control agreements, “good reason” for termination by the NEO of his</w:t>
      </w:r>
      <w:r>
        <w:rPr>
          <w:rFonts w:ascii="Arial" w:cs="Arial" w:eastAsia="Arial" w:hAnsi="Arial"/>
          <w:sz w:val="18"/>
          <w:szCs w:val="18"/>
          <w:i w:val="1"/>
          <w:iCs w:val="1"/>
          <w:color w:val="auto"/>
        </w:rPr>
        <w:t xml:space="preserve"> </w:t>
      </w:r>
      <w:r>
        <w:rPr>
          <w:rFonts w:ascii="Arial" w:cs="Arial" w:eastAsia="Arial" w:hAnsi="Arial"/>
          <w:sz w:val="18"/>
          <w:szCs w:val="18"/>
          <w:color w:val="auto"/>
        </w:rPr>
        <w:t>or her employment generally means any one of the following acts by the Company following a change-in-control:</w:t>
      </w:r>
    </w:p>
    <w:p>
      <w:pPr>
        <w:spacing w:after="0" w:line="66" w:lineRule="exact"/>
        <w:rPr>
          <w:sz w:val="20"/>
          <w:szCs w:val="20"/>
          <w:color w:val="auto"/>
        </w:rPr>
      </w:pPr>
    </w:p>
    <w:p>
      <w:pPr>
        <w:ind w:left="1740" w:right="2980"/>
        <w:spacing w:after="0" w:line="391" w:lineRule="auto"/>
        <w:rPr>
          <w:sz w:val="20"/>
          <w:szCs w:val="20"/>
          <w:color w:val="auto"/>
        </w:rPr>
      </w:pPr>
      <w:r>
        <w:rPr>
          <w:rFonts w:ascii="Arial" w:cs="Arial" w:eastAsia="Arial" w:hAnsi="Arial"/>
          <w:sz w:val="18"/>
          <w:szCs w:val="18"/>
          <w:color w:val="auto"/>
        </w:rPr>
        <w:t>An adverse change in the NEO’s duties, status or position as an executive officer; A reduction in the NEO’s base salary;</w:t>
      </w:r>
    </w:p>
    <w:p>
      <w:pPr>
        <w:ind w:left="1300"/>
        <w:spacing w:after="0"/>
        <w:rPr>
          <w:sz w:val="20"/>
          <w:szCs w:val="20"/>
          <w:color w:val="auto"/>
        </w:rPr>
      </w:pPr>
      <w:r>
        <w:rPr>
          <w:rFonts w:ascii="Arial" w:cs="Arial" w:eastAsia="Arial" w:hAnsi="Arial"/>
          <w:sz w:val="18"/>
          <w:szCs w:val="18"/>
          <w:color w:val="auto"/>
        </w:rPr>
        <w:t>A reduction in the NEO’s annual bonus or long-term incentive opportunity;</w:t>
      </w:r>
    </w:p>
    <w:p>
      <w:pPr>
        <w:spacing w:after="0" w:line="130" w:lineRule="exact"/>
        <w:rPr>
          <w:sz w:val="20"/>
          <w:szCs w:val="20"/>
          <w:color w:val="auto"/>
        </w:rPr>
      </w:pPr>
    </w:p>
    <w:p>
      <w:pPr>
        <w:ind w:left="1740" w:right="240"/>
        <w:spacing w:after="0" w:line="246" w:lineRule="auto"/>
        <w:rPr>
          <w:sz w:val="20"/>
          <w:szCs w:val="20"/>
          <w:color w:val="auto"/>
        </w:rPr>
      </w:pPr>
      <w:r>
        <w:rPr>
          <w:rFonts w:ascii="Arial" w:cs="Arial" w:eastAsia="Arial" w:hAnsi="Arial"/>
          <w:sz w:val="18"/>
          <w:szCs w:val="18"/>
          <w:color w:val="auto"/>
        </w:rPr>
        <w:t>The failure to continue to provide welfare, medical, and other fringe benefits which in the aggregate are substantially similar to those provided immediately prior to the change-in-control;</w:t>
      </w:r>
    </w:p>
    <w:p>
      <w:pPr>
        <w:spacing w:after="0" w:line="102" w:lineRule="exact"/>
        <w:rPr>
          <w:sz w:val="20"/>
          <w:szCs w:val="20"/>
          <w:color w:val="auto"/>
        </w:rPr>
      </w:pPr>
    </w:p>
    <w:p>
      <w:pPr>
        <w:ind w:left="1740" w:right="980"/>
        <w:spacing w:after="0" w:line="246" w:lineRule="auto"/>
        <w:rPr>
          <w:sz w:val="20"/>
          <w:szCs w:val="20"/>
          <w:color w:val="auto"/>
        </w:rPr>
      </w:pPr>
      <w:r>
        <w:rPr>
          <w:rFonts w:ascii="Arial" w:cs="Arial" w:eastAsia="Arial" w:hAnsi="Arial"/>
          <w:sz w:val="18"/>
          <w:szCs w:val="18"/>
          <w:color w:val="auto"/>
        </w:rPr>
        <w:t>The requirement for the NEO to be based at an office more than 50 miles from the NEO’s office prior to the change-in-control; or</w:t>
      </w:r>
    </w:p>
    <w:p>
      <w:pPr>
        <w:spacing w:after="0" w:line="1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24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77" w:lineRule="exact"/>
        <w:rPr>
          <w:sz w:val="20"/>
          <w:szCs w:val="20"/>
          <w:color w:val="auto"/>
        </w:rPr>
      </w:pPr>
    </w:p>
    <w:p>
      <w:pPr>
        <w:ind w:left="1740" w:right="1280"/>
        <w:spacing w:after="0" w:line="246" w:lineRule="auto"/>
        <w:rPr>
          <w:sz w:val="20"/>
          <w:szCs w:val="20"/>
          <w:color w:val="auto"/>
        </w:rPr>
      </w:pPr>
      <w:r>
        <w:rPr>
          <w:rFonts w:ascii="Arial" w:cs="Arial" w:eastAsia="Arial" w:hAnsi="Arial"/>
          <w:sz w:val="18"/>
          <w:szCs w:val="18"/>
          <w:color w:val="auto"/>
        </w:rPr>
        <w:t>The failure by the Company or successor company to assume or agree to perform the provisions of the change-in-control agreement.</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See also “Termination Payment Tables for NEOs” in this CD&amp;A.</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Second A&amp;R 2010 Plan Change-in-Control Provisions</w:t>
      </w:r>
    </w:p>
    <w:p>
      <w:pPr>
        <w:spacing w:after="0" w:line="193" w:lineRule="exact"/>
        <w:rPr>
          <w:sz w:val="20"/>
          <w:szCs w:val="20"/>
          <w:color w:val="auto"/>
        </w:rPr>
      </w:pPr>
    </w:p>
    <w:p>
      <w:pPr>
        <w:ind w:left="200" w:right="200"/>
        <w:spacing w:after="0" w:line="239" w:lineRule="auto"/>
        <w:rPr>
          <w:sz w:val="20"/>
          <w:szCs w:val="20"/>
          <w:color w:val="auto"/>
        </w:rPr>
      </w:pPr>
      <w:r>
        <w:rPr>
          <w:rFonts w:ascii="Arial" w:cs="Arial" w:eastAsia="Arial" w:hAnsi="Arial"/>
          <w:sz w:val="18"/>
          <w:szCs w:val="18"/>
          <w:color w:val="auto"/>
        </w:rPr>
        <w:t>Our Second A&amp;R 2010 Plan provides that in the event of a change-in-control, as defined in our change-in-control agreements described above, unless otherwise provided in the award agreement, generally awards will be assumed or substituted for by the surviving corporation, and will accelerate only if not so assumed or substituted. The vesting and payout of PRSUs will be governed by the award agreement, as described below.</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Performance-Based (PRSU) Change-in-Control Provisions</w:t>
      </w:r>
    </w:p>
    <w:p>
      <w:pPr>
        <w:spacing w:after="0" w:line="193"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If a change-in-control occurs during the following performance periods; (2016-2018) under the 2016 grant, (2017-2019) under the 2017 grant, or (2018-2020) under the 2018 grant, the PRSU awards will be vested at the greater of target or actual performance for the year, and pro-rated based on the number of calendar days between the beginning of the performance period and the change-in-control (i) in the event the awards are not assumed by the acquiring entity, or (ii) the beginning of the performance period and the date of termination of employment in the event the awards are assumed by the acquiring entity.</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Executive Officer Severance Policy</w:t>
      </w:r>
    </w:p>
    <w:p>
      <w:pPr>
        <w:spacing w:after="0" w:line="207"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The Company recognizes that it is usually difficult for executive officers whose employment is terminated involuntarily to obtain a position comparable to the one he or she has with the Company. In view of this, any executive officer who is terminated involuntarily, except if terminated for disciplinary reasons, will be entitled to receive severance pay equal to one year’s base salary, employer benefit premium payments/reimbursement for one year and outplacement assistance provided that (1) the executive releases all claims that he or she may have against the Company, (2) enters into a one year non-compete agreement (where enforceable), (3) agrees not to solicit employees for a period of one year, and (4) agrees not to disparage the Company.</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24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 Payment Tables for NEOs</w:t>
      </w:r>
    </w:p>
    <w:p>
      <w:pPr>
        <w:spacing w:after="0" w:line="207" w:lineRule="exact"/>
        <w:rPr>
          <w:sz w:val="20"/>
          <w:szCs w:val="20"/>
          <w:color w:val="auto"/>
        </w:rPr>
      </w:pPr>
    </w:p>
    <w:p>
      <w:pPr>
        <w:ind w:left="200" w:right="120"/>
        <w:spacing w:after="0" w:line="237" w:lineRule="auto"/>
        <w:rPr>
          <w:sz w:val="20"/>
          <w:szCs w:val="20"/>
          <w:color w:val="auto"/>
        </w:rPr>
      </w:pPr>
      <w:r>
        <w:rPr>
          <w:rFonts w:ascii="Arial" w:cs="Arial" w:eastAsia="Arial" w:hAnsi="Arial"/>
          <w:sz w:val="18"/>
          <w:szCs w:val="18"/>
          <w:color w:val="auto"/>
        </w:rPr>
        <w:t>The tables below reflect the estimated amount of incremental compensation payable to each of our NEOs in the event of termination of employment or change-in-control. The tables do not include benefits generally available to all employees on a non-discriminatory basis or payments and benefits that the NEOs would have already earned during their employment with us, whether or not a termination or change-in-control event had occurred. The amounts shown assume that such termination or change-in-control was effective as of December 31, 2018. The actual amounts to be paid out can only be determined at the time of such executive’s termination or upon a change-in-control, as applicable.</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3"/>
          <w:szCs w:val="13"/>
          <w:b w:val="1"/>
          <w:bCs w:val="1"/>
          <w:color w:val="auto"/>
        </w:rPr>
        <w:t>Summary of Termination Payments</w:t>
      </w:r>
    </w:p>
    <w:p>
      <w:pPr>
        <w:spacing w:after="0" w:line="2" w:lineRule="exact"/>
        <w:rPr>
          <w:sz w:val="20"/>
          <w:szCs w:val="20"/>
          <w:color w:val="auto"/>
        </w:rPr>
      </w:pPr>
    </w:p>
    <w:p>
      <w:pPr>
        <w:jc w:val="center"/>
        <w:ind w:right="-139"/>
        <w:spacing w:after="0"/>
        <w:rPr>
          <w:sz w:val="20"/>
          <w:szCs w:val="20"/>
          <w:color w:val="auto"/>
        </w:rPr>
      </w:pPr>
      <w:r>
        <w:rPr>
          <w:rFonts w:ascii="Arial" w:cs="Arial" w:eastAsia="Arial" w:hAnsi="Arial"/>
          <w:sz w:val="13"/>
          <w:szCs w:val="13"/>
          <w:b w:val="1"/>
          <w:bCs w:val="1"/>
          <w:color w:val="auto"/>
        </w:rPr>
        <w:t>Philip Mezey</w:t>
      </w:r>
    </w:p>
    <w:p>
      <w:pPr>
        <w:spacing w:after="0" w:line="3" w:lineRule="exact"/>
        <w:rPr>
          <w:sz w:val="20"/>
          <w:szCs w:val="20"/>
          <w:color w:val="auto"/>
        </w:rPr>
      </w:pPr>
    </w:p>
    <w:tbl>
      <w:tblPr>
        <w:tblLayout w:type="fixed"/>
        <w:tblInd w:w="20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28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center"/>
              <w:ind w:right="112"/>
              <w:spacing w:after="0" w:line="109" w:lineRule="exact"/>
              <w:rPr>
                <w:sz w:val="20"/>
                <w:szCs w:val="20"/>
                <w:color w:val="auto"/>
              </w:rPr>
            </w:pPr>
            <w:r>
              <w:rPr>
                <w:rFonts w:ascii="Arial" w:cs="Arial" w:eastAsia="Arial" w:hAnsi="Arial"/>
                <w:sz w:val="12"/>
                <w:szCs w:val="12"/>
                <w:b w:val="1"/>
                <w:bCs w:val="1"/>
                <w:color w:val="auto"/>
              </w:rPr>
              <w:t>Termination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Without Cause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or by Executive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gridSpan w:val="3"/>
          </w:tcPr>
          <w:p>
            <w:pPr>
              <w:ind w:left="260"/>
              <w:spacing w:after="0" w:line="135" w:lineRule="exact"/>
              <w:rPr>
                <w:sz w:val="20"/>
                <w:szCs w:val="20"/>
                <w:color w:val="auto"/>
              </w:rPr>
            </w:pPr>
            <w:r>
              <w:rPr>
                <w:rFonts w:ascii="Arial" w:cs="Arial" w:eastAsia="Arial" w:hAnsi="Arial"/>
                <w:sz w:val="13"/>
                <w:szCs w:val="13"/>
                <w:b w:val="1"/>
                <w:bCs w:val="1"/>
                <w:color w:val="auto"/>
                <w:w w:val="98"/>
              </w:rPr>
              <w:t>for Good Reason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3"/>
          </w:tcPr>
          <w:p>
            <w:pPr>
              <w:ind w:left="260"/>
              <w:spacing w:after="0" w:line="135" w:lineRule="exact"/>
              <w:rPr>
                <w:sz w:val="20"/>
                <w:szCs w:val="20"/>
                <w:color w:val="auto"/>
              </w:rPr>
            </w:pPr>
            <w:r>
              <w:rPr>
                <w:rFonts w:ascii="Arial" w:cs="Arial" w:eastAsia="Arial" w:hAnsi="Arial"/>
                <w:sz w:val="13"/>
                <w:szCs w:val="13"/>
                <w:b w:val="1"/>
                <w:bCs w:val="1"/>
                <w:color w:val="auto"/>
                <w:w w:val="94"/>
              </w:rPr>
              <w:t>Termination</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31"/>
              <w:spacing w:after="0" w:line="135" w:lineRule="exact"/>
              <w:rPr>
                <w:sz w:val="20"/>
                <w:szCs w:val="20"/>
                <w:color w:val="auto"/>
              </w:rPr>
            </w:pPr>
            <w:r>
              <w:rPr>
                <w:rFonts w:ascii="Arial" w:cs="Arial" w:eastAsia="Arial" w:hAnsi="Arial"/>
                <w:sz w:val="13"/>
                <w:szCs w:val="13"/>
                <w:b w:val="1"/>
                <w:bCs w:val="1"/>
                <w:color w:val="auto"/>
                <w:w w:val="96"/>
              </w:rPr>
              <w:t>Change-</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112"/>
              <w:spacing w:after="0" w:line="135" w:lineRule="exact"/>
              <w:rPr>
                <w:sz w:val="20"/>
                <w:szCs w:val="20"/>
                <w:color w:val="auto"/>
              </w:rPr>
            </w:pPr>
            <w:r>
              <w:rPr>
                <w:rFonts w:ascii="Arial" w:cs="Arial" w:eastAsia="Arial" w:hAnsi="Arial"/>
                <w:sz w:val="13"/>
                <w:szCs w:val="13"/>
                <w:b w:val="1"/>
                <w:bCs w:val="1"/>
                <w:color w:val="auto"/>
              </w:rPr>
              <w:t>Following a</w:t>
            </w:r>
          </w:p>
        </w:tc>
        <w:tc>
          <w:tcPr>
            <w:tcW w:w="0" w:type="dxa"/>
            <w:vAlign w:val="bottom"/>
          </w:tcPr>
          <w:p>
            <w:pPr>
              <w:spacing w:after="0"/>
              <w:rPr>
                <w:sz w:val="1"/>
                <w:szCs w:val="1"/>
                <w:color w:val="auto"/>
              </w:rPr>
            </w:pPr>
          </w:p>
        </w:tc>
      </w:tr>
      <w:tr>
        <w:trPr>
          <w:trHeight w:val="135"/>
        </w:trPr>
        <w:tc>
          <w:tcPr>
            <w:tcW w:w="28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Executive Benefits (1)</w:t>
            </w:r>
          </w:p>
        </w:tc>
        <w:tc>
          <w:tcPr>
            <w:tcW w:w="940" w:type="dxa"/>
            <w:vAlign w:val="bottom"/>
            <w:gridSpan w:val="3"/>
          </w:tcPr>
          <w:p>
            <w:pPr>
              <w:ind w:left="220"/>
              <w:spacing w:after="0" w:line="135" w:lineRule="exact"/>
              <w:rPr>
                <w:sz w:val="20"/>
                <w:szCs w:val="20"/>
                <w:color w:val="auto"/>
              </w:rPr>
            </w:pPr>
            <w:r>
              <w:rPr>
                <w:rFonts w:ascii="Arial" w:cs="Arial" w:eastAsia="Arial" w:hAnsi="Arial"/>
                <w:sz w:val="13"/>
                <w:szCs w:val="13"/>
                <w:b w:val="1"/>
                <w:bCs w:val="1"/>
                <w:color w:val="auto"/>
                <w:w w:val="94"/>
              </w:rPr>
              <w:t>Termination</w:t>
            </w:r>
          </w:p>
        </w:tc>
        <w:tc>
          <w:tcPr>
            <w:tcW w:w="2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Voluntary</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50"/>
              <w:spacing w:after="0" w:line="135" w:lineRule="exact"/>
              <w:rPr>
                <w:sz w:val="20"/>
                <w:szCs w:val="20"/>
                <w:color w:val="auto"/>
              </w:rPr>
            </w:pPr>
            <w:r>
              <w:rPr>
                <w:rFonts w:ascii="Arial" w:cs="Arial" w:eastAsia="Arial" w:hAnsi="Arial"/>
                <w:sz w:val="13"/>
                <w:szCs w:val="13"/>
                <w:b w:val="1"/>
                <w:bCs w:val="1"/>
                <w:color w:val="auto"/>
                <w:w w:val="99"/>
              </w:rPr>
              <w:t>Without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11"/>
              <w:spacing w:after="0" w:line="135" w:lineRule="exact"/>
              <w:rPr>
                <w:sz w:val="20"/>
                <w:szCs w:val="20"/>
                <w:color w:val="auto"/>
              </w:rPr>
            </w:pPr>
            <w:r>
              <w:rPr>
                <w:rFonts w:ascii="Arial" w:cs="Arial" w:eastAsia="Arial" w:hAnsi="Arial"/>
                <w:sz w:val="13"/>
                <w:szCs w:val="13"/>
                <w:b w:val="1"/>
                <w:bCs w:val="1"/>
                <w:color w:val="auto"/>
              </w:rPr>
              <w:t>in-</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112"/>
              <w:spacing w:after="0" w:line="135" w:lineRule="exact"/>
              <w:rPr>
                <w:sz w:val="20"/>
                <w:szCs w:val="20"/>
                <w:color w:val="auto"/>
              </w:rPr>
            </w:pPr>
            <w:r>
              <w:rPr>
                <w:rFonts w:ascii="Arial" w:cs="Arial" w:eastAsia="Arial" w:hAnsi="Arial"/>
                <w:sz w:val="13"/>
                <w:szCs w:val="13"/>
                <w:b w:val="1"/>
                <w:bCs w:val="1"/>
                <w:color w:val="auto"/>
                <w:w w:val="97"/>
              </w:rPr>
              <w:t>Change-in-</w:t>
            </w:r>
          </w:p>
        </w:tc>
        <w:tc>
          <w:tcPr>
            <w:tcW w:w="0" w:type="dxa"/>
            <w:vAlign w:val="bottom"/>
          </w:tcPr>
          <w:p>
            <w:pPr>
              <w:spacing w:after="0"/>
              <w:rPr>
                <w:sz w:val="1"/>
                <w:szCs w:val="1"/>
                <w:color w:val="auto"/>
              </w:rPr>
            </w:pPr>
          </w:p>
        </w:tc>
      </w:tr>
      <w:tr>
        <w:trPr>
          <w:trHeight w:val="157"/>
        </w:trPr>
        <w:tc>
          <w:tcPr>
            <w:tcW w:w="28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for Cause</w:t>
            </w:r>
          </w:p>
        </w:tc>
        <w:tc>
          <w:tcPr>
            <w:tcW w:w="980" w:type="dxa"/>
            <w:vAlign w:val="bottom"/>
            <w:gridSpan w:val="3"/>
          </w:tcPr>
          <w:p>
            <w:pPr>
              <w:ind w:left="260"/>
              <w:spacing w:after="0"/>
              <w:rPr>
                <w:sz w:val="20"/>
                <w:szCs w:val="20"/>
                <w:color w:val="auto"/>
              </w:rPr>
            </w:pPr>
            <w:r>
              <w:rPr>
                <w:rFonts w:ascii="Arial" w:cs="Arial" w:eastAsia="Arial" w:hAnsi="Arial"/>
                <w:sz w:val="13"/>
                <w:szCs w:val="13"/>
                <w:b w:val="1"/>
                <w:bCs w:val="1"/>
                <w:color w:val="auto"/>
                <w:w w:val="94"/>
              </w:rPr>
              <w:t>Termination</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129"/>
              <w:spacing w:after="0"/>
              <w:rPr>
                <w:sz w:val="20"/>
                <w:szCs w:val="20"/>
                <w:color w:val="auto"/>
              </w:rPr>
            </w:pPr>
            <w:r>
              <w:rPr>
                <w:rFonts w:ascii="Arial" w:cs="Arial" w:eastAsia="Arial" w:hAnsi="Arial"/>
                <w:sz w:val="13"/>
                <w:szCs w:val="13"/>
                <w:b w:val="1"/>
                <w:bCs w:val="1"/>
                <w:color w:val="auto"/>
              </w:rPr>
              <w:t>Death</w:t>
            </w:r>
          </w:p>
        </w:tc>
        <w:tc>
          <w:tcPr>
            <w:tcW w:w="320" w:type="dxa"/>
            <w:vAlign w:val="bottom"/>
          </w:tcPr>
          <w:p>
            <w:pPr>
              <w:spacing w:after="0"/>
              <w:rPr>
                <w:sz w:val="13"/>
                <w:szCs w:val="13"/>
                <w:color w:val="auto"/>
              </w:rPr>
            </w:pPr>
          </w:p>
        </w:tc>
        <w:tc>
          <w:tcPr>
            <w:tcW w:w="660" w:type="dxa"/>
            <w:vAlign w:val="bottom"/>
          </w:tcPr>
          <w:p>
            <w:pPr>
              <w:jc w:val="right"/>
              <w:ind w:right="9"/>
              <w:spacing w:after="0"/>
              <w:rPr>
                <w:sz w:val="20"/>
                <w:szCs w:val="20"/>
                <w:color w:val="auto"/>
              </w:rPr>
            </w:pPr>
            <w:r>
              <w:rPr>
                <w:rFonts w:ascii="Arial" w:cs="Arial" w:eastAsia="Arial" w:hAnsi="Arial"/>
                <w:sz w:val="13"/>
                <w:szCs w:val="13"/>
                <w:b w:val="1"/>
                <w:bCs w:val="1"/>
                <w:color w:val="auto"/>
                <w:w w:val="96"/>
              </w:rPr>
              <w:t>Disability</w:t>
            </w:r>
          </w:p>
        </w:tc>
        <w:tc>
          <w:tcPr>
            <w:tcW w:w="2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Retirement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110"/>
              <w:spacing w:after="0"/>
              <w:rPr>
                <w:sz w:val="20"/>
                <w:szCs w:val="20"/>
                <w:color w:val="auto"/>
              </w:rPr>
            </w:pPr>
            <w:r>
              <w:rPr>
                <w:rFonts w:ascii="Arial" w:cs="Arial" w:eastAsia="Arial" w:hAnsi="Arial"/>
                <w:sz w:val="13"/>
                <w:szCs w:val="13"/>
                <w:b w:val="1"/>
                <w:bCs w:val="1"/>
                <w:color w:val="auto"/>
              </w:rPr>
              <w:t>Cause</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center"/>
              <w:ind w:right="11"/>
              <w:spacing w:after="0"/>
              <w:rPr>
                <w:sz w:val="20"/>
                <w:szCs w:val="20"/>
                <w:color w:val="auto"/>
              </w:rPr>
            </w:pPr>
            <w:r>
              <w:rPr>
                <w:rFonts w:ascii="Arial" w:cs="Arial" w:eastAsia="Arial" w:hAnsi="Arial"/>
                <w:sz w:val="13"/>
                <w:szCs w:val="13"/>
                <w:b w:val="1"/>
                <w:bCs w:val="1"/>
                <w:color w:val="auto"/>
                <w:w w:val="95"/>
              </w:rPr>
              <w:t>Control</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112"/>
              <w:spacing w:after="0"/>
              <w:rPr>
                <w:sz w:val="20"/>
                <w:szCs w:val="20"/>
                <w:color w:val="auto"/>
              </w:rPr>
            </w:pPr>
            <w:r>
              <w:rPr>
                <w:rFonts w:ascii="Arial" w:cs="Arial" w:eastAsia="Arial" w:hAnsi="Arial"/>
                <w:sz w:val="13"/>
                <w:szCs w:val="13"/>
                <w:b w:val="1"/>
                <w:bCs w:val="1"/>
                <w:color w:val="auto"/>
                <w:w w:val="99"/>
              </w:rPr>
              <w:t>Control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8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Annual Incentive (2)</w:t>
            </w:r>
          </w:p>
        </w:tc>
        <w:tc>
          <w:tcPr>
            <w:tcW w:w="540" w:type="dxa"/>
            <w:vAlign w:val="bottom"/>
            <w:gridSpan w:val="2"/>
            <w:shd w:val="clear" w:color="auto" w:fill="CCEEFF"/>
          </w:tcPr>
          <w:p>
            <w:pPr>
              <w:ind w:left="220"/>
              <w:spacing w:after="0" w:line="155"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40"/>
              <w:spacing w:after="0" w:line="155" w:lineRule="exact"/>
              <w:rPr>
                <w:sz w:val="20"/>
                <w:szCs w:val="20"/>
                <w:color w:val="auto"/>
              </w:rPr>
            </w:pPr>
            <w:r>
              <w:rPr>
                <w:rFonts w:ascii="Arial" w:cs="Arial" w:eastAsia="Arial" w:hAnsi="Arial"/>
                <w:sz w:val="14"/>
                <w:szCs w:val="14"/>
                <w:color w:val="auto"/>
                <w:w w:val="99"/>
              </w:rPr>
              <w:t>—</w:t>
            </w:r>
          </w:p>
        </w:tc>
        <w:tc>
          <w:tcPr>
            <w:tcW w:w="580" w:type="dxa"/>
            <w:vAlign w:val="bottom"/>
            <w:gridSpan w:val="2"/>
            <w:shd w:val="clear" w:color="auto" w:fill="CCEEFF"/>
          </w:tcPr>
          <w:p>
            <w:pPr>
              <w:ind w:left="240"/>
              <w:spacing w:after="0" w:line="155"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40"/>
              <w:spacing w:after="0" w:line="155" w:lineRule="exact"/>
              <w:rPr>
                <w:sz w:val="20"/>
                <w:szCs w:val="20"/>
                <w:color w:val="auto"/>
              </w:rPr>
            </w:pPr>
            <w:r>
              <w:rPr>
                <w:rFonts w:ascii="Arial" w:cs="Arial" w:eastAsia="Arial" w:hAnsi="Arial"/>
                <w:sz w:val="14"/>
                <w:szCs w:val="14"/>
                <w:color w:val="auto"/>
                <w:w w:val="99"/>
              </w:rPr>
              <w:t>—</w:t>
            </w:r>
          </w:p>
        </w:tc>
        <w:tc>
          <w:tcPr>
            <w:tcW w:w="32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right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60"/>
              <w:spacing w:after="0" w:line="155"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9"/>
              </w:rPr>
              <w:t>1,031,250</w:t>
            </w:r>
          </w:p>
        </w:tc>
        <w:tc>
          <w:tcPr>
            <w:tcW w:w="380" w:type="dxa"/>
            <w:vAlign w:val="bottom"/>
            <w:gridSpan w:val="2"/>
            <w:shd w:val="clear" w:color="auto" w:fill="CCEEFF"/>
          </w:tcPr>
          <w:p>
            <w:pPr>
              <w:ind w:left="260"/>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right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1,031,250</w:t>
            </w:r>
          </w:p>
        </w:tc>
        <w:tc>
          <w:tcPr>
            <w:tcW w:w="0" w:type="dxa"/>
            <w:vAlign w:val="bottom"/>
          </w:tcPr>
          <w:p>
            <w:pPr>
              <w:spacing w:after="0"/>
              <w:rPr>
                <w:sz w:val="1"/>
                <w:szCs w:val="1"/>
                <w:color w:val="auto"/>
              </w:rPr>
            </w:pPr>
          </w:p>
        </w:tc>
      </w:tr>
      <w:tr>
        <w:trPr>
          <w:trHeight w:val="162"/>
        </w:trPr>
        <w:tc>
          <w:tcPr>
            <w:tcW w:w="2880" w:type="dxa"/>
            <w:vAlign w:val="bottom"/>
            <w:gridSpan w:val="2"/>
          </w:tcPr>
          <w:p>
            <w:pPr>
              <w:spacing w:after="0"/>
              <w:rPr>
                <w:sz w:val="20"/>
                <w:szCs w:val="20"/>
                <w:color w:val="auto"/>
              </w:rPr>
            </w:pPr>
            <w:r>
              <w:rPr>
                <w:rFonts w:ascii="Arial" w:cs="Arial" w:eastAsia="Arial" w:hAnsi="Arial"/>
                <w:sz w:val="14"/>
                <w:szCs w:val="14"/>
                <w:color w:val="auto"/>
              </w:rPr>
              <w:t>Accelerated Stock Options (3)</w:t>
            </w:r>
          </w:p>
        </w:tc>
        <w:tc>
          <w:tcPr>
            <w:tcW w:w="5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400" w:type="dxa"/>
            <w:vAlign w:val="bottom"/>
          </w:tcPr>
          <w:p>
            <w:pPr>
              <w:ind w:left="240"/>
              <w:spacing w:after="0"/>
              <w:rPr>
                <w:sz w:val="20"/>
                <w:szCs w:val="20"/>
                <w:color w:val="auto"/>
              </w:rPr>
            </w:pPr>
            <w:r>
              <w:rPr>
                <w:rFonts w:ascii="Arial" w:cs="Arial" w:eastAsia="Arial" w:hAnsi="Arial"/>
                <w:sz w:val="14"/>
                <w:szCs w:val="14"/>
                <w:color w:val="auto"/>
                <w:w w:val="99"/>
              </w:rPr>
              <w:t>—</w:t>
            </w:r>
          </w:p>
        </w:tc>
        <w:tc>
          <w:tcPr>
            <w:tcW w:w="5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400" w:type="dxa"/>
            <w:vAlign w:val="bottom"/>
          </w:tcPr>
          <w:p>
            <w:pPr>
              <w:ind w:left="240"/>
              <w:spacing w:after="0"/>
              <w:rPr>
                <w:sz w:val="20"/>
                <w:szCs w:val="20"/>
                <w:color w:val="auto"/>
              </w:rPr>
            </w:pPr>
            <w:r>
              <w:rPr>
                <w:rFonts w:ascii="Arial" w:cs="Arial" w:eastAsia="Arial" w:hAnsi="Arial"/>
                <w:sz w:val="14"/>
                <w:szCs w:val="14"/>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147,879</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147,879</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147,879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4"/>
                <w:szCs w:val="14"/>
                <w:color w:val="auto"/>
              </w:rPr>
              <w:t>Severance (4)</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9"/>
              </w:rPr>
              <w:t>—</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9"/>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856,954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4,640,625</w:t>
            </w:r>
          </w:p>
        </w:tc>
        <w:tc>
          <w:tcPr>
            <w:tcW w:w="0" w:type="dxa"/>
            <w:vAlign w:val="bottom"/>
          </w:tcPr>
          <w:p>
            <w:pPr>
              <w:spacing w:after="0"/>
              <w:rPr>
                <w:sz w:val="1"/>
                <w:szCs w:val="1"/>
                <w:color w:val="auto"/>
              </w:rPr>
            </w:pPr>
          </w:p>
        </w:tc>
      </w:tr>
      <w:tr>
        <w:trPr>
          <w:trHeight w:val="162"/>
        </w:trPr>
        <w:tc>
          <w:tcPr>
            <w:tcW w:w="2880" w:type="dxa"/>
            <w:vAlign w:val="bottom"/>
            <w:gridSpan w:val="2"/>
          </w:tcPr>
          <w:p>
            <w:pPr>
              <w:spacing w:after="0"/>
              <w:rPr>
                <w:sz w:val="20"/>
                <w:szCs w:val="20"/>
                <w:color w:val="auto"/>
              </w:rPr>
            </w:pPr>
            <w:r>
              <w:rPr>
                <w:rFonts w:ascii="Arial" w:cs="Arial" w:eastAsia="Arial" w:hAnsi="Arial"/>
                <w:sz w:val="14"/>
                <w:szCs w:val="14"/>
                <w:color w:val="auto"/>
              </w:rPr>
              <w:t>Benefit Continuation</w:t>
            </w:r>
          </w:p>
        </w:tc>
        <w:tc>
          <w:tcPr>
            <w:tcW w:w="5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400" w:type="dxa"/>
            <w:vAlign w:val="bottom"/>
          </w:tcPr>
          <w:p>
            <w:pPr>
              <w:ind w:left="240"/>
              <w:spacing w:after="0"/>
              <w:rPr>
                <w:sz w:val="20"/>
                <w:szCs w:val="20"/>
                <w:color w:val="auto"/>
              </w:rPr>
            </w:pPr>
            <w:r>
              <w:rPr>
                <w:rFonts w:ascii="Arial" w:cs="Arial" w:eastAsia="Arial" w:hAnsi="Arial"/>
                <w:sz w:val="14"/>
                <w:szCs w:val="14"/>
                <w:color w:val="auto"/>
                <w:w w:val="99"/>
              </w:rPr>
              <w:t>—</w:t>
            </w:r>
          </w:p>
        </w:tc>
        <w:tc>
          <w:tcPr>
            <w:tcW w:w="5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400" w:type="dxa"/>
            <w:vAlign w:val="bottom"/>
          </w:tcPr>
          <w:p>
            <w:pPr>
              <w:ind w:left="240"/>
              <w:spacing w:after="0"/>
              <w:rPr>
                <w:sz w:val="20"/>
                <w:szCs w:val="20"/>
                <w:color w:val="auto"/>
              </w:rPr>
            </w:pPr>
            <w:r>
              <w:rPr>
                <w:rFonts w:ascii="Arial" w:cs="Arial" w:eastAsia="Arial" w:hAnsi="Arial"/>
                <w:sz w:val="14"/>
                <w:szCs w:val="14"/>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57,386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4"/>
                <w:szCs w:val="14"/>
                <w:color w:val="auto"/>
              </w:rPr>
              <w:t>Accelerated RSUs (5)</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9"/>
              </w:rPr>
              <w:t>—</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9"/>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1,314,047</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1,314,047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1,314,047</w:t>
            </w:r>
          </w:p>
        </w:tc>
        <w:tc>
          <w:tcPr>
            <w:tcW w:w="0" w:type="dxa"/>
            <w:vAlign w:val="bottom"/>
          </w:tcPr>
          <w:p>
            <w:pPr>
              <w:spacing w:after="0"/>
              <w:rPr>
                <w:sz w:val="1"/>
                <w:szCs w:val="1"/>
                <w:color w:val="auto"/>
              </w:rPr>
            </w:pPr>
          </w:p>
        </w:tc>
      </w:tr>
      <w:tr>
        <w:trPr>
          <w:trHeight w:val="177"/>
        </w:trPr>
        <w:tc>
          <w:tcPr>
            <w:tcW w:w="2880" w:type="dxa"/>
            <w:vAlign w:val="bottom"/>
            <w:gridSpan w:val="2"/>
          </w:tcPr>
          <w:p>
            <w:pPr>
              <w:spacing w:after="0"/>
              <w:rPr>
                <w:sz w:val="20"/>
                <w:szCs w:val="20"/>
                <w:color w:val="auto"/>
              </w:rPr>
            </w:pPr>
            <w:r>
              <w:rPr>
                <w:rFonts w:ascii="Arial" w:cs="Arial" w:eastAsia="Arial" w:hAnsi="Arial"/>
                <w:sz w:val="14"/>
                <w:szCs w:val="14"/>
                <w:color w:val="auto"/>
              </w:rPr>
              <w:t>Accelerated Performance RSUs (PRSUs) (6)</w:t>
            </w:r>
          </w:p>
        </w:tc>
        <w:tc>
          <w:tcPr>
            <w:tcW w:w="5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400" w:type="dxa"/>
            <w:vAlign w:val="bottom"/>
          </w:tcPr>
          <w:p>
            <w:pPr>
              <w:ind w:left="240"/>
              <w:spacing w:after="0"/>
              <w:rPr>
                <w:sz w:val="20"/>
                <w:szCs w:val="20"/>
                <w:color w:val="auto"/>
              </w:rPr>
            </w:pPr>
            <w:r>
              <w:rPr>
                <w:rFonts w:ascii="Arial" w:cs="Arial" w:eastAsia="Arial" w:hAnsi="Arial"/>
                <w:sz w:val="14"/>
                <w:szCs w:val="14"/>
                <w:color w:val="auto"/>
                <w:w w:val="99"/>
              </w:rPr>
              <w:t>—</w:t>
            </w:r>
          </w:p>
        </w:tc>
        <w:tc>
          <w:tcPr>
            <w:tcW w:w="5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400" w:type="dxa"/>
            <w:vAlign w:val="bottom"/>
          </w:tcPr>
          <w:p>
            <w:pPr>
              <w:ind w:left="240"/>
              <w:spacing w:after="0"/>
              <w:rPr>
                <w:sz w:val="20"/>
                <w:szCs w:val="20"/>
                <w:color w:val="auto"/>
              </w:rPr>
            </w:pPr>
            <w:r>
              <w:rPr>
                <w:rFonts w:ascii="Arial" w:cs="Arial" w:eastAsia="Arial" w:hAnsi="Arial"/>
                <w:sz w:val="14"/>
                <w:szCs w:val="14"/>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3,569,024</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3,569,024</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1,954,165</w:t>
            </w:r>
          </w:p>
        </w:tc>
        <w:tc>
          <w:tcPr>
            <w:tcW w:w="3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1,178,566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76200</wp:posOffset>
            </wp:positionV>
            <wp:extent cx="7632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5" w:lineRule="exact"/>
        <w:rPr>
          <w:sz w:val="20"/>
          <w:szCs w:val="20"/>
          <w:color w:val="auto"/>
        </w:rPr>
      </w:pPr>
    </w:p>
    <w:p>
      <w:pPr>
        <w:ind w:left="740" w:right="120" w:hanging="428"/>
        <w:spacing w:after="0" w:line="215" w:lineRule="auto"/>
        <w:tabs>
          <w:tab w:leader="none" w:pos="740" w:val="left"/>
        </w:tabs>
        <w:numPr>
          <w:ilvl w:val="0"/>
          <w:numId w:val="59"/>
        </w:numPr>
        <w:rPr>
          <w:rFonts w:ascii="Arial" w:cs="Arial" w:eastAsia="Arial" w:hAnsi="Arial"/>
          <w:sz w:val="24"/>
          <w:szCs w:val="24"/>
          <w:color w:val="auto"/>
          <w:vertAlign w:val="superscript"/>
        </w:rPr>
      </w:pPr>
      <w:r>
        <w:rPr>
          <w:rFonts w:ascii="Arial" w:cs="Arial" w:eastAsia="Arial" w:hAnsi="Arial"/>
          <w:sz w:val="14"/>
          <w:szCs w:val="14"/>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2.5 times the sum of the executive’s base salary and target annual bonus. Each form of payment is mutually exclusive based on the individual circumstances or events and therefore represents a single payment and should not be added together.</w:t>
      </w:r>
    </w:p>
    <w:p>
      <w:pPr>
        <w:spacing w:after="0" w:line="4" w:lineRule="exact"/>
        <w:rPr>
          <w:rFonts w:ascii="Arial" w:cs="Arial" w:eastAsia="Arial" w:hAnsi="Arial"/>
          <w:sz w:val="24"/>
          <w:szCs w:val="24"/>
          <w:color w:val="auto"/>
          <w:vertAlign w:val="superscript"/>
        </w:rPr>
      </w:pPr>
    </w:p>
    <w:p>
      <w:pPr>
        <w:ind w:left="740" w:right="80" w:hanging="428"/>
        <w:spacing w:after="0" w:line="182" w:lineRule="auto"/>
        <w:tabs>
          <w:tab w:leader="none" w:pos="740" w:val="left"/>
        </w:tabs>
        <w:numPr>
          <w:ilvl w:val="0"/>
          <w:numId w:val="59"/>
        </w:numPr>
        <w:rPr>
          <w:rFonts w:ascii="Arial" w:cs="Arial" w:eastAsia="Arial" w:hAnsi="Arial"/>
          <w:sz w:val="23"/>
          <w:szCs w:val="23"/>
          <w:color w:val="auto"/>
          <w:vertAlign w:val="superscript"/>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The annual incentive plan did not pay out in 2018, so the value represents the target bonus opportunity.</w:t>
      </w:r>
    </w:p>
    <w:p>
      <w:pPr>
        <w:spacing w:after="0" w:line="1" w:lineRule="exact"/>
        <w:rPr>
          <w:rFonts w:ascii="Arial" w:cs="Arial" w:eastAsia="Arial" w:hAnsi="Arial"/>
          <w:sz w:val="23"/>
          <w:szCs w:val="23"/>
          <w:color w:val="auto"/>
          <w:vertAlign w:val="superscript"/>
        </w:rPr>
      </w:pPr>
    </w:p>
    <w:p>
      <w:pPr>
        <w:ind w:left="740" w:right="40" w:hanging="428"/>
        <w:spacing w:after="0" w:line="215" w:lineRule="auto"/>
        <w:tabs>
          <w:tab w:leader="none" w:pos="740" w:val="left"/>
        </w:tabs>
        <w:numPr>
          <w:ilvl w:val="0"/>
          <w:numId w:val="59"/>
        </w:numPr>
        <w:rPr>
          <w:rFonts w:ascii="Arial" w:cs="Arial" w:eastAsia="Arial" w:hAnsi="Arial"/>
          <w:sz w:val="24"/>
          <w:szCs w:val="24"/>
          <w:color w:val="auto"/>
          <w:vertAlign w:val="superscript"/>
        </w:rPr>
      </w:pPr>
      <w:r>
        <w:rPr>
          <w:rFonts w:ascii="Arial" w:cs="Arial" w:eastAsia="Arial" w:hAnsi="Arial"/>
          <w:sz w:val="14"/>
          <w:szCs w:val="14"/>
          <w:color w:val="auto"/>
        </w:rPr>
        <w:t>Represents in-the-money value of accelerated stock options based on the closing price of our common stock on December 31, 2018 ($47.29). For the awards in fiscal 2017, upon a termination due to retirement after the second anniversary of the grant date, stock options will continue to vest subject to non-compete/non-solicit and reasonable notice restrictions. For the awards in fiscal 2018, upon a termination due to retirement after 18 months from the grant date, stock options will continue to vest subject to non-compete/non-solicit and reasonable notice restrictions. 2017 and 2018 awards are assumed forfeited, as retirement at December 31, 2018 is before the second anniversary and 18 months from the grant date, respectively. Upon a change-in-control, stock options will accelerate only if they are not assumed or substituted, and otherwise provide for a double trigger; values presume that the acquirer assumes outstanding stock options.</w:t>
      </w:r>
    </w:p>
    <w:p>
      <w:pPr>
        <w:spacing w:after="0" w:line="4" w:lineRule="exact"/>
        <w:rPr>
          <w:rFonts w:ascii="Arial" w:cs="Arial" w:eastAsia="Arial" w:hAnsi="Arial"/>
          <w:sz w:val="24"/>
          <w:szCs w:val="24"/>
          <w:color w:val="auto"/>
          <w:vertAlign w:val="superscript"/>
        </w:rPr>
      </w:pPr>
    </w:p>
    <w:p>
      <w:pPr>
        <w:ind w:left="740" w:right="80" w:hanging="428"/>
        <w:spacing w:after="0" w:line="195" w:lineRule="auto"/>
        <w:tabs>
          <w:tab w:leader="none" w:pos="740" w:val="left"/>
        </w:tabs>
        <w:numPr>
          <w:ilvl w:val="0"/>
          <w:numId w:val="59"/>
        </w:numPr>
        <w:rPr>
          <w:rFonts w:ascii="Arial" w:cs="Arial" w:eastAsia="Arial" w:hAnsi="Arial"/>
          <w:sz w:val="24"/>
          <w:szCs w:val="24"/>
          <w:color w:val="auto"/>
          <w:vertAlign w:val="superscript"/>
        </w:rPr>
      </w:pPr>
      <w:r>
        <w:rPr>
          <w:rFonts w:ascii="Arial" w:cs="Arial" w:eastAsia="Arial" w:hAnsi="Arial"/>
          <w:sz w:val="14"/>
          <w:szCs w:val="14"/>
          <w:color w:val="auto"/>
        </w:rPr>
        <w:t>Effective April 29, 2014, the Executive Officer Severance Pay Policy provides an executive officer, who is terminated involuntarily, a severance payment equal to 1 times base salary plus one year of continued benefits and outplacement. The change-in-control agreements provide for a severance payment equal to 2.5 times the sum of base salary and target annual bonus.</w:t>
      </w:r>
    </w:p>
    <w:p>
      <w:pPr>
        <w:ind w:left="740" w:right="20" w:hanging="428"/>
        <w:spacing w:after="0" w:line="218" w:lineRule="auto"/>
        <w:tabs>
          <w:tab w:leader="none" w:pos="740" w:val="left"/>
        </w:tabs>
        <w:numPr>
          <w:ilvl w:val="0"/>
          <w:numId w:val="59"/>
        </w:numPr>
        <w:rPr>
          <w:rFonts w:ascii="Arial" w:cs="Arial" w:eastAsia="Arial" w:hAnsi="Arial"/>
          <w:sz w:val="24"/>
          <w:szCs w:val="24"/>
          <w:color w:val="auto"/>
          <w:vertAlign w:val="superscript"/>
        </w:rPr>
      </w:pPr>
      <w:r>
        <w:rPr>
          <w:rFonts w:ascii="Arial" w:cs="Arial" w:eastAsia="Arial" w:hAnsi="Arial"/>
          <w:sz w:val="14"/>
          <w:szCs w:val="14"/>
          <w:color w:val="auto"/>
        </w:rPr>
        <w:t>For the time-vested RSUs, upon termination due to death or disability, represents the accelerated value of the RSUs based on the closing price of our common stock on December 31, 2018 ($47.29). For the awards in fiscal 2017, upon a termination due to retirement after the second anniversary of the grant date, RSUs will continue to vest subject to non-compete/non-solicit and reasonable notice restrictions. For the awards in fiscal 2018, upon a termination due to retirement after 18 months from the grant date, RSUs will continue to vest subject to non-compete/non-solicit and reasonable notice restrictions. 2017 and 2018 awards are assumed forfeited, as retirement at December 31, 2018 is before the second and 18 months from the grant date, respectively. Upon a change-in-control only (single trigger), RSUs that are not assumed by an acquirer will accelerate; values presume that the acquirer assumes applicable outstanding RSUs.</w:t>
      </w:r>
    </w:p>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240" w:top="459" w:right="4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740" w:right="100" w:hanging="428"/>
        <w:spacing w:after="0" w:line="230" w:lineRule="auto"/>
        <w:tabs>
          <w:tab w:leader="none" w:pos="740" w:val="left"/>
        </w:tabs>
        <w:numPr>
          <w:ilvl w:val="0"/>
          <w:numId w:val="60"/>
        </w:numPr>
        <w:rPr>
          <w:rFonts w:ascii="Arial" w:cs="Arial" w:eastAsia="Arial" w:hAnsi="Arial"/>
          <w:sz w:val="24"/>
          <w:szCs w:val="24"/>
          <w:color w:val="auto"/>
          <w:vertAlign w:val="superscript"/>
        </w:rPr>
      </w:pPr>
      <w:r>
        <w:rPr>
          <w:rFonts w:ascii="Arial" w:cs="Arial" w:eastAsia="Arial" w:hAnsi="Arial"/>
          <w:sz w:val="14"/>
          <w:szCs w:val="14"/>
          <w:color w:val="auto"/>
        </w:rPr>
        <w:t>Upon a termination due to death or disability, awards will vest based on actual performance at the conclusion of the performance periods. For the awards granted in 2016, awards will vest on a pro-rated basis based on the number of days employed during the performance period. For the awards granted in fiscal 2017 and fiscal 2018, shares continue to vest through the year of death and disability and all unvested shares are accelerated. Fiscal 2017 values assume target performance will be achieved, while fiscal 2018 values assume threshold performance will be achieved. For the awards granted in fiscal 2017, upon a termination due to retirement after the second anniversary of the grant date, awards will vest in full based on actual performance at the end of the performance period (no pro-rated payout). For the awards granted in fiscal 2018, upon a termination due to retirement after 18 months from the grant date, awards will vest in full based on actual performance at the end of the performance period (no pro-rated payout). 2017 and 2018 awards are assumed forfeited, as retirement at December 31, 2018 is before the second anniversary and 18 months from the grant date, respectively. Pursuant to our award agreements with this executive the PRSUs outstanding as of the change-in-control will be vested at the greater of target or actual performance for the year,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As of December 31, 2018, two three-year performance cycles (2017-2019 and 2018-2020) are not yet complete and target payouts are used. For the 2016-2018 performance cycle, actual payouts were greater than target. Upon a termination following a change-in-control, value represents the incremental difference in values between target and actual performance (e.g. no value for cycles where actual payouts are greater than or equal to target amounts). Values are based on the closing price of our common stock on December 31, 2018 ($47.29).</w:t>
      </w:r>
    </w:p>
    <w:p>
      <w:pPr>
        <w:spacing w:after="0" w:line="188" w:lineRule="exact"/>
        <w:rPr>
          <w:sz w:val="20"/>
          <w:szCs w:val="20"/>
          <w:color w:val="auto"/>
        </w:rPr>
      </w:pPr>
    </w:p>
    <w:p>
      <w:pPr>
        <w:jc w:val="center"/>
        <w:ind w:right="-139"/>
        <w:spacing w:after="0"/>
        <w:rPr>
          <w:sz w:val="20"/>
          <w:szCs w:val="20"/>
          <w:color w:val="auto"/>
        </w:rPr>
      </w:pPr>
      <w:r>
        <w:rPr>
          <w:rFonts w:ascii="Arial" w:cs="Arial" w:eastAsia="Arial" w:hAnsi="Arial"/>
          <w:sz w:val="13"/>
          <w:szCs w:val="13"/>
          <w:b w:val="1"/>
          <w:bCs w:val="1"/>
          <w:color w:val="auto"/>
        </w:rPr>
        <w:t>Summary of Termination Payments</w:t>
      </w:r>
    </w:p>
    <w:p>
      <w:pPr>
        <w:spacing w:after="0" w:line="2" w:lineRule="exact"/>
        <w:rPr>
          <w:sz w:val="20"/>
          <w:szCs w:val="20"/>
          <w:color w:val="auto"/>
        </w:rPr>
      </w:pPr>
    </w:p>
    <w:p>
      <w:pPr>
        <w:jc w:val="center"/>
        <w:ind w:right="-139"/>
        <w:spacing w:after="0"/>
        <w:rPr>
          <w:sz w:val="20"/>
          <w:szCs w:val="20"/>
          <w:color w:val="auto"/>
        </w:rPr>
      </w:pPr>
      <w:r>
        <w:rPr>
          <w:rFonts w:ascii="Arial" w:cs="Arial" w:eastAsia="Arial" w:hAnsi="Arial"/>
          <w:sz w:val="13"/>
          <w:szCs w:val="13"/>
          <w:b w:val="1"/>
          <w:bCs w:val="1"/>
          <w:color w:val="auto"/>
        </w:rPr>
        <w:t>Thomas Deitrich</w:t>
      </w:r>
    </w:p>
    <w:p>
      <w:pPr>
        <w:spacing w:after="0" w:line="3" w:lineRule="exact"/>
        <w:rPr>
          <w:sz w:val="20"/>
          <w:szCs w:val="20"/>
          <w:color w:val="auto"/>
        </w:rPr>
      </w:pPr>
    </w:p>
    <w:tbl>
      <w:tblPr>
        <w:tblLayout w:type="fixed"/>
        <w:tblInd w:w="20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32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jc w:val="center"/>
              <w:ind w:right="73"/>
              <w:spacing w:after="0" w:line="109" w:lineRule="exact"/>
              <w:rPr>
                <w:sz w:val="20"/>
                <w:szCs w:val="20"/>
                <w:color w:val="auto"/>
              </w:rPr>
            </w:pPr>
            <w:r>
              <w:rPr>
                <w:rFonts w:ascii="Arial" w:cs="Arial" w:eastAsia="Arial" w:hAnsi="Arial"/>
                <w:sz w:val="12"/>
                <w:szCs w:val="12"/>
                <w:b w:val="1"/>
                <w:bCs w:val="1"/>
                <w:color w:val="auto"/>
              </w:rPr>
              <w:t>Termination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220"/>
              <w:spacing w:after="0" w:line="135" w:lineRule="exact"/>
              <w:rPr>
                <w:sz w:val="20"/>
                <w:szCs w:val="20"/>
                <w:color w:val="auto"/>
              </w:rPr>
            </w:pPr>
            <w:r>
              <w:rPr>
                <w:rFonts w:ascii="Arial" w:cs="Arial" w:eastAsia="Arial" w:hAnsi="Arial"/>
                <w:sz w:val="13"/>
                <w:szCs w:val="13"/>
                <w:b w:val="1"/>
                <w:bCs w:val="1"/>
                <w:color w:val="auto"/>
                <w:w w:val="98"/>
              </w:rPr>
              <w:t>Without Cause or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by Executive for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right="93"/>
              <w:spacing w:after="0" w:line="135" w:lineRule="exact"/>
              <w:rPr>
                <w:sz w:val="20"/>
                <w:szCs w:val="20"/>
                <w:color w:val="auto"/>
              </w:rPr>
            </w:pPr>
            <w:r>
              <w:rPr>
                <w:rFonts w:ascii="Arial" w:cs="Arial" w:eastAsia="Arial" w:hAnsi="Arial"/>
                <w:sz w:val="13"/>
                <w:szCs w:val="13"/>
                <w:b w:val="1"/>
                <w:bCs w:val="1"/>
                <w:color w:val="auto"/>
                <w:w w:val="96"/>
              </w:rPr>
              <w:t>Good Reason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3"/>
          </w:tcPr>
          <w:p>
            <w:pPr>
              <w:ind w:left="200"/>
              <w:spacing w:after="0" w:line="135" w:lineRule="exact"/>
              <w:rPr>
                <w:sz w:val="20"/>
                <w:szCs w:val="20"/>
                <w:color w:val="auto"/>
              </w:rPr>
            </w:pPr>
            <w:r>
              <w:rPr>
                <w:rFonts w:ascii="Arial" w:cs="Arial" w:eastAsia="Arial" w:hAnsi="Arial"/>
                <w:sz w:val="13"/>
                <w:szCs w:val="13"/>
                <w:b w:val="1"/>
                <w:bCs w:val="1"/>
                <w:color w:val="auto"/>
                <w:w w:val="94"/>
              </w:rPr>
              <w:t>Termination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right="73"/>
              <w:spacing w:after="0" w:line="135" w:lineRule="exact"/>
              <w:rPr>
                <w:sz w:val="20"/>
                <w:szCs w:val="20"/>
                <w:color w:val="auto"/>
              </w:rPr>
            </w:pPr>
            <w:r>
              <w:rPr>
                <w:rFonts w:ascii="Arial" w:cs="Arial" w:eastAsia="Arial" w:hAnsi="Arial"/>
                <w:sz w:val="13"/>
                <w:szCs w:val="13"/>
                <w:b w:val="1"/>
                <w:bCs w:val="1"/>
                <w:color w:val="auto"/>
                <w:w w:val="95"/>
              </w:rPr>
              <w:t>Following a</w:t>
            </w:r>
          </w:p>
        </w:tc>
        <w:tc>
          <w:tcPr>
            <w:tcW w:w="0" w:type="dxa"/>
            <w:vAlign w:val="bottom"/>
          </w:tcPr>
          <w:p>
            <w:pPr>
              <w:spacing w:after="0"/>
              <w:rPr>
                <w:sz w:val="1"/>
                <w:szCs w:val="1"/>
                <w:color w:val="auto"/>
              </w:rPr>
            </w:pPr>
          </w:p>
        </w:tc>
      </w:tr>
      <w:tr>
        <w:trPr>
          <w:trHeight w:val="135"/>
        </w:trPr>
        <w:tc>
          <w:tcPr>
            <w:tcW w:w="32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Executive Benefits (1)</w:t>
            </w:r>
          </w:p>
        </w:tc>
        <w:tc>
          <w:tcPr>
            <w:tcW w:w="880" w:type="dxa"/>
            <w:vAlign w:val="bottom"/>
            <w:gridSpan w:val="3"/>
          </w:tcPr>
          <w:p>
            <w:pPr>
              <w:ind w:left="160"/>
              <w:spacing w:after="0" w:line="135" w:lineRule="exact"/>
              <w:rPr>
                <w:sz w:val="20"/>
                <w:szCs w:val="20"/>
                <w:color w:val="auto"/>
              </w:rPr>
            </w:pPr>
            <w:r>
              <w:rPr>
                <w:rFonts w:ascii="Arial" w:cs="Arial" w:eastAsia="Arial" w:hAnsi="Arial"/>
                <w:sz w:val="13"/>
                <w:szCs w:val="13"/>
                <w:b w:val="1"/>
                <w:bCs w:val="1"/>
                <w:color w:val="auto"/>
                <w:w w:val="94"/>
              </w:rPr>
              <w:t>Termination</w:t>
            </w:r>
          </w:p>
        </w:tc>
        <w:tc>
          <w:tcPr>
            <w:tcW w:w="2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Voluntary</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50"/>
              <w:spacing w:after="0" w:line="135" w:lineRule="exact"/>
              <w:rPr>
                <w:sz w:val="20"/>
                <w:szCs w:val="20"/>
                <w:color w:val="auto"/>
              </w:rPr>
            </w:pPr>
            <w:r>
              <w:rPr>
                <w:rFonts w:ascii="Arial" w:cs="Arial" w:eastAsia="Arial" w:hAnsi="Arial"/>
                <w:sz w:val="13"/>
                <w:szCs w:val="13"/>
                <w:b w:val="1"/>
                <w:bCs w:val="1"/>
                <w:color w:val="auto"/>
                <w:w w:val="99"/>
              </w:rPr>
              <w:t>Without</w:t>
            </w:r>
          </w:p>
        </w:tc>
        <w:tc>
          <w:tcPr>
            <w:tcW w:w="880" w:type="dxa"/>
            <w:vAlign w:val="bottom"/>
            <w:gridSpan w:val="3"/>
          </w:tcPr>
          <w:p>
            <w:pPr>
              <w:ind w:left="220"/>
              <w:spacing w:after="0" w:line="135" w:lineRule="exact"/>
              <w:rPr>
                <w:sz w:val="20"/>
                <w:szCs w:val="20"/>
                <w:color w:val="auto"/>
              </w:rPr>
            </w:pPr>
            <w:r>
              <w:rPr>
                <w:rFonts w:ascii="Arial" w:cs="Arial" w:eastAsia="Arial" w:hAnsi="Arial"/>
                <w:sz w:val="13"/>
                <w:szCs w:val="13"/>
                <w:b w:val="1"/>
                <w:bCs w:val="1"/>
                <w:color w:val="auto"/>
                <w:w w:val="94"/>
              </w:rPr>
              <w:t>Change-in-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right="93"/>
              <w:spacing w:after="0" w:line="135" w:lineRule="exact"/>
              <w:rPr>
                <w:sz w:val="20"/>
                <w:szCs w:val="20"/>
                <w:color w:val="auto"/>
              </w:rPr>
            </w:pPr>
            <w:r>
              <w:rPr>
                <w:rFonts w:ascii="Arial" w:cs="Arial" w:eastAsia="Arial" w:hAnsi="Arial"/>
                <w:sz w:val="13"/>
                <w:szCs w:val="13"/>
                <w:b w:val="1"/>
                <w:bCs w:val="1"/>
                <w:color w:val="auto"/>
                <w:w w:val="97"/>
              </w:rPr>
              <w:t>Change-in-</w:t>
            </w:r>
          </w:p>
        </w:tc>
        <w:tc>
          <w:tcPr>
            <w:tcW w:w="0" w:type="dxa"/>
            <w:vAlign w:val="bottom"/>
          </w:tcPr>
          <w:p>
            <w:pPr>
              <w:spacing w:after="0"/>
              <w:rPr>
                <w:sz w:val="1"/>
                <w:szCs w:val="1"/>
                <w:color w:val="auto"/>
              </w:rPr>
            </w:pPr>
          </w:p>
        </w:tc>
      </w:tr>
      <w:tr>
        <w:trPr>
          <w:trHeight w:val="157"/>
        </w:trPr>
        <w:tc>
          <w:tcPr>
            <w:tcW w:w="32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for Cause</w:t>
            </w:r>
          </w:p>
        </w:tc>
        <w:tc>
          <w:tcPr>
            <w:tcW w:w="940" w:type="dxa"/>
            <w:vAlign w:val="bottom"/>
            <w:gridSpan w:val="3"/>
          </w:tcPr>
          <w:p>
            <w:pPr>
              <w:ind w:left="220"/>
              <w:spacing w:after="0"/>
              <w:rPr>
                <w:sz w:val="20"/>
                <w:szCs w:val="20"/>
                <w:color w:val="auto"/>
              </w:rPr>
            </w:pPr>
            <w:r>
              <w:rPr>
                <w:rFonts w:ascii="Arial" w:cs="Arial" w:eastAsia="Arial" w:hAnsi="Arial"/>
                <w:sz w:val="13"/>
                <w:szCs w:val="13"/>
                <w:b w:val="1"/>
                <w:bCs w:val="1"/>
                <w:color w:val="auto"/>
                <w:w w:val="94"/>
              </w:rPr>
              <w:t>Termination</w:t>
            </w:r>
          </w:p>
        </w:tc>
        <w:tc>
          <w:tcPr>
            <w:tcW w:w="280" w:type="dxa"/>
            <w:vAlign w:val="bottom"/>
          </w:tcPr>
          <w:p>
            <w:pPr>
              <w:spacing w:after="0"/>
              <w:rPr>
                <w:sz w:val="13"/>
                <w:szCs w:val="13"/>
                <w:color w:val="auto"/>
              </w:rPr>
            </w:pPr>
          </w:p>
        </w:tc>
        <w:tc>
          <w:tcPr>
            <w:tcW w:w="660" w:type="dxa"/>
            <w:vAlign w:val="bottom"/>
          </w:tcPr>
          <w:p>
            <w:pPr>
              <w:jc w:val="right"/>
              <w:ind w:right="129"/>
              <w:spacing w:after="0"/>
              <w:rPr>
                <w:sz w:val="20"/>
                <w:szCs w:val="20"/>
                <w:color w:val="auto"/>
              </w:rPr>
            </w:pPr>
            <w:r>
              <w:rPr>
                <w:rFonts w:ascii="Arial" w:cs="Arial" w:eastAsia="Arial" w:hAnsi="Arial"/>
                <w:sz w:val="13"/>
                <w:szCs w:val="13"/>
                <w:b w:val="1"/>
                <w:bCs w:val="1"/>
                <w:color w:val="auto"/>
              </w:rPr>
              <w:t>Death</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9"/>
              <w:spacing w:after="0"/>
              <w:rPr>
                <w:sz w:val="20"/>
                <w:szCs w:val="20"/>
                <w:color w:val="auto"/>
              </w:rPr>
            </w:pPr>
            <w:r>
              <w:rPr>
                <w:rFonts w:ascii="Arial" w:cs="Arial" w:eastAsia="Arial" w:hAnsi="Arial"/>
                <w:sz w:val="13"/>
                <w:szCs w:val="13"/>
                <w:b w:val="1"/>
                <w:bCs w:val="1"/>
                <w:color w:val="auto"/>
                <w:w w:val="93"/>
              </w:rPr>
              <w:t>Disability</w:t>
            </w:r>
          </w:p>
        </w:tc>
        <w:tc>
          <w:tcPr>
            <w:tcW w:w="22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Retirement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110"/>
              <w:spacing w:after="0"/>
              <w:rPr>
                <w:sz w:val="20"/>
                <w:szCs w:val="20"/>
                <w:color w:val="auto"/>
              </w:rPr>
            </w:pPr>
            <w:r>
              <w:rPr>
                <w:rFonts w:ascii="Arial" w:cs="Arial" w:eastAsia="Arial" w:hAnsi="Arial"/>
                <w:sz w:val="13"/>
                <w:szCs w:val="13"/>
                <w:b w:val="1"/>
                <w:bCs w:val="1"/>
                <w:color w:val="auto"/>
              </w:rPr>
              <w:t>Cause</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49"/>
              <w:spacing w:after="0"/>
              <w:rPr>
                <w:sz w:val="20"/>
                <w:szCs w:val="20"/>
                <w:color w:val="auto"/>
              </w:rPr>
            </w:pPr>
            <w:r>
              <w:rPr>
                <w:rFonts w:ascii="Arial" w:cs="Arial" w:eastAsia="Arial" w:hAnsi="Arial"/>
                <w:sz w:val="13"/>
                <w:szCs w:val="13"/>
                <w:b w:val="1"/>
                <w:bCs w:val="1"/>
                <w:color w:val="auto"/>
                <w:w w:val="95"/>
              </w:rPr>
              <w:t>Control</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ind w:right="73"/>
              <w:spacing w:after="0"/>
              <w:rPr>
                <w:sz w:val="20"/>
                <w:szCs w:val="20"/>
                <w:color w:val="auto"/>
              </w:rPr>
            </w:pPr>
            <w:r>
              <w:rPr>
                <w:rFonts w:ascii="Arial" w:cs="Arial" w:eastAsia="Arial" w:hAnsi="Arial"/>
                <w:sz w:val="13"/>
                <w:szCs w:val="13"/>
                <w:b w:val="1"/>
                <w:bCs w:val="1"/>
                <w:color w:val="auto"/>
                <w:w w:val="95"/>
              </w:rPr>
              <w:t>Control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2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Annual Incentive (2)</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60"/>
              <w:spacing w:after="0" w:line="155" w:lineRule="exact"/>
              <w:rPr>
                <w:sz w:val="20"/>
                <w:szCs w:val="20"/>
                <w:color w:val="auto"/>
              </w:rPr>
            </w:pPr>
            <w:r>
              <w:rPr>
                <w:rFonts w:ascii="Arial" w:cs="Arial" w:eastAsia="Arial" w:hAnsi="Arial"/>
                <w:sz w:val="14"/>
                <w:szCs w:val="14"/>
                <w:color w:val="auto"/>
                <w:w w:val="85"/>
              </w:rPr>
              <w:t>—</w:t>
            </w:r>
          </w:p>
        </w:tc>
        <w:tc>
          <w:tcPr>
            <w:tcW w:w="540" w:type="dxa"/>
            <w:vAlign w:val="bottom"/>
            <w:gridSpan w:val="2"/>
            <w:shd w:val="clear" w:color="auto" w:fill="CCEEFF"/>
          </w:tcPr>
          <w:p>
            <w:pPr>
              <w:ind w:left="220"/>
              <w:spacing w:after="0" w:line="155"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40"/>
              <w:spacing w:after="0" w:line="155" w:lineRule="exact"/>
              <w:rPr>
                <w:sz w:val="20"/>
                <w:szCs w:val="20"/>
                <w:color w:val="auto"/>
              </w:rPr>
            </w:pPr>
            <w:r>
              <w:rPr>
                <w:rFonts w:ascii="Arial" w:cs="Arial" w:eastAsia="Arial" w:hAnsi="Arial"/>
                <w:sz w:val="14"/>
                <w:szCs w:val="14"/>
                <w:color w:val="auto"/>
                <w:w w:val="99"/>
              </w:rPr>
              <w:t>—</w:t>
            </w:r>
          </w:p>
        </w:tc>
        <w:tc>
          <w:tcPr>
            <w:tcW w:w="280" w:type="dxa"/>
            <w:vAlign w:val="bottom"/>
            <w:tcBorders>
              <w:right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00"/>
              <w:spacing w:after="0" w:line="155"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550,000</w:t>
            </w:r>
          </w:p>
        </w:tc>
        <w:tc>
          <w:tcPr>
            <w:tcW w:w="300" w:type="dxa"/>
            <w:vAlign w:val="bottom"/>
            <w:gridSpan w:val="2"/>
            <w:shd w:val="clear" w:color="auto" w:fill="CCEEFF"/>
          </w:tcPr>
          <w:p>
            <w:pPr>
              <w:ind w:left="220"/>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right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550,000</w:t>
            </w:r>
          </w:p>
        </w:tc>
        <w:tc>
          <w:tcPr>
            <w:tcW w:w="0" w:type="dxa"/>
            <w:vAlign w:val="bottom"/>
          </w:tcPr>
          <w:p>
            <w:pPr>
              <w:spacing w:after="0"/>
              <w:rPr>
                <w:sz w:val="1"/>
                <w:szCs w:val="1"/>
                <w:color w:val="auto"/>
              </w:rPr>
            </w:pPr>
          </w:p>
        </w:tc>
      </w:tr>
      <w:tr>
        <w:trPr>
          <w:trHeight w:val="162"/>
        </w:trPr>
        <w:tc>
          <w:tcPr>
            <w:tcW w:w="3260" w:type="dxa"/>
            <w:vAlign w:val="bottom"/>
            <w:gridSpan w:val="2"/>
          </w:tcPr>
          <w:p>
            <w:pPr>
              <w:spacing w:after="0"/>
              <w:rPr>
                <w:sz w:val="20"/>
                <w:szCs w:val="20"/>
                <w:color w:val="auto"/>
              </w:rPr>
            </w:pPr>
            <w:r>
              <w:rPr>
                <w:rFonts w:ascii="Arial" w:cs="Arial" w:eastAsia="Arial" w:hAnsi="Arial"/>
                <w:sz w:val="14"/>
                <w:szCs w:val="14"/>
                <w:color w:val="auto"/>
              </w:rPr>
              <w:t>Accelerated Stock Options (3)</w:t>
            </w:r>
          </w:p>
        </w:tc>
        <w:tc>
          <w:tcPr>
            <w:tcW w:w="4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400" w:type="dxa"/>
            <w:vAlign w:val="bottom"/>
          </w:tcPr>
          <w:p>
            <w:pPr>
              <w:ind w:left="260"/>
              <w:spacing w:after="0"/>
              <w:rPr>
                <w:sz w:val="20"/>
                <w:szCs w:val="20"/>
                <w:color w:val="auto"/>
              </w:rPr>
            </w:pPr>
            <w:r>
              <w:rPr>
                <w:rFonts w:ascii="Arial" w:cs="Arial" w:eastAsia="Arial" w:hAnsi="Arial"/>
                <w:sz w:val="14"/>
                <w:szCs w:val="14"/>
                <w:color w:val="auto"/>
                <w:w w:val="85"/>
              </w:rPr>
              <w:t>—</w:t>
            </w:r>
          </w:p>
        </w:tc>
        <w:tc>
          <w:tcPr>
            <w:tcW w:w="5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400" w:type="dxa"/>
            <w:vAlign w:val="bottom"/>
          </w:tcPr>
          <w:p>
            <w:pPr>
              <w:ind w:left="240"/>
              <w:spacing w:after="0"/>
              <w:rPr>
                <w:sz w:val="20"/>
                <w:szCs w:val="20"/>
                <w:color w:val="auto"/>
              </w:rPr>
            </w:pPr>
            <w:r>
              <w:rPr>
                <w:rFonts w:ascii="Arial" w:cs="Arial" w:eastAsia="Arial" w:hAnsi="Arial"/>
                <w:sz w:val="14"/>
                <w:szCs w:val="14"/>
                <w:color w:val="auto"/>
                <w:w w:val="99"/>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91,608</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91,608</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91,608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4"/>
                <w:szCs w:val="14"/>
                <w:color w:val="auto"/>
              </w:rPr>
              <w:t>Severance (4)</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9"/>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585,904</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76"/>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2,750,000</w:t>
            </w:r>
          </w:p>
        </w:tc>
        <w:tc>
          <w:tcPr>
            <w:tcW w:w="0" w:type="dxa"/>
            <w:vAlign w:val="bottom"/>
          </w:tcPr>
          <w:p>
            <w:pPr>
              <w:spacing w:after="0"/>
              <w:rPr>
                <w:sz w:val="1"/>
                <w:szCs w:val="1"/>
                <w:color w:val="auto"/>
              </w:rPr>
            </w:pPr>
          </w:p>
        </w:tc>
      </w:tr>
      <w:tr>
        <w:trPr>
          <w:trHeight w:val="162"/>
        </w:trPr>
        <w:tc>
          <w:tcPr>
            <w:tcW w:w="3260" w:type="dxa"/>
            <w:vAlign w:val="bottom"/>
            <w:gridSpan w:val="2"/>
          </w:tcPr>
          <w:p>
            <w:pPr>
              <w:spacing w:after="0"/>
              <w:rPr>
                <w:sz w:val="20"/>
                <w:szCs w:val="20"/>
                <w:color w:val="auto"/>
              </w:rPr>
            </w:pPr>
            <w:r>
              <w:rPr>
                <w:rFonts w:ascii="Arial" w:cs="Arial" w:eastAsia="Arial" w:hAnsi="Arial"/>
                <w:sz w:val="14"/>
                <w:szCs w:val="14"/>
                <w:color w:val="auto"/>
              </w:rPr>
              <w:t>Benefit Continuation</w:t>
            </w:r>
          </w:p>
        </w:tc>
        <w:tc>
          <w:tcPr>
            <w:tcW w:w="4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400" w:type="dxa"/>
            <w:vAlign w:val="bottom"/>
          </w:tcPr>
          <w:p>
            <w:pPr>
              <w:ind w:left="260"/>
              <w:spacing w:after="0"/>
              <w:rPr>
                <w:sz w:val="20"/>
                <w:szCs w:val="20"/>
                <w:color w:val="auto"/>
              </w:rPr>
            </w:pPr>
            <w:r>
              <w:rPr>
                <w:rFonts w:ascii="Arial" w:cs="Arial" w:eastAsia="Arial" w:hAnsi="Arial"/>
                <w:sz w:val="14"/>
                <w:szCs w:val="14"/>
                <w:color w:val="auto"/>
                <w:w w:val="85"/>
              </w:rPr>
              <w:t>—</w:t>
            </w:r>
          </w:p>
        </w:tc>
        <w:tc>
          <w:tcPr>
            <w:tcW w:w="5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400" w:type="dxa"/>
            <w:vAlign w:val="bottom"/>
          </w:tcPr>
          <w:p>
            <w:pPr>
              <w:ind w:left="240"/>
              <w:spacing w:after="0"/>
              <w:rPr>
                <w:sz w:val="20"/>
                <w:szCs w:val="20"/>
                <w:color w:val="auto"/>
              </w:rPr>
            </w:pPr>
            <w:r>
              <w:rPr>
                <w:rFonts w:ascii="Arial" w:cs="Arial" w:eastAsia="Arial" w:hAnsi="Arial"/>
                <w:sz w:val="14"/>
                <w:szCs w:val="14"/>
                <w:color w:val="auto"/>
                <w:w w:val="99"/>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67,260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4"/>
                <w:szCs w:val="14"/>
                <w:color w:val="auto"/>
              </w:rPr>
              <w:t>Accelerated RSUs (5)</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9"/>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778,488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778,488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76"/>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778,488</w:t>
            </w:r>
          </w:p>
        </w:tc>
        <w:tc>
          <w:tcPr>
            <w:tcW w:w="0" w:type="dxa"/>
            <w:vAlign w:val="bottom"/>
          </w:tcPr>
          <w:p>
            <w:pPr>
              <w:spacing w:after="0"/>
              <w:rPr>
                <w:sz w:val="1"/>
                <w:szCs w:val="1"/>
                <w:color w:val="auto"/>
              </w:rPr>
            </w:pPr>
          </w:p>
        </w:tc>
      </w:tr>
      <w:tr>
        <w:trPr>
          <w:trHeight w:val="177"/>
        </w:trPr>
        <w:tc>
          <w:tcPr>
            <w:tcW w:w="3260" w:type="dxa"/>
            <w:vAlign w:val="bottom"/>
            <w:gridSpan w:val="2"/>
          </w:tcPr>
          <w:p>
            <w:pPr>
              <w:spacing w:after="0"/>
              <w:rPr>
                <w:sz w:val="20"/>
                <w:szCs w:val="20"/>
                <w:color w:val="auto"/>
              </w:rPr>
            </w:pPr>
            <w:r>
              <w:rPr>
                <w:rFonts w:ascii="Arial" w:cs="Arial" w:eastAsia="Arial" w:hAnsi="Arial"/>
                <w:sz w:val="14"/>
                <w:szCs w:val="14"/>
                <w:color w:val="auto"/>
              </w:rPr>
              <w:t>Accelerated Performance RSUs (PRSUs) (6)</w:t>
            </w:r>
          </w:p>
        </w:tc>
        <w:tc>
          <w:tcPr>
            <w:tcW w:w="4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400" w:type="dxa"/>
            <w:vAlign w:val="bottom"/>
          </w:tcPr>
          <w:p>
            <w:pPr>
              <w:ind w:left="260"/>
              <w:spacing w:after="0"/>
              <w:rPr>
                <w:sz w:val="20"/>
                <w:szCs w:val="20"/>
                <w:color w:val="auto"/>
              </w:rPr>
            </w:pPr>
            <w:r>
              <w:rPr>
                <w:rFonts w:ascii="Arial" w:cs="Arial" w:eastAsia="Arial" w:hAnsi="Arial"/>
                <w:sz w:val="14"/>
                <w:szCs w:val="14"/>
                <w:color w:val="auto"/>
                <w:w w:val="85"/>
              </w:rPr>
              <w:t>—</w:t>
            </w:r>
          </w:p>
        </w:tc>
        <w:tc>
          <w:tcPr>
            <w:tcW w:w="5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400" w:type="dxa"/>
            <w:vAlign w:val="bottom"/>
          </w:tcPr>
          <w:p>
            <w:pPr>
              <w:ind w:left="240"/>
              <w:spacing w:after="0"/>
              <w:rPr>
                <w:sz w:val="20"/>
                <w:szCs w:val="20"/>
                <w:color w:val="auto"/>
              </w:rPr>
            </w:pPr>
            <w:r>
              <w:rPr>
                <w:rFonts w:ascii="Arial" w:cs="Arial" w:eastAsia="Arial" w:hAnsi="Arial"/>
                <w:sz w:val="14"/>
                <w:szCs w:val="14"/>
                <w:color w:val="auto"/>
                <w:w w:val="99"/>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2,197,661</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2,197,661</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9"/>
              </w:rPr>
              <w:t>1,220,366</w:t>
            </w:r>
          </w:p>
        </w:tc>
        <w:tc>
          <w:tcPr>
            <w:tcW w:w="3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708,197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76200</wp:posOffset>
            </wp:positionV>
            <wp:extent cx="7632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9" w:lineRule="exact"/>
        <w:rPr>
          <w:sz w:val="20"/>
          <w:szCs w:val="20"/>
          <w:color w:val="auto"/>
        </w:rPr>
      </w:pPr>
    </w:p>
    <w:p>
      <w:pPr>
        <w:ind w:left="740" w:right="120" w:hanging="428"/>
        <w:spacing w:after="0" w:line="215" w:lineRule="auto"/>
        <w:tabs>
          <w:tab w:leader="none" w:pos="740" w:val="left"/>
        </w:tabs>
        <w:numPr>
          <w:ilvl w:val="0"/>
          <w:numId w:val="61"/>
        </w:numPr>
        <w:rPr>
          <w:rFonts w:ascii="Arial" w:cs="Arial" w:eastAsia="Arial" w:hAnsi="Arial"/>
          <w:sz w:val="24"/>
          <w:szCs w:val="24"/>
          <w:color w:val="auto"/>
          <w:vertAlign w:val="superscript"/>
        </w:rPr>
      </w:pPr>
      <w:r>
        <w:rPr>
          <w:rFonts w:ascii="Arial" w:cs="Arial" w:eastAsia="Arial" w:hAnsi="Arial"/>
          <w:sz w:val="14"/>
          <w:szCs w:val="14"/>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2.5 times the sum of the executive’s base salary and target annual bonus. Each form of payment is mutually exclusive based on the individual circumstances or events and therefore represents a single payment and should not be added together.</w:t>
      </w:r>
    </w:p>
    <w:p>
      <w:pPr>
        <w:spacing w:after="0" w:line="4" w:lineRule="exact"/>
        <w:rPr>
          <w:rFonts w:ascii="Arial" w:cs="Arial" w:eastAsia="Arial" w:hAnsi="Arial"/>
          <w:sz w:val="24"/>
          <w:szCs w:val="24"/>
          <w:color w:val="auto"/>
          <w:vertAlign w:val="superscript"/>
        </w:rPr>
      </w:pPr>
    </w:p>
    <w:p>
      <w:pPr>
        <w:ind w:left="740" w:right="80" w:hanging="428"/>
        <w:spacing w:after="0" w:line="182" w:lineRule="auto"/>
        <w:tabs>
          <w:tab w:leader="none" w:pos="740" w:val="left"/>
        </w:tabs>
        <w:numPr>
          <w:ilvl w:val="0"/>
          <w:numId w:val="61"/>
        </w:numPr>
        <w:rPr>
          <w:rFonts w:ascii="Arial" w:cs="Arial" w:eastAsia="Arial" w:hAnsi="Arial"/>
          <w:sz w:val="23"/>
          <w:szCs w:val="23"/>
          <w:color w:val="auto"/>
          <w:vertAlign w:val="superscript"/>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The annual incentive plan did not pay out in 2018, so the value represents the target bonus opportunity.</w:t>
      </w:r>
    </w:p>
    <w:p>
      <w:pPr>
        <w:spacing w:after="0" w:line="1" w:lineRule="exact"/>
        <w:rPr>
          <w:rFonts w:ascii="Arial" w:cs="Arial" w:eastAsia="Arial" w:hAnsi="Arial"/>
          <w:sz w:val="23"/>
          <w:szCs w:val="23"/>
          <w:color w:val="auto"/>
          <w:vertAlign w:val="superscript"/>
        </w:rPr>
      </w:pPr>
    </w:p>
    <w:p>
      <w:pPr>
        <w:ind w:left="740" w:right="40" w:hanging="428"/>
        <w:spacing w:after="0" w:line="218" w:lineRule="auto"/>
        <w:tabs>
          <w:tab w:leader="none" w:pos="740" w:val="left"/>
        </w:tabs>
        <w:numPr>
          <w:ilvl w:val="0"/>
          <w:numId w:val="61"/>
        </w:numPr>
        <w:rPr>
          <w:rFonts w:ascii="Arial" w:cs="Arial" w:eastAsia="Arial" w:hAnsi="Arial"/>
          <w:sz w:val="24"/>
          <w:szCs w:val="24"/>
          <w:color w:val="auto"/>
          <w:vertAlign w:val="superscript"/>
        </w:rPr>
      </w:pPr>
      <w:r>
        <w:rPr>
          <w:rFonts w:ascii="Arial" w:cs="Arial" w:eastAsia="Arial" w:hAnsi="Arial"/>
          <w:sz w:val="14"/>
          <w:szCs w:val="14"/>
          <w:color w:val="auto"/>
        </w:rPr>
        <w:t>Represents in-the-money value of accelerated stock options based on the closing price of our common stock on December 31, 2018 ($47.29). For the awards in fiscal 2017, upon a termination due to retirement after the second anniversary of the grant date, stock options will continue to vest subject to non-compete/non-solicit and reasonable notice restrictions. For the awards in fiscal 2018, upon a termination due to retirement after 18 months from the grant date, stock options will continue to vest subject to non-compete/non-solicit and reasonable notice restrictions. 2017 and 2018 awards are assumed forfeited, as retirement at December 31, 2018 is before the second anniversary and 18 months from the grant date, respectively. Upon a change-in-control, stock options will accelerate only if they are not assumed or substituted, and otherwise provide for a double trigger; values presume that the acquirer assumes outstanding stock options.</w:t>
      </w:r>
    </w:p>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240" w:top="459" w:right="4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740" w:right="80" w:hanging="428"/>
        <w:spacing w:after="0" w:line="195" w:lineRule="auto"/>
        <w:tabs>
          <w:tab w:leader="none" w:pos="740" w:val="left"/>
        </w:tabs>
        <w:numPr>
          <w:ilvl w:val="0"/>
          <w:numId w:val="62"/>
        </w:numPr>
        <w:rPr>
          <w:rFonts w:ascii="Arial" w:cs="Arial" w:eastAsia="Arial" w:hAnsi="Arial"/>
          <w:sz w:val="24"/>
          <w:szCs w:val="24"/>
          <w:color w:val="auto"/>
          <w:vertAlign w:val="superscript"/>
        </w:rPr>
      </w:pPr>
      <w:r>
        <w:rPr>
          <w:rFonts w:ascii="Arial" w:cs="Arial" w:eastAsia="Arial" w:hAnsi="Arial"/>
          <w:sz w:val="14"/>
          <w:szCs w:val="14"/>
          <w:color w:val="auto"/>
        </w:rPr>
        <w:t>Effective April 29, 2014, the Executive Officer Severance Pay Policy provides an executive officer, who is terminated involuntarily, a severance payment equal to 1 times base salary plus one year of continued benefits and outplacement. The change-in-control agreements provide for a severance payment equal to 2.5 times the sum of base salary and target annual bonus.</w:t>
      </w:r>
    </w:p>
    <w:p>
      <w:pPr>
        <w:ind w:left="740" w:right="20" w:hanging="428"/>
        <w:spacing w:after="0" w:line="215" w:lineRule="auto"/>
        <w:tabs>
          <w:tab w:leader="none" w:pos="740" w:val="left"/>
        </w:tabs>
        <w:numPr>
          <w:ilvl w:val="0"/>
          <w:numId w:val="62"/>
        </w:numPr>
        <w:rPr>
          <w:rFonts w:ascii="Arial" w:cs="Arial" w:eastAsia="Arial" w:hAnsi="Arial"/>
          <w:sz w:val="24"/>
          <w:szCs w:val="24"/>
          <w:color w:val="auto"/>
          <w:vertAlign w:val="superscript"/>
        </w:rPr>
      </w:pPr>
      <w:r>
        <w:rPr>
          <w:rFonts w:ascii="Arial" w:cs="Arial" w:eastAsia="Arial" w:hAnsi="Arial"/>
          <w:sz w:val="14"/>
          <w:szCs w:val="14"/>
          <w:color w:val="auto"/>
        </w:rPr>
        <w:t>For the time-vested RSUs, upon termination due to death or disability, represents the accelerated value of the RSUs based on the closing price of our common stock on December 31, 2018 ($47.29). For the awards in fiscal 2017, upon a termination due to retirement after the second anniversary of the grant date, RSUs will continue to vest subject to non-compete/non-solicit and reasonable notice restrictions. For the awards in fiscal 2018, upon a termination due to retirement after 18 months from the grant date, RSUs will continue to vest subject to non-compete/non-solicit and reasonable notice restrictions. 2017 and 2018 awards are assumed forfeited, as retirement at December 31, 2018 is before the second and 18 months from the grant date, respectively. Upon a change-in-control only (single trigger), RSUs that are not assumed by an acquirer will accelerate; values presume that the acquirer assumes applicable outstanding RSUs.</w:t>
      </w:r>
    </w:p>
    <w:p>
      <w:pPr>
        <w:spacing w:after="0" w:line="4" w:lineRule="exact"/>
        <w:rPr>
          <w:rFonts w:ascii="Arial" w:cs="Arial" w:eastAsia="Arial" w:hAnsi="Arial"/>
          <w:sz w:val="24"/>
          <w:szCs w:val="24"/>
          <w:color w:val="auto"/>
          <w:vertAlign w:val="superscript"/>
        </w:rPr>
      </w:pPr>
    </w:p>
    <w:p>
      <w:pPr>
        <w:ind w:left="740" w:right="100" w:hanging="428"/>
        <w:spacing w:after="0" w:line="230" w:lineRule="auto"/>
        <w:tabs>
          <w:tab w:leader="none" w:pos="740" w:val="left"/>
        </w:tabs>
        <w:numPr>
          <w:ilvl w:val="0"/>
          <w:numId w:val="62"/>
        </w:numPr>
        <w:rPr>
          <w:rFonts w:ascii="Arial" w:cs="Arial" w:eastAsia="Arial" w:hAnsi="Arial"/>
          <w:sz w:val="24"/>
          <w:szCs w:val="24"/>
          <w:color w:val="auto"/>
          <w:vertAlign w:val="superscript"/>
        </w:rPr>
      </w:pPr>
      <w:r>
        <w:rPr>
          <w:rFonts w:ascii="Arial" w:cs="Arial" w:eastAsia="Arial" w:hAnsi="Arial"/>
          <w:sz w:val="14"/>
          <w:szCs w:val="14"/>
          <w:color w:val="auto"/>
        </w:rPr>
        <w:t>Upon a termination due to death or disability, awards will vest based on actual performance at the conclusion of the performance periods. For the awards granted in 2016, awards will vest on a pro-rated basis based on the number of days employed during the performance period. For the awards granted in fiscal 2017 and fiscal 2018, shares continue to vest through the year of death and disability and all unvested shares are accelerated. Fiscal 2017 values assume target performance will be achieved, while fiscal 2018 values assume threshold performance will be achieved. For the awards granted in fiscal 2017, upon a termination due to retirement after the second anniversary of the grant date, awards will vest in full based on actual performance at the end of the performance period (no pro-rated payout). For the awards granted in fiscal 2018, upon a termination due to retirement after 18 months from the grant date, awards will vest in full based on actual performance at the end of the performance period (no pro-rated payout). 2017 and 2018 awards are assumed forfeited, as retirement at December 31, 2018 is before the second anniversary and 18 months from the grant date, respectively. Pursuant to our award agreements with this executive the PRSUs outstanding as of the change-in-control will be vested at the greater of target or actual performance for the year,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As of December 31, 2018, two three-year performance cycles (2017-2019 and 2018-2020) are not yet complete and target payouts are used. For the 2016-2018 performance cycle, actual payouts were greater than target. Upon a termination following a change-in-control, value represents the incremental difference in values between target and actual performance (e.g. no value for cycles where actual payouts are greater than or equal to target amounts). Values are based on the closing price of our common stock on December 31, 2018 ($47.29).</w:t>
      </w:r>
    </w:p>
    <w:p>
      <w:pPr>
        <w:spacing w:after="0" w:line="215" w:lineRule="exact"/>
        <w:rPr>
          <w:sz w:val="20"/>
          <w:szCs w:val="20"/>
          <w:color w:val="auto"/>
        </w:rPr>
      </w:pPr>
    </w:p>
    <w:p>
      <w:pPr>
        <w:jc w:val="center"/>
        <w:ind w:right="-139"/>
        <w:spacing w:after="0"/>
        <w:rPr>
          <w:sz w:val="20"/>
          <w:szCs w:val="20"/>
          <w:color w:val="auto"/>
        </w:rPr>
      </w:pPr>
      <w:r>
        <w:rPr>
          <w:rFonts w:ascii="Arial" w:cs="Arial" w:eastAsia="Arial" w:hAnsi="Arial"/>
          <w:sz w:val="13"/>
          <w:szCs w:val="13"/>
          <w:b w:val="1"/>
          <w:bCs w:val="1"/>
          <w:color w:val="auto"/>
        </w:rPr>
        <w:t>Summary of Termination Payments</w:t>
      </w:r>
    </w:p>
    <w:p>
      <w:pPr>
        <w:spacing w:after="0" w:line="2" w:lineRule="exact"/>
        <w:rPr>
          <w:sz w:val="20"/>
          <w:szCs w:val="20"/>
          <w:color w:val="auto"/>
        </w:rPr>
      </w:pPr>
    </w:p>
    <w:p>
      <w:pPr>
        <w:jc w:val="center"/>
        <w:ind w:right="-139"/>
        <w:spacing w:after="0"/>
        <w:rPr>
          <w:sz w:val="20"/>
          <w:szCs w:val="20"/>
          <w:color w:val="auto"/>
        </w:rPr>
      </w:pPr>
      <w:r>
        <w:rPr>
          <w:rFonts w:ascii="Arial" w:cs="Arial" w:eastAsia="Arial" w:hAnsi="Arial"/>
          <w:sz w:val="13"/>
          <w:szCs w:val="13"/>
          <w:b w:val="1"/>
          <w:bCs w:val="1"/>
          <w:color w:val="auto"/>
        </w:rPr>
        <w:t>Joan Hooper</w:t>
      </w:r>
    </w:p>
    <w:p>
      <w:pPr>
        <w:spacing w:after="0" w:line="3" w:lineRule="exact"/>
        <w:rPr>
          <w:sz w:val="20"/>
          <w:szCs w:val="20"/>
          <w:color w:val="auto"/>
        </w:rPr>
      </w:pPr>
    </w:p>
    <w:tbl>
      <w:tblPr>
        <w:tblLayout w:type="fixed"/>
        <w:tblInd w:w="20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35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center"/>
              <w:ind w:right="112"/>
              <w:spacing w:after="0" w:line="109" w:lineRule="exact"/>
              <w:rPr>
                <w:sz w:val="20"/>
                <w:szCs w:val="20"/>
                <w:color w:val="auto"/>
              </w:rPr>
            </w:pPr>
            <w:r>
              <w:rPr>
                <w:rFonts w:ascii="Arial" w:cs="Arial" w:eastAsia="Arial" w:hAnsi="Arial"/>
                <w:sz w:val="12"/>
                <w:szCs w:val="12"/>
                <w:b w:val="1"/>
                <w:bCs w:val="1"/>
                <w:color w:val="auto"/>
              </w:rPr>
              <w:t>Termination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Without Cause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or by Executive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00" w:type="dxa"/>
            <w:vAlign w:val="bottom"/>
            <w:gridSpan w:val="3"/>
          </w:tcPr>
          <w:p>
            <w:pPr>
              <w:ind w:left="220"/>
              <w:spacing w:after="0" w:line="135" w:lineRule="exact"/>
              <w:rPr>
                <w:sz w:val="20"/>
                <w:szCs w:val="20"/>
                <w:color w:val="auto"/>
              </w:rPr>
            </w:pPr>
            <w:r>
              <w:rPr>
                <w:rFonts w:ascii="Arial" w:cs="Arial" w:eastAsia="Arial" w:hAnsi="Arial"/>
                <w:sz w:val="13"/>
                <w:szCs w:val="13"/>
                <w:b w:val="1"/>
                <w:bCs w:val="1"/>
                <w:color w:val="auto"/>
                <w:w w:val="98"/>
              </w:rPr>
              <w:t>for Good Reason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220"/>
              <w:spacing w:after="0" w:line="135" w:lineRule="exact"/>
              <w:rPr>
                <w:sz w:val="20"/>
                <w:szCs w:val="20"/>
                <w:color w:val="auto"/>
              </w:rPr>
            </w:pPr>
            <w:r>
              <w:rPr>
                <w:rFonts w:ascii="Arial" w:cs="Arial" w:eastAsia="Arial" w:hAnsi="Arial"/>
                <w:sz w:val="13"/>
                <w:szCs w:val="13"/>
                <w:b w:val="1"/>
                <w:bCs w:val="1"/>
                <w:color w:val="auto"/>
                <w:w w:val="94"/>
              </w:rPr>
              <w:t>Termination</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112"/>
              <w:spacing w:after="0" w:line="135" w:lineRule="exact"/>
              <w:rPr>
                <w:sz w:val="20"/>
                <w:szCs w:val="20"/>
                <w:color w:val="auto"/>
              </w:rPr>
            </w:pPr>
            <w:r>
              <w:rPr>
                <w:rFonts w:ascii="Arial" w:cs="Arial" w:eastAsia="Arial" w:hAnsi="Arial"/>
                <w:sz w:val="13"/>
                <w:szCs w:val="13"/>
                <w:b w:val="1"/>
                <w:bCs w:val="1"/>
                <w:color w:val="auto"/>
              </w:rPr>
              <w:t>Following a</w:t>
            </w:r>
          </w:p>
        </w:tc>
        <w:tc>
          <w:tcPr>
            <w:tcW w:w="0" w:type="dxa"/>
            <w:vAlign w:val="bottom"/>
          </w:tcPr>
          <w:p>
            <w:pPr>
              <w:spacing w:after="0"/>
              <w:rPr>
                <w:sz w:val="1"/>
                <w:szCs w:val="1"/>
                <w:color w:val="auto"/>
              </w:rPr>
            </w:pPr>
          </w:p>
        </w:tc>
      </w:tr>
      <w:tr>
        <w:trPr>
          <w:trHeight w:val="135"/>
        </w:trPr>
        <w:tc>
          <w:tcPr>
            <w:tcW w:w="35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Executive Benefits (1)</w:t>
            </w:r>
          </w:p>
        </w:tc>
        <w:tc>
          <w:tcPr>
            <w:tcW w:w="900" w:type="dxa"/>
            <w:vAlign w:val="bottom"/>
            <w:gridSpan w:val="3"/>
          </w:tcPr>
          <w:p>
            <w:pPr>
              <w:ind w:left="180"/>
              <w:spacing w:after="0" w:line="135" w:lineRule="exact"/>
              <w:rPr>
                <w:sz w:val="20"/>
                <w:szCs w:val="20"/>
                <w:color w:val="auto"/>
              </w:rPr>
            </w:pPr>
            <w:r>
              <w:rPr>
                <w:rFonts w:ascii="Arial" w:cs="Arial" w:eastAsia="Arial" w:hAnsi="Arial"/>
                <w:sz w:val="13"/>
                <w:szCs w:val="13"/>
                <w:b w:val="1"/>
                <w:bCs w:val="1"/>
                <w:color w:val="auto"/>
                <w:w w:val="94"/>
              </w:rPr>
              <w:t>Termination</w:t>
            </w:r>
          </w:p>
        </w:tc>
        <w:tc>
          <w:tcPr>
            <w:tcW w:w="2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Voluntary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50"/>
              <w:spacing w:after="0" w:line="135" w:lineRule="exact"/>
              <w:rPr>
                <w:sz w:val="20"/>
                <w:szCs w:val="20"/>
                <w:color w:val="auto"/>
              </w:rPr>
            </w:pPr>
            <w:r>
              <w:rPr>
                <w:rFonts w:ascii="Arial" w:cs="Arial" w:eastAsia="Arial" w:hAnsi="Arial"/>
                <w:sz w:val="13"/>
                <w:szCs w:val="13"/>
                <w:b w:val="1"/>
                <w:bCs w:val="1"/>
                <w:color w:val="auto"/>
                <w:w w:val="99"/>
              </w:rPr>
              <w:t>Without</w:t>
            </w:r>
          </w:p>
        </w:tc>
        <w:tc>
          <w:tcPr>
            <w:tcW w:w="900" w:type="dxa"/>
            <w:vAlign w:val="bottom"/>
            <w:gridSpan w:val="3"/>
          </w:tcPr>
          <w:p>
            <w:pPr>
              <w:ind w:left="220"/>
              <w:spacing w:after="0" w:line="135" w:lineRule="exact"/>
              <w:rPr>
                <w:sz w:val="20"/>
                <w:szCs w:val="20"/>
                <w:color w:val="auto"/>
              </w:rPr>
            </w:pPr>
            <w:r>
              <w:rPr>
                <w:rFonts w:ascii="Arial" w:cs="Arial" w:eastAsia="Arial" w:hAnsi="Arial"/>
                <w:sz w:val="13"/>
                <w:szCs w:val="13"/>
                <w:b w:val="1"/>
                <w:bCs w:val="1"/>
                <w:color w:val="auto"/>
                <w:w w:val="97"/>
              </w:rPr>
              <w:t>Change-in-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112"/>
              <w:spacing w:after="0" w:line="135" w:lineRule="exact"/>
              <w:rPr>
                <w:sz w:val="20"/>
                <w:szCs w:val="20"/>
                <w:color w:val="auto"/>
              </w:rPr>
            </w:pPr>
            <w:r>
              <w:rPr>
                <w:rFonts w:ascii="Arial" w:cs="Arial" w:eastAsia="Arial" w:hAnsi="Arial"/>
                <w:sz w:val="13"/>
                <w:szCs w:val="13"/>
                <w:b w:val="1"/>
                <w:bCs w:val="1"/>
                <w:color w:val="auto"/>
                <w:w w:val="97"/>
              </w:rPr>
              <w:t>Change-in-</w:t>
            </w:r>
          </w:p>
        </w:tc>
        <w:tc>
          <w:tcPr>
            <w:tcW w:w="0" w:type="dxa"/>
            <w:vAlign w:val="bottom"/>
          </w:tcPr>
          <w:p>
            <w:pPr>
              <w:spacing w:after="0"/>
              <w:rPr>
                <w:sz w:val="1"/>
                <w:szCs w:val="1"/>
                <w:color w:val="auto"/>
              </w:rPr>
            </w:pPr>
          </w:p>
        </w:tc>
      </w:tr>
      <w:tr>
        <w:trPr>
          <w:trHeight w:val="157"/>
        </w:trPr>
        <w:tc>
          <w:tcPr>
            <w:tcW w:w="35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for Cause</w:t>
            </w:r>
          </w:p>
        </w:tc>
        <w:tc>
          <w:tcPr>
            <w:tcW w:w="920" w:type="dxa"/>
            <w:vAlign w:val="bottom"/>
            <w:gridSpan w:val="3"/>
          </w:tcPr>
          <w:p>
            <w:pPr>
              <w:ind w:left="200"/>
              <w:spacing w:after="0"/>
              <w:rPr>
                <w:sz w:val="20"/>
                <w:szCs w:val="20"/>
                <w:color w:val="auto"/>
              </w:rPr>
            </w:pPr>
            <w:r>
              <w:rPr>
                <w:rFonts w:ascii="Arial" w:cs="Arial" w:eastAsia="Arial" w:hAnsi="Arial"/>
                <w:sz w:val="13"/>
                <w:szCs w:val="13"/>
                <w:b w:val="1"/>
                <w:bCs w:val="1"/>
                <w:color w:val="auto"/>
                <w:w w:val="94"/>
              </w:rPr>
              <w:t>Termination</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49"/>
              <w:spacing w:after="0"/>
              <w:rPr>
                <w:sz w:val="20"/>
                <w:szCs w:val="20"/>
                <w:color w:val="auto"/>
              </w:rPr>
            </w:pPr>
            <w:r>
              <w:rPr>
                <w:rFonts w:ascii="Arial" w:cs="Arial" w:eastAsia="Arial" w:hAnsi="Arial"/>
                <w:sz w:val="13"/>
                <w:szCs w:val="13"/>
                <w:b w:val="1"/>
                <w:bCs w:val="1"/>
                <w:color w:val="auto"/>
              </w:rPr>
              <w:t>Death</w:t>
            </w:r>
          </w:p>
        </w:tc>
        <w:tc>
          <w:tcPr>
            <w:tcW w:w="24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w w:val="96"/>
              </w:rPr>
              <w:t>Disability</w:t>
            </w:r>
          </w:p>
        </w:tc>
        <w:tc>
          <w:tcPr>
            <w:tcW w:w="900" w:type="dxa"/>
            <w:vAlign w:val="bottom"/>
            <w:gridSpan w:val="3"/>
          </w:tcPr>
          <w:p>
            <w:pPr>
              <w:ind w:left="240"/>
              <w:spacing w:after="0"/>
              <w:rPr>
                <w:sz w:val="20"/>
                <w:szCs w:val="20"/>
                <w:color w:val="auto"/>
              </w:rPr>
            </w:pPr>
            <w:r>
              <w:rPr>
                <w:rFonts w:ascii="Arial" w:cs="Arial" w:eastAsia="Arial" w:hAnsi="Arial"/>
                <w:sz w:val="13"/>
                <w:szCs w:val="13"/>
                <w:b w:val="1"/>
                <w:bCs w:val="1"/>
                <w:color w:val="auto"/>
                <w:w w:val="94"/>
              </w:rPr>
              <w:t>Retirement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110"/>
              <w:spacing w:after="0"/>
              <w:rPr>
                <w:sz w:val="20"/>
                <w:szCs w:val="20"/>
                <w:color w:val="auto"/>
              </w:rPr>
            </w:pPr>
            <w:r>
              <w:rPr>
                <w:rFonts w:ascii="Arial" w:cs="Arial" w:eastAsia="Arial" w:hAnsi="Arial"/>
                <w:sz w:val="13"/>
                <w:szCs w:val="13"/>
                <w:b w:val="1"/>
                <w:bCs w:val="1"/>
                <w:color w:val="auto"/>
              </w:rPr>
              <w:t>Cause</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49"/>
              <w:spacing w:after="0"/>
              <w:rPr>
                <w:sz w:val="20"/>
                <w:szCs w:val="20"/>
                <w:color w:val="auto"/>
              </w:rPr>
            </w:pPr>
            <w:r>
              <w:rPr>
                <w:rFonts w:ascii="Arial" w:cs="Arial" w:eastAsia="Arial" w:hAnsi="Arial"/>
                <w:sz w:val="13"/>
                <w:szCs w:val="13"/>
                <w:b w:val="1"/>
                <w:bCs w:val="1"/>
                <w:color w:val="auto"/>
                <w:w w:val="95"/>
              </w:rPr>
              <w:t>Control</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112"/>
              <w:spacing w:after="0"/>
              <w:rPr>
                <w:sz w:val="20"/>
                <w:szCs w:val="20"/>
                <w:color w:val="auto"/>
              </w:rPr>
            </w:pPr>
            <w:r>
              <w:rPr>
                <w:rFonts w:ascii="Arial" w:cs="Arial" w:eastAsia="Arial" w:hAnsi="Arial"/>
                <w:sz w:val="13"/>
                <w:szCs w:val="13"/>
                <w:b w:val="1"/>
                <w:bCs w:val="1"/>
                <w:color w:val="auto"/>
                <w:w w:val="99"/>
              </w:rPr>
              <w:t>Control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5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Annual Incentive (2)</w:t>
            </w:r>
          </w:p>
        </w:tc>
        <w:tc>
          <w:tcPr>
            <w:tcW w:w="500" w:type="dxa"/>
            <w:vAlign w:val="bottom"/>
            <w:gridSpan w:val="2"/>
            <w:shd w:val="clear" w:color="auto" w:fill="CCEEFF"/>
          </w:tcPr>
          <w:p>
            <w:pPr>
              <w:ind w:left="180"/>
              <w:spacing w:after="0" w:line="155"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40"/>
              <w:spacing w:after="0" w:line="155" w:lineRule="exact"/>
              <w:rPr>
                <w:sz w:val="20"/>
                <w:szCs w:val="20"/>
                <w:color w:val="auto"/>
              </w:rPr>
            </w:pPr>
            <w:r>
              <w:rPr>
                <w:rFonts w:ascii="Arial" w:cs="Arial" w:eastAsia="Arial" w:hAnsi="Arial"/>
                <w:sz w:val="14"/>
                <w:szCs w:val="14"/>
                <w:color w:val="auto"/>
                <w:w w:val="99"/>
              </w:rPr>
              <w:t>—</w:t>
            </w:r>
          </w:p>
        </w:tc>
        <w:tc>
          <w:tcPr>
            <w:tcW w:w="520" w:type="dxa"/>
            <w:vAlign w:val="bottom"/>
            <w:gridSpan w:val="2"/>
            <w:shd w:val="clear" w:color="auto" w:fill="CCEEFF"/>
          </w:tcPr>
          <w:p>
            <w:pPr>
              <w:ind w:left="200"/>
              <w:spacing w:after="0" w:line="155"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60"/>
              <w:spacing w:after="0" w:line="155" w:lineRule="exact"/>
              <w:rPr>
                <w:sz w:val="20"/>
                <w:szCs w:val="20"/>
                <w:color w:val="auto"/>
              </w:rPr>
            </w:pPr>
            <w:r>
              <w:rPr>
                <w:rFonts w:ascii="Arial" w:cs="Arial" w:eastAsia="Arial" w:hAnsi="Arial"/>
                <w:sz w:val="14"/>
                <w:szCs w:val="14"/>
                <w:color w:val="auto"/>
                <w:w w:val="85"/>
              </w:rPr>
              <w:t>—</w:t>
            </w:r>
          </w:p>
        </w:tc>
        <w:tc>
          <w:tcPr>
            <w:tcW w:w="30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20"/>
              <w:spacing w:after="0" w:line="155"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w w:val="99"/>
              </w:rPr>
              <w:t>—</w:t>
            </w:r>
          </w:p>
        </w:tc>
        <w:tc>
          <w:tcPr>
            <w:tcW w:w="320" w:type="dxa"/>
            <w:vAlign w:val="bottom"/>
            <w:gridSpan w:val="2"/>
            <w:shd w:val="clear" w:color="auto" w:fill="CCEEFF"/>
          </w:tcPr>
          <w:p>
            <w:pPr>
              <w:ind w:left="220"/>
              <w:spacing w:after="0" w:line="155"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20"/>
              <w:spacing w:after="0" w:line="155"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363,750</w:t>
            </w:r>
          </w:p>
        </w:tc>
        <w:tc>
          <w:tcPr>
            <w:tcW w:w="340" w:type="dxa"/>
            <w:vAlign w:val="bottom"/>
            <w:gridSpan w:val="2"/>
            <w:shd w:val="clear" w:color="auto" w:fill="CCEEFF"/>
          </w:tcPr>
          <w:p>
            <w:pPr>
              <w:ind w:left="220"/>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right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363,750</w:t>
            </w:r>
          </w:p>
        </w:tc>
        <w:tc>
          <w:tcPr>
            <w:tcW w:w="0" w:type="dxa"/>
            <w:vAlign w:val="bottom"/>
          </w:tcPr>
          <w:p>
            <w:pPr>
              <w:spacing w:after="0"/>
              <w:rPr>
                <w:sz w:val="1"/>
                <w:szCs w:val="1"/>
                <w:color w:val="auto"/>
              </w:rPr>
            </w:pPr>
          </w:p>
        </w:tc>
      </w:tr>
      <w:tr>
        <w:trPr>
          <w:trHeight w:val="162"/>
        </w:trPr>
        <w:tc>
          <w:tcPr>
            <w:tcW w:w="3520" w:type="dxa"/>
            <w:vAlign w:val="bottom"/>
            <w:gridSpan w:val="2"/>
          </w:tcPr>
          <w:p>
            <w:pPr>
              <w:spacing w:after="0"/>
              <w:rPr>
                <w:sz w:val="20"/>
                <w:szCs w:val="20"/>
                <w:color w:val="auto"/>
              </w:rPr>
            </w:pPr>
            <w:r>
              <w:rPr>
                <w:rFonts w:ascii="Arial" w:cs="Arial" w:eastAsia="Arial" w:hAnsi="Arial"/>
                <w:sz w:val="14"/>
                <w:szCs w:val="14"/>
                <w:color w:val="auto"/>
              </w:rPr>
              <w:t>Accelerated Stock Options (3)</w:t>
            </w: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400" w:type="dxa"/>
            <w:vAlign w:val="bottom"/>
          </w:tcPr>
          <w:p>
            <w:pPr>
              <w:ind w:left="240"/>
              <w:spacing w:after="0"/>
              <w:rPr>
                <w:sz w:val="20"/>
                <w:szCs w:val="20"/>
                <w:color w:val="auto"/>
              </w:rPr>
            </w:pPr>
            <w:r>
              <w:rPr>
                <w:rFonts w:ascii="Arial" w:cs="Arial" w:eastAsia="Arial" w:hAnsi="Arial"/>
                <w:sz w:val="14"/>
                <w:szCs w:val="14"/>
                <w:color w:val="auto"/>
                <w:w w:val="99"/>
              </w:rPr>
              <w:t>—</w:t>
            </w:r>
          </w:p>
        </w:tc>
        <w:tc>
          <w:tcPr>
            <w:tcW w:w="52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400" w:type="dxa"/>
            <w:vAlign w:val="bottom"/>
          </w:tcPr>
          <w:p>
            <w:pPr>
              <w:ind w:left="260"/>
              <w:spacing w:after="0"/>
              <w:rPr>
                <w:sz w:val="20"/>
                <w:szCs w:val="20"/>
                <w:color w:val="auto"/>
              </w:rPr>
            </w:pPr>
            <w:r>
              <w:rPr>
                <w:rFonts w:ascii="Arial" w:cs="Arial" w:eastAsia="Arial" w:hAnsi="Arial"/>
                <w:sz w:val="14"/>
                <w:szCs w:val="14"/>
                <w:color w:val="auto"/>
                <w:w w:val="85"/>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380" w:type="dxa"/>
            <w:vAlign w:val="bottom"/>
          </w:tcPr>
          <w:p>
            <w:pPr>
              <w:ind w:left="220"/>
              <w:spacing w:after="0"/>
              <w:rPr>
                <w:sz w:val="20"/>
                <w:szCs w:val="20"/>
                <w:color w:val="auto"/>
              </w:rPr>
            </w:pPr>
            <w:r>
              <w:rPr>
                <w:rFonts w:ascii="Arial" w:cs="Arial" w:eastAsia="Arial" w:hAnsi="Arial"/>
                <w:sz w:val="14"/>
                <w:szCs w:val="14"/>
                <w:color w:val="auto"/>
                <w:w w:val="99"/>
              </w:rPr>
              <w:t>—</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Severance (4)</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9"/>
              </w:rPr>
              <w:t>—</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9"/>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501,235</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1,697,500</w:t>
            </w:r>
          </w:p>
        </w:tc>
        <w:tc>
          <w:tcPr>
            <w:tcW w:w="0" w:type="dxa"/>
            <w:vAlign w:val="bottom"/>
          </w:tcPr>
          <w:p>
            <w:pPr>
              <w:spacing w:after="0"/>
              <w:rPr>
                <w:sz w:val="1"/>
                <w:szCs w:val="1"/>
                <w:color w:val="auto"/>
              </w:rPr>
            </w:pPr>
          </w:p>
        </w:tc>
      </w:tr>
      <w:tr>
        <w:trPr>
          <w:trHeight w:val="162"/>
        </w:trPr>
        <w:tc>
          <w:tcPr>
            <w:tcW w:w="3520" w:type="dxa"/>
            <w:vAlign w:val="bottom"/>
            <w:gridSpan w:val="2"/>
          </w:tcPr>
          <w:p>
            <w:pPr>
              <w:spacing w:after="0"/>
              <w:rPr>
                <w:sz w:val="20"/>
                <w:szCs w:val="20"/>
                <w:color w:val="auto"/>
              </w:rPr>
            </w:pPr>
            <w:r>
              <w:rPr>
                <w:rFonts w:ascii="Arial" w:cs="Arial" w:eastAsia="Arial" w:hAnsi="Arial"/>
                <w:sz w:val="14"/>
                <w:szCs w:val="14"/>
                <w:color w:val="auto"/>
              </w:rPr>
              <w:t>Benefit Continuation</w:t>
            </w: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400" w:type="dxa"/>
            <w:vAlign w:val="bottom"/>
          </w:tcPr>
          <w:p>
            <w:pPr>
              <w:ind w:left="240"/>
              <w:spacing w:after="0"/>
              <w:rPr>
                <w:sz w:val="20"/>
                <w:szCs w:val="20"/>
                <w:color w:val="auto"/>
              </w:rPr>
            </w:pPr>
            <w:r>
              <w:rPr>
                <w:rFonts w:ascii="Arial" w:cs="Arial" w:eastAsia="Arial" w:hAnsi="Arial"/>
                <w:sz w:val="14"/>
                <w:szCs w:val="14"/>
                <w:color w:val="auto"/>
                <w:w w:val="99"/>
              </w:rPr>
              <w:t>—</w:t>
            </w:r>
          </w:p>
        </w:tc>
        <w:tc>
          <w:tcPr>
            <w:tcW w:w="52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400" w:type="dxa"/>
            <w:vAlign w:val="bottom"/>
          </w:tcPr>
          <w:p>
            <w:pPr>
              <w:ind w:left="260"/>
              <w:spacing w:after="0"/>
              <w:rPr>
                <w:sz w:val="20"/>
                <w:szCs w:val="20"/>
                <w:color w:val="auto"/>
              </w:rPr>
            </w:pPr>
            <w:r>
              <w:rPr>
                <w:rFonts w:ascii="Arial" w:cs="Arial" w:eastAsia="Arial" w:hAnsi="Arial"/>
                <w:sz w:val="14"/>
                <w:szCs w:val="14"/>
                <w:color w:val="auto"/>
                <w:w w:val="85"/>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380" w:type="dxa"/>
            <w:vAlign w:val="bottom"/>
          </w:tcPr>
          <w:p>
            <w:pPr>
              <w:ind w:left="220"/>
              <w:spacing w:after="0"/>
              <w:rPr>
                <w:sz w:val="20"/>
                <w:szCs w:val="20"/>
                <w:color w:val="auto"/>
              </w:rPr>
            </w:pPr>
            <w:r>
              <w:rPr>
                <w:rFonts w:ascii="Arial" w:cs="Arial" w:eastAsia="Arial" w:hAnsi="Arial"/>
                <w:sz w:val="14"/>
                <w:szCs w:val="14"/>
                <w:color w:val="auto"/>
                <w:w w:val="99"/>
              </w:rPr>
              <w:t>—</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36,714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Accelerated RSUs (5)</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9"/>
              </w:rPr>
              <w:t>—</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461,503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461,503</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9"/>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461,503</w:t>
            </w:r>
          </w:p>
        </w:tc>
        <w:tc>
          <w:tcPr>
            <w:tcW w:w="0" w:type="dxa"/>
            <w:vAlign w:val="bottom"/>
          </w:tcPr>
          <w:p>
            <w:pPr>
              <w:spacing w:after="0"/>
              <w:rPr>
                <w:sz w:val="1"/>
                <w:szCs w:val="1"/>
                <w:color w:val="auto"/>
              </w:rPr>
            </w:pPr>
          </w:p>
        </w:tc>
      </w:tr>
      <w:tr>
        <w:trPr>
          <w:trHeight w:val="177"/>
        </w:trPr>
        <w:tc>
          <w:tcPr>
            <w:tcW w:w="3520" w:type="dxa"/>
            <w:vAlign w:val="bottom"/>
            <w:gridSpan w:val="2"/>
          </w:tcPr>
          <w:p>
            <w:pPr>
              <w:spacing w:after="0"/>
              <w:rPr>
                <w:sz w:val="20"/>
                <w:szCs w:val="20"/>
                <w:color w:val="auto"/>
              </w:rPr>
            </w:pPr>
            <w:r>
              <w:rPr>
                <w:rFonts w:ascii="Arial" w:cs="Arial" w:eastAsia="Arial" w:hAnsi="Arial"/>
                <w:sz w:val="14"/>
                <w:szCs w:val="14"/>
                <w:color w:val="auto"/>
              </w:rPr>
              <w:t>Accelerated Performance RSUs (PRSUs) (6)</w:t>
            </w: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400" w:type="dxa"/>
            <w:vAlign w:val="bottom"/>
          </w:tcPr>
          <w:p>
            <w:pPr>
              <w:ind w:left="240"/>
              <w:spacing w:after="0"/>
              <w:rPr>
                <w:sz w:val="20"/>
                <w:szCs w:val="20"/>
                <w:color w:val="auto"/>
              </w:rPr>
            </w:pPr>
            <w:r>
              <w:rPr>
                <w:rFonts w:ascii="Arial" w:cs="Arial" w:eastAsia="Arial" w:hAnsi="Arial"/>
                <w:sz w:val="14"/>
                <w:szCs w:val="14"/>
                <w:color w:val="auto"/>
                <w:w w:val="99"/>
              </w:rPr>
              <w:t>—</w:t>
            </w:r>
          </w:p>
        </w:tc>
        <w:tc>
          <w:tcPr>
            <w:tcW w:w="52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400" w:type="dxa"/>
            <w:vAlign w:val="bottom"/>
          </w:tcPr>
          <w:p>
            <w:pPr>
              <w:ind w:left="260"/>
              <w:spacing w:after="0"/>
              <w:rPr>
                <w:sz w:val="20"/>
                <w:szCs w:val="20"/>
                <w:color w:val="auto"/>
              </w:rPr>
            </w:pPr>
            <w:r>
              <w:rPr>
                <w:rFonts w:ascii="Arial" w:cs="Arial" w:eastAsia="Arial" w:hAnsi="Arial"/>
                <w:sz w:val="14"/>
                <w:szCs w:val="14"/>
                <w:color w:val="auto"/>
                <w:w w:val="85"/>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473,373</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473,373</w:t>
            </w:r>
          </w:p>
        </w:tc>
        <w:tc>
          <w:tcPr>
            <w:tcW w:w="5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380" w:type="dxa"/>
            <w:vAlign w:val="bottom"/>
          </w:tcPr>
          <w:p>
            <w:pPr>
              <w:ind w:left="220"/>
              <w:spacing w:after="0"/>
              <w:rPr>
                <w:sz w:val="20"/>
                <w:szCs w:val="20"/>
                <w:color w:val="auto"/>
              </w:rPr>
            </w:pPr>
            <w:r>
              <w:rPr>
                <w:rFonts w:ascii="Arial" w:cs="Arial" w:eastAsia="Arial" w:hAnsi="Arial"/>
                <w:sz w:val="14"/>
                <w:szCs w:val="14"/>
                <w:color w:val="auto"/>
                <w:w w:val="99"/>
              </w:rPr>
              <w:t>—</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386,219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76200</wp:posOffset>
            </wp:positionV>
            <wp:extent cx="7632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9" w:lineRule="exact"/>
        <w:rPr>
          <w:sz w:val="20"/>
          <w:szCs w:val="20"/>
          <w:color w:val="auto"/>
        </w:rPr>
      </w:pPr>
    </w:p>
    <w:p>
      <w:pPr>
        <w:ind w:left="740" w:right="80" w:hanging="428"/>
        <w:spacing w:after="0" w:line="215" w:lineRule="auto"/>
        <w:tabs>
          <w:tab w:leader="none" w:pos="740" w:val="left"/>
        </w:tabs>
        <w:numPr>
          <w:ilvl w:val="0"/>
          <w:numId w:val="63"/>
        </w:numPr>
        <w:rPr>
          <w:rFonts w:ascii="Arial" w:cs="Arial" w:eastAsia="Arial" w:hAnsi="Arial"/>
          <w:sz w:val="24"/>
          <w:szCs w:val="24"/>
          <w:color w:val="auto"/>
          <w:vertAlign w:val="superscript"/>
        </w:rPr>
      </w:pPr>
      <w:r>
        <w:rPr>
          <w:rFonts w:ascii="Arial" w:cs="Arial" w:eastAsia="Arial" w:hAnsi="Arial"/>
          <w:sz w:val="14"/>
          <w:szCs w:val="14"/>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 times the sum of the executive’s base salary and target annual bonus. Each form of payment is mutually exclusive based on the individual circumstances or events and therefore represents a single payment and should not be added together.</w:t>
      </w:r>
    </w:p>
    <w:p>
      <w:pPr>
        <w:spacing w:after="0" w:line="4" w:lineRule="exact"/>
        <w:rPr>
          <w:rFonts w:ascii="Arial" w:cs="Arial" w:eastAsia="Arial" w:hAnsi="Arial"/>
          <w:sz w:val="24"/>
          <w:szCs w:val="24"/>
          <w:color w:val="auto"/>
          <w:vertAlign w:val="superscript"/>
        </w:rPr>
      </w:pPr>
    </w:p>
    <w:p>
      <w:pPr>
        <w:ind w:left="740" w:right="80" w:hanging="428"/>
        <w:spacing w:after="0" w:line="182" w:lineRule="auto"/>
        <w:tabs>
          <w:tab w:leader="none" w:pos="740" w:val="left"/>
        </w:tabs>
        <w:numPr>
          <w:ilvl w:val="0"/>
          <w:numId w:val="63"/>
        </w:numPr>
        <w:rPr>
          <w:rFonts w:ascii="Arial" w:cs="Arial" w:eastAsia="Arial" w:hAnsi="Arial"/>
          <w:sz w:val="23"/>
          <w:szCs w:val="23"/>
          <w:color w:val="auto"/>
          <w:vertAlign w:val="superscript"/>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The annual incentive plan did not pay out in 2018, so the value represents the target bonus opportunity.</w:t>
      </w:r>
    </w:p>
    <w:p>
      <w:pPr>
        <w:spacing w:after="0" w:line="1" w:lineRule="exact"/>
        <w:rPr>
          <w:rFonts w:ascii="Arial" w:cs="Arial" w:eastAsia="Arial" w:hAnsi="Arial"/>
          <w:sz w:val="23"/>
          <w:szCs w:val="23"/>
          <w:color w:val="auto"/>
          <w:vertAlign w:val="superscript"/>
        </w:rPr>
      </w:pPr>
    </w:p>
    <w:p>
      <w:pPr>
        <w:ind w:left="740" w:right="320" w:hanging="428"/>
        <w:spacing w:after="0" w:line="183" w:lineRule="auto"/>
        <w:tabs>
          <w:tab w:leader="none" w:pos="740" w:val="left"/>
        </w:tabs>
        <w:numPr>
          <w:ilvl w:val="0"/>
          <w:numId w:val="63"/>
        </w:numPr>
        <w:rPr>
          <w:rFonts w:ascii="Arial" w:cs="Arial" w:eastAsia="Arial" w:hAnsi="Arial"/>
          <w:sz w:val="24"/>
          <w:szCs w:val="24"/>
          <w:color w:val="auto"/>
          <w:vertAlign w:val="superscript"/>
        </w:rPr>
      </w:pPr>
      <w:r>
        <w:rPr>
          <w:rFonts w:ascii="Arial" w:cs="Arial" w:eastAsia="Arial" w:hAnsi="Arial"/>
          <w:sz w:val="14"/>
          <w:szCs w:val="14"/>
          <w:color w:val="auto"/>
        </w:rPr>
        <w:t>Represents in-the-money value of accelerated stock options based on the closing price of our common stock on December 31, 2018 ($47.29). For the awards in fiscal 2017, upon a termination due to retirement after the second</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240" w:top="459" w:right="4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740" w:right="80"/>
        <w:spacing w:after="0" w:line="239" w:lineRule="auto"/>
        <w:rPr>
          <w:sz w:val="20"/>
          <w:szCs w:val="20"/>
          <w:color w:val="auto"/>
        </w:rPr>
      </w:pPr>
      <w:r>
        <w:rPr>
          <w:rFonts w:ascii="Arial" w:cs="Arial" w:eastAsia="Arial" w:hAnsi="Arial"/>
          <w:sz w:val="14"/>
          <w:szCs w:val="14"/>
          <w:color w:val="auto"/>
        </w:rPr>
        <w:t>anniversary of the grant date, stock options will continue to vest subject to non-compete/non-solicit and reasonable notice restrictions. For the awards in fiscal 2018, upon a termination due to retirement after 18 months from the grant date, stock options will continue to vest subject to non-compete/non-solicit and reasonable notice restrictions. 2017 and 2018 awards are assumed forfeited, as retirement at December 31, 2018 is before the second anniversary and 18 months from the grant date, respectively. Upon a change-in-control, stock options will accelerate only if they are not assumed or substituted, and otherwise provide for a double trigger; values presume that the acquirer assumes outstanding stock options.</w:t>
      </w:r>
    </w:p>
    <w:p>
      <w:pPr>
        <w:spacing w:after="0" w:line="9" w:lineRule="exact"/>
        <w:rPr>
          <w:sz w:val="20"/>
          <w:szCs w:val="20"/>
          <w:color w:val="auto"/>
        </w:rPr>
      </w:pPr>
    </w:p>
    <w:p>
      <w:pPr>
        <w:jc w:val="both"/>
        <w:ind w:left="740" w:right="200" w:hanging="428"/>
        <w:spacing w:after="0" w:line="195" w:lineRule="auto"/>
        <w:tabs>
          <w:tab w:leader="none" w:pos="740" w:val="left"/>
        </w:tabs>
        <w:numPr>
          <w:ilvl w:val="0"/>
          <w:numId w:val="64"/>
        </w:numPr>
        <w:rPr>
          <w:rFonts w:ascii="Arial" w:cs="Arial" w:eastAsia="Arial" w:hAnsi="Arial"/>
          <w:sz w:val="24"/>
          <w:szCs w:val="24"/>
          <w:color w:val="auto"/>
          <w:vertAlign w:val="superscript"/>
        </w:rPr>
      </w:pPr>
      <w:r>
        <w:rPr>
          <w:rFonts w:ascii="Arial" w:cs="Arial" w:eastAsia="Arial" w:hAnsi="Arial"/>
          <w:sz w:val="14"/>
          <w:szCs w:val="14"/>
          <w:color w:val="auto"/>
        </w:rPr>
        <w:t>Effective April 29, 2014, the Executive Officer Severance Pay Policy provides an executive officer, who is terminated involuntarily, a severance payment equal to 1 times base salary plus one year of continued benefits and outplacement. The change-in-control agreements provide for a severance payment equal to 2 times the sum of base salary and target annual bonus.</w:t>
      </w:r>
    </w:p>
    <w:p>
      <w:pPr>
        <w:ind w:left="740" w:right="20" w:hanging="428"/>
        <w:spacing w:after="0" w:line="215" w:lineRule="auto"/>
        <w:tabs>
          <w:tab w:leader="none" w:pos="740" w:val="left"/>
        </w:tabs>
        <w:numPr>
          <w:ilvl w:val="0"/>
          <w:numId w:val="64"/>
        </w:numPr>
        <w:rPr>
          <w:rFonts w:ascii="Arial" w:cs="Arial" w:eastAsia="Arial" w:hAnsi="Arial"/>
          <w:sz w:val="24"/>
          <w:szCs w:val="24"/>
          <w:color w:val="auto"/>
          <w:vertAlign w:val="superscript"/>
        </w:rPr>
      </w:pPr>
      <w:r>
        <w:rPr>
          <w:rFonts w:ascii="Arial" w:cs="Arial" w:eastAsia="Arial" w:hAnsi="Arial"/>
          <w:sz w:val="14"/>
          <w:szCs w:val="14"/>
          <w:color w:val="auto"/>
        </w:rPr>
        <w:t>For the time-vested RSUs, upon termination due to death or disability, represents the accelerated value of the RSUs based on the closing price of our common stock on December 31, 2018 ($47.29). For the awards in fiscal 2017, upon a termination due to retirement after the second anniversary of the grant date, RSUs will continue to vest subject to non-compete/non-solicit and reasonable notice restrictions. For the awards in fiscal 2018, upon a termination due to retirement after 18 months from the grant date, RSUs will continue to vest subject to non-compete/non-solicit and reasonable notice restrictions. 2017 and 2018 awards are assumed forfeited, as retirement at December 31, 2018 is before the second and 18 months from the grant date, respectively. Upon a change-in-control only (single trigger), RSUs that are not assumed by an acquirer will accelerate; values presume that the acquirer assumes applicable outstanding RSUs.</w:t>
      </w:r>
    </w:p>
    <w:p>
      <w:pPr>
        <w:spacing w:after="0" w:line="4" w:lineRule="exact"/>
        <w:rPr>
          <w:rFonts w:ascii="Arial" w:cs="Arial" w:eastAsia="Arial" w:hAnsi="Arial"/>
          <w:sz w:val="24"/>
          <w:szCs w:val="24"/>
          <w:color w:val="auto"/>
          <w:vertAlign w:val="superscript"/>
        </w:rPr>
      </w:pPr>
    </w:p>
    <w:p>
      <w:pPr>
        <w:ind w:left="740" w:right="100" w:hanging="428"/>
        <w:spacing w:after="0" w:line="230" w:lineRule="auto"/>
        <w:tabs>
          <w:tab w:leader="none" w:pos="740" w:val="left"/>
        </w:tabs>
        <w:numPr>
          <w:ilvl w:val="0"/>
          <w:numId w:val="64"/>
        </w:numPr>
        <w:rPr>
          <w:rFonts w:ascii="Arial" w:cs="Arial" w:eastAsia="Arial" w:hAnsi="Arial"/>
          <w:sz w:val="24"/>
          <w:szCs w:val="24"/>
          <w:color w:val="auto"/>
          <w:vertAlign w:val="superscript"/>
        </w:rPr>
      </w:pPr>
      <w:r>
        <w:rPr>
          <w:rFonts w:ascii="Arial" w:cs="Arial" w:eastAsia="Arial" w:hAnsi="Arial"/>
          <w:sz w:val="14"/>
          <w:szCs w:val="14"/>
          <w:color w:val="auto"/>
        </w:rPr>
        <w:t>Upon a termination due to death or disability, awards will vest based on actual performance at the conclusion of the performance periods. For the awards granted in fiscal 2017 and fiscal 2018, shares continue to vest through the year of death and disability and all unvested shares are accelerated. Fiscal 2017 value assumes target performance will be achieved, while fiscal 2018 value assumes threshold performance will be achieved. For the awards granted in fiscal 2017, upon a termination due to retirement after the second anniversary of the grant date, awards will vest in full based on actual performance at the end of the performance period (no pro-rated payout). For the awards granted in fiscal 2018, upon a termination due to retirement after 18 months from the grant date, awards will vest in full based on actual performance at the end of the performance period (no pro-rated payout). 2017 and 2018 awards are assumed forfeited, as retirement at December 31, 2018 is before the second anniversary and 18 months from the grant date, respectively. Pursuant to our award agreements with this executive the PRSUs outstanding as of the change-in-control will be vested at the greater of target or actual performance for the year,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As of December 31, 2018, two three-year performance cycles (2017-2019 and 2018-2020) are not yet complete and target payouts are used. Upon a termination following a change-in-control, value represents the incremental difference in values between target and actual performance (e.g. no value for cycles where actual payouts are greater than or equal to target amounts). Values are based on the closing price of our common stock on December 31, 2018 ($47.29).</w:t>
      </w:r>
    </w:p>
    <w:p>
      <w:pPr>
        <w:spacing w:after="0" w:line="216"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Summary of Termination Payments</w:t>
      </w:r>
    </w:p>
    <w:p>
      <w:pPr>
        <w:spacing w:after="0" w:line="1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Sarah Hlavinka</w:t>
      </w:r>
    </w:p>
    <w:p>
      <w:pPr>
        <w:spacing w:after="0" w:line="10" w:lineRule="exact"/>
        <w:rPr>
          <w:sz w:val="20"/>
          <w:szCs w:val="20"/>
          <w:color w:val="auto"/>
        </w:rPr>
      </w:pPr>
    </w:p>
    <w:tbl>
      <w:tblPr>
        <w:tblLayout w:type="fixed"/>
        <w:tblInd w:w="200" w:type="dxa"/>
        <w:tblCellMar>
          <w:top w:w="0" w:type="dxa"/>
          <w:left w:w="0" w:type="dxa"/>
          <w:bottom w:w="0" w:type="dxa"/>
          <w:right w:w="0" w:type="dxa"/>
        </w:tblCellMar>
      </w:tblPr>
      <w:tr>
        <w:trPr>
          <w:trHeight w:val="107"/>
        </w:trPr>
        <w:tc>
          <w:tcPr>
            <w:tcW w:w="20" w:type="dxa"/>
            <w:vAlign w:val="bottom"/>
          </w:tcPr>
          <w:p>
            <w:pPr>
              <w:spacing w:after="0"/>
              <w:rPr>
                <w:sz w:val="9"/>
                <w:szCs w:val="9"/>
                <w:color w:val="auto"/>
              </w:rPr>
            </w:pPr>
          </w:p>
        </w:tc>
        <w:tc>
          <w:tcPr>
            <w:tcW w:w="33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center"/>
              <w:ind w:right="112"/>
              <w:spacing w:after="0" w:line="107" w:lineRule="exact"/>
              <w:rPr>
                <w:sz w:val="20"/>
                <w:szCs w:val="20"/>
                <w:color w:val="auto"/>
              </w:rPr>
            </w:pPr>
            <w:r>
              <w:rPr>
                <w:rFonts w:ascii="Arial" w:cs="Arial" w:eastAsia="Arial" w:hAnsi="Arial"/>
                <w:sz w:val="12"/>
                <w:szCs w:val="12"/>
                <w:b w:val="1"/>
                <w:bCs w:val="1"/>
                <w:color w:val="auto"/>
              </w:rPr>
              <w:t>Termination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Without Cause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or by Executive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240"/>
              <w:spacing w:after="0" w:line="135" w:lineRule="exact"/>
              <w:rPr>
                <w:sz w:val="20"/>
                <w:szCs w:val="20"/>
                <w:color w:val="auto"/>
              </w:rPr>
            </w:pPr>
            <w:r>
              <w:rPr>
                <w:rFonts w:ascii="Arial" w:cs="Arial" w:eastAsia="Arial" w:hAnsi="Arial"/>
                <w:sz w:val="13"/>
                <w:szCs w:val="13"/>
                <w:b w:val="1"/>
                <w:bCs w:val="1"/>
                <w:color w:val="auto"/>
                <w:w w:val="98"/>
              </w:rPr>
              <w:t>for Good Reason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gridSpan w:val="3"/>
          </w:tcPr>
          <w:p>
            <w:pPr>
              <w:ind w:left="240"/>
              <w:spacing w:after="0" w:line="135" w:lineRule="exact"/>
              <w:rPr>
                <w:sz w:val="20"/>
                <w:szCs w:val="20"/>
                <w:color w:val="auto"/>
              </w:rPr>
            </w:pPr>
            <w:r>
              <w:rPr>
                <w:rFonts w:ascii="Arial" w:cs="Arial" w:eastAsia="Arial" w:hAnsi="Arial"/>
                <w:sz w:val="13"/>
                <w:szCs w:val="13"/>
                <w:b w:val="1"/>
                <w:bCs w:val="1"/>
                <w:color w:val="auto"/>
                <w:w w:val="94"/>
              </w:rPr>
              <w:t>Termination</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112"/>
              <w:spacing w:after="0" w:line="135" w:lineRule="exact"/>
              <w:rPr>
                <w:sz w:val="20"/>
                <w:szCs w:val="20"/>
                <w:color w:val="auto"/>
              </w:rPr>
            </w:pPr>
            <w:r>
              <w:rPr>
                <w:rFonts w:ascii="Arial" w:cs="Arial" w:eastAsia="Arial" w:hAnsi="Arial"/>
                <w:sz w:val="13"/>
                <w:szCs w:val="13"/>
                <w:b w:val="1"/>
                <w:bCs w:val="1"/>
                <w:color w:val="auto"/>
              </w:rPr>
              <w:t>Following a</w:t>
            </w:r>
          </w:p>
        </w:tc>
        <w:tc>
          <w:tcPr>
            <w:tcW w:w="0" w:type="dxa"/>
            <w:vAlign w:val="bottom"/>
          </w:tcPr>
          <w:p>
            <w:pPr>
              <w:spacing w:after="0"/>
              <w:rPr>
                <w:sz w:val="1"/>
                <w:szCs w:val="1"/>
                <w:color w:val="auto"/>
              </w:rPr>
            </w:pPr>
          </w:p>
        </w:tc>
      </w:tr>
      <w:tr>
        <w:trPr>
          <w:trHeight w:val="135"/>
        </w:trPr>
        <w:tc>
          <w:tcPr>
            <w:tcW w:w="33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Executive Benefits (1)</w:t>
            </w:r>
          </w:p>
        </w:tc>
        <w:tc>
          <w:tcPr>
            <w:tcW w:w="920" w:type="dxa"/>
            <w:vAlign w:val="bottom"/>
            <w:gridSpan w:val="3"/>
          </w:tcPr>
          <w:p>
            <w:pPr>
              <w:ind w:left="200"/>
              <w:spacing w:after="0" w:line="135" w:lineRule="exact"/>
              <w:rPr>
                <w:sz w:val="20"/>
                <w:szCs w:val="20"/>
                <w:color w:val="auto"/>
              </w:rPr>
            </w:pPr>
            <w:r>
              <w:rPr>
                <w:rFonts w:ascii="Arial" w:cs="Arial" w:eastAsia="Arial" w:hAnsi="Arial"/>
                <w:sz w:val="13"/>
                <w:szCs w:val="13"/>
                <w:b w:val="1"/>
                <w:bCs w:val="1"/>
                <w:color w:val="auto"/>
                <w:w w:val="94"/>
              </w:rPr>
              <w:t>Termination</w:t>
            </w:r>
          </w:p>
        </w:tc>
        <w:tc>
          <w:tcPr>
            <w:tcW w:w="2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Voluntary</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70"/>
              <w:spacing w:after="0" w:line="135" w:lineRule="exact"/>
              <w:rPr>
                <w:sz w:val="20"/>
                <w:szCs w:val="20"/>
                <w:color w:val="auto"/>
              </w:rPr>
            </w:pPr>
            <w:r>
              <w:rPr>
                <w:rFonts w:ascii="Arial" w:cs="Arial" w:eastAsia="Arial" w:hAnsi="Arial"/>
                <w:sz w:val="13"/>
                <w:szCs w:val="13"/>
                <w:b w:val="1"/>
                <w:bCs w:val="1"/>
                <w:color w:val="auto"/>
                <w:w w:val="94"/>
              </w:rPr>
              <w:t>Without</w:t>
            </w:r>
          </w:p>
        </w:tc>
        <w:tc>
          <w:tcPr>
            <w:tcW w:w="900" w:type="dxa"/>
            <w:vAlign w:val="bottom"/>
            <w:gridSpan w:val="3"/>
          </w:tcPr>
          <w:p>
            <w:pPr>
              <w:ind w:left="240"/>
              <w:spacing w:after="0" w:line="135" w:lineRule="exact"/>
              <w:rPr>
                <w:sz w:val="20"/>
                <w:szCs w:val="20"/>
                <w:color w:val="auto"/>
              </w:rPr>
            </w:pPr>
            <w:r>
              <w:rPr>
                <w:rFonts w:ascii="Arial" w:cs="Arial" w:eastAsia="Arial" w:hAnsi="Arial"/>
                <w:sz w:val="13"/>
                <w:szCs w:val="13"/>
                <w:b w:val="1"/>
                <w:bCs w:val="1"/>
                <w:color w:val="auto"/>
                <w:w w:val="94"/>
              </w:rPr>
              <w:t>Change-in-</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112"/>
              <w:spacing w:after="0" w:line="135" w:lineRule="exact"/>
              <w:rPr>
                <w:sz w:val="20"/>
                <w:szCs w:val="20"/>
                <w:color w:val="auto"/>
              </w:rPr>
            </w:pPr>
            <w:r>
              <w:rPr>
                <w:rFonts w:ascii="Arial" w:cs="Arial" w:eastAsia="Arial" w:hAnsi="Arial"/>
                <w:sz w:val="13"/>
                <w:szCs w:val="13"/>
                <w:b w:val="1"/>
                <w:bCs w:val="1"/>
                <w:color w:val="auto"/>
                <w:w w:val="97"/>
              </w:rPr>
              <w:t>Change-in-</w:t>
            </w:r>
          </w:p>
        </w:tc>
        <w:tc>
          <w:tcPr>
            <w:tcW w:w="0" w:type="dxa"/>
            <w:vAlign w:val="bottom"/>
          </w:tcPr>
          <w:p>
            <w:pPr>
              <w:spacing w:after="0"/>
              <w:rPr>
                <w:sz w:val="1"/>
                <w:szCs w:val="1"/>
                <w:color w:val="auto"/>
              </w:rPr>
            </w:pPr>
          </w:p>
        </w:tc>
      </w:tr>
      <w:tr>
        <w:trPr>
          <w:trHeight w:val="157"/>
        </w:trPr>
        <w:tc>
          <w:tcPr>
            <w:tcW w:w="33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for Cause</w:t>
            </w:r>
          </w:p>
        </w:tc>
        <w:tc>
          <w:tcPr>
            <w:tcW w:w="960" w:type="dxa"/>
            <w:vAlign w:val="bottom"/>
            <w:gridSpan w:val="3"/>
          </w:tcPr>
          <w:p>
            <w:pPr>
              <w:ind w:left="240"/>
              <w:spacing w:after="0"/>
              <w:rPr>
                <w:sz w:val="20"/>
                <w:szCs w:val="20"/>
                <w:color w:val="auto"/>
              </w:rPr>
            </w:pPr>
            <w:r>
              <w:rPr>
                <w:rFonts w:ascii="Arial" w:cs="Arial" w:eastAsia="Arial" w:hAnsi="Arial"/>
                <w:sz w:val="13"/>
                <w:szCs w:val="13"/>
                <w:b w:val="1"/>
                <w:bCs w:val="1"/>
                <w:color w:val="auto"/>
                <w:w w:val="94"/>
              </w:rPr>
              <w:t>Termination</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69"/>
              <w:spacing w:after="0"/>
              <w:rPr>
                <w:sz w:val="20"/>
                <w:szCs w:val="20"/>
                <w:color w:val="auto"/>
              </w:rPr>
            </w:pPr>
            <w:r>
              <w:rPr>
                <w:rFonts w:ascii="Arial" w:cs="Arial" w:eastAsia="Arial" w:hAnsi="Arial"/>
                <w:sz w:val="13"/>
                <w:szCs w:val="13"/>
                <w:b w:val="1"/>
                <w:bCs w:val="1"/>
                <w:color w:val="auto"/>
                <w:w w:val="99"/>
              </w:rPr>
              <w:t>Death</w:t>
            </w:r>
          </w:p>
        </w:tc>
        <w:tc>
          <w:tcPr>
            <w:tcW w:w="24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w w:val="96"/>
              </w:rPr>
              <w:t>Disability</w:t>
            </w:r>
          </w:p>
        </w:tc>
        <w:tc>
          <w:tcPr>
            <w:tcW w:w="900" w:type="dxa"/>
            <w:vAlign w:val="bottom"/>
            <w:gridSpan w:val="3"/>
          </w:tcPr>
          <w:p>
            <w:pPr>
              <w:ind w:left="240"/>
              <w:spacing w:after="0"/>
              <w:rPr>
                <w:sz w:val="20"/>
                <w:szCs w:val="20"/>
                <w:color w:val="auto"/>
              </w:rPr>
            </w:pPr>
            <w:r>
              <w:rPr>
                <w:rFonts w:ascii="Arial" w:cs="Arial" w:eastAsia="Arial" w:hAnsi="Arial"/>
                <w:sz w:val="13"/>
                <w:szCs w:val="13"/>
                <w:b w:val="1"/>
                <w:bCs w:val="1"/>
                <w:color w:val="auto"/>
                <w:w w:val="94"/>
              </w:rPr>
              <w:t>Retirement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110"/>
              <w:spacing w:after="0"/>
              <w:rPr>
                <w:sz w:val="20"/>
                <w:szCs w:val="20"/>
                <w:color w:val="auto"/>
              </w:rPr>
            </w:pPr>
            <w:r>
              <w:rPr>
                <w:rFonts w:ascii="Arial" w:cs="Arial" w:eastAsia="Arial" w:hAnsi="Arial"/>
                <w:sz w:val="13"/>
                <w:szCs w:val="13"/>
                <w:b w:val="1"/>
                <w:bCs w:val="1"/>
                <w:color w:val="auto"/>
              </w:rPr>
              <w:t>Cause</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49"/>
              <w:spacing w:after="0"/>
              <w:rPr>
                <w:sz w:val="20"/>
                <w:szCs w:val="20"/>
                <w:color w:val="auto"/>
              </w:rPr>
            </w:pPr>
            <w:r>
              <w:rPr>
                <w:rFonts w:ascii="Arial" w:cs="Arial" w:eastAsia="Arial" w:hAnsi="Arial"/>
                <w:sz w:val="13"/>
                <w:szCs w:val="13"/>
                <w:b w:val="1"/>
                <w:bCs w:val="1"/>
                <w:color w:val="auto"/>
                <w:w w:val="95"/>
              </w:rPr>
              <w:t>Control</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112"/>
              <w:spacing w:after="0"/>
              <w:rPr>
                <w:sz w:val="20"/>
                <w:szCs w:val="20"/>
                <w:color w:val="auto"/>
              </w:rPr>
            </w:pPr>
            <w:r>
              <w:rPr>
                <w:rFonts w:ascii="Arial" w:cs="Arial" w:eastAsia="Arial" w:hAnsi="Arial"/>
                <w:sz w:val="13"/>
                <w:szCs w:val="13"/>
                <w:b w:val="1"/>
                <w:bCs w:val="1"/>
                <w:color w:val="auto"/>
                <w:w w:val="99"/>
              </w:rPr>
              <w:t>Control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3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Annual Incentive (2)</w:t>
            </w:r>
          </w:p>
        </w:tc>
        <w:tc>
          <w:tcPr>
            <w:tcW w:w="520" w:type="dxa"/>
            <w:vAlign w:val="bottom"/>
            <w:gridSpan w:val="2"/>
            <w:shd w:val="clear" w:color="auto" w:fill="CCEEFF"/>
          </w:tcPr>
          <w:p>
            <w:pPr>
              <w:ind w:left="180"/>
              <w:spacing w:after="0" w:line="155"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40"/>
              <w:spacing w:after="0" w:line="155" w:lineRule="exact"/>
              <w:rPr>
                <w:sz w:val="20"/>
                <w:szCs w:val="20"/>
                <w:color w:val="auto"/>
              </w:rPr>
            </w:pPr>
            <w:r>
              <w:rPr>
                <w:rFonts w:ascii="Arial" w:cs="Arial" w:eastAsia="Arial" w:hAnsi="Arial"/>
                <w:sz w:val="14"/>
                <w:szCs w:val="14"/>
                <w:color w:val="auto"/>
                <w:w w:val="99"/>
              </w:rPr>
              <w:t>—</w:t>
            </w:r>
          </w:p>
        </w:tc>
        <w:tc>
          <w:tcPr>
            <w:tcW w:w="560" w:type="dxa"/>
            <w:vAlign w:val="bottom"/>
            <w:gridSpan w:val="2"/>
            <w:shd w:val="clear" w:color="auto" w:fill="CCEEFF"/>
          </w:tcPr>
          <w:p>
            <w:pPr>
              <w:ind w:left="220"/>
              <w:spacing w:after="0" w:line="155"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40"/>
              <w:spacing w:after="0" w:line="155" w:lineRule="exact"/>
              <w:rPr>
                <w:sz w:val="20"/>
                <w:szCs w:val="20"/>
                <w:color w:val="auto"/>
              </w:rPr>
            </w:pPr>
            <w:r>
              <w:rPr>
                <w:rFonts w:ascii="Arial" w:cs="Arial" w:eastAsia="Arial" w:hAnsi="Arial"/>
                <w:sz w:val="14"/>
                <w:szCs w:val="14"/>
                <w:color w:val="auto"/>
                <w:w w:val="99"/>
              </w:rPr>
              <w:t>—</w:t>
            </w:r>
          </w:p>
        </w:tc>
        <w:tc>
          <w:tcPr>
            <w:tcW w:w="32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20"/>
              <w:spacing w:after="0" w:line="155"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w w:val="99"/>
              </w:rPr>
              <w:t>—</w:t>
            </w:r>
          </w:p>
        </w:tc>
        <w:tc>
          <w:tcPr>
            <w:tcW w:w="340" w:type="dxa"/>
            <w:vAlign w:val="bottom"/>
            <w:gridSpan w:val="2"/>
            <w:shd w:val="clear" w:color="auto" w:fill="CCEEFF"/>
          </w:tcPr>
          <w:p>
            <w:pPr>
              <w:ind w:left="240"/>
              <w:spacing w:after="0" w:line="155"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40"/>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356,250</w:t>
            </w:r>
          </w:p>
        </w:tc>
        <w:tc>
          <w:tcPr>
            <w:tcW w:w="360" w:type="dxa"/>
            <w:vAlign w:val="bottom"/>
            <w:gridSpan w:val="2"/>
            <w:shd w:val="clear" w:color="auto" w:fill="CCEEFF"/>
          </w:tcPr>
          <w:p>
            <w:pPr>
              <w:ind w:left="240"/>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right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356,250</w:t>
            </w:r>
          </w:p>
        </w:tc>
        <w:tc>
          <w:tcPr>
            <w:tcW w:w="0" w:type="dxa"/>
            <w:vAlign w:val="bottom"/>
          </w:tcPr>
          <w:p>
            <w:pPr>
              <w:spacing w:after="0"/>
              <w:rPr>
                <w:sz w:val="1"/>
                <w:szCs w:val="1"/>
                <w:color w:val="auto"/>
              </w:rPr>
            </w:pPr>
          </w:p>
        </w:tc>
      </w:tr>
      <w:tr>
        <w:trPr>
          <w:trHeight w:val="167"/>
        </w:trPr>
        <w:tc>
          <w:tcPr>
            <w:tcW w:w="3380" w:type="dxa"/>
            <w:vAlign w:val="bottom"/>
            <w:gridSpan w:val="2"/>
          </w:tcPr>
          <w:p>
            <w:pPr>
              <w:spacing w:after="0"/>
              <w:rPr>
                <w:sz w:val="20"/>
                <w:szCs w:val="20"/>
                <w:color w:val="auto"/>
              </w:rPr>
            </w:pPr>
            <w:r>
              <w:rPr>
                <w:rFonts w:ascii="Arial" w:cs="Arial" w:eastAsia="Arial" w:hAnsi="Arial"/>
                <w:sz w:val="14"/>
                <w:szCs w:val="14"/>
                <w:color w:val="auto"/>
              </w:rPr>
              <w:t>Accelerated Stock</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60" w:type="dxa"/>
            <w:vAlign w:val="bottom"/>
          </w:tcPr>
          <w:p>
            <w:pPr>
              <w:ind w:left="120"/>
              <w:spacing w:after="0" w:line="157" w:lineRule="exact"/>
              <w:rPr>
                <w:sz w:val="20"/>
                <w:szCs w:val="20"/>
                <w:color w:val="auto"/>
              </w:rPr>
            </w:pPr>
            <w:r>
              <w:rPr>
                <w:rFonts w:ascii="Arial" w:cs="Arial" w:eastAsia="Arial" w:hAnsi="Arial"/>
                <w:sz w:val="14"/>
                <w:szCs w:val="14"/>
                <w:color w:val="auto"/>
              </w:rPr>
              <w:t>Options (3)</w:t>
            </w:r>
          </w:p>
        </w:tc>
        <w:tc>
          <w:tcPr>
            <w:tcW w:w="520" w:type="dxa"/>
            <w:vAlign w:val="bottom"/>
            <w:gridSpan w:val="2"/>
          </w:tcPr>
          <w:p>
            <w:pPr>
              <w:ind w:left="180"/>
              <w:spacing w:after="0" w:line="157" w:lineRule="exact"/>
              <w:rPr>
                <w:sz w:val="20"/>
                <w:szCs w:val="20"/>
                <w:color w:val="auto"/>
              </w:rPr>
            </w:pPr>
            <w:r>
              <w:rPr>
                <w:rFonts w:ascii="Arial" w:cs="Arial" w:eastAsia="Arial" w:hAnsi="Arial"/>
                <w:sz w:val="14"/>
                <w:szCs w:val="14"/>
                <w:color w:val="auto"/>
              </w:rPr>
              <w:t>$</w:t>
            </w:r>
          </w:p>
        </w:tc>
        <w:tc>
          <w:tcPr>
            <w:tcW w:w="400" w:type="dxa"/>
            <w:vAlign w:val="bottom"/>
          </w:tcPr>
          <w:p>
            <w:pPr>
              <w:ind w:left="240"/>
              <w:spacing w:after="0" w:line="157" w:lineRule="exact"/>
              <w:rPr>
                <w:sz w:val="20"/>
                <w:szCs w:val="20"/>
                <w:color w:val="auto"/>
              </w:rPr>
            </w:pPr>
            <w:r>
              <w:rPr>
                <w:rFonts w:ascii="Arial" w:cs="Arial" w:eastAsia="Arial" w:hAnsi="Arial"/>
                <w:sz w:val="14"/>
                <w:szCs w:val="14"/>
                <w:color w:val="auto"/>
                <w:w w:val="99"/>
              </w:rPr>
              <w:t>—</w:t>
            </w:r>
          </w:p>
        </w:tc>
        <w:tc>
          <w:tcPr>
            <w:tcW w:w="560" w:type="dxa"/>
            <w:vAlign w:val="bottom"/>
            <w:gridSpan w:val="2"/>
          </w:tcPr>
          <w:p>
            <w:pPr>
              <w:ind w:left="220"/>
              <w:spacing w:after="0" w:line="157" w:lineRule="exact"/>
              <w:rPr>
                <w:sz w:val="20"/>
                <w:szCs w:val="20"/>
                <w:color w:val="auto"/>
              </w:rPr>
            </w:pPr>
            <w:r>
              <w:rPr>
                <w:rFonts w:ascii="Arial" w:cs="Arial" w:eastAsia="Arial" w:hAnsi="Arial"/>
                <w:sz w:val="14"/>
                <w:szCs w:val="14"/>
                <w:color w:val="auto"/>
              </w:rPr>
              <w:t>$</w:t>
            </w:r>
          </w:p>
        </w:tc>
        <w:tc>
          <w:tcPr>
            <w:tcW w:w="400" w:type="dxa"/>
            <w:vAlign w:val="bottom"/>
          </w:tcPr>
          <w:p>
            <w:pPr>
              <w:ind w:left="240"/>
              <w:spacing w:after="0" w:line="157" w:lineRule="exact"/>
              <w:rPr>
                <w:sz w:val="20"/>
                <w:szCs w:val="20"/>
                <w:color w:val="auto"/>
              </w:rPr>
            </w:pPr>
            <w:r>
              <w:rPr>
                <w:rFonts w:ascii="Arial" w:cs="Arial" w:eastAsia="Arial" w:hAnsi="Arial"/>
                <w:sz w:val="14"/>
                <w:szCs w:val="14"/>
                <w:color w:val="auto"/>
                <w:w w:val="99"/>
              </w:rPr>
              <w:t>—</w:t>
            </w:r>
          </w:p>
        </w:tc>
        <w:tc>
          <w:tcPr>
            <w:tcW w:w="32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520" w:type="dxa"/>
            <w:vAlign w:val="bottom"/>
            <w:gridSpan w:val="2"/>
          </w:tcPr>
          <w:p>
            <w:pPr>
              <w:ind w:left="220"/>
              <w:spacing w:after="0" w:line="157" w:lineRule="exact"/>
              <w:rPr>
                <w:sz w:val="20"/>
                <w:szCs w:val="20"/>
                <w:color w:val="auto"/>
              </w:rPr>
            </w:pPr>
            <w:r>
              <w:rPr>
                <w:rFonts w:ascii="Arial" w:cs="Arial" w:eastAsia="Arial" w:hAnsi="Arial"/>
                <w:sz w:val="14"/>
                <w:szCs w:val="14"/>
                <w:color w:val="auto"/>
              </w:rPr>
              <w:t>$</w:t>
            </w:r>
          </w:p>
        </w:tc>
        <w:tc>
          <w:tcPr>
            <w:tcW w:w="380" w:type="dxa"/>
            <w:vAlign w:val="bottom"/>
          </w:tcPr>
          <w:p>
            <w:pPr>
              <w:ind w:left="220"/>
              <w:spacing w:after="0" w:line="157" w:lineRule="exact"/>
              <w:rPr>
                <w:sz w:val="20"/>
                <w:szCs w:val="20"/>
                <w:color w:val="auto"/>
              </w:rPr>
            </w:pPr>
            <w:r>
              <w:rPr>
                <w:rFonts w:ascii="Arial" w:cs="Arial" w:eastAsia="Arial" w:hAnsi="Arial"/>
                <w:sz w:val="14"/>
                <w:szCs w:val="14"/>
                <w:color w:val="auto"/>
                <w:w w:val="99"/>
              </w:rPr>
              <w:t>—</w:t>
            </w:r>
          </w:p>
        </w:tc>
        <w:tc>
          <w:tcPr>
            <w:tcW w:w="340" w:type="dxa"/>
            <w:vAlign w:val="bottom"/>
            <w:gridSpan w:val="2"/>
          </w:tcPr>
          <w:p>
            <w:pPr>
              <w:ind w:left="240"/>
              <w:spacing w:after="0" w:line="157"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40"/>
              <w:spacing w:after="0" w:line="157"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40"/>
              <w:spacing w:after="0" w:line="157"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Severance (4)</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9"/>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9"/>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9"/>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493,630</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1,662,500</w:t>
            </w:r>
          </w:p>
        </w:tc>
        <w:tc>
          <w:tcPr>
            <w:tcW w:w="0" w:type="dxa"/>
            <w:vAlign w:val="bottom"/>
          </w:tcPr>
          <w:p>
            <w:pPr>
              <w:spacing w:after="0"/>
              <w:rPr>
                <w:sz w:val="1"/>
                <w:szCs w:val="1"/>
                <w:color w:val="auto"/>
              </w:rPr>
            </w:pPr>
          </w:p>
        </w:tc>
      </w:tr>
      <w:tr>
        <w:trPr>
          <w:trHeight w:val="162"/>
        </w:trPr>
        <w:tc>
          <w:tcPr>
            <w:tcW w:w="3380" w:type="dxa"/>
            <w:vAlign w:val="bottom"/>
            <w:gridSpan w:val="2"/>
          </w:tcPr>
          <w:p>
            <w:pPr>
              <w:spacing w:after="0"/>
              <w:rPr>
                <w:sz w:val="20"/>
                <w:szCs w:val="20"/>
                <w:color w:val="auto"/>
              </w:rPr>
            </w:pPr>
            <w:r>
              <w:rPr>
                <w:rFonts w:ascii="Arial" w:cs="Arial" w:eastAsia="Arial" w:hAnsi="Arial"/>
                <w:sz w:val="14"/>
                <w:szCs w:val="14"/>
                <w:color w:val="auto"/>
              </w:rPr>
              <w:t>Benefit Continuation</w:t>
            </w:r>
          </w:p>
        </w:tc>
        <w:tc>
          <w:tcPr>
            <w:tcW w:w="52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400" w:type="dxa"/>
            <w:vAlign w:val="bottom"/>
          </w:tcPr>
          <w:p>
            <w:pPr>
              <w:ind w:left="240"/>
              <w:spacing w:after="0"/>
              <w:rPr>
                <w:sz w:val="20"/>
                <w:szCs w:val="20"/>
                <w:color w:val="auto"/>
              </w:rPr>
            </w:pPr>
            <w:r>
              <w:rPr>
                <w:rFonts w:ascii="Arial" w:cs="Arial" w:eastAsia="Arial" w:hAnsi="Arial"/>
                <w:sz w:val="14"/>
                <w:szCs w:val="14"/>
                <w:color w:val="auto"/>
                <w:w w:val="99"/>
              </w:rPr>
              <w:t>—</w:t>
            </w:r>
          </w:p>
        </w:tc>
        <w:tc>
          <w:tcPr>
            <w:tcW w:w="5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400" w:type="dxa"/>
            <w:vAlign w:val="bottom"/>
          </w:tcPr>
          <w:p>
            <w:pPr>
              <w:ind w:left="240"/>
              <w:spacing w:after="0"/>
              <w:rPr>
                <w:sz w:val="20"/>
                <w:szCs w:val="20"/>
                <w:color w:val="auto"/>
              </w:rPr>
            </w:pPr>
            <w:r>
              <w:rPr>
                <w:rFonts w:ascii="Arial" w:cs="Arial" w:eastAsia="Arial" w:hAnsi="Arial"/>
                <w:sz w:val="14"/>
                <w:szCs w:val="14"/>
                <w:color w:val="auto"/>
                <w:w w:val="99"/>
              </w:rPr>
              <w:t>—</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380" w:type="dxa"/>
            <w:vAlign w:val="bottom"/>
          </w:tcPr>
          <w:p>
            <w:pPr>
              <w:ind w:left="220"/>
              <w:spacing w:after="0"/>
              <w:rPr>
                <w:sz w:val="20"/>
                <w:szCs w:val="20"/>
                <w:color w:val="auto"/>
              </w:rPr>
            </w:pPr>
            <w:r>
              <w:rPr>
                <w:rFonts w:ascii="Arial" w:cs="Arial" w:eastAsia="Arial" w:hAnsi="Arial"/>
                <w:sz w:val="14"/>
                <w:szCs w:val="14"/>
                <w:color w:val="auto"/>
                <w:w w:val="99"/>
              </w:rPr>
              <w:t>—</w:t>
            </w:r>
          </w:p>
        </w:tc>
        <w:tc>
          <w:tcPr>
            <w:tcW w:w="3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19,259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Accelerated RSUs (5)</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9"/>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9"/>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499,241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499,241</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9"/>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499,241</w:t>
            </w:r>
          </w:p>
        </w:tc>
        <w:tc>
          <w:tcPr>
            <w:tcW w:w="0" w:type="dxa"/>
            <w:vAlign w:val="bottom"/>
          </w:tcPr>
          <w:p>
            <w:pPr>
              <w:spacing w:after="0"/>
              <w:rPr>
                <w:sz w:val="1"/>
                <w:szCs w:val="1"/>
                <w:color w:val="auto"/>
              </w:rPr>
            </w:pPr>
          </w:p>
        </w:tc>
      </w:tr>
      <w:tr>
        <w:trPr>
          <w:trHeight w:val="177"/>
        </w:trPr>
        <w:tc>
          <w:tcPr>
            <w:tcW w:w="3380" w:type="dxa"/>
            <w:vAlign w:val="bottom"/>
            <w:gridSpan w:val="2"/>
          </w:tcPr>
          <w:p>
            <w:pPr>
              <w:spacing w:after="0"/>
              <w:rPr>
                <w:sz w:val="20"/>
                <w:szCs w:val="20"/>
                <w:color w:val="auto"/>
              </w:rPr>
            </w:pPr>
            <w:r>
              <w:rPr>
                <w:rFonts w:ascii="Arial" w:cs="Arial" w:eastAsia="Arial" w:hAnsi="Arial"/>
                <w:sz w:val="14"/>
                <w:szCs w:val="14"/>
                <w:color w:val="auto"/>
              </w:rPr>
              <w:t>Accelerated Performance RSUs (PRSUs) (6)</w:t>
            </w:r>
          </w:p>
        </w:tc>
        <w:tc>
          <w:tcPr>
            <w:tcW w:w="52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400" w:type="dxa"/>
            <w:vAlign w:val="bottom"/>
          </w:tcPr>
          <w:p>
            <w:pPr>
              <w:ind w:left="240"/>
              <w:spacing w:after="0"/>
              <w:rPr>
                <w:sz w:val="20"/>
                <w:szCs w:val="20"/>
                <w:color w:val="auto"/>
              </w:rPr>
            </w:pPr>
            <w:r>
              <w:rPr>
                <w:rFonts w:ascii="Arial" w:cs="Arial" w:eastAsia="Arial" w:hAnsi="Arial"/>
                <w:sz w:val="14"/>
                <w:szCs w:val="14"/>
                <w:color w:val="auto"/>
                <w:w w:val="99"/>
              </w:rPr>
              <w:t>—</w:t>
            </w:r>
          </w:p>
        </w:tc>
        <w:tc>
          <w:tcPr>
            <w:tcW w:w="5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400" w:type="dxa"/>
            <w:vAlign w:val="bottom"/>
          </w:tcPr>
          <w:p>
            <w:pPr>
              <w:ind w:left="240"/>
              <w:spacing w:after="0"/>
              <w:rPr>
                <w:sz w:val="20"/>
                <w:szCs w:val="20"/>
                <w:color w:val="auto"/>
              </w:rPr>
            </w:pPr>
            <w:r>
              <w:rPr>
                <w:rFonts w:ascii="Arial" w:cs="Arial" w:eastAsia="Arial" w:hAnsi="Arial"/>
                <w:sz w:val="14"/>
                <w:szCs w:val="14"/>
                <w:color w:val="auto"/>
                <w:w w:val="99"/>
              </w:rPr>
              <w:t>—</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106,970</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106,970</w:t>
            </w:r>
          </w:p>
        </w:tc>
        <w:tc>
          <w:tcPr>
            <w:tcW w:w="5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380" w:type="dxa"/>
            <w:vAlign w:val="bottom"/>
          </w:tcPr>
          <w:p>
            <w:pPr>
              <w:ind w:left="220"/>
              <w:spacing w:after="0"/>
              <w:rPr>
                <w:sz w:val="20"/>
                <w:szCs w:val="20"/>
                <w:color w:val="auto"/>
              </w:rPr>
            </w:pPr>
            <w:r>
              <w:rPr>
                <w:rFonts w:ascii="Arial" w:cs="Arial" w:eastAsia="Arial" w:hAnsi="Arial"/>
                <w:sz w:val="14"/>
                <w:szCs w:val="14"/>
                <w:color w:val="auto"/>
                <w:w w:val="99"/>
              </w:rPr>
              <w:t>—</w:t>
            </w:r>
          </w:p>
        </w:tc>
        <w:tc>
          <w:tcPr>
            <w:tcW w:w="3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48,037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76200</wp:posOffset>
            </wp:positionV>
            <wp:extent cx="7632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9" w:lineRule="exact"/>
        <w:rPr>
          <w:sz w:val="20"/>
          <w:szCs w:val="20"/>
          <w:color w:val="auto"/>
        </w:rPr>
      </w:pPr>
    </w:p>
    <w:p>
      <w:pPr>
        <w:ind w:left="740" w:right="80" w:hanging="428"/>
        <w:spacing w:after="0" w:line="218" w:lineRule="auto"/>
        <w:tabs>
          <w:tab w:leader="none" w:pos="740" w:val="left"/>
        </w:tabs>
        <w:numPr>
          <w:ilvl w:val="0"/>
          <w:numId w:val="65"/>
        </w:numPr>
        <w:rPr>
          <w:rFonts w:ascii="Arial" w:cs="Arial" w:eastAsia="Arial" w:hAnsi="Arial"/>
          <w:sz w:val="24"/>
          <w:szCs w:val="24"/>
          <w:color w:val="auto"/>
          <w:vertAlign w:val="superscript"/>
        </w:rPr>
      </w:pPr>
      <w:r>
        <w:rPr>
          <w:rFonts w:ascii="Arial" w:cs="Arial" w:eastAsia="Arial" w:hAnsi="Arial"/>
          <w:sz w:val="14"/>
          <w:szCs w:val="14"/>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 times the sum of the executive’s base salary and target annual bonus. Each form of payment is mutually exclusive based on the individual circumstances or events and therefore represents a single payment and should not be added together.</w:t>
      </w:r>
    </w:p>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240" w:top="459" w:right="4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740" w:right="80" w:hanging="428"/>
        <w:spacing w:after="0" w:line="182" w:lineRule="auto"/>
        <w:tabs>
          <w:tab w:leader="none" w:pos="740" w:val="left"/>
        </w:tabs>
        <w:numPr>
          <w:ilvl w:val="0"/>
          <w:numId w:val="66"/>
        </w:numPr>
        <w:rPr>
          <w:rFonts w:ascii="Arial" w:cs="Arial" w:eastAsia="Arial" w:hAnsi="Arial"/>
          <w:sz w:val="23"/>
          <w:szCs w:val="23"/>
          <w:color w:val="auto"/>
          <w:vertAlign w:val="superscript"/>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The annual incentive plan did not pay out in 2018, so the value represents the target bonus opportunity.</w:t>
      </w:r>
    </w:p>
    <w:p>
      <w:pPr>
        <w:spacing w:after="0" w:line="1" w:lineRule="exact"/>
        <w:rPr>
          <w:rFonts w:ascii="Arial" w:cs="Arial" w:eastAsia="Arial" w:hAnsi="Arial"/>
          <w:sz w:val="23"/>
          <w:szCs w:val="23"/>
          <w:color w:val="auto"/>
          <w:vertAlign w:val="superscript"/>
        </w:rPr>
      </w:pPr>
    </w:p>
    <w:p>
      <w:pPr>
        <w:ind w:left="740" w:right="320" w:hanging="428"/>
        <w:spacing w:after="0" w:line="211" w:lineRule="auto"/>
        <w:tabs>
          <w:tab w:leader="none" w:pos="740" w:val="left"/>
        </w:tabs>
        <w:numPr>
          <w:ilvl w:val="0"/>
          <w:numId w:val="66"/>
        </w:numPr>
        <w:rPr>
          <w:rFonts w:ascii="Arial" w:cs="Arial" w:eastAsia="Arial" w:hAnsi="Arial"/>
          <w:sz w:val="24"/>
          <w:szCs w:val="24"/>
          <w:color w:val="auto"/>
          <w:vertAlign w:val="superscript"/>
        </w:rPr>
      </w:pPr>
      <w:r>
        <w:rPr>
          <w:rFonts w:ascii="Arial" w:cs="Arial" w:eastAsia="Arial" w:hAnsi="Arial"/>
          <w:sz w:val="14"/>
          <w:szCs w:val="14"/>
          <w:color w:val="auto"/>
        </w:rPr>
        <w:t>Represents in-the-money value of accelerated stock options based on the closing price of our common stock on December 31, 2018 ($47.29). For the awards in fiscal 2018, upon a termination due to retirement after 18 months from the grant date, stock options will continue to vest subject to non-compete/non-solicit and reasonable notice restrictions; 2018 awards are assumed forfeited, as retirement at December 31, 2018 is within 18 months from the grant date. Upon a change-in-control, stock options will accelerate only if they are not assumed or substituted, and otherwise provide for a double trigger; values presume that the acquirer assumes outstanding stock options.</w:t>
      </w:r>
    </w:p>
    <w:p>
      <w:pPr>
        <w:spacing w:after="0" w:line="1" w:lineRule="exact"/>
        <w:rPr>
          <w:rFonts w:ascii="Arial" w:cs="Arial" w:eastAsia="Arial" w:hAnsi="Arial"/>
          <w:sz w:val="24"/>
          <w:szCs w:val="24"/>
          <w:color w:val="auto"/>
          <w:vertAlign w:val="superscript"/>
        </w:rPr>
      </w:pPr>
    </w:p>
    <w:p>
      <w:pPr>
        <w:jc w:val="both"/>
        <w:ind w:left="740" w:right="200" w:hanging="428"/>
        <w:spacing w:after="0" w:line="195" w:lineRule="auto"/>
        <w:tabs>
          <w:tab w:leader="none" w:pos="740" w:val="left"/>
        </w:tabs>
        <w:numPr>
          <w:ilvl w:val="0"/>
          <w:numId w:val="66"/>
        </w:numPr>
        <w:rPr>
          <w:rFonts w:ascii="Arial" w:cs="Arial" w:eastAsia="Arial" w:hAnsi="Arial"/>
          <w:sz w:val="24"/>
          <w:szCs w:val="24"/>
          <w:color w:val="auto"/>
          <w:vertAlign w:val="superscript"/>
        </w:rPr>
      </w:pPr>
      <w:r>
        <w:rPr>
          <w:rFonts w:ascii="Arial" w:cs="Arial" w:eastAsia="Arial" w:hAnsi="Arial"/>
          <w:sz w:val="14"/>
          <w:szCs w:val="14"/>
          <w:color w:val="auto"/>
        </w:rPr>
        <w:t>Effective April 29, 2014, the Executive Officer Severance Pay Policy provides an executive officer, who is terminated involuntarily, a severance payment equal to 1 times base salary plus one year of continued benefits and outplacement. The change-in-control agreements provide for a severance payment equal to 2 times the sum of base salary and target annual bonus.</w:t>
      </w:r>
    </w:p>
    <w:p>
      <w:pPr>
        <w:ind w:left="740" w:right="20" w:hanging="428"/>
        <w:spacing w:after="0" w:line="211" w:lineRule="auto"/>
        <w:tabs>
          <w:tab w:leader="none" w:pos="740" w:val="left"/>
        </w:tabs>
        <w:numPr>
          <w:ilvl w:val="0"/>
          <w:numId w:val="66"/>
        </w:numPr>
        <w:rPr>
          <w:rFonts w:ascii="Arial" w:cs="Arial" w:eastAsia="Arial" w:hAnsi="Arial"/>
          <w:sz w:val="24"/>
          <w:szCs w:val="24"/>
          <w:color w:val="auto"/>
          <w:vertAlign w:val="superscript"/>
        </w:rPr>
      </w:pPr>
      <w:r>
        <w:rPr>
          <w:rFonts w:ascii="Arial" w:cs="Arial" w:eastAsia="Arial" w:hAnsi="Arial"/>
          <w:sz w:val="14"/>
          <w:szCs w:val="14"/>
          <w:color w:val="auto"/>
        </w:rPr>
        <w:t>For the time-vested RSUs, upon termination due to death or disability, represents the accelerated value of the RSUs based on the closing price of our common stock on December 31, 2018 ($47.29). For the awards in fiscal 2018, upon a termination due to retirement after 18 months from the grant date, RSUs will continue to vest subject to non-compete/non-solicit and reasonable notice restrictions; 2018 awards are assumed forfeited, as retirement at December 31, 2018 is within 18 months from the grant date. Upon a change-in-control only (single trigger), RSUs that are not assumed by an acquirer will accelerate; values presume that the acquirer assumes applicable outstanding RSUs.</w:t>
      </w:r>
    </w:p>
    <w:p>
      <w:pPr>
        <w:spacing w:after="0" w:line="1" w:lineRule="exact"/>
        <w:rPr>
          <w:rFonts w:ascii="Arial" w:cs="Arial" w:eastAsia="Arial" w:hAnsi="Arial"/>
          <w:sz w:val="24"/>
          <w:szCs w:val="24"/>
          <w:color w:val="auto"/>
          <w:vertAlign w:val="superscript"/>
        </w:rPr>
      </w:pPr>
    </w:p>
    <w:p>
      <w:pPr>
        <w:ind w:left="740" w:right="20" w:hanging="428"/>
        <w:spacing w:after="0" w:line="226" w:lineRule="auto"/>
        <w:tabs>
          <w:tab w:leader="none" w:pos="740" w:val="left"/>
        </w:tabs>
        <w:numPr>
          <w:ilvl w:val="0"/>
          <w:numId w:val="66"/>
        </w:numPr>
        <w:rPr>
          <w:rFonts w:ascii="Arial" w:cs="Arial" w:eastAsia="Arial" w:hAnsi="Arial"/>
          <w:sz w:val="24"/>
          <w:szCs w:val="24"/>
          <w:color w:val="auto"/>
          <w:vertAlign w:val="superscript"/>
        </w:rPr>
      </w:pPr>
      <w:r>
        <w:rPr>
          <w:rFonts w:ascii="Arial" w:cs="Arial" w:eastAsia="Arial" w:hAnsi="Arial"/>
          <w:sz w:val="14"/>
          <w:szCs w:val="14"/>
          <w:color w:val="auto"/>
        </w:rPr>
        <w:t>Upon a termination due to death or disability, awards will vest based on actual performance at the conclusion of the performance periods. For the awards granted in fiscal 2018, shares continue to vest through the year of death and disability and all unvested shares are accelerated. Fiscal 2018 value assumes threshold performance will be achieved. For the awards granted in fiscal 2018, upon a termination due to retirement after 18 months from the grant date, awards will vest in full based on actual performance at the end of the performance period (no pro-rated payout). 2018 awards are assumed forfeited, as retirement at December 31, 2018 is within 18 months from the grant date. Pursuant to our award agreements with this executive the PRSUs outstanding as of the change-in-control will be vested at the greater of target or actual performance for the year,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As of December 31, 2018, the 2018-2020 cycle is not yet complete and target payout is being used. Upon a termination following a change-in-control, value represents the incremental difference in values between target and actual performance (e.g. no value for cycles where actual payouts are greater than or equal to target amounts). Values are based on the closing price of our common stock on December 31, 2018 ($47.29).</w:t>
      </w: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3"/>
          <w:szCs w:val="13"/>
          <w:b w:val="1"/>
          <w:bCs w:val="1"/>
          <w:color w:val="auto"/>
        </w:rPr>
        <w:t>Summary of Termination Payments</w:t>
      </w:r>
    </w:p>
    <w:p>
      <w:pPr>
        <w:spacing w:after="0" w:line="2" w:lineRule="exact"/>
        <w:rPr>
          <w:sz w:val="20"/>
          <w:szCs w:val="20"/>
          <w:color w:val="auto"/>
        </w:rPr>
      </w:pPr>
    </w:p>
    <w:p>
      <w:pPr>
        <w:jc w:val="center"/>
        <w:ind w:right="-139"/>
        <w:spacing w:after="0"/>
        <w:rPr>
          <w:sz w:val="20"/>
          <w:szCs w:val="20"/>
          <w:color w:val="auto"/>
        </w:rPr>
      </w:pPr>
      <w:r>
        <w:rPr>
          <w:rFonts w:ascii="Arial" w:cs="Arial" w:eastAsia="Arial" w:hAnsi="Arial"/>
          <w:sz w:val="13"/>
          <w:szCs w:val="13"/>
          <w:b w:val="1"/>
          <w:bCs w:val="1"/>
          <w:color w:val="auto"/>
        </w:rPr>
        <w:t>Michel Cadieux</w:t>
      </w:r>
    </w:p>
    <w:p>
      <w:pPr>
        <w:spacing w:after="0" w:line="3" w:lineRule="exact"/>
        <w:rPr>
          <w:sz w:val="20"/>
          <w:szCs w:val="20"/>
          <w:color w:val="auto"/>
        </w:rPr>
      </w:pPr>
    </w:p>
    <w:tbl>
      <w:tblPr>
        <w:tblLayout w:type="fixed"/>
        <w:tblInd w:w="20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35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jc w:val="center"/>
              <w:ind w:right="73"/>
              <w:spacing w:after="0" w:line="109" w:lineRule="exact"/>
              <w:rPr>
                <w:sz w:val="20"/>
                <w:szCs w:val="20"/>
                <w:color w:val="auto"/>
              </w:rPr>
            </w:pPr>
            <w:r>
              <w:rPr>
                <w:rFonts w:ascii="Arial" w:cs="Arial" w:eastAsia="Arial" w:hAnsi="Arial"/>
                <w:sz w:val="12"/>
                <w:szCs w:val="12"/>
                <w:b w:val="1"/>
                <w:bCs w:val="1"/>
                <w:color w:val="auto"/>
              </w:rPr>
              <w:t>Termination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220"/>
              <w:spacing w:after="0" w:line="135" w:lineRule="exact"/>
              <w:rPr>
                <w:sz w:val="20"/>
                <w:szCs w:val="20"/>
                <w:color w:val="auto"/>
              </w:rPr>
            </w:pPr>
            <w:r>
              <w:rPr>
                <w:rFonts w:ascii="Arial" w:cs="Arial" w:eastAsia="Arial" w:hAnsi="Arial"/>
                <w:sz w:val="13"/>
                <w:szCs w:val="13"/>
                <w:b w:val="1"/>
                <w:bCs w:val="1"/>
                <w:color w:val="auto"/>
                <w:w w:val="98"/>
              </w:rPr>
              <w:t>Without Cause or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by Executive for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right="93"/>
              <w:spacing w:after="0" w:line="135" w:lineRule="exact"/>
              <w:rPr>
                <w:sz w:val="20"/>
                <w:szCs w:val="20"/>
                <w:color w:val="auto"/>
              </w:rPr>
            </w:pPr>
            <w:r>
              <w:rPr>
                <w:rFonts w:ascii="Arial" w:cs="Arial" w:eastAsia="Arial" w:hAnsi="Arial"/>
                <w:sz w:val="13"/>
                <w:szCs w:val="13"/>
                <w:b w:val="1"/>
                <w:bCs w:val="1"/>
                <w:color w:val="auto"/>
                <w:w w:val="96"/>
              </w:rPr>
              <w:t>Good Reason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gridSpan w:val="3"/>
          </w:tcPr>
          <w:p>
            <w:pPr>
              <w:ind w:left="200"/>
              <w:spacing w:after="0" w:line="135" w:lineRule="exact"/>
              <w:rPr>
                <w:sz w:val="20"/>
                <w:szCs w:val="20"/>
                <w:color w:val="auto"/>
              </w:rPr>
            </w:pPr>
            <w:r>
              <w:rPr>
                <w:rFonts w:ascii="Arial" w:cs="Arial" w:eastAsia="Arial" w:hAnsi="Arial"/>
                <w:sz w:val="13"/>
                <w:szCs w:val="13"/>
                <w:b w:val="1"/>
                <w:bCs w:val="1"/>
                <w:color w:val="auto"/>
                <w:w w:val="94"/>
              </w:rPr>
              <w:t>Termination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right="73"/>
              <w:spacing w:after="0" w:line="135" w:lineRule="exact"/>
              <w:rPr>
                <w:sz w:val="20"/>
                <w:szCs w:val="20"/>
                <w:color w:val="auto"/>
              </w:rPr>
            </w:pPr>
            <w:r>
              <w:rPr>
                <w:rFonts w:ascii="Arial" w:cs="Arial" w:eastAsia="Arial" w:hAnsi="Arial"/>
                <w:sz w:val="13"/>
                <w:szCs w:val="13"/>
                <w:b w:val="1"/>
                <w:bCs w:val="1"/>
                <w:color w:val="auto"/>
              </w:rPr>
              <w:t>Following a</w:t>
            </w:r>
          </w:p>
        </w:tc>
        <w:tc>
          <w:tcPr>
            <w:tcW w:w="0" w:type="dxa"/>
            <w:vAlign w:val="bottom"/>
          </w:tcPr>
          <w:p>
            <w:pPr>
              <w:spacing w:after="0"/>
              <w:rPr>
                <w:sz w:val="1"/>
                <w:szCs w:val="1"/>
                <w:color w:val="auto"/>
              </w:rPr>
            </w:pPr>
          </w:p>
        </w:tc>
      </w:tr>
      <w:tr>
        <w:trPr>
          <w:trHeight w:val="135"/>
        </w:trPr>
        <w:tc>
          <w:tcPr>
            <w:tcW w:w="35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Executive Benefits (1)</w:t>
            </w:r>
          </w:p>
        </w:tc>
        <w:tc>
          <w:tcPr>
            <w:tcW w:w="900" w:type="dxa"/>
            <w:vAlign w:val="bottom"/>
            <w:gridSpan w:val="3"/>
          </w:tcPr>
          <w:p>
            <w:pPr>
              <w:ind w:left="180"/>
              <w:spacing w:after="0" w:line="135" w:lineRule="exact"/>
              <w:rPr>
                <w:sz w:val="20"/>
                <w:szCs w:val="20"/>
                <w:color w:val="auto"/>
              </w:rPr>
            </w:pPr>
            <w:r>
              <w:rPr>
                <w:rFonts w:ascii="Arial" w:cs="Arial" w:eastAsia="Arial" w:hAnsi="Arial"/>
                <w:sz w:val="13"/>
                <w:szCs w:val="13"/>
                <w:b w:val="1"/>
                <w:bCs w:val="1"/>
                <w:color w:val="auto"/>
                <w:w w:val="94"/>
              </w:rPr>
              <w:t>Termination</w:t>
            </w:r>
          </w:p>
        </w:tc>
        <w:tc>
          <w:tcPr>
            <w:tcW w:w="2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Voluntary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50"/>
              <w:spacing w:after="0" w:line="135" w:lineRule="exact"/>
              <w:rPr>
                <w:sz w:val="20"/>
                <w:szCs w:val="20"/>
                <w:color w:val="auto"/>
              </w:rPr>
            </w:pPr>
            <w:r>
              <w:rPr>
                <w:rFonts w:ascii="Arial" w:cs="Arial" w:eastAsia="Arial" w:hAnsi="Arial"/>
                <w:sz w:val="13"/>
                <w:szCs w:val="13"/>
                <w:b w:val="1"/>
                <w:bCs w:val="1"/>
                <w:color w:val="auto"/>
                <w:w w:val="99"/>
              </w:rPr>
              <w:t>Without</w:t>
            </w:r>
          </w:p>
        </w:tc>
        <w:tc>
          <w:tcPr>
            <w:tcW w:w="880" w:type="dxa"/>
            <w:vAlign w:val="bottom"/>
            <w:gridSpan w:val="3"/>
          </w:tcPr>
          <w:p>
            <w:pPr>
              <w:ind w:left="220"/>
              <w:spacing w:after="0" w:line="135" w:lineRule="exact"/>
              <w:rPr>
                <w:sz w:val="20"/>
                <w:szCs w:val="20"/>
                <w:color w:val="auto"/>
              </w:rPr>
            </w:pPr>
            <w:r>
              <w:rPr>
                <w:rFonts w:ascii="Arial" w:cs="Arial" w:eastAsia="Arial" w:hAnsi="Arial"/>
                <w:sz w:val="13"/>
                <w:szCs w:val="13"/>
                <w:b w:val="1"/>
                <w:bCs w:val="1"/>
                <w:color w:val="auto"/>
                <w:w w:val="94"/>
              </w:rPr>
              <w:t>Change-in-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right="93"/>
              <w:spacing w:after="0" w:line="135" w:lineRule="exact"/>
              <w:rPr>
                <w:sz w:val="20"/>
                <w:szCs w:val="20"/>
                <w:color w:val="auto"/>
              </w:rPr>
            </w:pPr>
            <w:r>
              <w:rPr>
                <w:rFonts w:ascii="Arial" w:cs="Arial" w:eastAsia="Arial" w:hAnsi="Arial"/>
                <w:sz w:val="13"/>
                <w:szCs w:val="13"/>
                <w:b w:val="1"/>
                <w:bCs w:val="1"/>
                <w:color w:val="auto"/>
                <w:w w:val="97"/>
              </w:rPr>
              <w:t>Change-in-</w:t>
            </w:r>
          </w:p>
        </w:tc>
        <w:tc>
          <w:tcPr>
            <w:tcW w:w="0" w:type="dxa"/>
            <w:vAlign w:val="bottom"/>
          </w:tcPr>
          <w:p>
            <w:pPr>
              <w:spacing w:after="0"/>
              <w:rPr>
                <w:sz w:val="1"/>
                <w:szCs w:val="1"/>
                <w:color w:val="auto"/>
              </w:rPr>
            </w:pPr>
          </w:p>
        </w:tc>
      </w:tr>
      <w:tr>
        <w:trPr>
          <w:trHeight w:val="157"/>
        </w:trPr>
        <w:tc>
          <w:tcPr>
            <w:tcW w:w="35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for Cause</w:t>
            </w:r>
          </w:p>
        </w:tc>
        <w:tc>
          <w:tcPr>
            <w:tcW w:w="920" w:type="dxa"/>
            <w:vAlign w:val="bottom"/>
            <w:gridSpan w:val="3"/>
          </w:tcPr>
          <w:p>
            <w:pPr>
              <w:ind w:left="200"/>
              <w:spacing w:after="0"/>
              <w:rPr>
                <w:sz w:val="20"/>
                <w:szCs w:val="20"/>
                <w:color w:val="auto"/>
              </w:rPr>
            </w:pPr>
            <w:r>
              <w:rPr>
                <w:rFonts w:ascii="Arial" w:cs="Arial" w:eastAsia="Arial" w:hAnsi="Arial"/>
                <w:sz w:val="13"/>
                <w:szCs w:val="13"/>
                <w:b w:val="1"/>
                <w:bCs w:val="1"/>
                <w:color w:val="auto"/>
                <w:w w:val="94"/>
              </w:rPr>
              <w:t>Termination</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49"/>
              <w:spacing w:after="0"/>
              <w:rPr>
                <w:sz w:val="20"/>
                <w:szCs w:val="20"/>
                <w:color w:val="auto"/>
              </w:rPr>
            </w:pPr>
            <w:r>
              <w:rPr>
                <w:rFonts w:ascii="Arial" w:cs="Arial" w:eastAsia="Arial" w:hAnsi="Arial"/>
                <w:sz w:val="13"/>
                <w:szCs w:val="13"/>
                <w:b w:val="1"/>
                <w:bCs w:val="1"/>
                <w:color w:val="auto"/>
              </w:rPr>
              <w:t>Death</w:t>
            </w:r>
          </w:p>
        </w:tc>
        <w:tc>
          <w:tcPr>
            <w:tcW w:w="22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w w:val="96"/>
              </w:rPr>
              <w:t>Disability</w:t>
            </w:r>
          </w:p>
        </w:tc>
        <w:tc>
          <w:tcPr>
            <w:tcW w:w="880" w:type="dxa"/>
            <w:vAlign w:val="bottom"/>
            <w:gridSpan w:val="3"/>
          </w:tcPr>
          <w:p>
            <w:pPr>
              <w:ind w:left="200"/>
              <w:spacing w:after="0"/>
              <w:rPr>
                <w:sz w:val="20"/>
                <w:szCs w:val="20"/>
                <w:color w:val="auto"/>
              </w:rPr>
            </w:pPr>
            <w:r>
              <w:rPr>
                <w:rFonts w:ascii="Arial" w:cs="Arial" w:eastAsia="Arial" w:hAnsi="Arial"/>
                <w:sz w:val="13"/>
                <w:szCs w:val="13"/>
                <w:b w:val="1"/>
                <w:bCs w:val="1"/>
                <w:color w:val="auto"/>
                <w:w w:val="97"/>
              </w:rPr>
              <w:t>Retirement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110"/>
              <w:spacing w:after="0"/>
              <w:rPr>
                <w:sz w:val="20"/>
                <w:szCs w:val="20"/>
                <w:color w:val="auto"/>
              </w:rPr>
            </w:pPr>
            <w:r>
              <w:rPr>
                <w:rFonts w:ascii="Arial" w:cs="Arial" w:eastAsia="Arial" w:hAnsi="Arial"/>
                <w:sz w:val="13"/>
                <w:szCs w:val="13"/>
                <w:b w:val="1"/>
                <w:bCs w:val="1"/>
                <w:color w:val="auto"/>
              </w:rPr>
              <w:t>Cause</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49"/>
              <w:spacing w:after="0"/>
              <w:rPr>
                <w:sz w:val="20"/>
                <w:szCs w:val="20"/>
                <w:color w:val="auto"/>
              </w:rPr>
            </w:pPr>
            <w:r>
              <w:rPr>
                <w:rFonts w:ascii="Arial" w:cs="Arial" w:eastAsia="Arial" w:hAnsi="Arial"/>
                <w:sz w:val="13"/>
                <w:szCs w:val="13"/>
                <w:b w:val="1"/>
                <w:bCs w:val="1"/>
                <w:color w:val="auto"/>
                <w:w w:val="95"/>
              </w:rPr>
              <w:t>Control</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ind w:right="73"/>
              <w:spacing w:after="0"/>
              <w:rPr>
                <w:sz w:val="20"/>
                <w:szCs w:val="20"/>
                <w:color w:val="auto"/>
              </w:rPr>
            </w:pPr>
            <w:r>
              <w:rPr>
                <w:rFonts w:ascii="Arial" w:cs="Arial" w:eastAsia="Arial" w:hAnsi="Arial"/>
                <w:sz w:val="13"/>
                <w:szCs w:val="13"/>
                <w:b w:val="1"/>
                <w:bCs w:val="1"/>
                <w:color w:val="auto"/>
                <w:w w:val="95"/>
              </w:rPr>
              <w:t>Control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Annual Incentive (2)</w:t>
            </w:r>
          </w:p>
        </w:tc>
        <w:tc>
          <w:tcPr>
            <w:tcW w:w="500" w:type="dxa"/>
            <w:vAlign w:val="bottom"/>
            <w:gridSpan w:val="2"/>
            <w:shd w:val="clear" w:color="auto" w:fill="CCEEFF"/>
          </w:tcPr>
          <w:p>
            <w:pPr>
              <w:ind w:left="180"/>
              <w:spacing w:after="0" w:line="155"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40"/>
              <w:spacing w:after="0" w:line="155" w:lineRule="exact"/>
              <w:rPr>
                <w:sz w:val="20"/>
                <w:szCs w:val="20"/>
                <w:color w:val="auto"/>
              </w:rPr>
            </w:pPr>
            <w:r>
              <w:rPr>
                <w:rFonts w:ascii="Arial" w:cs="Arial" w:eastAsia="Arial" w:hAnsi="Arial"/>
                <w:sz w:val="14"/>
                <w:szCs w:val="14"/>
                <w:color w:val="auto"/>
                <w:w w:val="99"/>
              </w:rPr>
              <w:t>—</w:t>
            </w:r>
          </w:p>
        </w:tc>
        <w:tc>
          <w:tcPr>
            <w:tcW w:w="520" w:type="dxa"/>
            <w:vAlign w:val="bottom"/>
            <w:gridSpan w:val="2"/>
            <w:shd w:val="clear" w:color="auto" w:fill="CCEEFF"/>
          </w:tcPr>
          <w:p>
            <w:pPr>
              <w:ind w:left="200"/>
              <w:spacing w:after="0" w:line="155"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60"/>
              <w:spacing w:after="0" w:line="155" w:lineRule="exact"/>
              <w:rPr>
                <w:sz w:val="20"/>
                <w:szCs w:val="20"/>
                <w:color w:val="auto"/>
              </w:rPr>
            </w:pPr>
            <w:r>
              <w:rPr>
                <w:rFonts w:ascii="Arial" w:cs="Arial" w:eastAsia="Arial" w:hAnsi="Arial"/>
                <w:sz w:val="14"/>
                <w:szCs w:val="14"/>
                <w:color w:val="auto"/>
                <w:w w:val="85"/>
              </w:rPr>
              <w:t>—</w:t>
            </w:r>
          </w:p>
        </w:tc>
        <w:tc>
          <w:tcPr>
            <w:tcW w:w="30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00"/>
              <w:spacing w:after="0" w:line="155"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00"/>
              <w:spacing w:after="0" w:line="155"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300,000</w:t>
            </w:r>
          </w:p>
        </w:tc>
        <w:tc>
          <w:tcPr>
            <w:tcW w:w="300" w:type="dxa"/>
            <w:vAlign w:val="bottom"/>
            <w:gridSpan w:val="2"/>
            <w:shd w:val="clear" w:color="auto" w:fill="CCEEFF"/>
          </w:tcPr>
          <w:p>
            <w:pPr>
              <w:ind w:left="220"/>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right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300,000</w:t>
            </w:r>
          </w:p>
        </w:tc>
        <w:tc>
          <w:tcPr>
            <w:tcW w:w="0" w:type="dxa"/>
            <w:vAlign w:val="bottom"/>
          </w:tcPr>
          <w:p>
            <w:pPr>
              <w:spacing w:after="0"/>
              <w:rPr>
                <w:sz w:val="1"/>
                <w:szCs w:val="1"/>
                <w:color w:val="auto"/>
              </w:rPr>
            </w:pPr>
          </w:p>
        </w:tc>
      </w:tr>
      <w:tr>
        <w:trPr>
          <w:trHeight w:val="162"/>
        </w:trPr>
        <w:tc>
          <w:tcPr>
            <w:tcW w:w="3560" w:type="dxa"/>
            <w:vAlign w:val="bottom"/>
            <w:gridSpan w:val="2"/>
          </w:tcPr>
          <w:p>
            <w:pPr>
              <w:spacing w:after="0"/>
              <w:rPr>
                <w:sz w:val="20"/>
                <w:szCs w:val="20"/>
                <w:color w:val="auto"/>
              </w:rPr>
            </w:pPr>
            <w:r>
              <w:rPr>
                <w:rFonts w:ascii="Arial" w:cs="Arial" w:eastAsia="Arial" w:hAnsi="Arial"/>
                <w:sz w:val="14"/>
                <w:szCs w:val="14"/>
                <w:color w:val="auto"/>
              </w:rPr>
              <w:t>Accelerated Stock Options (3)</w:t>
            </w: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400" w:type="dxa"/>
            <w:vAlign w:val="bottom"/>
          </w:tcPr>
          <w:p>
            <w:pPr>
              <w:ind w:left="240"/>
              <w:spacing w:after="0"/>
              <w:rPr>
                <w:sz w:val="20"/>
                <w:szCs w:val="20"/>
                <w:color w:val="auto"/>
              </w:rPr>
            </w:pPr>
            <w:r>
              <w:rPr>
                <w:rFonts w:ascii="Arial" w:cs="Arial" w:eastAsia="Arial" w:hAnsi="Arial"/>
                <w:sz w:val="14"/>
                <w:szCs w:val="14"/>
                <w:color w:val="auto"/>
                <w:w w:val="99"/>
              </w:rPr>
              <w:t>—</w:t>
            </w:r>
          </w:p>
        </w:tc>
        <w:tc>
          <w:tcPr>
            <w:tcW w:w="52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400" w:type="dxa"/>
            <w:vAlign w:val="bottom"/>
          </w:tcPr>
          <w:p>
            <w:pPr>
              <w:ind w:left="260"/>
              <w:spacing w:after="0"/>
              <w:rPr>
                <w:sz w:val="20"/>
                <w:szCs w:val="20"/>
                <w:color w:val="auto"/>
              </w:rPr>
            </w:pPr>
            <w:r>
              <w:rPr>
                <w:rFonts w:ascii="Arial" w:cs="Arial" w:eastAsia="Arial" w:hAnsi="Arial"/>
                <w:sz w:val="14"/>
                <w:szCs w:val="14"/>
                <w:color w:val="auto"/>
                <w:w w:val="85"/>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36,642</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36,642</w:t>
            </w:r>
          </w:p>
        </w:tc>
        <w:tc>
          <w:tcPr>
            <w:tcW w:w="32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36,642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4"/>
                <w:szCs w:val="14"/>
                <w:color w:val="auto"/>
              </w:rPr>
              <w:t>Severance (4)</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9"/>
              </w:rPr>
              <w:t>—</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435,712</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76"/>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1,400,000</w:t>
            </w:r>
          </w:p>
        </w:tc>
        <w:tc>
          <w:tcPr>
            <w:tcW w:w="0" w:type="dxa"/>
            <w:vAlign w:val="bottom"/>
          </w:tcPr>
          <w:p>
            <w:pPr>
              <w:spacing w:after="0"/>
              <w:rPr>
                <w:sz w:val="1"/>
                <w:szCs w:val="1"/>
                <w:color w:val="auto"/>
              </w:rPr>
            </w:pPr>
          </w:p>
        </w:tc>
      </w:tr>
      <w:tr>
        <w:trPr>
          <w:trHeight w:val="162"/>
        </w:trPr>
        <w:tc>
          <w:tcPr>
            <w:tcW w:w="3560" w:type="dxa"/>
            <w:vAlign w:val="bottom"/>
            <w:gridSpan w:val="2"/>
          </w:tcPr>
          <w:p>
            <w:pPr>
              <w:spacing w:after="0"/>
              <w:rPr>
                <w:sz w:val="20"/>
                <w:szCs w:val="20"/>
                <w:color w:val="auto"/>
              </w:rPr>
            </w:pPr>
            <w:r>
              <w:rPr>
                <w:rFonts w:ascii="Arial" w:cs="Arial" w:eastAsia="Arial" w:hAnsi="Arial"/>
                <w:sz w:val="14"/>
                <w:szCs w:val="14"/>
                <w:color w:val="auto"/>
              </w:rPr>
              <w:t>Benefit Continuation</w:t>
            </w: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400" w:type="dxa"/>
            <w:vAlign w:val="bottom"/>
          </w:tcPr>
          <w:p>
            <w:pPr>
              <w:ind w:left="240"/>
              <w:spacing w:after="0"/>
              <w:rPr>
                <w:sz w:val="20"/>
                <w:szCs w:val="20"/>
                <w:color w:val="auto"/>
              </w:rPr>
            </w:pPr>
            <w:r>
              <w:rPr>
                <w:rFonts w:ascii="Arial" w:cs="Arial" w:eastAsia="Arial" w:hAnsi="Arial"/>
                <w:sz w:val="14"/>
                <w:szCs w:val="14"/>
                <w:color w:val="auto"/>
                <w:w w:val="99"/>
              </w:rPr>
              <w:t>—</w:t>
            </w:r>
          </w:p>
        </w:tc>
        <w:tc>
          <w:tcPr>
            <w:tcW w:w="52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400" w:type="dxa"/>
            <w:vAlign w:val="bottom"/>
          </w:tcPr>
          <w:p>
            <w:pPr>
              <w:ind w:left="260"/>
              <w:spacing w:after="0"/>
              <w:rPr>
                <w:sz w:val="20"/>
                <w:szCs w:val="20"/>
                <w:color w:val="auto"/>
              </w:rPr>
            </w:pPr>
            <w:r>
              <w:rPr>
                <w:rFonts w:ascii="Arial" w:cs="Arial" w:eastAsia="Arial" w:hAnsi="Arial"/>
                <w:sz w:val="14"/>
                <w:szCs w:val="14"/>
                <w:color w:val="auto"/>
                <w:w w:val="85"/>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53,424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4"/>
                <w:szCs w:val="14"/>
                <w:color w:val="auto"/>
              </w:rPr>
              <w:t>Accelerated RSUs (5)</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9"/>
              </w:rPr>
              <w:t>—</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311,405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311,405</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76"/>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311,405</w:t>
            </w:r>
          </w:p>
        </w:tc>
        <w:tc>
          <w:tcPr>
            <w:tcW w:w="0" w:type="dxa"/>
            <w:vAlign w:val="bottom"/>
          </w:tcPr>
          <w:p>
            <w:pPr>
              <w:spacing w:after="0"/>
              <w:rPr>
                <w:sz w:val="1"/>
                <w:szCs w:val="1"/>
                <w:color w:val="auto"/>
              </w:rPr>
            </w:pPr>
          </w:p>
        </w:tc>
      </w:tr>
      <w:tr>
        <w:trPr>
          <w:trHeight w:val="177"/>
        </w:trPr>
        <w:tc>
          <w:tcPr>
            <w:tcW w:w="3560" w:type="dxa"/>
            <w:vAlign w:val="bottom"/>
            <w:gridSpan w:val="2"/>
          </w:tcPr>
          <w:p>
            <w:pPr>
              <w:spacing w:after="0"/>
              <w:rPr>
                <w:sz w:val="20"/>
                <w:szCs w:val="20"/>
                <w:color w:val="auto"/>
              </w:rPr>
            </w:pPr>
            <w:r>
              <w:rPr>
                <w:rFonts w:ascii="Arial" w:cs="Arial" w:eastAsia="Arial" w:hAnsi="Arial"/>
                <w:sz w:val="14"/>
                <w:szCs w:val="14"/>
                <w:color w:val="auto"/>
              </w:rPr>
              <w:t>Accelerated Performance RSUs (PRSUs) (6)</w:t>
            </w: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400" w:type="dxa"/>
            <w:vAlign w:val="bottom"/>
          </w:tcPr>
          <w:p>
            <w:pPr>
              <w:ind w:left="240"/>
              <w:spacing w:after="0"/>
              <w:rPr>
                <w:sz w:val="20"/>
                <w:szCs w:val="20"/>
                <w:color w:val="auto"/>
              </w:rPr>
            </w:pPr>
            <w:r>
              <w:rPr>
                <w:rFonts w:ascii="Arial" w:cs="Arial" w:eastAsia="Arial" w:hAnsi="Arial"/>
                <w:sz w:val="14"/>
                <w:szCs w:val="14"/>
                <w:color w:val="auto"/>
                <w:w w:val="99"/>
              </w:rPr>
              <w:t>—</w:t>
            </w:r>
          </w:p>
        </w:tc>
        <w:tc>
          <w:tcPr>
            <w:tcW w:w="52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400" w:type="dxa"/>
            <w:vAlign w:val="bottom"/>
          </w:tcPr>
          <w:p>
            <w:pPr>
              <w:ind w:left="260"/>
              <w:spacing w:after="0"/>
              <w:rPr>
                <w:sz w:val="20"/>
                <w:szCs w:val="20"/>
                <w:color w:val="auto"/>
              </w:rPr>
            </w:pPr>
            <w:r>
              <w:rPr>
                <w:rFonts w:ascii="Arial" w:cs="Arial" w:eastAsia="Arial" w:hAnsi="Arial"/>
                <w:sz w:val="14"/>
                <w:szCs w:val="14"/>
                <w:color w:val="auto"/>
                <w:w w:val="85"/>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879,074</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8"/>
              </w:rPr>
              <w:t>879,074</w:t>
            </w:r>
          </w:p>
        </w:tc>
        <w:tc>
          <w:tcPr>
            <w:tcW w:w="32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488,127</w:t>
            </w:r>
          </w:p>
        </w:tc>
        <w:tc>
          <w:tcPr>
            <w:tcW w:w="3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283,279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76200</wp:posOffset>
            </wp:positionV>
            <wp:extent cx="7632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9" w:lineRule="exact"/>
        <w:rPr>
          <w:sz w:val="20"/>
          <w:szCs w:val="20"/>
          <w:color w:val="auto"/>
        </w:rPr>
      </w:pPr>
    </w:p>
    <w:p>
      <w:pPr>
        <w:ind w:left="740" w:right="80" w:hanging="428"/>
        <w:spacing w:after="0" w:line="215" w:lineRule="auto"/>
        <w:tabs>
          <w:tab w:leader="none" w:pos="74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 times the sum of the executive’s base salary and target annual bonus. Each form of payment is mutually exclusive based on the individual circumstances or events and therefore represents a single payment and should not be added together.</w:t>
      </w:r>
    </w:p>
    <w:p>
      <w:pPr>
        <w:spacing w:after="0" w:line="4" w:lineRule="exact"/>
        <w:rPr>
          <w:rFonts w:ascii="Arial" w:cs="Arial" w:eastAsia="Arial" w:hAnsi="Arial"/>
          <w:sz w:val="24"/>
          <w:szCs w:val="24"/>
          <w:color w:val="auto"/>
          <w:vertAlign w:val="superscript"/>
        </w:rPr>
      </w:pPr>
    </w:p>
    <w:p>
      <w:pPr>
        <w:ind w:left="740" w:right="80" w:hanging="428"/>
        <w:spacing w:after="0" w:line="182" w:lineRule="auto"/>
        <w:tabs>
          <w:tab w:leader="none" w:pos="740" w:val="left"/>
        </w:tabs>
        <w:numPr>
          <w:ilvl w:val="0"/>
          <w:numId w:val="67"/>
        </w:numPr>
        <w:rPr>
          <w:rFonts w:ascii="Arial" w:cs="Arial" w:eastAsia="Arial" w:hAnsi="Arial"/>
          <w:sz w:val="23"/>
          <w:szCs w:val="23"/>
          <w:color w:val="auto"/>
          <w:vertAlign w:val="superscript"/>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The annual incentive plan did not pay out in 2018, so the value represents the target bonus opportunity.</w:t>
      </w:r>
    </w:p>
    <w:p>
      <w:pPr>
        <w:spacing w:after="0" w:line="1" w:lineRule="exact"/>
        <w:rPr>
          <w:rFonts w:ascii="Arial" w:cs="Arial" w:eastAsia="Arial" w:hAnsi="Arial"/>
          <w:sz w:val="23"/>
          <w:szCs w:val="23"/>
          <w:color w:val="auto"/>
          <w:vertAlign w:val="superscript"/>
        </w:rPr>
      </w:pPr>
    </w:p>
    <w:p>
      <w:pPr>
        <w:ind w:left="740" w:right="320" w:hanging="428"/>
        <w:spacing w:after="0" w:line="183" w:lineRule="auto"/>
        <w:tabs>
          <w:tab w:leader="none" w:pos="74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Represents in-the-money value of accelerated stock options based on the closing price of our common stock on December 31, 2018 ($47.29). For the awards in fiscal 2017, upon a termination due to retirement after the second</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240" w:top="459" w:right="4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740" w:right="60"/>
        <w:spacing w:after="0" w:line="239" w:lineRule="auto"/>
        <w:rPr>
          <w:sz w:val="20"/>
          <w:szCs w:val="20"/>
          <w:color w:val="auto"/>
        </w:rPr>
      </w:pPr>
      <w:r>
        <w:rPr>
          <w:rFonts w:ascii="Arial" w:cs="Arial" w:eastAsia="Arial" w:hAnsi="Arial"/>
          <w:sz w:val="14"/>
          <w:szCs w:val="14"/>
          <w:color w:val="auto"/>
        </w:rPr>
        <w:t>anniversary of the grant date, stock options will continue to vest subject to non-compete/non-solicit and reasonable notice restrictions. For the awards in fiscal 2018, upon a termination due to retirement after 18 months from the grant date, stock options will continue to vest subject to non-compete/non-solicit and reasonable notice restrictions. 2017 and 2018 awards are assumed forfeited, as retirement at December 31, 2018 is before the second anniversary and 18 months from the grant date, respectively. Upon a change-in-control, stock options will accelerate only if they are not assumed or substituted, and otherwise provide for a double trigger; values presume that the acquirer assumes outstanding stock options.</w:t>
      </w:r>
    </w:p>
    <w:p>
      <w:pPr>
        <w:spacing w:after="0" w:line="9" w:lineRule="exact"/>
        <w:rPr>
          <w:sz w:val="20"/>
          <w:szCs w:val="20"/>
          <w:color w:val="auto"/>
        </w:rPr>
      </w:pPr>
    </w:p>
    <w:p>
      <w:pPr>
        <w:jc w:val="both"/>
        <w:ind w:left="740" w:right="180" w:hanging="428"/>
        <w:spacing w:after="0" w:line="195" w:lineRule="auto"/>
        <w:tabs>
          <w:tab w:leader="none" w:pos="740" w:val="left"/>
        </w:tabs>
        <w:numPr>
          <w:ilvl w:val="0"/>
          <w:numId w:val="68"/>
        </w:numPr>
        <w:rPr>
          <w:rFonts w:ascii="Arial" w:cs="Arial" w:eastAsia="Arial" w:hAnsi="Arial"/>
          <w:sz w:val="24"/>
          <w:szCs w:val="24"/>
          <w:color w:val="auto"/>
          <w:vertAlign w:val="superscript"/>
        </w:rPr>
      </w:pPr>
      <w:r>
        <w:rPr>
          <w:rFonts w:ascii="Arial" w:cs="Arial" w:eastAsia="Arial" w:hAnsi="Arial"/>
          <w:sz w:val="14"/>
          <w:szCs w:val="14"/>
          <w:color w:val="auto"/>
        </w:rPr>
        <w:t>Effective April 29, 2014, the Executive Officer Severance Pay Policy provides an executive officer, who is terminated involuntarily, a severance payment equal to 1 times base salary plus one year of continued benefits and outplacement. The change-in-control agreements provide for a severance payment equal to 2 times the sum of base salary and target annual bonus.</w:t>
      </w:r>
    </w:p>
    <w:p>
      <w:pPr>
        <w:ind w:left="740" w:hanging="428"/>
        <w:spacing w:after="0" w:line="215" w:lineRule="auto"/>
        <w:tabs>
          <w:tab w:leader="none" w:pos="740" w:val="left"/>
        </w:tabs>
        <w:numPr>
          <w:ilvl w:val="0"/>
          <w:numId w:val="68"/>
        </w:numPr>
        <w:rPr>
          <w:rFonts w:ascii="Arial" w:cs="Arial" w:eastAsia="Arial" w:hAnsi="Arial"/>
          <w:sz w:val="24"/>
          <w:szCs w:val="24"/>
          <w:color w:val="auto"/>
          <w:vertAlign w:val="superscript"/>
        </w:rPr>
      </w:pPr>
      <w:r>
        <w:rPr>
          <w:rFonts w:ascii="Arial" w:cs="Arial" w:eastAsia="Arial" w:hAnsi="Arial"/>
          <w:sz w:val="14"/>
          <w:szCs w:val="14"/>
          <w:color w:val="auto"/>
        </w:rPr>
        <w:t>For the time-vested RSUs, upon termination due to death or disability, represents the accelerated value of the RSUs based on the closing price of our common stock on December 31, 2018 ($47.29). For the awards in fiscal 2017, upon a termination due to retirement after the second anniversary of the grant date, RSUs will continue to vest subject to non-compete/non-solicit and reasonable notice restrictions. For the awards in fiscal 2018, upon a termination due to retirement after 18 months from the grant date, RSUs will continue to vest subject to non-compete/non-solicit and reasonable notice restrictions. 2017 and 2018 awards are assumed forfeited, as retirement at December 31, 2018 is before the second and 18 months from the grant date, respectively. Upon a change-in-control only (single trigger), RSUs that are not assumed by an acquirer will accelerate; values presume that the acquirer assumes applicable outstanding RSUs.</w:t>
      </w:r>
    </w:p>
    <w:p>
      <w:pPr>
        <w:spacing w:after="0" w:line="4" w:lineRule="exact"/>
        <w:rPr>
          <w:rFonts w:ascii="Arial" w:cs="Arial" w:eastAsia="Arial" w:hAnsi="Arial"/>
          <w:sz w:val="24"/>
          <w:szCs w:val="24"/>
          <w:color w:val="auto"/>
          <w:vertAlign w:val="superscript"/>
        </w:rPr>
      </w:pPr>
    </w:p>
    <w:p>
      <w:pPr>
        <w:ind w:left="740" w:right="80" w:hanging="428"/>
        <w:spacing w:after="0" w:line="230" w:lineRule="auto"/>
        <w:tabs>
          <w:tab w:leader="none" w:pos="740" w:val="left"/>
        </w:tabs>
        <w:numPr>
          <w:ilvl w:val="0"/>
          <w:numId w:val="68"/>
        </w:numPr>
        <w:rPr>
          <w:rFonts w:ascii="Arial" w:cs="Arial" w:eastAsia="Arial" w:hAnsi="Arial"/>
          <w:sz w:val="24"/>
          <w:szCs w:val="24"/>
          <w:color w:val="auto"/>
          <w:vertAlign w:val="superscript"/>
        </w:rPr>
      </w:pPr>
      <w:r>
        <w:rPr>
          <w:rFonts w:ascii="Arial" w:cs="Arial" w:eastAsia="Arial" w:hAnsi="Arial"/>
          <w:sz w:val="14"/>
          <w:szCs w:val="14"/>
          <w:color w:val="auto"/>
        </w:rPr>
        <w:t>Upon a termination due to death or disability, awards will vest based on actual performance at the conclusion of the performance periods. For the awards granted in 2016, awards will vest on a pro-rated basis based on the number of days employed during the performance period. For the awards granted in fiscal 2017 and fiscal 2018, shares continue to vest through the year of death and disability and all unvested shares are accelerated. Fiscal 2017 values assume target performance will be achieved, while fiscal 2018 values assume threshold performance will be achieved. For the awards granted in fiscal 2017, upon a termination due to retirement after the second anniversary of the grant date, awards will vest in full based on actual performance at the end of the performance period (no pro-rated payout). For the awards granted in fiscal 2018, upon a termination due to retirement after 18 months from the grant date, awards will vest in full based on actual performance at the end of the performance period (no pro-rated payout). 2017 and 2018 awards are assumed forfeited, as retirement at December 31, 2018 is before the second anniversary and 18 months from the grant date, respectively. Pursuant to our award agreements with this executive the PRSUs outstanding as of the change-in-control will be vested at the greater of target or actual performance for the year,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As of December 31, 2018, two three-year performance cycles (2017-2019 and 2018-2020) are not yet complete and target payouts are used. For the 2016-2018 performance cycle, actual payouts were greater than target. Upon a termination following a change-in-control, value represents the incremental difference in values between target and actual performance (e.g. no value for cycles where actual payouts are greater than or equal to target amounts). Values are based on the closing price of our common stock on December 31, 2018 ($47.29).</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PROPOSAL 3 – RATIFICATION OF INDEPENDENT REGISTERED PUBLIC ACCOUNTANT</w:t>
      </w:r>
    </w:p>
    <w:p>
      <w:pPr>
        <w:spacing w:after="0" w:line="207"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The Board, upon the recommendation of its Audit/Finance Committee, has selected Deloitte &amp; Touche LLP to serve as the Company’s independent registered public accountant for the 2019 fiscal year, subject to ratification by our shareholders. Although not required to do so, the Board is submitting the selection of Deloitte &amp; Touche LLP for ratification by the Company’s shareholders for their views on the Company’s independent registered public accountant and as a matter of good corporate practice. Deloitte &amp; Touche LLP has advised the Company that it has no direct, nor any material indirect, financial interest in the Company or any of its subsidiaries. Representatives of Deloitte &amp; Touche LLP are expected to be present at the Annual Meeting, will have the opportunity to make a statement, if they desire to do so, and will be available to respond to appropriate questions.</w:t>
      </w:r>
    </w:p>
    <w:p>
      <w:pPr>
        <w:spacing w:after="0" w:line="203"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In the event that our shareholders fail to ratify the selection, it will be considered as a direction to the Board and the Audit/Finance Committee to consider the selection of a different firm. Even if the selection is ratified, the Audit/Finance Committee in its discretion may select a different independent registered public accounting firm, subject to ratification by the Board, at any time during the year if it determines that such a change would be in the best interest of the Company and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146050</wp:posOffset>
            </wp:positionV>
            <wp:extent cx="291465" cy="6515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91465" cy="651510"/>
                    </a:xfrm>
                    <a:prstGeom prst="rect">
                      <a:avLst/>
                    </a:prstGeom>
                    <a:noFill/>
                  </pic:spPr>
                </pic:pic>
              </a:graphicData>
            </a:graphic>
          </wp:anchor>
        </w:drawing>
      </w:r>
    </w:p>
    <w:p>
      <w:pPr>
        <w:spacing w:after="0" w:line="34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The Board recommends that shareholders vote “FOR” the</w:t>
      </w:r>
    </w:p>
    <w:p>
      <w:pPr>
        <w:spacing w:after="0" w:line="13"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ratification of Deloitte &amp; Touche LLP as our independent</w:t>
      </w:r>
    </w:p>
    <w:p>
      <w:pPr>
        <w:ind w:left="3420"/>
        <w:spacing w:after="0"/>
        <w:rPr>
          <w:sz w:val="20"/>
          <w:szCs w:val="20"/>
          <w:color w:val="auto"/>
        </w:rPr>
      </w:pPr>
      <w:r>
        <w:rPr>
          <w:rFonts w:ascii="Arial" w:cs="Arial" w:eastAsia="Arial" w:hAnsi="Arial"/>
          <w:sz w:val="18"/>
          <w:szCs w:val="18"/>
          <w:b w:val="1"/>
          <w:bCs w:val="1"/>
          <w:color w:val="auto"/>
        </w:rPr>
        <w:t>registered public accountant for fiscal year 2019.</w:t>
      </w: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INDEPENDENT REGISTERED PUBLIC ACCOUNTING FIRM’S AUDIT FEES AND SERVICES</w:t>
      </w:r>
    </w:p>
    <w:p>
      <w:pPr>
        <w:spacing w:after="0" w:line="234" w:lineRule="exact"/>
        <w:rPr>
          <w:sz w:val="20"/>
          <w:szCs w:val="20"/>
          <w:color w:val="auto"/>
        </w:rPr>
      </w:pPr>
    </w:p>
    <w:p>
      <w:pPr>
        <w:jc w:val="both"/>
        <w:ind w:left="200" w:right="40"/>
        <w:spacing w:after="0" w:line="275" w:lineRule="auto"/>
        <w:rPr>
          <w:sz w:val="20"/>
          <w:szCs w:val="20"/>
          <w:color w:val="auto"/>
        </w:rPr>
      </w:pPr>
      <w:r>
        <w:rPr>
          <w:rFonts w:ascii="Arial" w:cs="Arial" w:eastAsia="Arial" w:hAnsi="Arial"/>
          <w:sz w:val="17"/>
          <w:szCs w:val="17"/>
          <w:color w:val="auto"/>
        </w:rPr>
        <w:t>For the years ended December 31, 2017 and 2018, professional services were performed by Deloitte &amp; Touche LLP and their respective affiliates (collectively, Deloitte). The aggregate fees billed by Deloitte for the years ended December 31, 2017 and 2018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640" w:type="dxa"/>
        <w:tblCellMar>
          <w:top w:w="0" w:type="dxa"/>
          <w:left w:w="0" w:type="dxa"/>
          <w:bottom w:w="0" w:type="dxa"/>
          <w:right w:w="0" w:type="dxa"/>
        </w:tblCellMar>
      </w:tblPr>
      <w:tr>
        <w:trPr>
          <w:trHeight w:val="227"/>
        </w:trPr>
        <w:tc>
          <w:tcPr>
            <w:tcW w:w="7280" w:type="dxa"/>
            <w:vAlign w:val="bottom"/>
            <w:gridSpan w:val="4"/>
          </w:tcPr>
          <w:p>
            <w:pPr>
              <w:spacing w:after="0"/>
              <w:rPr>
                <w:sz w:val="20"/>
                <w:szCs w:val="20"/>
                <w:color w:val="auto"/>
              </w:rPr>
            </w:pPr>
            <w:r>
              <w:rPr>
                <w:rFonts w:ascii="Arial" w:cs="Arial" w:eastAsia="Arial" w:hAnsi="Arial"/>
                <w:sz w:val="18"/>
                <w:szCs w:val="18"/>
                <w:b w:val="1"/>
                <w:bCs w:val="1"/>
                <w:color w:val="auto"/>
              </w:rPr>
              <w:t>Services Rendered</w:t>
            </w:r>
          </w:p>
        </w:tc>
        <w:tc>
          <w:tcPr>
            <w:tcW w:w="98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8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19"/>
                <w:szCs w:val="19"/>
                <w:color w:val="auto"/>
              </w:rPr>
            </w:pPr>
          </w:p>
        </w:tc>
      </w:tr>
      <w:tr>
        <w:trPr>
          <w:trHeight w:val="40"/>
        </w:trPr>
        <w:tc>
          <w:tcPr>
            <w:tcW w:w="20" w:type="dxa"/>
            <w:vAlign w:val="bottom"/>
            <w:tcBorders>
              <w:top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5620" w:type="dxa"/>
            <w:vAlign w:val="bottom"/>
          </w:tcPr>
          <w:p>
            <w:pPr>
              <w:spacing w:after="0"/>
              <w:rPr>
                <w:sz w:val="3"/>
                <w:szCs w:val="3"/>
                <w:color w:val="auto"/>
              </w:rPr>
            </w:pPr>
          </w:p>
        </w:tc>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177"/>
        </w:trPr>
        <w:tc>
          <w:tcPr>
            <w:tcW w:w="20" w:type="dxa"/>
            <w:vAlign w:val="bottom"/>
          </w:tcPr>
          <w:p>
            <w:pPr>
              <w:spacing w:after="0"/>
              <w:rPr>
                <w:sz w:val="15"/>
                <w:szCs w:val="15"/>
                <w:color w:val="auto"/>
              </w:rPr>
            </w:pPr>
          </w:p>
        </w:tc>
        <w:tc>
          <w:tcPr>
            <w:tcW w:w="7260" w:type="dxa"/>
            <w:vAlign w:val="bottom"/>
            <w:tcBorders>
              <w:top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rPr>
              <w:t>Audit Fees (1)</w:t>
            </w:r>
          </w:p>
        </w:tc>
        <w:tc>
          <w:tcPr>
            <w:tcW w:w="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6"/>
              </w:rPr>
              <w:t>$ 6,115,322</w:t>
            </w:r>
          </w:p>
        </w:tc>
        <w:tc>
          <w:tcPr>
            <w:tcW w:w="76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$ 11,488,189</w:t>
            </w:r>
          </w:p>
        </w:tc>
        <w:tc>
          <w:tcPr>
            <w:tcW w:w="60" w:type="dxa"/>
            <w:vAlign w:val="bottom"/>
            <w:tcBorders>
              <w:top w:val="single" w:sz="8" w:color="CCEEFF"/>
            </w:tcBorders>
            <w:shd w:val="clear" w:color="auto" w:fill="CCEEFF"/>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7260" w:type="dxa"/>
            <w:vAlign w:val="bottom"/>
            <w:gridSpan w:val="3"/>
          </w:tcPr>
          <w:p>
            <w:pPr>
              <w:spacing w:after="0" w:line="202" w:lineRule="exact"/>
              <w:rPr>
                <w:sz w:val="20"/>
                <w:szCs w:val="20"/>
                <w:color w:val="auto"/>
              </w:rPr>
            </w:pPr>
            <w:r>
              <w:rPr>
                <w:rFonts w:ascii="Arial" w:cs="Arial" w:eastAsia="Arial" w:hAnsi="Arial"/>
                <w:sz w:val="18"/>
                <w:szCs w:val="18"/>
                <w:color w:val="auto"/>
              </w:rPr>
              <w:t>Audit-Related Fees (2)</w:t>
            </w:r>
          </w:p>
        </w:tc>
        <w:tc>
          <w:tcPr>
            <w:tcW w:w="20" w:type="dxa"/>
            <w:vAlign w:val="bottom"/>
          </w:tcPr>
          <w:p>
            <w:pPr>
              <w:spacing w:after="0"/>
              <w:rPr>
                <w:sz w:val="18"/>
                <w:szCs w:val="18"/>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981,885</w:t>
            </w:r>
          </w:p>
        </w:tc>
        <w:tc>
          <w:tcPr>
            <w:tcW w:w="760" w:type="dxa"/>
            <w:vAlign w:val="bottom"/>
          </w:tcPr>
          <w:p>
            <w:pPr>
              <w:spacing w:after="0"/>
              <w:rPr>
                <w:sz w:val="18"/>
                <w:szCs w:val="18"/>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260" w:type="dxa"/>
            <w:vAlign w:val="bottom"/>
            <w:gridSpan w:val="3"/>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Audit and Audit-Related Fees</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7,097,207</w:t>
            </w:r>
          </w:p>
        </w:tc>
        <w:tc>
          <w:tcPr>
            <w:tcW w:w="1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11,488,189</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60" w:type="dxa"/>
            <w:vAlign w:val="bottom"/>
            <w:gridSpan w:val="3"/>
          </w:tcPr>
          <w:p>
            <w:pPr>
              <w:spacing w:after="0" w:line="202" w:lineRule="exact"/>
              <w:rPr>
                <w:sz w:val="20"/>
                <w:szCs w:val="20"/>
                <w:color w:val="auto"/>
              </w:rPr>
            </w:pPr>
            <w:r>
              <w:rPr>
                <w:rFonts w:ascii="Arial" w:cs="Arial" w:eastAsia="Arial" w:hAnsi="Arial"/>
                <w:sz w:val="18"/>
                <w:szCs w:val="18"/>
                <w:color w:val="auto"/>
              </w:rPr>
              <w:t>Tax Fees (3)</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1,492,516</w:t>
            </w:r>
          </w:p>
        </w:tc>
        <w:tc>
          <w:tcPr>
            <w:tcW w:w="1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1,912,439</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 Fees (4)</w:t>
            </w:r>
          </w:p>
        </w:tc>
        <w:tc>
          <w:tcPr>
            <w:tcW w:w="2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2,060</w:t>
            </w:r>
          </w:p>
        </w:tc>
        <w:tc>
          <w:tcPr>
            <w:tcW w:w="76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41,712</w:t>
            </w:r>
          </w:p>
        </w:tc>
        <w:tc>
          <w:tcPr>
            <w:tcW w:w="60" w:type="dxa"/>
            <w:vAlign w:val="bottom"/>
            <w:shd w:val="clear" w:color="auto" w:fill="CCEEFF"/>
          </w:tcPr>
          <w:p>
            <w:pPr>
              <w:spacing w:after="0"/>
              <w:rPr>
                <w:sz w:val="17"/>
                <w:szCs w:val="17"/>
                <w:color w:val="auto"/>
              </w:rPr>
            </w:pPr>
          </w:p>
        </w:tc>
      </w:tr>
      <w:tr>
        <w:trPr>
          <w:trHeight w:val="210"/>
        </w:trPr>
        <w:tc>
          <w:tcPr>
            <w:tcW w:w="7280" w:type="dxa"/>
            <w:vAlign w:val="bottom"/>
            <w:gridSpan w:val="4"/>
          </w:tcPr>
          <w:p>
            <w:pPr>
              <w:spacing w:after="0"/>
              <w:rPr>
                <w:sz w:val="20"/>
                <w:szCs w:val="20"/>
                <w:color w:val="auto"/>
              </w:rPr>
            </w:pPr>
            <w:r>
              <w:rPr>
                <w:rFonts w:ascii="Arial" w:cs="Arial" w:eastAsia="Arial" w:hAnsi="Arial"/>
                <w:sz w:val="18"/>
                <w:szCs w:val="18"/>
                <w:color w:val="auto"/>
              </w:rPr>
              <w:t>Total Fees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8"/>
              </w:rPr>
              <w:t>$ 8,591,783</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$ 13,442,340</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74" w:lineRule="exact"/>
        <w:rPr>
          <w:sz w:val="20"/>
          <w:szCs w:val="20"/>
          <w:color w:val="auto"/>
        </w:rPr>
      </w:pPr>
    </w:p>
    <w:p>
      <w:pPr>
        <w:ind w:left="740" w:right="100" w:hanging="428"/>
        <w:spacing w:after="0" w:line="242" w:lineRule="auto"/>
        <w:tabs>
          <w:tab w:leader="none" w:pos="7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Audit services include fees for professional services rendered for the audit of the Company’s annual financial statements and internal controls over financial reporting for the years ended December 31, 2017 and 2018, including out of pocket expenses, and reviews of the financial statements included in the Company’s Quarterly Reports on Form 10-Q. In addition, services include statutory audits required, and accounting consultations on matters related to the annual audits or interim reviews.</w:t>
      </w:r>
    </w:p>
    <w:p>
      <w:pPr>
        <w:spacing w:after="0" w:line="161" w:lineRule="exact"/>
        <w:rPr>
          <w:rFonts w:ascii="Arial" w:cs="Arial" w:eastAsia="Arial" w:hAnsi="Arial"/>
          <w:sz w:val="14"/>
          <w:szCs w:val="14"/>
          <w:color w:val="auto"/>
        </w:rPr>
      </w:pPr>
    </w:p>
    <w:p>
      <w:pPr>
        <w:ind w:left="740" w:right="120" w:hanging="428"/>
        <w:spacing w:after="0" w:line="241" w:lineRule="auto"/>
        <w:tabs>
          <w:tab w:leader="none" w:pos="7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Audit-related services are disclosed in the year incurred, based on when the work is performed. These services primarily include due diligence in connection with acquisitions accounting process advice and agreed-upon procedures during the year ended December 31, 2017.</w:t>
      </w:r>
    </w:p>
    <w:p>
      <w:pPr>
        <w:ind w:left="740" w:right="60" w:hanging="428"/>
        <w:spacing w:after="0" w:line="241" w:lineRule="auto"/>
        <w:tabs>
          <w:tab w:leader="none" w:pos="7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Tax services are disclosed in the year incurred, based on when the work is performed. These services include tax compliance, tax advice, and tax planning during the years ended December 31, 2017 and 2018.</w:t>
      </w:r>
    </w:p>
    <w:p>
      <w:pPr>
        <w:ind w:left="740" w:right="280" w:hanging="428"/>
        <w:spacing w:after="0" w:line="258" w:lineRule="auto"/>
        <w:tabs>
          <w:tab w:leader="none" w:pos="7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Services performed by Deloitte qualifying as “Other” for the years ended December 31, 2017 and 2018, are related to accounting research tools and permitted consultation services.</w:t>
      </w:r>
    </w:p>
    <w:p>
      <w:pPr>
        <w:spacing w:after="0" w:line="12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80"/>
          </w:cols>
          <w:pgMar w:left="240" w:top="459" w:right="5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The Audit/Finance Committee has adopted policies and procedures that require the Company to obtain the Committee’s pre-approval of all audit and permissible non-audit services to be provided by the Company’s independent registered public accounting firm. Pre-approval is generally granted on a quarterly basis, is detailed as to the particular service or category of services to be provided and is granted after consideration of the estimated fees for each service or category of service. Actual fees and any changes to estimated fees for pre-approved services are reported to the Committee on a quarterly basis. In 2017 and 2018, all services were pre-approved in accordance with the charter of the Audit/Finance Committee.</w:t>
      </w:r>
    </w:p>
    <w:p>
      <w:pPr>
        <w:spacing w:after="0" w:line="3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2018 AUDIT/FINANCE COMMITTEE REPORT</w:t>
      </w:r>
    </w:p>
    <w:p>
      <w:pPr>
        <w:spacing w:after="0" w:line="126"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The Audit/Finance Committee is composed of independent directors as defined by Rule 5605(a)(2) of the NASDAQ rules and acts under a written charter developed by the Committee and approved by the Board. Management is responsible for the Company’s internal controls and the financial reporting process. Deloitte &amp; Touche LLP, the Company’s independent registered public accounting firm in 2018, is responsible for performing an independent audit of the Company’s consolidated financial statements and internal control over financial reporting in accordance with auditing standards of the Public Company Accounting Oversight Board (United States) (the PCAOB) and for issuing a report thereon. The Committee’s responsibility is to monitor and oversee these processes on behalf of our Board of Directors.</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connection with the December 31, 2018 financial statements, the Audit/Finance Committee hereby reports as follows:</w:t>
      </w:r>
    </w:p>
    <w:p>
      <w:pPr>
        <w:spacing w:after="0" w:line="117" w:lineRule="exact"/>
        <w:rPr>
          <w:sz w:val="20"/>
          <w:szCs w:val="20"/>
          <w:color w:val="auto"/>
        </w:rPr>
      </w:pPr>
    </w:p>
    <w:p>
      <w:pPr>
        <w:ind w:left="1060" w:right="100" w:hanging="424"/>
        <w:spacing w:after="0" w:line="246" w:lineRule="auto"/>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Audit/Finance Committee has reviewed and discussed the audited financial statements and report on internal control over financial reporting with management.</w:t>
      </w:r>
    </w:p>
    <w:p>
      <w:pPr>
        <w:spacing w:after="0" w:line="102" w:lineRule="exact"/>
        <w:rPr>
          <w:rFonts w:ascii="Arial" w:cs="Arial" w:eastAsia="Arial" w:hAnsi="Arial"/>
          <w:sz w:val="18"/>
          <w:szCs w:val="18"/>
          <w:color w:val="auto"/>
        </w:rPr>
      </w:pPr>
    </w:p>
    <w:p>
      <w:pPr>
        <w:ind w:left="1060" w:right="100" w:hanging="424"/>
        <w:spacing w:after="0" w:line="246" w:lineRule="auto"/>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The Audit/Finance Committee has discussed with the independent auditors the matters required by PCAOB Auditing Standard No. 1301, </w:t>
      </w:r>
      <w:r>
        <w:rPr>
          <w:rFonts w:ascii="Arial" w:cs="Arial" w:eastAsia="Arial" w:hAnsi="Arial"/>
          <w:sz w:val="18"/>
          <w:szCs w:val="18"/>
          <w:i w:val="1"/>
          <w:iCs w:val="1"/>
          <w:color w:val="auto"/>
        </w:rPr>
        <w:t>Communications with Audit Committees.</w:t>
      </w:r>
    </w:p>
    <w:p>
      <w:pPr>
        <w:spacing w:after="0" w:line="102" w:lineRule="exact"/>
        <w:rPr>
          <w:rFonts w:ascii="Arial" w:cs="Arial" w:eastAsia="Arial" w:hAnsi="Arial"/>
          <w:sz w:val="18"/>
          <w:szCs w:val="18"/>
          <w:color w:val="auto"/>
        </w:rPr>
      </w:pPr>
    </w:p>
    <w:p>
      <w:pPr>
        <w:jc w:val="both"/>
        <w:ind w:left="1060" w:right="540" w:hanging="424"/>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Audit/Finance Committee has received the written disclosures and the letter from the auditors required by applicable requirements of the PCAOB regarding the independent accountant’s communications with the Audit/Finance Committee concerning independence, and discussed with the auditors the auditors’ independence.</w:t>
      </w:r>
    </w:p>
    <w:p>
      <w:pPr>
        <w:spacing w:after="0" w:line="108" w:lineRule="exact"/>
        <w:rPr>
          <w:rFonts w:ascii="Arial" w:cs="Arial" w:eastAsia="Arial" w:hAnsi="Arial"/>
          <w:sz w:val="18"/>
          <w:szCs w:val="18"/>
          <w:color w:val="auto"/>
        </w:rPr>
      </w:pPr>
    </w:p>
    <w:p>
      <w:pPr>
        <w:jc w:val="both"/>
        <w:ind w:left="1060" w:right="40" w:hanging="424"/>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upon these reviews and discussions, the Audit/Finance Committee has recommended to the Board of Directors and the Board has approved, that the Company’s audited financial statements be included in the Securities and Exchange Commission Annual Report on Form 10-K for the year ended December 31, 2018.</w:t>
      </w:r>
    </w:p>
    <w:p>
      <w:pPr>
        <w:spacing w:after="0" w:line="212"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Audit/Finance Committee</w:t>
      </w:r>
    </w:p>
    <w:p>
      <w:pPr>
        <w:spacing w:after="0" w:line="11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Thomas S. Glanville, Chair</w:t>
      </w:r>
    </w:p>
    <w:p>
      <w:pPr>
        <w:ind w:left="4520"/>
        <w:spacing w:after="0" w:line="234" w:lineRule="auto"/>
        <w:rPr>
          <w:sz w:val="20"/>
          <w:szCs w:val="20"/>
          <w:color w:val="auto"/>
        </w:rPr>
      </w:pPr>
      <w:r>
        <w:rPr>
          <w:rFonts w:ascii="Arial" w:cs="Arial" w:eastAsia="Arial" w:hAnsi="Arial"/>
          <w:sz w:val="18"/>
          <w:szCs w:val="18"/>
          <w:color w:val="auto"/>
        </w:rPr>
        <w:t>Jerome J. Lande</w:t>
      </w:r>
    </w:p>
    <w:p>
      <w:pPr>
        <w:ind w:left="4520"/>
        <w:spacing w:after="0" w:line="235" w:lineRule="auto"/>
        <w:rPr>
          <w:sz w:val="20"/>
          <w:szCs w:val="20"/>
          <w:color w:val="auto"/>
        </w:rPr>
      </w:pPr>
      <w:r>
        <w:rPr>
          <w:rFonts w:ascii="Arial" w:cs="Arial" w:eastAsia="Arial" w:hAnsi="Arial"/>
          <w:sz w:val="18"/>
          <w:szCs w:val="18"/>
          <w:color w:val="auto"/>
        </w:rPr>
        <w:t>Timothy M. Leyden</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Gary E. Pruitt</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24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gives certain information about our equity compensation plans in effect as of December 31, 2018.</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Number of Shares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Number of Shares to</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Remaining Available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Be Issued Upon</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Weighted-Average</w:t>
            </w:r>
          </w:p>
        </w:tc>
        <w:tc>
          <w:tcPr>
            <w:tcW w:w="460" w:type="dxa"/>
            <w:vAlign w:val="bottom"/>
          </w:tcPr>
          <w:p>
            <w:pPr>
              <w:spacing w:after="0"/>
              <w:rPr>
                <w:sz w:val="14"/>
                <w:szCs w:val="14"/>
                <w:color w:val="auto"/>
              </w:rPr>
            </w:pPr>
          </w:p>
        </w:tc>
        <w:tc>
          <w:tcPr>
            <w:tcW w:w="1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for Issuance Under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Exercise of</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Exercise Price of</w:t>
            </w:r>
          </w:p>
        </w:tc>
        <w:tc>
          <w:tcPr>
            <w:tcW w:w="460" w:type="dxa"/>
            <w:vAlign w:val="bottom"/>
          </w:tcPr>
          <w:p>
            <w:pPr>
              <w:spacing w:after="0"/>
              <w:rPr>
                <w:sz w:val="14"/>
                <w:szCs w:val="14"/>
                <w:color w:val="auto"/>
              </w:rPr>
            </w:pPr>
          </w:p>
        </w:tc>
        <w:tc>
          <w:tcPr>
            <w:tcW w:w="1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Equity Compensation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980" w:type="dxa"/>
            <w:vAlign w:val="bottom"/>
            <w:gridSpan w:val="2"/>
          </w:tcPr>
          <w:p>
            <w:pPr>
              <w:jc w:val="center"/>
              <w:ind w:left="416"/>
              <w:spacing w:after="0"/>
              <w:rPr>
                <w:sz w:val="20"/>
                <w:szCs w:val="20"/>
                <w:color w:val="auto"/>
              </w:rPr>
            </w:pPr>
            <w:r>
              <w:rPr>
                <w:rFonts w:ascii="Arial" w:cs="Arial" w:eastAsia="Arial" w:hAnsi="Arial"/>
                <w:sz w:val="14"/>
                <w:szCs w:val="14"/>
                <w:b w:val="1"/>
                <w:bCs w:val="1"/>
                <w:color w:val="auto"/>
              </w:rPr>
              <w:t>Outstanding Options,</w:t>
            </w:r>
          </w:p>
        </w:tc>
        <w:tc>
          <w:tcPr>
            <w:tcW w:w="3100" w:type="dxa"/>
            <w:vAlign w:val="bottom"/>
            <w:gridSpan w:val="4"/>
          </w:tcPr>
          <w:p>
            <w:pPr>
              <w:jc w:val="center"/>
              <w:ind w:left="176"/>
              <w:spacing w:after="0"/>
              <w:rPr>
                <w:sz w:val="20"/>
                <w:szCs w:val="20"/>
                <w:color w:val="auto"/>
              </w:rPr>
            </w:pPr>
            <w:r>
              <w:rPr>
                <w:rFonts w:ascii="Arial" w:cs="Arial" w:eastAsia="Arial" w:hAnsi="Arial"/>
                <w:sz w:val="14"/>
                <w:szCs w:val="14"/>
                <w:b w:val="1"/>
                <w:bCs w:val="1"/>
                <w:color w:val="auto"/>
              </w:rPr>
              <w:t>Outstanding Options,</w:t>
            </w:r>
          </w:p>
        </w:tc>
        <w:tc>
          <w:tcPr>
            <w:tcW w:w="2400" w:type="dxa"/>
            <w:vAlign w:val="bottom"/>
            <w:gridSpan w:val="3"/>
          </w:tcPr>
          <w:p>
            <w:pPr>
              <w:jc w:val="center"/>
              <w:ind w:left="76"/>
              <w:spacing w:after="0"/>
              <w:rPr>
                <w:sz w:val="20"/>
                <w:szCs w:val="20"/>
                <w:color w:val="auto"/>
              </w:rPr>
            </w:pPr>
            <w:r>
              <w:rPr>
                <w:rFonts w:ascii="Arial" w:cs="Arial" w:eastAsia="Arial" w:hAnsi="Arial"/>
                <w:sz w:val="14"/>
                <w:szCs w:val="14"/>
                <w:b w:val="1"/>
                <w:bCs w:val="1"/>
                <w:color w:val="auto"/>
              </w:rPr>
              <w:t>Plans (excluding shares</w:t>
            </w:r>
          </w:p>
        </w:tc>
        <w:tc>
          <w:tcPr>
            <w:tcW w:w="0" w:type="dxa"/>
            <w:vAlign w:val="bottom"/>
          </w:tcPr>
          <w:p>
            <w:pPr>
              <w:spacing w:after="0"/>
              <w:rPr>
                <w:sz w:val="1"/>
                <w:szCs w:val="1"/>
                <w:color w:val="auto"/>
              </w:rPr>
            </w:pPr>
          </w:p>
        </w:tc>
      </w:tr>
      <w:tr>
        <w:trPr>
          <w:trHeight w:val="162"/>
        </w:trPr>
        <w:tc>
          <w:tcPr>
            <w:tcW w:w="3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5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960" w:type="dxa"/>
            <w:vAlign w:val="bottom"/>
          </w:tcPr>
          <w:p>
            <w:pPr>
              <w:spacing w:after="0"/>
              <w:rPr>
                <w:sz w:val="14"/>
                <w:szCs w:val="14"/>
                <w:color w:val="auto"/>
              </w:rPr>
            </w:pPr>
          </w:p>
        </w:tc>
        <w:tc>
          <w:tcPr>
            <w:tcW w:w="214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rPr>
              <w:t>Warrants and Rights</w:t>
            </w:r>
          </w:p>
        </w:tc>
        <w:tc>
          <w:tcPr>
            <w:tcW w:w="460" w:type="dxa"/>
            <w:vAlign w:val="bottom"/>
          </w:tcPr>
          <w:p>
            <w:pPr>
              <w:spacing w:after="0"/>
              <w:rPr>
                <w:sz w:val="14"/>
                <w:szCs w:val="14"/>
                <w:color w:val="auto"/>
              </w:rPr>
            </w:pPr>
          </w:p>
        </w:tc>
        <w:tc>
          <w:tcPr>
            <w:tcW w:w="1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reflected in column (a))</w:t>
            </w:r>
          </w:p>
        </w:tc>
        <w:tc>
          <w:tcPr>
            <w:tcW w:w="0" w:type="dxa"/>
            <w:vAlign w:val="bottom"/>
          </w:tcPr>
          <w:p>
            <w:pPr>
              <w:spacing w:after="0"/>
              <w:rPr>
                <w:sz w:val="1"/>
                <w:szCs w:val="1"/>
                <w:color w:val="auto"/>
              </w:rPr>
            </w:pPr>
          </w:p>
        </w:tc>
      </w:tr>
      <w:tr>
        <w:trPr>
          <w:trHeight w:val="162"/>
        </w:trPr>
        <w:tc>
          <w:tcPr>
            <w:tcW w:w="3560" w:type="dxa"/>
            <w:vAlign w:val="bottom"/>
            <w:gridSpan w:val="3"/>
            <w:vMerge w:val="continue"/>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(b)</w:t>
            </w:r>
          </w:p>
        </w:tc>
        <w:tc>
          <w:tcPr>
            <w:tcW w:w="460" w:type="dxa"/>
            <w:vAlign w:val="bottom"/>
          </w:tcPr>
          <w:p>
            <w:pPr>
              <w:spacing w:after="0"/>
              <w:rPr>
                <w:sz w:val="14"/>
                <w:szCs w:val="14"/>
                <w:color w:val="auto"/>
              </w:rPr>
            </w:pPr>
          </w:p>
        </w:tc>
        <w:tc>
          <w:tcPr>
            <w:tcW w:w="1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bottom w:val="single" w:sz="8" w:color="CCEEFF"/>
            </w:tcBorders>
            <w:shd w:val="clear" w:color="auto" w:fill="000000"/>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5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Equity Compensation Plans Approved</w:t>
            </w:r>
          </w:p>
        </w:tc>
        <w:tc>
          <w:tcPr>
            <w:tcW w:w="5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gridSpan w:val="2"/>
            <w:shd w:val="clear" w:color="auto" w:fill="CCEEFF"/>
          </w:tcPr>
          <w:p>
            <w:pPr>
              <w:ind w:left="160"/>
              <w:spacing w:after="0" w:line="203" w:lineRule="exact"/>
              <w:rPr>
                <w:sz w:val="20"/>
                <w:szCs w:val="20"/>
                <w:color w:val="auto"/>
              </w:rPr>
            </w:pPr>
            <w:r>
              <w:rPr>
                <w:rFonts w:ascii="Arial" w:cs="Arial" w:eastAsia="Arial" w:hAnsi="Arial"/>
                <w:sz w:val="18"/>
                <w:szCs w:val="18"/>
                <w:color w:val="auto"/>
              </w:rPr>
              <w:t>by Shareholders (1)</w:t>
            </w:r>
          </w:p>
        </w:tc>
        <w:tc>
          <w:tcPr>
            <w:tcW w:w="19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1,711,876</w:t>
            </w:r>
          </w:p>
        </w:tc>
        <w:tc>
          <w:tcPr>
            <w:tcW w:w="10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color w:val="auto"/>
              </w:rPr>
              <w:t>47.93(2)</w:t>
            </w:r>
          </w:p>
        </w:tc>
        <w:tc>
          <w:tcPr>
            <w:tcW w:w="2400" w:type="dxa"/>
            <w:vAlign w:val="bottom"/>
            <w:gridSpan w:val="3"/>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6,765,557(3)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w:t>
            </w:r>
          </w:p>
        </w:tc>
        <w:tc>
          <w:tcPr>
            <w:tcW w:w="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gridSpan w:val="2"/>
          </w:tcPr>
          <w:p>
            <w:pPr>
              <w:ind w:left="160"/>
              <w:spacing w:after="0" w:line="203" w:lineRule="exact"/>
              <w:rPr>
                <w:sz w:val="20"/>
                <w:szCs w:val="20"/>
                <w:color w:val="auto"/>
              </w:rPr>
            </w:pPr>
            <w:r>
              <w:rPr>
                <w:rFonts w:ascii="Arial" w:cs="Arial" w:eastAsia="Arial" w:hAnsi="Arial"/>
                <w:sz w:val="18"/>
                <w:szCs w:val="18"/>
                <w:color w:val="auto"/>
              </w:rPr>
              <w:t>Approved by Shareholders</w:t>
            </w:r>
          </w:p>
        </w:tc>
        <w:tc>
          <w:tcPr>
            <w:tcW w:w="520" w:type="dxa"/>
            <w:vAlign w:val="bottom"/>
          </w:tcPr>
          <w:p>
            <w:pPr>
              <w:spacing w:after="0"/>
              <w:rPr>
                <w:sz w:val="18"/>
                <w:szCs w:val="18"/>
                <w:color w:val="auto"/>
              </w:rPr>
            </w:pPr>
          </w:p>
        </w:tc>
        <w:tc>
          <w:tcPr>
            <w:tcW w:w="1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1,711,876</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47.93(2)</w:t>
            </w:r>
          </w:p>
        </w:tc>
        <w:tc>
          <w:tcPr>
            <w:tcW w:w="24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6,765,557(3)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740" w:right="60" w:hanging="428"/>
        <w:spacing w:after="0" w:line="241" w:lineRule="auto"/>
        <w:tabs>
          <w:tab w:leader="none" w:pos="7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Under the provisions of the Second A&amp;R 2010 Plan, the Company may grant stock awards, stock units, performance shares, stock appreciation rights, and performance units (collectively Awards) in addition to stock options. For purposes of this table, the number of performance shares included are determined based on achievement of target performance goals.</w:t>
      </w:r>
    </w:p>
    <w:p>
      <w:pPr>
        <w:spacing w:after="0" w:line="1" w:lineRule="exact"/>
        <w:rPr>
          <w:rFonts w:ascii="Arial" w:cs="Arial" w:eastAsia="Arial" w:hAnsi="Arial"/>
          <w:sz w:val="14"/>
          <w:szCs w:val="14"/>
          <w:color w:val="auto"/>
        </w:rPr>
      </w:pPr>
    </w:p>
    <w:p>
      <w:pPr>
        <w:ind w:left="740" w:hanging="428"/>
        <w:spacing w:after="0"/>
        <w:tabs>
          <w:tab w:leader="none" w:pos="7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weighted-average exercise price pertains only to outstanding options and excludes 692,693 shares issuable upon vesting of outstanding Awards.</w:t>
      </w:r>
    </w:p>
    <w:p>
      <w:pPr>
        <w:spacing w:after="0" w:line="1" w:lineRule="exact"/>
        <w:rPr>
          <w:rFonts w:ascii="Arial" w:cs="Arial" w:eastAsia="Arial" w:hAnsi="Arial"/>
          <w:sz w:val="14"/>
          <w:szCs w:val="14"/>
          <w:color w:val="auto"/>
        </w:rPr>
      </w:pPr>
    </w:p>
    <w:p>
      <w:pPr>
        <w:ind w:left="740" w:right="600" w:hanging="428"/>
        <w:spacing w:after="0" w:line="258" w:lineRule="auto"/>
        <w:tabs>
          <w:tab w:leader="none" w:pos="7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This number includes 6,473,623 shares available for issuance under the Second A&amp;R 2010 Plan and 291,934 shares available for issuance under the 2012 Employee Stock Purchase Plan.</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240" w:top="459" w:right="4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4040"/>
        <w:spacing w:after="0" w:line="459" w:lineRule="auto"/>
        <w:rPr>
          <w:sz w:val="20"/>
          <w:szCs w:val="20"/>
          <w:color w:val="auto"/>
        </w:rPr>
      </w:pPr>
      <w:r>
        <w:rPr>
          <w:rFonts w:ascii="Arial" w:cs="Arial" w:eastAsia="Arial" w:hAnsi="Arial"/>
          <w:sz w:val="18"/>
          <w:szCs w:val="18"/>
          <w:b w:val="1"/>
          <w:bCs w:val="1"/>
          <w:color w:val="auto"/>
        </w:rPr>
        <w:t>SECURITY OWNERSHIP OF CERTAIN BENEFICIAL OWNERS AND MANAGEMENT Directors and Executive Officers</w:t>
      </w:r>
    </w:p>
    <w:p>
      <w:pPr>
        <w:ind w:left="200" w:right="20"/>
        <w:spacing w:after="0" w:line="236" w:lineRule="auto"/>
        <w:rPr>
          <w:sz w:val="20"/>
          <w:szCs w:val="20"/>
          <w:color w:val="auto"/>
        </w:rPr>
      </w:pPr>
      <w:r>
        <w:rPr>
          <w:rFonts w:ascii="Arial" w:cs="Arial" w:eastAsia="Arial" w:hAnsi="Arial"/>
          <w:sz w:val="18"/>
          <w:szCs w:val="18"/>
          <w:color w:val="auto"/>
        </w:rPr>
        <w:t>The following table provides information with respect to the beneficial ownership of our common stock as of March 1, 2019 by each of our directors, each of our executive officers listed in the Summary Compensation Table, and all of our director nominees, directors, and executive officers as a group. The percentage ownership data is based on 39,854,779 shares of our common stock outstanding as of March 1, 2019. Under SEC rules, beneficial ownership includes shares over that which the indicated beneficial owner exercises voting and/or investment power. Shares of common stock subject to options that are currently exercisable or will become exercisable within 60 days or shares of restricted stock units vested or that will vest within 60 days are deemed outstanding for computing the number of shares and the percentage ownership of the person holding the option, but are not deemed outstanding for purposes of computing the percentage ownership of any other person. Except as otherwise noted, we believe that the beneficial owners of the shares of common stock listed below have sole voting and investment power with respect to all shares beneficially owned, subject to applicable community property laws.</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20" w:type="dxa"/>
            <w:vAlign w:val="bottom"/>
          </w:tcPr>
          <w:p>
            <w:pPr>
              <w:spacing w:after="0"/>
              <w:rPr>
                <w:sz w:val="17"/>
                <w:szCs w:val="17"/>
                <w:color w:val="auto"/>
              </w:rPr>
            </w:pPr>
          </w:p>
        </w:tc>
        <w:tc>
          <w:tcPr>
            <w:tcW w:w="23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rPr>
              <w:t>Shares Beneficially</w:t>
            </w:r>
          </w:p>
        </w:tc>
        <w:tc>
          <w:tcPr>
            <w:tcW w:w="0" w:type="dxa"/>
            <w:vAlign w:val="bottom"/>
          </w:tcPr>
          <w:p>
            <w:pPr>
              <w:spacing w:after="0"/>
              <w:rPr>
                <w:sz w:val="1"/>
                <w:szCs w:val="1"/>
                <w:color w:val="auto"/>
              </w:rPr>
            </w:pPr>
          </w:p>
        </w:tc>
      </w:tr>
      <w:tr>
        <w:trPr>
          <w:trHeight w:val="225"/>
        </w:trPr>
        <w:tc>
          <w:tcPr>
            <w:tcW w:w="87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Name</w:t>
            </w:r>
          </w:p>
        </w:tc>
        <w:tc>
          <w:tcPr>
            <w:tcW w:w="1340" w:type="dxa"/>
            <w:vAlign w:val="bottom"/>
            <w:tcBorders>
              <w:bottom w:val="single" w:sz="8" w:color="auto"/>
            </w:tcBorders>
            <w:gridSpan w:val="2"/>
          </w:tcPr>
          <w:p>
            <w:pPr>
              <w:jc w:val="center"/>
              <w:ind w:left="650"/>
              <w:spacing w:after="0"/>
              <w:rPr>
                <w:sz w:val="20"/>
                <w:szCs w:val="20"/>
                <w:color w:val="auto"/>
              </w:rPr>
            </w:pPr>
            <w:r>
              <w:rPr>
                <w:rFonts w:ascii="Arial" w:cs="Arial" w:eastAsia="Arial" w:hAnsi="Arial"/>
                <w:sz w:val="18"/>
                <w:szCs w:val="18"/>
                <w:b w:val="1"/>
                <w:bCs w:val="1"/>
                <w:color w:val="auto"/>
                <w:w w:val="99"/>
              </w:rPr>
              <w:t>Owned</w:t>
            </w:r>
          </w:p>
        </w:tc>
        <w:tc>
          <w:tcPr>
            <w:tcW w:w="7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8740" w:type="dxa"/>
            <w:vAlign w:val="bottom"/>
            <w:gridSpan w:val="3"/>
            <w:vMerge w:val="continue"/>
          </w:tcPr>
          <w:p>
            <w:pPr>
              <w:spacing w:after="0"/>
              <w:rPr>
                <w:sz w:val="15"/>
                <w:szCs w:val="15"/>
                <w:color w:val="auto"/>
              </w:rPr>
            </w:pPr>
          </w:p>
        </w:tc>
        <w:tc>
          <w:tcPr>
            <w:tcW w:w="1340" w:type="dxa"/>
            <w:vAlign w:val="bottom"/>
            <w:gridSpan w:val="2"/>
          </w:tcPr>
          <w:p>
            <w:pPr>
              <w:ind w:left="40"/>
              <w:spacing w:after="0" w:line="182" w:lineRule="exact"/>
              <w:rPr>
                <w:sz w:val="20"/>
                <w:szCs w:val="20"/>
                <w:color w:val="auto"/>
              </w:rPr>
            </w:pPr>
            <w:r>
              <w:rPr>
                <w:rFonts w:ascii="Arial" w:cs="Arial" w:eastAsia="Arial" w:hAnsi="Arial"/>
                <w:sz w:val="18"/>
                <w:szCs w:val="18"/>
                <w:b w:val="1"/>
                <w:bCs w:val="1"/>
                <w:color w:val="auto"/>
              </w:rPr>
              <w:t>Number</w:t>
            </w:r>
          </w:p>
        </w:tc>
        <w:tc>
          <w:tcPr>
            <w:tcW w:w="7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82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7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Directors and Executive Officers:</w:t>
            </w:r>
          </w:p>
        </w:tc>
        <w:tc>
          <w:tcPr>
            <w:tcW w:w="7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tcPr>
          <w:p>
            <w:pPr>
              <w:spacing w:after="0" w:line="202" w:lineRule="exact"/>
              <w:rPr>
                <w:sz w:val="20"/>
                <w:szCs w:val="20"/>
                <w:color w:val="auto"/>
              </w:rPr>
            </w:pPr>
            <w:r>
              <w:rPr>
                <w:rFonts w:ascii="Arial" w:cs="Arial" w:eastAsia="Arial" w:hAnsi="Arial"/>
                <w:sz w:val="18"/>
                <w:szCs w:val="18"/>
                <w:color w:val="auto"/>
              </w:rPr>
              <w:t>Philip C. Mezey (1)</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526,649</w:t>
            </w:r>
          </w:p>
        </w:tc>
        <w:tc>
          <w:tcPr>
            <w:tcW w:w="56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Thomas L. Deitrich (2)</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211,903</w:t>
            </w: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tcPr>
          <w:p>
            <w:pPr>
              <w:spacing w:after="0" w:line="202" w:lineRule="exact"/>
              <w:rPr>
                <w:sz w:val="20"/>
                <w:szCs w:val="20"/>
                <w:color w:val="auto"/>
              </w:rPr>
            </w:pPr>
            <w:r>
              <w:rPr>
                <w:rFonts w:ascii="Arial" w:cs="Arial" w:eastAsia="Arial" w:hAnsi="Arial"/>
                <w:sz w:val="18"/>
                <w:szCs w:val="18"/>
                <w:color w:val="auto"/>
              </w:rPr>
              <w:t>Joan S. Hooper (3)</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9,311</w:t>
            </w:r>
          </w:p>
        </w:tc>
        <w:tc>
          <w:tcPr>
            <w:tcW w:w="5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Michel C. Cadieux (4)</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74,833</w:t>
            </w: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tcPr>
          <w:p>
            <w:pPr>
              <w:spacing w:after="0" w:line="202" w:lineRule="exact"/>
              <w:rPr>
                <w:sz w:val="20"/>
                <w:szCs w:val="20"/>
                <w:color w:val="auto"/>
              </w:rPr>
            </w:pPr>
            <w:r>
              <w:rPr>
                <w:rFonts w:ascii="Arial" w:cs="Arial" w:eastAsia="Arial" w:hAnsi="Arial"/>
                <w:sz w:val="18"/>
                <w:szCs w:val="18"/>
                <w:color w:val="auto"/>
              </w:rPr>
              <w:t>Sarah E. Hlavinka (5)</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5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Shannon M. Votava (6)</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5,545</w:t>
            </w: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tcPr>
          <w:p>
            <w:pPr>
              <w:spacing w:after="0" w:line="202" w:lineRule="exact"/>
              <w:rPr>
                <w:sz w:val="20"/>
                <w:szCs w:val="20"/>
                <w:color w:val="auto"/>
              </w:rPr>
            </w:pPr>
            <w:r>
              <w:rPr>
                <w:rFonts w:ascii="Arial" w:cs="Arial" w:eastAsia="Arial" w:hAnsi="Arial"/>
                <w:sz w:val="18"/>
                <w:szCs w:val="18"/>
                <w:color w:val="auto"/>
              </w:rPr>
              <w:t>Thomas S. Glanville (7)</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15,891</w:t>
            </w:r>
          </w:p>
        </w:tc>
        <w:tc>
          <w:tcPr>
            <w:tcW w:w="5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Frank M. Jaehnert (8)</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8,436</w:t>
            </w: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tcPr>
          <w:p>
            <w:pPr>
              <w:spacing w:after="0" w:line="202" w:lineRule="exact"/>
              <w:rPr>
                <w:sz w:val="20"/>
                <w:szCs w:val="20"/>
                <w:color w:val="auto"/>
              </w:rPr>
            </w:pPr>
            <w:r>
              <w:rPr>
                <w:rFonts w:ascii="Arial" w:cs="Arial" w:eastAsia="Arial" w:hAnsi="Arial"/>
                <w:sz w:val="18"/>
                <w:szCs w:val="18"/>
                <w:color w:val="auto"/>
              </w:rPr>
              <w:t>Jerome J. Lande (9)</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12,235</w:t>
            </w:r>
          </w:p>
        </w:tc>
        <w:tc>
          <w:tcPr>
            <w:tcW w:w="5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Timothy M. Leyden (10)</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9,067</w:t>
            </w: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tcPr>
          <w:p>
            <w:pPr>
              <w:spacing w:after="0" w:line="202" w:lineRule="exact"/>
              <w:rPr>
                <w:sz w:val="20"/>
                <w:szCs w:val="20"/>
                <w:color w:val="auto"/>
              </w:rPr>
            </w:pPr>
            <w:r>
              <w:rPr>
                <w:rFonts w:ascii="Arial" w:cs="Arial" w:eastAsia="Arial" w:hAnsi="Arial"/>
                <w:sz w:val="18"/>
                <w:szCs w:val="18"/>
                <w:color w:val="auto"/>
              </w:rPr>
              <w:t>Daniel S. Pelino (11)</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12,110</w:t>
            </w:r>
          </w:p>
        </w:tc>
        <w:tc>
          <w:tcPr>
            <w:tcW w:w="5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Gary E. Pruitt (12)</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43,791</w:t>
            </w: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tcPr>
          <w:p>
            <w:pPr>
              <w:spacing w:after="0" w:line="202" w:lineRule="exact"/>
              <w:rPr>
                <w:sz w:val="20"/>
                <w:szCs w:val="20"/>
                <w:color w:val="auto"/>
              </w:rPr>
            </w:pPr>
            <w:r>
              <w:rPr>
                <w:rFonts w:ascii="Arial" w:cs="Arial" w:eastAsia="Arial" w:hAnsi="Arial"/>
                <w:sz w:val="18"/>
                <w:szCs w:val="18"/>
                <w:color w:val="auto"/>
              </w:rPr>
              <w:t>Diana D. Tremblay (13)</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8,436</w:t>
            </w:r>
          </w:p>
        </w:tc>
        <w:tc>
          <w:tcPr>
            <w:tcW w:w="5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Lynda L. Ziegler (14)</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13,764</w:t>
            </w: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(14 persons) (15)</w:t>
            </w:r>
          </w:p>
        </w:tc>
        <w:tc>
          <w:tcPr>
            <w:tcW w:w="780" w:type="dxa"/>
            <w:vAlign w:val="bottom"/>
          </w:tcPr>
          <w:p>
            <w:pPr>
              <w:jc w:val="right"/>
              <w:spacing w:after="0"/>
              <w:rPr>
                <w:sz w:val="20"/>
                <w:szCs w:val="20"/>
                <w:color w:val="auto"/>
              </w:rPr>
            </w:pPr>
            <w:r>
              <w:rPr>
                <w:rFonts w:ascii="Arial" w:cs="Arial" w:eastAsia="Arial" w:hAnsi="Arial"/>
                <w:sz w:val="18"/>
                <w:szCs w:val="18"/>
                <w:color w:val="auto"/>
              </w:rPr>
              <w:t>951,971</w:t>
            </w:r>
          </w:p>
        </w:tc>
        <w:tc>
          <w:tcPr>
            <w:tcW w:w="5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7632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9" w:lineRule="exact"/>
        <w:rPr>
          <w:sz w:val="20"/>
          <w:szCs w:val="20"/>
          <w:color w:val="auto"/>
        </w:rPr>
      </w:pPr>
    </w:p>
    <w:p>
      <w:pPr>
        <w:ind w:left="740" w:hanging="428"/>
        <w:spacing w:after="0"/>
        <w:tabs>
          <w:tab w:leader="none" w:pos="7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 w:lineRule="exact"/>
        <w:rPr>
          <w:sz w:val="20"/>
          <w:szCs w:val="20"/>
          <w:color w:val="auto"/>
        </w:rPr>
      </w:pPr>
    </w:p>
    <w:p>
      <w:pPr>
        <w:ind w:left="740" w:right="380" w:hanging="428"/>
        <w:spacing w:after="0" w:line="241" w:lineRule="auto"/>
        <w:tabs>
          <w:tab w:leader="none" w:pos="7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Includes 409,374 shares issuable on exercise of outstanding options exercisable within 60 days at a weighted average exercise price of $43.24 per share. Also includes 53,354 shares held in a trust with Mr. Mezey and his spouse as co-trustees, who share voting and investment power over these shares.</w:t>
      </w:r>
    </w:p>
    <w:p>
      <w:pPr>
        <w:ind w:left="740" w:hanging="428"/>
        <w:spacing w:after="0"/>
        <w:tabs>
          <w:tab w:leader="none" w:pos="7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Includes 143,575 shares issuable on exercise of outstanding options exercisable within 60 days at a weighted average exercise price of $41.23 per share.</w:t>
      </w:r>
    </w:p>
    <w:p>
      <w:pPr>
        <w:spacing w:after="0" w:line="1" w:lineRule="exact"/>
        <w:rPr>
          <w:rFonts w:ascii="Arial" w:cs="Arial" w:eastAsia="Arial" w:hAnsi="Arial"/>
          <w:sz w:val="14"/>
          <w:szCs w:val="14"/>
          <w:color w:val="auto"/>
        </w:rPr>
      </w:pPr>
    </w:p>
    <w:p>
      <w:pPr>
        <w:ind w:left="740" w:hanging="428"/>
        <w:spacing w:after="0"/>
        <w:tabs>
          <w:tab w:leader="none" w:pos="7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Includes 7,190 shares issuable on exercise of outstanding options exercisable within 60 days at a weighted average exercise price of $68.85 per share.</w:t>
      </w:r>
    </w:p>
    <w:p>
      <w:pPr>
        <w:spacing w:after="0" w:line="1" w:lineRule="exact"/>
        <w:rPr>
          <w:rFonts w:ascii="Arial" w:cs="Arial" w:eastAsia="Arial" w:hAnsi="Arial"/>
          <w:sz w:val="14"/>
          <w:szCs w:val="14"/>
          <w:color w:val="auto"/>
        </w:rPr>
      </w:pPr>
    </w:p>
    <w:p>
      <w:pPr>
        <w:ind w:left="740" w:hanging="428"/>
        <w:spacing w:after="0"/>
        <w:tabs>
          <w:tab w:leader="none" w:pos="7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Includes 48,600 shares issuable on exercise of outstanding options exercisable within 60 days at a weighted average exercise price of $42.42 per share.</w:t>
      </w:r>
    </w:p>
    <w:p>
      <w:pPr>
        <w:spacing w:after="0" w:line="1" w:lineRule="exact"/>
        <w:rPr>
          <w:rFonts w:ascii="Arial" w:cs="Arial" w:eastAsia="Arial" w:hAnsi="Arial"/>
          <w:sz w:val="14"/>
          <w:szCs w:val="14"/>
          <w:color w:val="auto"/>
        </w:rPr>
      </w:pPr>
    </w:p>
    <w:p>
      <w:pPr>
        <w:ind w:left="740" w:hanging="428"/>
        <w:spacing w:after="0"/>
        <w:tabs>
          <w:tab w:leader="none" w:pos="7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Represents shares owned as of March 1, 2019.</w:t>
      </w:r>
    </w:p>
    <w:p>
      <w:pPr>
        <w:spacing w:after="0" w:line="1" w:lineRule="exact"/>
        <w:rPr>
          <w:rFonts w:ascii="Arial" w:cs="Arial" w:eastAsia="Arial" w:hAnsi="Arial"/>
          <w:sz w:val="14"/>
          <w:szCs w:val="14"/>
          <w:color w:val="auto"/>
        </w:rPr>
      </w:pPr>
    </w:p>
    <w:p>
      <w:pPr>
        <w:ind w:left="740" w:hanging="428"/>
        <w:spacing w:after="0"/>
        <w:tabs>
          <w:tab w:leader="none" w:pos="7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Includes 5,545 shares issuable on exercise of outstanding options exercisable within 60 days at a weighted average exercise price of $66.23 per share.</w:t>
      </w:r>
    </w:p>
    <w:p>
      <w:pPr>
        <w:spacing w:after="0" w:line="1" w:lineRule="exact"/>
        <w:rPr>
          <w:rFonts w:ascii="Arial" w:cs="Arial" w:eastAsia="Arial" w:hAnsi="Arial"/>
          <w:sz w:val="14"/>
          <w:szCs w:val="14"/>
          <w:color w:val="auto"/>
        </w:rPr>
      </w:pPr>
    </w:p>
    <w:p>
      <w:pPr>
        <w:ind w:left="740" w:hanging="428"/>
        <w:spacing w:after="0"/>
        <w:tabs>
          <w:tab w:leader="none" w:pos="7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Includes 1,102 shares issuable on exercise of outstanding options exercisable within 60 days at a weighted average exercise price of $67.80 per share.</w:t>
      </w:r>
    </w:p>
    <w:p>
      <w:pPr>
        <w:spacing w:after="0" w:line="1" w:lineRule="exact"/>
        <w:rPr>
          <w:rFonts w:ascii="Arial" w:cs="Arial" w:eastAsia="Arial" w:hAnsi="Arial"/>
          <w:sz w:val="14"/>
          <w:szCs w:val="14"/>
          <w:color w:val="auto"/>
        </w:rPr>
      </w:pPr>
    </w:p>
    <w:p>
      <w:pPr>
        <w:ind w:left="740" w:right="60" w:hanging="428"/>
        <w:spacing w:after="0" w:line="258" w:lineRule="auto"/>
        <w:tabs>
          <w:tab w:leader="none" w:pos="7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Includes 2,023 vested restricted share units where payout of the underlying shares has been deferred pursuant to the Company’s Amended and Restated Executive Deferred Compensation Plan.</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240" w:top="459" w:right="4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740" w:hanging="428"/>
        <w:spacing w:after="0" w:line="241" w:lineRule="auto"/>
        <w:tabs>
          <w:tab w:leader="none" w:pos="7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Represents shares owned as of March 1, 2019. Mr. Lande was appointed to our Board through an agreement with Scopia. Mr. Lande is an employee of Scopia but does not have voting or investment power over and disclaims beneficial ownership of the shares of the Company owned by Scopia.</w:t>
      </w:r>
    </w:p>
    <w:p>
      <w:pPr>
        <w:ind w:left="740" w:hanging="428"/>
        <w:spacing w:after="0"/>
        <w:tabs>
          <w:tab w:leader="none" w:pos="7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Represents shares owned as of March 1, 2019.</w:t>
      </w:r>
    </w:p>
    <w:p>
      <w:pPr>
        <w:spacing w:after="0" w:line="1" w:lineRule="exact"/>
        <w:rPr>
          <w:rFonts w:ascii="Arial" w:cs="Arial" w:eastAsia="Arial" w:hAnsi="Arial"/>
          <w:sz w:val="14"/>
          <w:szCs w:val="14"/>
          <w:color w:val="auto"/>
        </w:rPr>
      </w:pPr>
    </w:p>
    <w:p>
      <w:pPr>
        <w:ind w:left="740" w:hanging="428"/>
        <w:spacing w:after="0"/>
        <w:tabs>
          <w:tab w:leader="none" w:pos="7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Represents shares owned as of March 1, 2019.</w:t>
      </w:r>
    </w:p>
    <w:p>
      <w:pPr>
        <w:spacing w:after="0" w:line="1" w:lineRule="exact"/>
        <w:rPr>
          <w:rFonts w:ascii="Arial" w:cs="Arial" w:eastAsia="Arial" w:hAnsi="Arial"/>
          <w:sz w:val="14"/>
          <w:szCs w:val="14"/>
          <w:color w:val="auto"/>
        </w:rPr>
      </w:pPr>
    </w:p>
    <w:p>
      <w:pPr>
        <w:ind w:left="740" w:hanging="428"/>
        <w:spacing w:after="0"/>
        <w:tabs>
          <w:tab w:leader="none" w:pos="7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2,486 shares issuable on exercise of outstanding options exercisable within 60 days at a weighted average exercise price of $60.69 per share</w:t>
      </w:r>
    </w:p>
    <w:p>
      <w:pPr>
        <w:spacing w:after="0" w:line="1" w:lineRule="exact"/>
        <w:rPr>
          <w:rFonts w:ascii="Arial" w:cs="Arial" w:eastAsia="Arial" w:hAnsi="Arial"/>
          <w:sz w:val="14"/>
          <w:szCs w:val="14"/>
          <w:color w:val="auto"/>
        </w:rPr>
      </w:pPr>
    </w:p>
    <w:p>
      <w:pPr>
        <w:ind w:left="740" w:hanging="428"/>
        <w:spacing w:after="0"/>
        <w:tabs>
          <w:tab w:leader="none" w:pos="7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Represents shares owned as of March 1, 2019.</w:t>
      </w:r>
    </w:p>
    <w:p>
      <w:pPr>
        <w:spacing w:after="0" w:line="1" w:lineRule="exact"/>
        <w:rPr>
          <w:rFonts w:ascii="Arial" w:cs="Arial" w:eastAsia="Arial" w:hAnsi="Arial"/>
          <w:sz w:val="14"/>
          <w:szCs w:val="14"/>
          <w:color w:val="auto"/>
        </w:rPr>
      </w:pPr>
    </w:p>
    <w:p>
      <w:pPr>
        <w:ind w:left="740" w:hanging="428"/>
        <w:spacing w:after="0"/>
        <w:tabs>
          <w:tab w:leader="none" w:pos="7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Represents shares owned as of March 1, 2019.</w:t>
      </w:r>
    </w:p>
    <w:p>
      <w:pPr>
        <w:spacing w:after="0" w:line="1" w:lineRule="exact"/>
        <w:rPr>
          <w:rFonts w:ascii="Arial" w:cs="Arial" w:eastAsia="Arial" w:hAnsi="Arial"/>
          <w:sz w:val="14"/>
          <w:szCs w:val="14"/>
          <w:color w:val="auto"/>
        </w:rPr>
      </w:pPr>
    </w:p>
    <w:p>
      <w:pPr>
        <w:ind w:left="740" w:hanging="428"/>
        <w:spacing w:after="0" w:line="250" w:lineRule="auto"/>
        <w:tabs>
          <w:tab w:leader="none" w:pos="7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(i) 617,872 shares issuable on exercise of outstanding options that are held by all directors and executive officers and are exercisable within 60 days, and (ii) 2,023 vested restricted stock units where payout of the underlying shares has been deferred pursuant to the Company’s Amended and Restated Executive Deferred Compensation Plan.</w:t>
      </w:r>
    </w:p>
    <w:p>
      <w:pPr>
        <w:spacing w:after="0" w:line="12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80"/>
          </w:cols>
          <w:pgMar w:left="240" w:top="459" w:right="5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Principal Shareholders</w:t>
      </w:r>
    </w:p>
    <w:p>
      <w:pPr>
        <w:spacing w:after="0" w:line="234" w:lineRule="exact"/>
        <w:rPr>
          <w:sz w:val="20"/>
          <w:szCs w:val="20"/>
          <w:color w:val="auto"/>
        </w:rPr>
      </w:pPr>
    </w:p>
    <w:p>
      <w:pPr>
        <w:ind w:left="200" w:right="40"/>
        <w:spacing w:after="0" w:line="246" w:lineRule="auto"/>
        <w:rPr>
          <w:sz w:val="20"/>
          <w:szCs w:val="20"/>
          <w:color w:val="auto"/>
        </w:rPr>
      </w:pPr>
      <w:r>
        <w:rPr>
          <w:rFonts w:ascii="Arial" w:cs="Arial" w:eastAsia="Arial" w:hAnsi="Arial"/>
          <w:sz w:val="18"/>
          <w:szCs w:val="18"/>
          <w:color w:val="auto"/>
        </w:rPr>
        <w:t>The following table provides information with respect to the beneficial ownership of our common stock as of March 1, 2019 by each person that we know beneficially owns more than five percent (5%) of our common stock.</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225"/>
        </w:trPr>
        <w:tc>
          <w:tcPr>
            <w:tcW w:w="8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 and Address</w:t>
            </w:r>
          </w:p>
        </w:tc>
        <w:tc>
          <w:tcPr>
            <w:tcW w:w="2760" w:type="dxa"/>
            <w:vAlign w:val="bottom"/>
            <w:gridSpan w:val="4"/>
          </w:tcPr>
          <w:p>
            <w:pPr>
              <w:ind w:left="200"/>
              <w:spacing w:after="0"/>
              <w:rPr>
                <w:sz w:val="20"/>
                <w:szCs w:val="20"/>
                <w:color w:val="auto"/>
              </w:rPr>
            </w:pPr>
            <w:r>
              <w:rPr>
                <w:rFonts w:ascii="Arial" w:cs="Arial" w:eastAsia="Arial" w:hAnsi="Arial"/>
                <w:sz w:val="18"/>
                <w:szCs w:val="18"/>
                <w:b w:val="1"/>
                <w:bCs w:val="1"/>
                <w:color w:val="auto"/>
              </w:rPr>
              <w:t>Shares Beneficially Owned</w:t>
            </w:r>
          </w:p>
        </w:tc>
        <w:tc>
          <w:tcPr>
            <w:tcW w:w="0" w:type="dxa"/>
            <w:vAlign w:val="bottom"/>
          </w:tcPr>
          <w:p>
            <w:pPr>
              <w:spacing w:after="0"/>
              <w:rPr>
                <w:sz w:val="1"/>
                <w:szCs w:val="1"/>
                <w:color w:val="auto"/>
              </w:rPr>
            </w:pPr>
          </w:p>
        </w:tc>
      </w:tr>
      <w:tr>
        <w:trPr>
          <w:trHeight w:val="196"/>
        </w:trPr>
        <w:tc>
          <w:tcPr>
            <w:tcW w:w="8280" w:type="dxa"/>
            <w:vAlign w:val="bottom"/>
            <w:gridSpan w:val="2"/>
            <w:vMerge w:val="continue"/>
          </w:tcPr>
          <w:p>
            <w:pPr>
              <w:spacing w:after="0"/>
              <w:rPr>
                <w:sz w:val="17"/>
                <w:szCs w:val="17"/>
                <w:color w:val="auto"/>
              </w:rPr>
            </w:pPr>
          </w:p>
        </w:tc>
        <w:tc>
          <w:tcPr>
            <w:tcW w:w="1760" w:type="dxa"/>
            <w:vAlign w:val="bottom"/>
            <w:tcBorders>
              <w:top w:val="single" w:sz="8" w:color="auto"/>
            </w:tcBorders>
            <w:gridSpan w:val="2"/>
          </w:tcPr>
          <w:p>
            <w:pPr>
              <w:ind w:left="240"/>
              <w:spacing w:after="0" w:line="196" w:lineRule="exact"/>
              <w:rPr>
                <w:sz w:val="20"/>
                <w:szCs w:val="20"/>
                <w:color w:val="auto"/>
              </w:rPr>
            </w:pPr>
            <w:r>
              <w:rPr>
                <w:rFonts w:ascii="Arial" w:cs="Arial" w:eastAsia="Arial" w:hAnsi="Arial"/>
                <w:sz w:val="18"/>
                <w:szCs w:val="18"/>
                <w:b w:val="1"/>
                <w:bCs w:val="1"/>
                <w:color w:val="auto"/>
              </w:rPr>
              <w:t>Number</w:t>
            </w:r>
          </w:p>
        </w:tc>
        <w:tc>
          <w:tcPr>
            <w:tcW w:w="940" w:type="dxa"/>
            <w:vAlign w:val="bottom"/>
            <w:tcBorders>
              <w:top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Percent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6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8"/>
                <w:szCs w:val="18"/>
                <w:color w:val="auto"/>
              </w:rPr>
              <w:t>Scopia Capital Management LP (1)</w:t>
            </w:r>
          </w:p>
        </w:tc>
        <w:tc>
          <w:tcPr>
            <w:tcW w:w="118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8"/>
                <w:szCs w:val="18"/>
                <w:color w:val="auto"/>
              </w:rPr>
              <w:t>5,086,532</w:t>
            </w:r>
          </w:p>
        </w:tc>
        <w:tc>
          <w:tcPr>
            <w:tcW w:w="58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8"/>
                <w:szCs w:val="18"/>
                <w:color w:val="auto"/>
              </w:rPr>
              <w:t>12.76%</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152 West 57</w:t>
            </w:r>
            <w:r>
              <w:rPr>
                <w:rFonts w:ascii="Arial" w:cs="Arial" w:eastAsia="Arial" w:hAnsi="Arial"/>
                <w:sz w:val="15"/>
                <w:szCs w:val="15"/>
                <w:color w:val="auto"/>
              </w:rPr>
              <w:t>th</w:t>
            </w:r>
            <w:r>
              <w:rPr>
                <w:rFonts w:ascii="Arial" w:cs="Arial" w:eastAsia="Arial" w:hAnsi="Arial"/>
                <w:sz w:val="18"/>
                <w:szCs w:val="18"/>
                <w:color w:val="auto"/>
              </w:rPr>
              <w:t xml:space="preserve"> Street, 33</w:t>
            </w:r>
            <w:r>
              <w:rPr>
                <w:rFonts w:ascii="Arial" w:cs="Arial" w:eastAsia="Arial" w:hAnsi="Arial"/>
                <w:sz w:val="15"/>
                <w:szCs w:val="15"/>
                <w:color w:val="auto"/>
              </w:rPr>
              <w:t>rd</w:t>
            </w:r>
            <w:r>
              <w:rPr>
                <w:rFonts w:ascii="Arial" w:cs="Arial" w:eastAsia="Arial" w:hAnsi="Arial"/>
                <w:sz w:val="18"/>
                <w:szCs w:val="18"/>
                <w:color w:val="auto"/>
              </w:rPr>
              <w:t xml:space="preserve"> Floor</w:t>
            </w:r>
          </w:p>
        </w:tc>
        <w:tc>
          <w:tcPr>
            <w:tcW w:w="1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New York, New York 10019</w:t>
            </w: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8280" w:type="dxa"/>
            <w:vAlign w:val="bottom"/>
            <w:gridSpan w:val="2"/>
          </w:tcPr>
          <w:p>
            <w:pPr>
              <w:spacing w:after="0"/>
              <w:rPr>
                <w:sz w:val="20"/>
                <w:szCs w:val="20"/>
                <w:color w:val="auto"/>
              </w:rPr>
            </w:pPr>
            <w:r>
              <w:rPr>
                <w:rFonts w:ascii="Arial" w:cs="Arial" w:eastAsia="Arial" w:hAnsi="Arial"/>
                <w:sz w:val="18"/>
                <w:szCs w:val="18"/>
                <w:color w:val="auto"/>
              </w:rPr>
              <w:t>BlackRock, Inc. (2)</w:t>
            </w:r>
          </w:p>
        </w:tc>
        <w:tc>
          <w:tcPr>
            <w:tcW w:w="1180" w:type="dxa"/>
            <w:vAlign w:val="bottom"/>
          </w:tcPr>
          <w:p>
            <w:pPr>
              <w:jc w:val="right"/>
              <w:spacing w:after="0"/>
              <w:rPr>
                <w:sz w:val="20"/>
                <w:szCs w:val="20"/>
                <w:color w:val="auto"/>
              </w:rPr>
            </w:pPr>
            <w:r>
              <w:rPr>
                <w:rFonts w:ascii="Arial" w:cs="Arial" w:eastAsia="Arial" w:hAnsi="Arial"/>
                <w:sz w:val="18"/>
                <w:szCs w:val="18"/>
                <w:color w:val="auto"/>
              </w:rPr>
              <w:t>4,898,258</w:t>
            </w:r>
          </w:p>
        </w:tc>
        <w:tc>
          <w:tcPr>
            <w:tcW w:w="5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8280" w:type="dxa"/>
            <w:vAlign w:val="bottom"/>
            <w:gridSpan w:val="2"/>
          </w:tcPr>
          <w:p>
            <w:pPr>
              <w:spacing w:after="0" w:line="205" w:lineRule="exact"/>
              <w:rPr>
                <w:sz w:val="20"/>
                <w:szCs w:val="20"/>
                <w:color w:val="auto"/>
              </w:rPr>
            </w:pPr>
            <w:r>
              <w:rPr>
                <w:rFonts w:ascii="Arial" w:cs="Arial" w:eastAsia="Arial" w:hAnsi="Arial"/>
                <w:sz w:val="18"/>
                <w:szCs w:val="18"/>
                <w:color w:val="auto"/>
              </w:rPr>
              <w:t>40 East 52</w:t>
            </w:r>
            <w:r>
              <w:rPr>
                <w:rFonts w:ascii="Arial" w:cs="Arial" w:eastAsia="Arial" w:hAnsi="Arial"/>
                <w:sz w:val="15"/>
                <w:szCs w:val="15"/>
                <w:color w:val="auto"/>
              </w:rPr>
              <w:t>nd</w:t>
            </w:r>
            <w:r>
              <w:rPr>
                <w:rFonts w:ascii="Arial" w:cs="Arial" w:eastAsia="Arial" w:hAnsi="Arial"/>
                <w:sz w:val="18"/>
                <w:szCs w:val="18"/>
                <w:color w:val="auto"/>
              </w:rPr>
              <w:t xml:space="preserve"> Street</w:t>
            </w: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280" w:type="dxa"/>
            <w:vAlign w:val="bottom"/>
            <w:gridSpan w:val="2"/>
          </w:tcPr>
          <w:p>
            <w:pPr>
              <w:spacing w:after="0"/>
              <w:rPr>
                <w:sz w:val="20"/>
                <w:szCs w:val="20"/>
                <w:color w:val="auto"/>
              </w:rPr>
            </w:pPr>
            <w:r>
              <w:rPr>
                <w:rFonts w:ascii="Arial" w:cs="Arial" w:eastAsia="Arial" w:hAnsi="Arial"/>
                <w:sz w:val="18"/>
                <w:szCs w:val="18"/>
                <w:color w:val="auto"/>
              </w:rPr>
              <w:t>New York, NY 10055</w:t>
            </w: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Vanguard Group (3)</w:t>
            </w:r>
          </w:p>
        </w:tc>
        <w:tc>
          <w:tcPr>
            <w:tcW w:w="11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3,475,433</w:t>
            </w: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8.72%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100 Vanguard Blvd.</w:t>
            </w:r>
          </w:p>
        </w:tc>
        <w:tc>
          <w:tcPr>
            <w:tcW w:w="1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Malvern, PA 19355</w:t>
            </w: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8280" w:type="dxa"/>
            <w:vAlign w:val="bottom"/>
            <w:gridSpan w:val="2"/>
          </w:tcPr>
          <w:p>
            <w:pPr>
              <w:spacing w:after="0"/>
              <w:rPr>
                <w:sz w:val="20"/>
                <w:szCs w:val="20"/>
                <w:color w:val="auto"/>
              </w:rPr>
            </w:pPr>
            <w:r>
              <w:rPr>
                <w:rFonts w:ascii="Arial" w:cs="Arial" w:eastAsia="Arial" w:hAnsi="Arial"/>
                <w:sz w:val="18"/>
                <w:szCs w:val="18"/>
                <w:color w:val="auto"/>
              </w:rPr>
              <w:t>Wellington Management Group LLP (4)</w:t>
            </w:r>
          </w:p>
        </w:tc>
        <w:tc>
          <w:tcPr>
            <w:tcW w:w="1180" w:type="dxa"/>
            <w:vAlign w:val="bottom"/>
          </w:tcPr>
          <w:p>
            <w:pPr>
              <w:jc w:val="right"/>
              <w:spacing w:after="0"/>
              <w:rPr>
                <w:sz w:val="20"/>
                <w:szCs w:val="20"/>
                <w:color w:val="auto"/>
              </w:rPr>
            </w:pPr>
            <w:r>
              <w:rPr>
                <w:rFonts w:ascii="Arial" w:cs="Arial" w:eastAsia="Arial" w:hAnsi="Arial"/>
                <w:sz w:val="18"/>
                <w:szCs w:val="18"/>
                <w:color w:val="auto"/>
              </w:rPr>
              <w:t>4,272,948</w:t>
            </w:r>
          </w:p>
        </w:tc>
        <w:tc>
          <w:tcPr>
            <w:tcW w:w="5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280" w:type="dxa"/>
            <w:vAlign w:val="bottom"/>
            <w:gridSpan w:val="2"/>
          </w:tcPr>
          <w:p>
            <w:pPr>
              <w:spacing w:after="0" w:line="202" w:lineRule="exact"/>
              <w:rPr>
                <w:sz w:val="20"/>
                <w:szCs w:val="20"/>
                <w:color w:val="auto"/>
              </w:rPr>
            </w:pPr>
            <w:r>
              <w:rPr>
                <w:rFonts w:ascii="Arial" w:cs="Arial" w:eastAsia="Arial" w:hAnsi="Arial"/>
                <w:sz w:val="18"/>
                <w:szCs w:val="18"/>
                <w:color w:val="auto"/>
              </w:rPr>
              <w:t>c/o Wellington Management Company LLP</w:t>
            </w: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00"/>
        <w:spacing w:after="0" w:line="234" w:lineRule="auto"/>
        <w:rPr>
          <w:sz w:val="20"/>
          <w:szCs w:val="20"/>
          <w:color w:val="auto"/>
        </w:rPr>
      </w:pPr>
      <w:r>
        <w:rPr>
          <w:rFonts w:ascii="Arial" w:cs="Arial" w:eastAsia="Arial" w:hAnsi="Arial"/>
          <w:sz w:val="18"/>
          <w:szCs w:val="18"/>
          <w:color w:val="auto"/>
        </w:rPr>
        <w:t>280 Congress Street</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Boston, MA 02210</w:t>
      </w:r>
    </w:p>
    <w:p>
      <w:pPr>
        <w:spacing w:after="0" w:line="258" w:lineRule="exact"/>
        <w:rPr>
          <w:sz w:val="20"/>
          <w:szCs w:val="20"/>
          <w:color w:val="auto"/>
        </w:rPr>
      </w:pPr>
    </w:p>
    <w:p>
      <w:pPr>
        <w:ind w:left="740" w:right="80" w:hanging="428"/>
        <w:spacing w:after="0" w:line="241" w:lineRule="auto"/>
        <w:tabs>
          <w:tab w:leader="none" w:pos="7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Information is based on Amendment No. 10 to a Schedule 13D filed with the SEC on December 11, 2017 by Scopia Capital Management LP (Scopia) (jointly with others as described below), reporting beneficial ownership as of December 7, 2017, and supplemented with information based on a Form 4 filed by Scopia (jointly with others as described below) with the SEC on November 20, 2018. According to these filings, Scopia beneficially owns 5,086,532 shares of Common Stock by virtue of having sole voting power and sole dispositive power over 5,086,532 shares of Common Stock in its role as investment advisor for certain funds, consisting of a separately managed account and the following investment advisory client funds: Scopia Long LLC; Scopia LB LLC; Scopia PX LLC; Scopia Partners LLC; Scopia Long QP LLC; Scopia Long International Master Fund LP; Scopia Windmill Fund LP; Scopia International Master Fund LP; Scopia PX International Master Fund LP; and Scopia LB International Master Fund LP. These filings further indicate that Scopia Management, Inc., as the general partner of Scopia, beneficially owns 5,086,532 shares of Common Stock by virtue of having sole voting power and dispositive power of 5,086,532 shares of Common Stock, and Messrs. Matthew Sirovich and Jeremy Mindich, as the managing directors of Scopia Management, Inc., as the general partner of Scopia, each beneficially own 5,086,532 shares of Common Stock by virtue of having shared voting power and dispositive power of 5,086,532 shares of Common Stock. Jerome Lande was appointed to our Board through an agreement with Scopia. Mr. Lande is an employee of Scopia but does not have voting or investment power over, and disclaims beneficial ownership of, the shares of the Company owned by Scopia.</w:t>
      </w:r>
    </w:p>
    <w:p>
      <w:pPr>
        <w:spacing w:after="0" w:line="4" w:lineRule="exact"/>
        <w:rPr>
          <w:rFonts w:ascii="Arial" w:cs="Arial" w:eastAsia="Arial" w:hAnsi="Arial"/>
          <w:sz w:val="14"/>
          <w:szCs w:val="14"/>
          <w:color w:val="auto"/>
        </w:rPr>
      </w:pPr>
    </w:p>
    <w:p>
      <w:pPr>
        <w:ind w:left="740" w:right="80" w:hanging="428"/>
        <w:spacing w:after="0" w:line="241" w:lineRule="auto"/>
        <w:tabs>
          <w:tab w:leader="none" w:pos="7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Information is based on Amendment No. 16 to a Schedule 13G filed with the SEC on January 31, 2019 by BlackRock, Inc., reporting beneficial ownership as of December 31, 2018 on behalf of its investment advisory subsidiaries, BlackRock Advisors, LLC, BlackRock Asset Management Canada Limited, BlackRock Asset Management Ireland Limited, BlackRock Asset Management Schweiz AG, BlackRock Financial Management, Inc., BlackRock Fund Advisors, BlackRock Institutional Trust Company, N.A., BlackRock Investment Management, LLC, BlackRock (Netherlands) B.V., BlackRock Investment Management (Australia) Limited, and BlackRock Investment Management (UK) Ltd. The Schedule 13G indicates that BlackRock Fund Advisors beneficially owns 5% or greater of these shares reported, and that BlackRock, Inc. has sole voting power over 4,822,745 of these shares and sole dispositive power over all of these shares.</w:t>
      </w:r>
    </w:p>
    <w:p>
      <w:pPr>
        <w:spacing w:after="0" w:line="2" w:lineRule="exact"/>
        <w:rPr>
          <w:rFonts w:ascii="Arial" w:cs="Arial" w:eastAsia="Arial" w:hAnsi="Arial"/>
          <w:sz w:val="14"/>
          <w:szCs w:val="14"/>
          <w:color w:val="auto"/>
        </w:rPr>
      </w:pPr>
    </w:p>
    <w:p>
      <w:pPr>
        <w:jc w:val="both"/>
        <w:ind w:left="740" w:right="140" w:hanging="428"/>
        <w:spacing w:after="0" w:line="241" w:lineRule="auto"/>
        <w:tabs>
          <w:tab w:leader="none" w:pos="7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Information is based on Amendment No. 6 to a Schedule 13G filed with the SEC on February 13, 2019 by The Vanguard 29Group (Vanguard), reporting beneficial ownership as of December 31, 2018. The Schedule 13G indicates that Vanguard has sole dispositive power over 3,403,355 of these shares and shared dispositive power over 72,078 of these shares. Vanguard has sole voting power over 70,325 of these shares and shared voting power over 5,357 of these shares.</w:t>
      </w:r>
    </w:p>
    <w:p>
      <w:pPr>
        <w:spacing w:after="0" w:line="1" w:lineRule="exact"/>
        <w:rPr>
          <w:rFonts w:ascii="Arial" w:cs="Arial" w:eastAsia="Arial" w:hAnsi="Arial"/>
          <w:sz w:val="14"/>
          <w:szCs w:val="14"/>
          <w:color w:val="auto"/>
        </w:rPr>
      </w:pPr>
    </w:p>
    <w:p>
      <w:pPr>
        <w:ind w:left="740" w:right="40" w:hanging="428"/>
        <w:spacing w:after="0" w:line="250" w:lineRule="auto"/>
        <w:tabs>
          <w:tab w:leader="none" w:pos="7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Information is based on a Schedule 13G filed with the SEC on January 10, 2019 jointly by Wellington Management Group LLP, Wellington Group Holdings LLP, Wellington Investment Advisors Holdings LLP and Wellington Management Company, reporting beneficial ownership as of December 31, 2018. The shares reflected in the table are owned of record</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240" w:top="459" w:right="4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740" w:right="20"/>
        <w:spacing w:after="0" w:line="244" w:lineRule="auto"/>
        <w:rPr>
          <w:sz w:val="20"/>
          <w:szCs w:val="20"/>
          <w:color w:val="auto"/>
        </w:rPr>
      </w:pPr>
      <w:r>
        <w:rPr>
          <w:rFonts w:ascii="Arial" w:cs="Arial" w:eastAsia="Arial" w:hAnsi="Arial"/>
          <w:sz w:val="14"/>
          <w:szCs w:val="14"/>
          <w:color w:val="auto"/>
        </w:rPr>
        <w:t>by clients of one or more of Wellington Management Company LLP, Wellington Management Canada LLC, Wellington Management Singapore Pte Ltd, Wellington Management Hong Kong Ltd, Wellington Management International Ltd, Wellington Management Japan Pte Ltd and Wellington Management Australia Pty Ltd, each registered investment advisers (the “Wellington Investment Advisers”). Those clients have the right to receive, or the power to direct the receipt of, dividends from, or the proceeds from the sale of, such shares. No such client is known to have such right or power with respect to more than 5% of this class of securities. Wellington Management Group LLP is the parent holding company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3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 ECTION 16(a) BENEFICIAL OWNERSHIP REPORTING COMPLIANCE</w:t>
      </w:r>
    </w:p>
    <w:p>
      <w:pPr>
        <w:spacing w:after="0" w:line="207" w:lineRule="exact"/>
        <w:rPr>
          <w:sz w:val="20"/>
          <w:szCs w:val="20"/>
          <w:color w:val="auto"/>
        </w:rPr>
      </w:pPr>
    </w:p>
    <w:p>
      <w:pPr>
        <w:ind w:left="200" w:right="140"/>
        <w:spacing w:after="0"/>
        <w:rPr>
          <w:sz w:val="20"/>
          <w:szCs w:val="20"/>
          <w:color w:val="auto"/>
        </w:rPr>
      </w:pPr>
      <w:r>
        <w:rPr>
          <w:rFonts w:ascii="Arial" w:cs="Arial" w:eastAsia="Arial" w:hAnsi="Arial"/>
          <w:sz w:val="18"/>
          <w:szCs w:val="18"/>
          <w:color w:val="auto"/>
        </w:rPr>
        <w:t>Section 16(a) of the Exchange Act requires our officers and directors and persons who own more than 10% of a registered class of our equity securities, to file reports of ownership and changes in ownership with the SEC. SEC regulations require our officers, directors, and greater than 10% shareholders to provide us with copies of all Section 16(a) forms they file.</w:t>
      </w:r>
    </w:p>
    <w:p>
      <w:pPr>
        <w:spacing w:after="0" w:line="162" w:lineRule="exact"/>
        <w:rPr>
          <w:sz w:val="20"/>
          <w:szCs w:val="20"/>
          <w:color w:val="auto"/>
        </w:rPr>
      </w:pPr>
    </w:p>
    <w:p>
      <w:pPr>
        <w:ind w:left="200" w:right="100"/>
        <w:spacing w:after="0"/>
        <w:rPr>
          <w:sz w:val="20"/>
          <w:szCs w:val="20"/>
          <w:color w:val="auto"/>
        </w:rPr>
      </w:pPr>
      <w:r>
        <w:rPr>
          <w:rFonts w:ascii="Arial" w:cs="Arial" w:eastAsia="Arial" w:hAnsi="Arial"/>
          <w:sz w:val="18"/>
          <w:szCs w:val="18"/>
          <w:color w:val="auto"/>
        </w:rPr>
        <w:t>Based solely on our review of these forms and written representations received from certain reporting persons, we believe that, except as stated in the paragraph below, during 2018 all of our executive officers, directors, and greater than 10% shareholders complied with all Section 16(a) filing requirements applicable to them.</w:t>
      </w:r>
    </w:p>
    <w:p>
      <w:pPr>
        <w:spacing w:after="0" w:line="162" w:lineRule="exact"/>
        <w:rPr>
          <w:sz w:val="20"/>
          <w:szCs w:val="20"/>
          <w:color w:val="auto"/>
        </w:rPr>
      </w:pPr>
    </w:p>
    <w:p>
      <w:pPr>
        <w:ind w:left="200" w:right="40"/>
        <w:spacing w:after="0"/>
        <w:rPr>
          <w:sz w:val="20"/>
          <w:szCs w:val="20"/>
          <w:color w:val="auto"/>
        </w:rPr>
      </w:pPr>
      <w:r>
        <w:rPr>
          <w:rFonts w:ascii="Arial" w:cs="Arial" w:eastAsia="Arial" w:hAnsi="Arial"/>
          <w:sz w:val="18"/>
          <w:szCs w:val="18"/>
          <w:color w:val="auto"/>
        </w:rPr>
        <w:t>The Company inadvertently failed to timely report a grant by the Company to Joan S. Hooper, the Company’s Senior Vice President, Chief Financial Officer made on February 22, 2018 of 3,607 shares of common stock and 10,058 options for common stock, both subject to a three-year vesting schedule. The grant of the award was subsequently reported on a Form 4 that was filed on December 17, 2018.</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 OF SHAREHOLDERS OF RECORD</w:t>
      </w:r>
    </w:p>
    <w:p>
      <w:pPr>
        <w:spacing w:after="0" w:line="193"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A list of shareholders of record entitled to vote at the Annual Meeting will be available at the Annual Meeting and will also be available ten days prior to the annual meeting between the hours of 9:00 a.m. and 4:00 p.m., Pacific time, at the office of the Corporate Secretary, Itron, Inc., 2111 N. Molter Road, Liberty Lake, Washington 99019. A shareholder may examine the list for any legally valid purpose related to the annual meeting.</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ANNUAL REPORT AND FINANCIAL STATEMENTS</w:t>
      </w:r>
    </w:p>
    <w:p>
      <w:pPr>
        <w:spacing w:after="0" w:line="207" w:lineRule="exact"/>
        <w:rPr>
          <w:sz w:val="20"/>
          <w:szCs w:val="20"/>
          <w:color w:val="auto"/>
        </w:rPr>
      </w:pPr>
    </w:p>
    <w:p>
      <w:pPr>
        <w:jc w:val="both"/>
        <w:ind w:left="200" w:right="560"/>
        <w:spacing w:after="0"/>
        <w:rPr>
          <w:sz w:val="20"/>
          <w:szCs w:val="20"/>
          <w:color w:val="auto"/>
        </w:rPr>
      </w:pPr>
      <w:r>
        <w:rPr>
          <w:rFonts w:ascii="Arial" w:cs="Arial" w:eastAsia="Arial" w:hAnsi="Arial"/>
          <w:sz w:val="18"/>
          <w:szCs w:val="18"/>
          <w:color w:val="auto"/>
        </w:rPr>
        <w:t xml:space="preserve">A copy of our 2018 Annual Report to Shareholders, which includes our financial statements for the year ended December 31, 2018, accompanies this proxy statement. In addition, you may view the Annual Report and this proxy statement on our Company website, </w:t>
      </w:r>
      <w:r>
        <w:rPr>
          <w:rFonts w:ascii="Arial" w:cs="Arial" w:eastAsia="Arial" w:hAnsi="Arial"/>
          <w:sz w:val="18"/>
          <w:szCs w:val="18"/>
          <w:i w:val="1"/>
          <w:iCs w:val="1"/>
          <w:color w:val="auto"/>
        </w:rPr>
        <w:t>www.itron.com</w:t>
      </w:r>
      <w:r>
        <w:rPr>
          <w:rFonts w:ascii="Arial" w:cs="Arial" w:eastAsia="Arial" w:hAnsi="Arial"/>
          <w:sz w:val="18"/>
          <w:szCs w:val="18"/>
          <w:color w:val="auto"/>
        </w:rPr>
        <w:t>, by selecting “Investors” and then “Financials and Filings.”</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SHAREHOLDER PROPOSALS FOR THE 2020 ANNUAL MEETING</w:t>
      </w:r>
    </w:p>
    <w:p>
      <w:pPr>
        <w:spacing w:after="0" w:line="193"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Under the SEC’s proxy rules, shareholder proposals that meet specified conditions must be included in our proxy statement and proxy for the 2020 annual meeting. Under Exchange Act Rules 14a-5(e) and 14a-8(e), shareholders that intend to present a proposal at our 2020 annual meeting must give us written notice of the proposal not later than November 30, 2019 for the proposal to be considered for inclusion in our proxy materials for that meeting. In addition, shareholders who wish to submit nominations for the election of directors or proposals that will not be included in our proxy materials must do so in accordance with the advance notice provisions and other applicable requirements set forth in our Amended and Restated Bylaws. Our Amended and Restated Bylaws provide that the notice of proposals to be considered at our annual meeting must be received by Itron at least 90 days and not</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more than 120 days prior to the anniversary date of the prior year’s annual meeting, and that the notice of nominations for election of directors must be received at least 60 days and not more than 90 days prior to the date of our annual meeting (or if less than 60 days’ notice or prior public disclosure of the date of such annual meeting is given or made to the shareholders, not later than the tenth day following the day on which notice of the date of the annual meeting was mailed or public disclosure was made). Shareholders who intend to present proposals at the 2020 annual meeting that will not be included in our proxy materials must provide to our Corporate Secretary written notice of the business they wish to propose not later than February 9, 2020 and no sooner than January 10, 2020. Our timely receipt of a proposal by a qualified shareholder will not guarantee the proposal’s inclusion in our proxy materials or presentation at the 2020 annual meeting, because there are other requirements in the proxy rules. We reserve the right to reject, rule out of order, or take other appropriate action with respect to any proposal that does not comply with all applicable requirements of the SEC’s proxy rules, state law, and our Amended and Restated Bylaws.</w:t>
      </w:r>
    </w:p>
    <w:p>
      <w:pPr>
        <w:spacing w:after="0" w:line="180" w:lineRule="exact"/>
        <w:rPr>
          <w:sz w:val="20"/>
          <w:szCs w:val="20"/>
          <w:color w:val="auto"/>
        </w:rPr>
      </w:pPr>
    </w:p>
    <w:p>
      <w:pPr>
        <w:ind w:left="200" w:right="480"/>
        <w:spacing w:after="0" w:line="246" w:lineRule="auto"/>
        <w:rPr>
          <w:sz w:val="20"/>
          <w:szCs w:val="20"/>
          <w:color w:val="auto"/>
        </w:rPr>
      </w:pPr>
      <w:r>
        <w:rPr>
          <w:rFonts w:ascii="Arial" w:cs="Arial" w:eastAsia="Arial" w:hAnsi="Arial"/>
          <w:sz w:val="18"/>
          <w:szCs w:val="18"/>
          <w:color w:val="auto"/>
        </w:rPr>
        <w:t>Shareholder proposals should be directed to the attention of our Corporate Secretary, Itron, Inc., 2111 N. Molter Road, Liberty Lake, Washington 99019.</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INFORMATION</w:t>
      </w:r>
    </w:p>
    <w:p>
      <w:pPr>
        <w:spacing w:after="0" w:line="193"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 xml:space="preserve">We make available, free of charge, copies of our filings with the SEC, including this proxy statement and our Annual Report to Shareholders, upon the request of shareholders. The documents are also available for downloading or printing by going to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and selecting “Investors” and then “Investor Relations - Financial Information.” Shareholders may submit a request for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printed copies by e-mail through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by selecting “Investors” and then “Contact Investor Relations” or by mail to the following address:</w:t>
      </w:r>
    </w:p>
    <w:p>
      <w:pPr>
        <w:spacing w:after="0" w:line="1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Itron, Inc. – Attention: Investor Relations</w:t>
      </w:r>
    </w:p>
    <w:p>
      <w:pPr>
        <w:jc w:val="center"/>
        <w:ind w:right="-259"/>
        <w:spacing w:after="0"/>
        <w:rPr>
          <w:sz w:val="20"/>
          <w:szCs w:val="20"/>
          <w:color w:val="auto"/>
        </w:rPr>
      </w:pPr>
      <w:r>
        <w:rPr>
          <w:rFonts w:ascii="Arial" w:cs="Arial" w:eastAsia="Arial" w:hAnsi="Arial"/>
          <w:sz w:val="18"/>
          <w:szCs w:val="18"/>
          <w:color w:val="auto"/>
        </w:rPr>
        <w:t>2111 N. Molter Road</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Liberty Lake, Washington 99019</w:t>
      </w:r>
    </w:p>
    <w:p>
      <w:pPr>
        <w:spacing w:after="0" w:line="14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60"/>
          </w:cols>
          <w:pgMar w:left="240" w:top="459" w:right="49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6106160" cy="72891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106160" cy="72891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70" w:name="page71"/>
    <w:bookmarkEnd w:id="7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220345</wp:posOffset>
            </wp:positionV>
            <wp:extent cx="5848985" cy="72034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848985" cy="720344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71" w:name="page72"/>
    <w:bookmarkEnd w:id="7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220345</wp:posOffset>
            </wp:positionV>
            <wp:extent cx="5831840" cy="32073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831840" cy="320738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72" w:name="page73"/>
    <w:bookmarkEnd w:id="7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5848985" cy="72034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848985" cy="720344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73" w:name="page74"/>
    <w:bookmarkEnd w:id="7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220345</wp:posOffset>
            </wp:positionV>
            <wp:extent cx="5754370" cy="72034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754370" cy="720344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74" w:name="page75"/>
    <w:bookmarkEnd w:id="7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90989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031990" cy="90989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75" w:name="page76"/>
    <w:bookmarkEnd w:id="7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90989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031990" cy="909891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lvl w:ilvl="1">
      <w:lvlJc w:val="left"/>
      <w:lvlText w:val="(%2)"/>
      <w:numFmt w:val="decimal"/>
      <w:start w:val="1"/>
    </w:lvl>
  </w:abstractNum>
  <w:abstractNum w:abstractNumId="5">
    <w:nsid w:val="580BD78F"/>
    <w:multiLevelType w:val="hybridMultilevel"/>
    <w:lvl w:ilvl="0">
      <w:lvlJc w:val="left"/>
      <w:lvlText w:val="(%1)"/>
      <w:numFmt w:val="decimal"/>
      <w:start w:val="1"/>
    </w:lvl>
  </w:abstractNum>
  <w:abstractNum w:abstractNumId="6">
    <w:nsid w:val="153EA438"/>
    <w:multiLevelType w:val="hybridMultilevel"/>
    <w:lvl w:ilvl="0">
      <w:lvlJc w:val="left"/>
      <w:lvlText w:val="%1."/>
      <w:numFmt w:val="decimal"/>
      <w:start w:val="1"/>
    </w:lvl>
  </w:abstractNum>
  <w:abstractNum w:abstractNumId="7">
    <w:nsid w:val="3855585C"/>
    <w:multiLevelType w:val="hybridMultilevel"/>
    <w:lvl w:ilvl="0">
      <w:lvlJc w:val="left"/>
      <w:lvlText w:val=" "/>
      <w:numFmt w:val="bullet"/>
      <w:start w:val="1"/>
    </w:lvl>
  </w:abstractNum>
  <w:abstractNum w:abstractNumId="8">
    <w:nsid w:val="70A64E2A"/>
    <w:multiLevelType w:val="hybridMultilevel"/>
    <w:lvl w:ilvl="0">
      <w:lvlJc w:val="left"/>
      <w:lvlText w:val="(%1)"/>
      <w:numFmt w:val="decimal"/>
      <w:start w:val="1"/>
    </w:lvl>
  </w:abstractNum>
  <w:abstractNum w:abstractNumId="9">
    <w:nsid w:val="6A2342EC"/>
    <w:multiLevelType w:val="hybridMultilevel"/>
    <w:lvl w:ilvl="0">
      <w:lvlJc w:val="left"/>
      <w:lvlText w:val="%1)"/>
      <w:numFmt w:val="decimal"/>
      <w:start w:val="1"/>
    </w:lvl>
  </w:abstractNum>
  <w:abstractNum w:abstractNumId="10">
    <w:nsid w:val="2A487CB0"/>
    <w:multiLevelType w:val="hybridMultilevel"/>
    <w:lvl w:ilvl="0">
      <w:lvlJc w:val="left"/>
      <w:lvlText w:val=" "/>
      <w:numFmt w:val="bullet"/>
      <w:start w:val="1"/>
    </w:lvl>
  </w:abstractNum>
  <w:abstractNum w:abstractNumId="11">
    <w:nsid w:val="1D4ED43B"/>
    <w:multiLevelType w:val="hybridMultilevel"/>
    <w:lvl w:ilvl="0">
      <w:lvlJc w:val="left"/>
      <w:lvlText w:val="(%1)"/>
      <w:numFmt w:val="decimal"/>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1)"/>
      <w:numFmt w:val="decimal"/>
      <w:start w:val="1"/>
    </w:lvl>
  </w:abstractNum>
  <w:abstractNum w:abstractNumId="14">
    <w:nsid w:val="57E4CCAF"/>
    <w:multiLevelType w:val="hybridMultilevel"/>
    <w:lvl w:ilvl="0">
      <w:lvlJc w:val="left"/>
      <w:lvlText w:val="(%1)"/>
      <w:numFmt w:val="decimal"/>
      <w:start w:val="16"/>
    </w:lvl>
  </w:abstractNum>
  <w:abstractNum w:abstractNumId="15">
    <w:nsid w:val="7A6D8D3C"/>
    <w:multiLevelType w:val="hybridMultilevel"/>
    <w:lvl w:ilvl="0">
      <w:lvlJc w:val="left"/>
      <w:lvlText w:val=" "/>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1)"/>
      <w:numFmt w:val="lowerLetter"/>
      <w:start w:val="13"/>
    </w:lvl>
  </w:abstractNum>
  <w:abstractNum w:abstractNumId="18">
    <w:nsid w:val="6DE91B18"/>
    <w:multiLevelType w:val="hybridMultilevel"/>
    <w:lvl w:ilvl="0">
      <w:lvlJc w:val="left"/>
      <w:lvlText w:val="(%1)"/>
      <w:numFmt w:val="lowerRoman"/>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
      <w:numFmt w:val="bullet"/>
      <w:start w:val="1"/>
    </w:lvl>
  </w:abstractNum>
  <w:abstractNum w:abstractNumId="24">
    <w:nsid w:val="749ABB43"/>
    <w:multiLevelType w:val="hybridMultilevel"/>
    <w:lvl w:ilvl="0">
      <w:lvlJc w:val="left"/>
      <w:lvlText w:val="(%1)"/>
      <w:numFmt w:val="decimal"/>
      <w:start w:val="1"/>
    </w:lvl>
    <w:lvl w:ilvl="1">
      <w:lvlJc w:val="left"/>
      <w:lvlText w:val=" "/>
      <w:numFmt w:val="bullet"/>
      <w:start w:val="1"/>
    </w:lvl>
  </w:abstractNum>
  <w:abstractNum w:abstractNumId="25">
    <w:nsid w:val="3DC240FB"/>
    <w:multiLevelType w:val="hybridMultilevel"/>
    <w:lvl w:ilvl="0">
      <w:lvlJc w:val="left"/>
      <w:lvlText w:val=" "/>
      <w:numFmt w:val="bullet"/>
      <w:start w:val="1"/>
    </w:lvl>
  </w:abstractNum>
  <w:abstractNum w:abstractNumId="26">
    <w:nsid w:val="1BA026FA"/>
    <w:multiLevelType w:val="hybridMultilevel"/>
    <w:lvl w:ilvl="0">
      <w:lvlJc w:val="left"/>
      <w:lvlText w:val=" "/>
      <w:numFmt w:val="bullet"/>
      <w:start w:val="1"/>
    </w:lvl>
  </w:abstractNum>
  <w:abstractNum w:abstractNumId="27">
    <w:nsid w:val="79A1DEAA"/>
    <w:multiLevelType w:val="hybridMultilevel"/>
    <w:lvl w:ilvl="0">
      <w:lvlJc w:val="left"/>
      <w:lvlText w:val=" "/>
      <w:numFmt w:val="bullet"/>
      <w:start w:val="1"/>
    </w:lvl>
  </w:abstractNum>
  <w:abstractNum w:abstractNumId="28">
    <w:nsid w:val="75C6C33A"/>
    <w:multiLevelType w:val="hybridMultilevel"/>
    <w:lvl w:ilvl="0">
      <w:lvlJc w:val="left"/>
      <w:lvlText w:val=" "/>
      <w:numFmt w:val="bullet"/>
      <w:start w:val="1"/>
    </w:lvl>
  </w:abstractNum>
  <w:abstractNum w:abstractNumId="29">
    <w:nsid w:val="12E685FB"/>
    <w:multiLevelType w:val="hybridMultilevel"/>
    <w:lvl w:ilvl="0">
      <w:lvlJc w:val="left"/>
      <w:lvlText w:val=" "/>
      <w:numFmt w:val="bullet"/>
      <w:start w:val="1"/>
    </w:lvl>
  </w:abstractNum>
  <w:abstractNum w:abstractNumId="30">
    <w:nsid w:val="70C6A529"/>
    <w:multiLevelType w:val="hybridMultilevel"/>
    <w:lvl w:ilvl="0">
      <w:lvlJc w:val="left"/>
      <w:lvlText w:val=" "/>
      <w:numFmt w:val="bullet"/>
      <w:start w:val="1"/>
    </w:lvl>
  </w:abstractNum>
  <w:abstractNum w:abstractNumId="31">
    <w:nsid w:val="520EEDD1"/>
    <w:multiLevelType w:val="hybridMultilevel"/>
    <w:lvl w:ilvl="0">
      <w:lvlJc w:val="left"/>
      <w:lvlText w:val=" "/>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 "/>
      <w:numFmt w:val="bullet"/>
      <w:start w:val="1"/>
    </w:lvl>
  </w:abstractNum>
  <w:abstractNum w:abstractNumId="44">
    <w:nsid w:val="741226BB"/>
    <w:multiLevelType w:val="hybridMultilevel"/>
    <w:lvl w:ilvl="0">
      <w:lvlJc w:val="left"/>
      <w:lvlText w:val=" "/>
      <w:numFmt w:val="bullet"/>
      <w:start w:val="1"/>
    </w:lvl>
  </w:abstractNum>
  <w:abstractNum w:abstractNumId="45">
    <w:nsid w:val="D34B6A8"/>
    <w:multiLevelType w:val="hybridMultilevel"/>
    <w:lvl w:ilvl="0">
      <w:lvlJc w:val="left"/>
      <w:lvlText w:val="(%1)"/>
      <w:numFmt w:val="decimal"/>
      <w:start w:val="1"/>
    </w:lvl>
  </w:abstractNum>
  <w:abstractNum w:abstractNumId="46">
    <w:nsid w:val="10233C99"/>
    <w:multiLevelType w:val="hybridMultilevel"/>
    <w:lvl w:ilvl="0">
      <w:lvlJc w:val="left"/>
      <w:lvlText w:val="(%1)"/>
      <w:numFmt w:val="decimal"/>
      <w:start w:val="3"/>
    </w:lvl>
  </w:abstractNum>
  <w:abstractNum w:abstractNumId="47">
    <w:nsid w:val="3F6AB60F"/>
    <w:multiLevelType w:val="hybridMultilevel"/>
    <w:lvl w:ilvl="0">
      <w:lvlJc w:val="left"/>
      <w:lvlText w:val="(%1)"/>
      <w:numFmt w:val="decimal"/>
      <w:start w:val="1"/>
    </w:lvl>
  </w:abstractNum>
  <w:abstractNum w:abstractNumId="48">
    <w:nsid w:val="61574095"/>
    <w:multiLevelType w:val="hybridMultilevel"/>
    <w:lvl w:ilvl="0">
      <w:lvlJc w:val="left"/>
      <w:lvlText w:val="(%1)"/>
      <w:numFmt w:val="decimal"/>
      <w:start w:val="1"/>
    </w:lvl>
  </w:abstractNum>
  <w:abstractNum w:abstractNumId="49">
    <w:nsid w:val="7E0C57B1"/>
    <w:multiLevelType w:val="hybridMultilevel"/>
    <w:lvl w:ilvl="0">
      <w:lvlJc w:val="left"/>
      <w:lvlText w:val="(%1)"/>
      <w:numFmt w:val="decimal"/>
      <w:start w:val="3"/>
    </w:lvl>
  </w:abstractNum>
  <w:abstractNum w:abstractNumId="50">
    <w:nsid w:val="77AE35EB"/>
    <w:multiLevelType w:val="hybridMultilevel"/>
    <w:lvl w:ilvl="0">
      <w:lvlJc w:val="left"/>
      <w:lvlText w:val="(%1)"/>
      <w:numFmt w:val="decimal"/>
      <w:start w:val="1"/>
    </w:lvl>
  </w:abstractNum>
  <w:abstractNum w:abstractNumId="51">
    <w:nsid w:val="579BE4F1"/>
    <w:multiLevelType w:val="hybridMultilevel"/>
    <w:lvl w:ilvl="0">
      <w:lvlJc w:val="left"/>
      <w:lvlText w:val="(%1)"/>
      <w:numFmt w:val="decimal"/>
      <w:start w:val="1"/>
    </w:lvl>
  </w:abstractNum>
  <w:abstractNum w:abstractNumId="52">
    <w:nsid w:val="310C50B3"/>
    <w:multiLevelType w:val="hybridMultilevel"/>
    <w:lvl w:ilvl="0">
      <w:lvlJc w:val="left"/>
      <w:lvlText w:val="(%1)"/>
      <w:numFmt w:val="decimal"/>
      <w:start w:val="1"/>
    </w:lvl>
  </w:abstractNum>
  <w:abstractNum w:abstractNumId="53">
    <w:nsid w:val="5FF87E05"/>
    <w:multiLevelType w:val="hybridMultilevel"/>
    <w:lvl w:ilvl="0">
      <w:lvlJc w:val="left"/>
      <w:lvlText w:val="(%1)"/>
      <w:numFmt w:val="decimal"/>
      <w:start w:val="2"/>
    </w:lvl>
  </w:abstractNum>
  <w:abstractNum w:abstractNumId="54">
    <w:nsid w:val="2F305DEF"/>
    <w:multiLevelType w:val="hybridMultilevel"/>
    <w:lvl w:ilvl="0">
      <w:lvlJc w:val="left"/>
      <w:lvlText w:val=" "/>
      <w:numFmt w:val="bullet"/>
      <w:start w:val="1"/>
    </w:lvl>
  </w:abstractNum>
  <w:abstractNum w:abstractNumId="55">
    <w:nsid w:val="25A70BF7"/>
    <w:multiLevelType w:val="hybridMultilevel"/>
    <w:lvl w:ilvl="0">
      <w:lvlJc w:val="left"/>
      <w:lvlText w:val=" "/>
      <w:numFmt w:val="bullet"/>
      <w:start w:val="1"/>
    </w:lvl>
  </w:abstractNum>
  <w:abstractNum w:abstractNumId="56">
    <w:nsid w:val="1DBABF00"/>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57">
    <w:nsid w:val="4AD084E9"/>
    <w:multiLevelType w:val="hybridMultilevel"/>
    <w:lvl w:ilvl="0">
      <w:lvlJc w:val="left"/>
      <w:lvlText w:val=" "/>
      <w:numFmt w:val="bullet"/>
      <w:start w:val="1"/>
    </w:lvl>
  </w:abstractNum>
  <w:abstractNum w:abstractNumId="58">
    <w:nsid w:val="1F48EAA1"/>
    <w:multiLevelType w:val="hybridMultilevel"/>
    <w:lvl w:ilvl="0">
      <w:lvlJc w:val="left"/>
      <w:lvlText w:val="(%1)"/>
      <w:numFmt w:val="decimal"/>
      <w:start w:val="1"/>
    </w:lvl>
  </w:abstractNum>
  <w:abstractNum w:abstractNumId="59">
    <w:nsid w:val="1381823A"/>
    <w:multiLevelType w:val="hybridMultilevel"/>
    <w:lvl w:ilvl="0">
      <w:lvlJc w:val="left"/>
      <w:lvlText w:val="(%1)"/>
      <w:numFmt w:val="decimal"/>
      <w:start w:val="6"/>
    </w:lvl>
  </w:abstractNum>
  <w:abstractNum w:abstractNumId="60">
    <w:nsid w:val="5DB70AE5"/>
    <w:multiLevelType w:val="hybridMultilevel"/>
    <w:lvl w:ilvl="0">
      <w:lvlJc w:val="left"/>
      <w:lvlText w:val="(%1)"/>
      <w:numFmt w:val="decimal"/>
      <w:start w:val="1"/>
    </w:lvl>
  </w:abstractNum>
  <w:abstractNum w:abstractNumId="61">
    <w:nsid w:val="100F8FCA"/>
    <w:multiLevelType w:val="hybridMultilevel"/>
    <w:lvl w:ilvl="0">
      <w:lvlJc w:val="left"/>
      <w:lvlText w:val="(%1)"/>
      <w:numFmt w:val="decimal"/>
      <w:start w:val="4"/>
    </w:lvl>
  </w:abstractNum>
  <w:abstractNum w:abstractNumId="62">
    <w:nsid w:val="6590700B"/>
    <w:multiLevelType w:val="hybridMultilevel"/>
    <w:lvl w:ilvl="0">
      <w:lvlJc w:val="left"/>
      <w:lvlText w:val="(%1)"/>
      <w:numFmt w:val="decimal"/>
      <w:start w:val="1"/>
    </w:lvl>
  </w:abstractNum>
  <w:abstractNum w:abstractNumId="63">
    <w:nsid w:val="15014ACB"/>
    <w:multiLevelType w:val="hybridMultilevel"/>
    <w:lvl w:ilvl="0">
      <w:lvlJc w:val="left"/>
      <w:lvlText w:val="(%1)"/>
      <w:numFmt w:val="decimal"/>
      <w:start w:val="4"/>
    </w:lvl>
  </w:abstractNum>
  <w:abstractNum w:abstractNumId="64">
    <w:nsid w:val="5F5E7FD0"/>
    <w:multiLevelType w:val="hybridMultilevel"/>
    <w:lvl w:ilvl="0">
      <w:lvlJc w:val="left"/>
      <w:lvlText w:val="(%1)"/>
      <w:numFmt w:val="decimal"/>
      <w:start w:val="1"/>
    </w:lvl>
  </w:abstractNum>
  <w:abstractNum w:abstractNumId="65">
    <w:nsid w:val="98A3148"/>
    <w:multiLevelType w:val="hybridMultilevel"/>
    <w:lvl w:ilvl="0">
      <w:lvlJc w:val="left"/>
      <w:lvlText w:val="(%1)"/>
      <w:numFmt w:val="decimal"/>
      <w:start w:val="2"/>
    </w:lvl>
  </w:abstractNum>
  <w:abstractNum w:abstractNumId="66">
    <w:nsid w:val="799D0247"/>
    <w:multiLevelType w:val="hybridMultilevel"/>
    <w:lvl w:ilvl="0">
      <w:lvlJc w:val="left"/>
      <w:lvlText w:val="(%1)"/>
      <w:numFmt w:val="decimal"/>
      <w:start w:val="1"/>
    </w:lvl>
  </w:abstractNum>
  <w:abstractNum w:abstractNumId="67">
    <w:nsid w:val="6B94764"/>
    <w:multiLevelType w:val="hybridMultilevel"/>
    <w:lvl w:ilvl="0">
      <w:lvlJc w:val="left"/>
      <w:lvlText w:val="(%1)"/>
      <w:numFmt w:val="decimal"/>
      <w:start w:val="4"/>
    </w:lvl>
  </w:abstractNum>
  <w:abstractNum w:abstractNumId="68">
    <w:nsid w:val="42C296BD"/>
    <w:multiLevelType w:val="hybridMultilevel"/>
    <w:lvl w:ilvl="0">
      <w:lvlJc w:val="left"/>
      <w:lvlText w:val="(%1)"/>
      <w:numFmt w:val="decimal"/>
      <w:start w:val="1"/>
    </w:lvl>
  </w:abstractNum>
  <w:abstractNum w:abstractNumId="69">
    <w:nsid w:val="168E121F"/>
    <w:multiLevelType w:val="hybridMultilevel"/>
    <w:lvl w:ilvl="0">
      <w:lvlJc w:val="left"/>
      <w:lvlText w:val="(%1)"/>
      <w:numFmt w:val="decimal"/>
      <w:start w:val="1"/>
    </w:lvl>
  </w:abstractNum>
  <w:abstractNum w:abstractNumId="70">
    <w:nsid w:val="1EBA5D23"/>
    <w:multiLevelType w:val="hybridMultilevel"/>
    <w:lvl w:ilvl="0">
      <w:lvlJc w:val="left"/>
      <w:lvlText w:val="(%1)"/>
      <w:numFmt w:val="decimal"/>
      <w:start w:val="1"/>
    </w:lvl>
  </w:abstractNum>
  <w:abstractNum w:abstractNumId="71">
    <w:nsid w:val="661E3F1E"/>
    <w:multiLevelType w:val="hybridMultilevel"/>
    <w:lvl w:ilvl="0">
      <w:lvlJc w:val="left"/>
      <w:lvlText w:val="*"/>
      <w:numFmt w:val="bullet"/>
      <w:start w:val="1"/>
    </w:lvl>
  </w:abstractNum>
  <w:abstractNum w:abstractNumId="72">
    <w:nsid w:val="5DC79EA8"/>
    <w:multiLevelType w:val="hybridMultilevel"/>
    <w:lvl w:ilvl="0">
      <w:lvlJc w:val="left"/>
      <w:lvlText w:val="(%1)"/>
      <w:numFmt w:val="decimal"/>
      <w:start w:val="1"/>
    </w:lvl>
  </w:abstractNum>
  <w:abstractNum w:abstractNumId="73">
    <w:nsid w:val="540A471C"/>
    <w:multiLevelType w:val="hybridMultilevel"/>
    <w:lvl w:ilvl="0">
      <w:lvlJc w:val="left"/>
      <w:lvlText w:val="(%1)"/>
      <w:numFmt w:val="decimal"/>
      <w:start w:val="9"/>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2019-12-03T21:32:55Z</dcterms:created>
  <dcterms:modified xsi:type="dcterms:W3CDTF">2019-12-03T21:32:55Z</dcterms:modified>
</cp:coreProperties>
</file>