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____________________________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March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31115</wp:posOffset>
            </wp:positionV>
            <wp:extent cx="2126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456565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4.01 (b)</w:t>
      </w:r>
      <w:r>
        <w:rPr>
          <w:sz w:val="20"/>
          <w:szCs w:val="20"/>
          <w:color w:val="auto"/>
        </w:rPr>
        <w:tab/>
      </w:r>
      <w:r>
        <w:rPr>
          <w:rFonts w:ascii="Arial" w:cs="Arial" w:eastAsia="Arial" w:hAnsi="Arial"/>
          <w:sz w:val="16"/>
          <w:szCs w:val="16"/>
          <w:b w:val="1"/>
          <w:bCs w:val="1"/>
          <w:color w:val="auto"/>
        </w:rPr>
        <w:t>Changes in Registrant’s Certifying Accountant.</w:t>
      </w:r>
    </w:p>
    <w:p>
      <w:pPr>
        <w:sectPr>
          <w:pgSz w:w="11900" w:h="16838" w:orient="portrait"/>
          <w:cols w:equalWidth="0" w:num="1">
            <w:col w:w="11420"/>
          </w:cols>
          <w:pgMar w:left="240" w:top="234" w:right="239" w:bottom="1440" w:gutter="0" w:footer="0" w:header="0"/>
        </w:sectPr>
      </w:pPr>
    </w:p>
    <w:bookmarkStart w:id="1" w:name="page2"/>
    <w:bookmarkEnd w:id="1"/>
    <w:p>
      <w:pPr>
        <w:jc w:val="both"/>
        <w:spacing w:after="0" w:line="246" w:lineRule="auto"/>
        <w:rPr>
          <w:sz w:val="20"/>
          <w:szCs w:val="20"/>
          <w:color w:val="auto"/>
        </w:rPr>
      </w:pPr>
      <w:r>
        <w:rPr>
          <w:rFonts w:ascii="Arial" w:cs="Arial" w:eastAsia="Arial" w:hAnsi="Arial"/>
          <w:sz w:val="20"/>
          <w:szCs w:val="20"/>
          <w:color w:val="auto"/>
        </w:rPr>
        <w:t>As previously reported in the Current Report on Form 8-K, dated September 11, 2015, the Audit/Finance Committee of the Board of Directors and the management of Itron, Inc. (Itron or the Company) approved the appointment of Deloitte &amp; Touche LLP (Deloitte) as the Company’s independent registered public accounting firm for the year ending December 31, 2016. The appointment was subject to completion by Deloitte of its customary client acceptance procedures.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March 11, 2016, Deloitte was formally engaged as the Company’s independent registered public accounting firm for the year ending December 31, 2016.</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During the years ended December 31, 2015, 2014, and 2013 and during the interim period through March 11, 2016, neither the Company nor anyone on its behalf has consulted with Deloitte (1) on any matter regarding the application of accounting principles to a specified transaction, either completed or proposed, or the type of audit opinion that might be rendered on Itron’s financial statements, and neither a written report nor oral advice was provided to Itron that Deloitte concluded was an important factor considered by Itron in reaching a decision as to the accounting, auditing, or financial reporting issue, (2) on any matter that would have been the subject of a disagreement, as defined by Item 304(a)(1)(iv) of Regulation S-K or (3) on any matter that would have been a reportable event, as defined by Item 304(a)(1)(v) of Regulation S-K.</w:t>
      </w:r>
    </w:p>
    <w:p>
      <w:pPr>
        <w:sectPr>
          <w:pgSz w:w="11900" w:h="16838" w:orient="portrait"/>
          <w:cols w:equalWidth="0" w:num="1">
            <w:col w:w="11420"/>
          </w:cols>
          <w:pgMar w:left="240" w:top="352"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tbl>
      <w:tblPr>
        <w:tblLayout w:type="fixed"/>
        <w:tblInd w:w="1120" w:type="dxa"/>
        <w:tblCellMar>
          <w:top w:w="0" w:type="dxa"/>
          <w:left w:w="0" w:type="dxa"/>
          <w:bottom w:w="0" w:type="dxa"/>
          <w:right w:w="0" w:type="dxa"/>
        </w:tblCellMar>
      </w:tblPr>
      <w:tr>
        <w:trPr>
          <w:trHeight w:val="250"/>
        </w:trPr>
        <w:tc>
          <w:tcPr>
            <w:tcW w:w="4460" w:type="dxa"/>
            <w:vAlign w:val="bottom"/>
            <w:gridSpan w:val="2"/>
          </w:tcPr>
          <w:p>
            <w:pPr>
              <w:ind w:left="3340"/>
              <w:spacing w:after="0"/>
              <w:rPr>
                <w:sz w:val="20"/>
                <w:szCs w:val="20"/>
                <w:color w:val="auto"/>
              </w:rPr>
            </w:pPr>
            <w:r>
              <w:rPr>
                <w:rFonts w:ascii="Arial" w:cs="Arial" w:eastAsia="Arial" w:hAnsi="Arial"/>
                <w:sz w:val="20"/>
                <w:szCs w:val="20"/>
                <w:color w:val="auto"/>
                <w:w w:val="97"/>
              </w:rPr>
              <w:t>ITRON, INC.</w:t>
            </w:r>
          </w:p>
        </w:tc>
        <w:tc>
          <w:tcPr>
            <w:tcW w:w="4740" w:type="dxa"/>
            <w:vAlign w:val="bottom"/>
          </w:tcPr>
          <w:p>
            <w:pPr>
              <w:spacing w:after="0"/>
              <w:rPr>
                <w:sz w:val="21"/>
                <w:szCs w:val="21"/>
                <w:color w:val="auto"/>
              </w:rPr>
            </w:pPr>
          </w:p>
        </w:tc>
      </w:tr>
      <w:tr>
        <w:trPr>
          <w:trHeight w:val="608"/>
        </w:trPr>
        <w:tc>
          <w:tcPr>
            <w:tcW w:w="4460" w:type="dxa"/>
            <w:vAlign w:val="bottom"/>
            <w:gridSpan w:val="2"/>
          </w:tcPr>
          <w:p>
            <w:pPr>
              <w:ind w:left="3340"/>
              <w:spacing w:after="0"/>
              <w:rPr>
                <w:sz w:val="20"/>
                <w:szCs w:val="20"/>
                <w:color w:val="auto"/>
              </w:rPr>
            </w:pPr>
            <w:r>
              <w:rPr>
                <w:rFonts w:ascii="Arial" w:cs="Arial" w:eastAsia="Arial" w:hAnsi="Arial"/>
                <w:sz w:val="18"/>
                <w:szCs w:val="18"/>
                <w:color w:val="auto"/>
              </w:rPr>
              <w:t>By:</w:t>
            </w: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6"/>
              </w:rPr>
              <w:t>/s/ W. MARK SCHMITZ</w:t>
            </w:r>
          </w:p>
        </w:tc>
      </w:tr>
      <w:tr>
        <w:trPr>
          <w:trHeight w:val="23"/>
        </w:trPr>
        <w:tc>
          <w:tcPr>
            <w:tcW w:w="39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254"/>
        </w:trPr>
        <w:tc>
          <w:tcPr>
            <w:tcW w:w="4460" w:type="dxa"/>
            <w:vAlign w:val="bottom"/>
            <w:gridSpan w:val="2"/>
          </w:tcPr>
          <w:p>
            <w:pPr>
              <w:spacing w:after="0"/>
              <w:rPr>
                <w:sz w:val="20"/>
                <w:szCs w:val="20"/>
                <w:color w:val="auto"/>
              </w:rPr>
            </w:pPr>
            <w:r>
              <w:rPr>
                <w:rFonts w:ascii="Arial" w:cs="Arial" w:eastAsia="Arial" w:hAnsi="Arial"/>
                <w:sz w:val="20"/>
                <w:szCs w:val="20"/>
                <w:color w:val="auto"/>
              </w:rPr>
              <w:t>Dated: March 11, 2016</w:t>
            </w: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1"/>
              </w:rPr>
              <w:t>W. Mark Schmitz</w:t>
            </w:r>
          </w:p>
        </w:tc>
      </w:tr>
      <w:tr>
        <w:trPr>
          <w:trHeight w:val="284"/>
        </w:trPr>
        <w:tc>
          <w:tcPr>
            <w:tcW w:w="3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1" w:lineRule="exact"/>
        <w:rPr>
          <w:sz w:val="20"/>
          <w:szCs w:val="20"/>
          <w:color w:val="auto"/>
        </w:rPr>
      </w:pPr>
    </w:p>
    <w:sectPr>
      <w:pgSz w:w="11900" w:h="16838" w:orient="portrait"/>
      <w:cols w:equalWidth="0" w:num="1">
        <w:col w:w="11300"/>
      </w:cols>
      <w:pgMar w:left="240" w:top="11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2019-12-05T17:35:02Z</dcterms:created>
  <dcterms:modified xsi:type="dcterms:W3CDTF">2019-12-05T17:35:02Z</dcterms:modified>
</cp:coreProperties>
</file>