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9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2740" w:space="560"/>
            <w:col w:w="81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000-22418</w:t>
      </w:r>
    </w:p>
    <w:p>
      <w:pPr>
        <w:sectPr>
          <w:pgSz w:w="11900" w:h="16838" w:orient="portrait"/>
          <w:cols w:equalWidth="0" w:num="1">
            <w:col w:w="11420"/>
          </w:cols>
          <w:pgMar w:left="240" w:top="230" w:right="239" w:bottom="1440" w:gutter="0" w:footer="0" w:header="0"/>
          <w:type w:val="continuous"/>
        </w:sectPr>
      </w:pP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98"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Washington</w:t>
      </w:r>
    </w:p>
    <w:p>
      <w:pPr>
        <w:spacing w:after="0" w:line="21"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91-1011792</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(I.R.S. Employer Identification Number)</w:t>
      </w:r>
    </w:p>
    <w:p>
      <w:pPr>
        <w:spacing w:after="0" w:line="182" w:lineRule="exact"/>
        <w:rPr>
          <w:sz w:val="24"/>
          <w:szCs w:val="24"/>
          <w:color w:val="auto"/>
        </w:rPr>
      </w:pPr>
    </w:p>
    <w:p>
      <w:pPr>
        <w:sectPr>
          <w:pgSz w:w="11900" w:h="16838" w:orient="portrait"/>
          <w:cols w:equalWidth="0" w:num="2">
            <w:col w:w="6440" w:space="720"/>
            <w:col w:w="42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72" w:lineRule="exact"/>
        <w:rPr>
          <w:sz w:val="24"/>
          <w:szCs w:val="24"/>
          <w:color w:val="auto"/>
        </w:rPr>
      </w:pPr>
    </w:p>
    <w:p>
      <w:pPr>
        <w:ind w:left="460"/>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8" w:lineRule="exact"/>
        <w:rPr>
          <w:sz w:val="24"/>
          <w:szCs w:val="24"/>
          <w:color w:val="auto"/>
        </w:rPr>
      </w:pPr>
    </w:p>
    <w:p>
      <w:pPr>
        <w:sectPr>
          <w:pgSz w:w="11900" w:h="16838" w:orient="portrait"/>
          <w:cols w:equalWidth="0" w:num="4">
            <w:col w:w="2020" w:space="360"/>
            <w:col w:w="5100" w:space="720"/>
            <w:col w:w="1920" w:space="460"/>
            <w:col w:w="84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980" w:space="160"/>
            <w:col w:w="260" w:space="80"/>
            <w:col w:w="160" w:space="180"/>
            <w:col w:w="220" w:space="80"/>
            <w:col w:w="2300"/>
          </w:cols>
          <w:pgMar w:left="240" w:top="230"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As of March 31, 2011 there were outstanding 40,597,157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40" w:type="dxa"/>
            <w:vAlign w:val="bottom"/>
            <w:gridSpan w:val="2"/>
          </w:tcPr>
          <w:p>
            <w:pPr>
              <w:jc w:val="center"/>
              <w:ind w:right="4580"/>
              <w:spacing w:after="0"/>
              <w:rPr>
                <w:sz w:val="20"/>
                <w:szCs w:val="20"/>
                <w:color w:val="auto"/>
              </w:rPr>
            </w:pPr>
            <w:r>
              <w:rPr>
                <w:rFonts w:ascii="Arial" w:cs="Arial" w:eastAsia="Arial" w:hAnsi="Arial"/>
                <w:sz w:val="18"/>
                <w:szCs w:val="18"/>
                <w:b w:val="1"/>
                <w:bCs w:val="1"/>
                <w:color w:val="auto"/>
                <w:w w:val="93"/>
              </w:rPr>
              <w:t>Itron, Inc.</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86"/>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2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60" w:type="dxa"/>
            <w:vAlign w:val="bottom"/>
            <w:gridSpan w:val="8"/>
            <w:vMerge w:val="restart"/>
          </w:tcPr>
          <w:p>
            <w:pPr>
              <w:spacing w:after="0"/>
              <w:rPr>
                <w:sz w:val="24"/>
                <w:szCs w:val="2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6"/>
            <w:vMerge w:val="continue"/>
          </w:tcPr>
          <w:p>
            <w:pPr>
              <w:spacing w:after="0"/>
              <w:rPr>
                <w:sz w:val="14"/>
                <w:szCs w:val="14"/>
                <w:color w:val="auto"/>
              </w:rPr>
            </w:pPr>
          </w:p>
        </w:tc>
        <w:tc>
          <w:tcPr>
            <w:tcW w:w="7760" w:type="dxa"/>
            <w:vAlign w:val="bottom"/>
            <w:gridSpan w:val="8"/>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Statements of Operations</w:t>
              </w:r>
            </w:hyperlink>
          </w:p>
        </w:tc>
        <w:tc>
          <w:tcPr>
            <w:tcW w:w="69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8">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0">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1">
              <w:r>
                <w:rPr>
                  <w:rFonts w:ascii="Arial" w:cs="Arial" w:eastAsia="Arial" w:hAnsi="Arial"/>
                  <w:sz w:val="18"/>
                  <w:szCs w:val="18"/>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80" w:type="dxa"/>
            <w:vAlign w:val="bottom"/>
            <w:gridSpan w:val="14"/>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720" w:type="dxa"/>
            <w:vAlign w:val="bottom"/>
            <w:tcBorders>
              <w:top w:val="single" w:sz="8" w:color="0000EE"/>
            </w:tcBorders>
            <w:gridSpan w:val="5"/>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2">
              <w:r>
                <w:rPr>
                  <w:rFonts w:ascii="Arial" w:cs="Arial" w:eastAsia="Arial" w:hAnsi="Arial"/>
                  <w:sz w:val="18"/>
                  <w:szCs w:val="18"/>
                  <w:color w:val="0000EE"/>
                </w:rPr>
                <w:t>Legal Proceedings</w:t>
              </w:r>
            </w:hyperlink>
          </w:p>
        </w:tc>
        <w:tc>
          <w:tcPr>
            <w:tcW w:w="80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520" w:type="dxa"/>
            <w:vAlign w:val="bottom"/>
            <w:tcBorders>
              <w:left w:val="single" w:sz="8" w:color="0000EE"/>
            </w:tcBorders>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2">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2">
              <w:r>
                <w:rPr>
                  <w:rFonts w:ascii="Arial" w:cs="Arial" w:eastAsia="Arial" w:hAnsi="Arial"/>
                  <w:sz w:val="18"/>
                  <w:szCs w:val="18"/>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2">
              <w:r>
                <w:rPr>
                  <w:rFonts w:ascii="Arial" w:cs="Arial" w:eastAsia="Arial" w:hAnsi="Arial"/>
                  <w:sz w:val="18"/>
                  <w:szCs w:val="18"/>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Borders>
              <w:bottom w:val="single" w:sz="8" w:color="0000EE"/>
            </w:tcBorders>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SIGNATURE</w:t>
              </w:r>
            </w:hyperlink>
          </w:p>
        </w:tc>
        <w:tc>
          <w:tcPr>
            <w:tcW w:w="966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12"/>
              <w:spacing w:after="0" w:line="195" w:lineRule="exact"/>
              <w:rPr>
                <w:sz w:val="20"/>
                <w:szCs w:val="20"/>
                <w:color w:val="auto"/>
              </w:rPr>
            </w:pPr>
            <w:r>
              <w:rPr>
                <w:rFonts w:ascii="Arial" w:cs="Arial" w:eastAsia="Arial" w:hAnsi="Arial"/>
                <w:sz w:val="18"/>
                <w:szCs w:val="18"/>
                <w:b w:val="1"/>
                <w:bCs w:val="1"/>
                <w:color w:val="auto"/>
                <w:w w:val="97"/>
              </w:rPr>
              <w:t>(restated)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1"/>
              </w:rPr>
              <w:t>(in thousands, except per share data)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563,691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379,581</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184,110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157,064</w:t>
            </w:r>
          </w:p>
        </w:tc>
        <w:tc>
          <w:tcPr>
            <w:tcW w:w="0" w:type="dxa"/>
            <w:vAlign w:val="bottom"/>
          </w:tcPr>
          <w:p>
            <w:pPr>
              <w:spacing w:after="0"/>
              <w:rPr>
                <w:sz w:val="1"/>
                <w:szCs w:val="1"/>
                <w:color w:val="auto"/>
              </w:rPr>
            </w:pPr>
          </w:p>
        </w:tc>
      </w:tr>
      <w:tr>
        <w:trPr>
          <w:trHeight w:val="323"/>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44,648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8"/>
                <w:szCs w:val="18"/>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8"/>
                <w:szCs w:val="18"/>
                <w:color w:val="auto"/>
              </w:rPr>
              <w:t>40,445</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33,331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15,597</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134,021</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4"/>
                <w:szCs w:val="24"/>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8"/>
                <w:szCs w:val="18"/>
                <w:color w:val="auto"/>
              </w:rPr>
              <w:t>50,089</w:t>
            </w:r>
          </w:p>
        </w:tc>
        <w:tc>
          <w:tcPr>
            <w:tcW w:w="2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31,619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(12,114)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2080" w:type="dxa"/>
            <w:vAlign w:val="bottom"/>
            <w:gridSpan w:val="2"/>
          </w:tcPr>
          <w:p>
            <w:pPr>
              <w:jc w:val="right"/>
              <w:ind w:right="1080"/>
              <w:spacing w:after="0"/>
              <w:rPr>
                <w:sz w:val="20"/>
                <w:szCs w:val="20"/>
                <w:color w:val="auto"/>
              </w:rPr>
            </w:pPr>
            <w:r>
              <w:rPr>
                <w:rFonts w:ascii="Arial" w:cs="Arial" w:eastAsia="Arial" w:hAnsi="Arial"/>
                <w:sz w:val="18"/>
                <w:szCs w:val="18"/>
                <w:color w:val="auto"/>
              </w:rPr>
              <w:t>(1,596)</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(13,402)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329"/>
        </w:trPr>
        <w:tc>
          <w:tcPr>
            <w:tcW w:w="7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36,687</w:t>
            </w:r>
          </w:p>
        </w:tc>
        <w:tc>
          <w:tcPr>
            <w:tcW w:w="1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(9,567)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27,120</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140"/>
              <w:spacing w:after="0"/>
              <w:rPr>
                <w:sz w:val="20"/>
                <w:szCs w:val="20"/>
                <w:color w:val="auto"/>
              </w:rPr>
            </w:pPr>
            <w:r>
              <w:rPr>
                <w:rFonts w:ascii="Arial" w:cs="Arial" w:eastAsia="Arial" w:hAnsi="Arial"/>
                <w:sz w:val="18"/>
                <w:szCs w:val="18"/>
                <w:color w:val="auto"/>
              </w:rPr>
              <w:t>0.66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40,546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Weighted average common shares outstanding-Diluted</w:t>
            </w:r>
          </w:p>
        </w:tc>
        <w:tc>
          <w:tcPr>
            <w:tcW w:w="260" w:type="dxa"/>
            <w:vAlign w:val="bottom"/>
          </w:tcPr>
          <w:p>
            <w:pPr>
              <w:spacing w:after="0"/>
              <w:rPr>
                <w:sz w:val="19"/>
                <w:szCs w:val="19"/>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8"/>
                <w:szCs w:val="18"/>
                <w:color w:val="auto"/>
              </w:rPr>
              <w:t>41,045</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40,862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March 31, 2011</w:t>
            </w:r>
          </w:p>
        </w:tc>
        <w:tc>
          <w:tcPr>
            <w:tcW w:w="76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133,412</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361,991</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248,358</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Deferred tax assets current, net</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55,233</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891,715</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882,217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296,008</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debt fees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3,617</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16,632</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42,516</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304,776</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1,294,452</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2,849,716</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252,592</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44,848</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85,829</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29,222</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231,682</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warranty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26,260</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42,939</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 current, net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713,819</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703,734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341,563</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warranty</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32,903</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 liability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66,865</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tax liabilities noncurrent, net</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54,575</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1,294,798</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1,317,502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1,334,165</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58,613</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162,140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1,554,918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2,849,716</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2,745,797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32"/>
              <w:spacing w:after="0" w:line="195" w:lineRule="exact"/>
              <w:rPr>
                <w:sz w:val="20"/>
                <w:szCs w:val="20"/>
                <w:color w:val="auto"/>
              </w:rPr>
            </w:pPr>
            <w:r>
              <w:rPr>
                <w:rFonts w:ascii="Arial" w:cs="Arial" w:eastAsia="Arial" w:hAnsi="Arial"/>
                <w:sz w:val="18"/>
                <w:szCs w:val="18"/>
                <w:b w:val="1"/>
                <w:bCs w:val="1"/>
                <w:color w:val="auto"/>
                <w:w w:val="95"/>
              </w:rPr>
              <w:t>(restated)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27,120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31,531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convertible debt discount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Deferred taxes,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7,569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adjustments, net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(34,074)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payables, other current liabilities, and taxes payable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(29,383)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Warranty</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6,445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net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36,013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65,779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Acquisitions of property, plant, and equipment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(11,250)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acquisition, net of cash equivalents acquired</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investing,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323"/>
        </w:trPr>
        <w:tc>
          <w:tcPr>
            <w:tcW w:w="73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debt fees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financing,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(48,391)</w:t>
            </w:r>
          </w:p>
        </w:tc>
        <w:tc>
          <w:tcPr>
            <w:tcW w:w="0" w:type="dxa"/>
            <w:vAlign w:val="bottom"/>
          </w:tcPr>
          <w:p>
            <w:pPr>
              <w:spacing w:after="0"/>
              <w:rPr>
                <w:sz w:val="1"/>
                <w:szCs w:val="1"/>
                <w:color w:val="auto"/>
              </w:rPr>
            </w:pPr>
          </w:p>
        </w:tc>
      </w:tr>
      <w:tr>
        <w:trPr>
          <w:trHeight w:val="323"/>
        </w:trPr>
        <w:tc>
          <w:tcPr>
            <w:tcW w:w="738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6,062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169,477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133,412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123,418</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3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purchased but not yet paid, net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Fair value of contingent and deferred consideration payable for business acquisition</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Interest, net of amounts capitalized</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9,495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12,626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 Preparation</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Consolidated Statements of Operations for the three months ended March 31, 2011 and 2010, the Consolidated Balance Sheets as of March 31, 2011 and December 31, 2010, and the Consolidated Statements of Cash Flows for the three months ended March 31, 2011 and 2010 of Itron, Inc. and its subsidiaries. All entries required for the fair presentation of the financial statements are of a normal recurring nature, except as disclosed.</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2010 audited financial statements and notes included in our Annual Report on Form 10-K for the year ended December 31, 2010, as filed with the SEC on February 25, 2011. The results of operations for the three months ended March 31, 2011 are not necessarily indicative of the results expected for the full fiscal year or for any other fiscal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Variable interest entities of which we are the primary beneficiary are consolidated. At March 31, 2011, our investments in variable interest entities and noncontrolling interests were not material. Intercompany transactions and balances have been eliminated upon consolidation.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Acquisition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10, 2011, we completed the acquisition of Asais S.A.S. and Asais Conseil S.A.S. (collectively Asais), an energy information management software and consulting services provider, located in France. The acquisition consisted of cash consideration. The acquisition was immaterial to our financial position, results of operations, and cash flows. (See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policy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receivables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primarily interest rate swaps, are determined using the fair value measurements of significant other observable inputs (Level 2), as defined by generally accepted accounting principles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(OCI) and are recognized in earnings when the hedged item affects earnings. For our hedge of a net investment, the effective portion of any unrealized gain or loss from the foreign currency revaluation of the hedging instrument is reported in OCI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 Refer to Note 7 and Note 12 for further disclosures of our derivative instruments and their impact on OCI.</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improvements and three to five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had no assets held for sale at March 31, 2011 and December 31, 2010. Gains and losses from asset disposals and impairment losses are classified within the statement of operations according to the use of the asset.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recorded at their fair values. The acquiree results of operations are also included as of the date of acquisition in the consolidated results. Intangible assets that arise from contractual/legal rights, or are capable of being separated, as well as in-process research and development, are measured and recorded at fair value, and amortized over the estimated useful life.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are generally expensed in periods subsequent to the acquisition date, and changes in deferred tax asset valuation allowances and acquired income tax uncertainties, including penalties and interest, after the measurement period are recognized as a component of provision for income taxes.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Goodwill and intangible assets have resulted from our acquisitions. We use estimates in determining and assigning the fair value of goodwill and intangible assets at acquisition,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Goodwill is tested for impairment as of October 1 of each year, or more frequently if a significant impairment indicator occurs. 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our reporting units.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Changes in these factors and related estimates could materially affect our financial position and results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Bonus and Profit Sharing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The majority of our revenue is recognized when products are shipped to or received by a customer or when services are provided.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We primarily enter into two types of multiple deliverable arrangements, which include a combination of hardware and associated software and services:</w:t>
      </w:r>
    </w:p>
    <w:p>
      <w:pPr>
        <w:spacing w:after="0" w:line="113"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ectPr>
          <w:pgSz w:w="11900" w:h="16838" w:orient="portrait"/>
          <w:cols w:equalWidth="0" w:num="1">
            <w:col w:w="11420"/>
          </w:cols>
          <w:pgMar w:left="240" w:top="459" w:right="239" w:bottom="1440" w:gutter="0" w:footer="0" w:header="0"/>
        </w:sectPr>
      </w:pPr>
    </w:p>
    <w:p>
      <w:pPr>
        <w:spacing w:after="0" w:line="69"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estimated, or the completed contract methodology if project costs cannot be reliably estimated.</w:t>
      </w:r>
    </w:p>
    <w:p>
      <w:pPr>
        <w:spacing w:after="0" w:line="59" w:lineRule="exact"/>
        <w:rPr>
          <w:sz w:val="20"/>
          <w:szCs w:val="20"/>
          <w:color w:val="auto"/>
        </w:rPr>
      </w:pPr>
    </w:p>
    <w:p>
      <w:pPr>
        <w:sectPr>
          <w:pgSz w:w="11900" w:h="16838" w:orient="portrait"/>
          <w:cols w:equalWidth="0" w:num="2">
            <w:col w:w="840" w:space="280"/>
            <w:col w:w="10300"/>
          </w:cols>
          <w:pgMar w:left="240" w:top="459" w:right="239" w:bottom="1440" w:gutter="0" w:footer="0" w:header="0"/>
          <w:type w:val="continuous"/>
        </w:sectPr>
      </w:pPr>
    </w:p>
    <w:p>
      <w:pPr>
        <w:ind w:left="800" w:hanging="454"/>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Arrangements to deploy our smart metering systems and technology are recognized as follows:</w:t>
      </w:r>
    </w:p>
    <w:p>
      <w:pPr>
        <w:sectPr>
          <w:pgSz w:w="11900" w:h="16838" w:orient="portrait"/>
          <w:cols w:equalWidth="0" w:num="1">
            <w:col w:w="11420"/>
          </w:cols>
          <w:pgMar w:left="240" w:top="459" w:right="239" w:bottom="1440" w:gutter="0" w:footer="0" w:header="0"/>
          <w:type w:val="continuous"/>
        </w:sectPr>
      </w:pPr>
    </w:p>
    <w:p>
      <w:pPr>
        <w:spacing w:after="0" w:line="10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often results in the deferral of costs and revenues as professional services and software implementation typically commence prior to deployment of hardware.</w:t>
      </w:r>
    </w:p>
    <w:p>
      <w:pPr>
        <w:spacing w:after="0" w:line="143" w:lineRule="exact"/>
        <w:rPr>
          <w:sz w:val="20"/>
          <w:szCs w:val="20"/>
          <w:color w:val="auto"/>
        </w:rPr>
      </w:pPr>
    </w:p>
    <w:p>
      <w:pPr>
        <w:sectPr>
          <w:pgSz w:w="11900" w:h="16838" w:orient="portrait"/>
          <w:cols w:equalWidth="0" w:num="2">
            <w:col w:w="840" w:space="280"/>
            <w:col w:w="10300"/>
          </w:cols>
          <w:pgMar w:left="240" w:top="459"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We also enter into multiple deliverable software arrangements that do not include hardware. For this type of arrangement, revenue recognition is dependent upon the availability of vendor specific objective evidence (VSOE) for fair value for each of the deliverables. The lack of VSOE, or the existence of extended payment terms or other inherent risks, may affect the timing of revenue recognition for software arrangements.</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Extended/noncustomary warranties do not represent a significant portion of our revenue.</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$60.0 million and $42.8 million at March 31, 2011 and December 31, 2010 related primarily to professional services and software associated with our smart metering contracts, extended warranty, and prepaid post-contract support. Deferred cost is recorded for products or services for which ownership (typically defined as title and risk of loss) has transferred to the customer, but the criteria for revenue recognition have not been met as of the balance sheet date. Deferred costs were $11.6 million and $10.0 million at March 31, 2011 and December 31, 2010 and are recorded within other assets in the Consolidated Balance Sheets.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all cases, 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values of stock options and ESPP awards are estimated at the date of grant using the Black-Scholes option-pricing model, which includes assumptions for the dividend yield, expected volatility, risk-free interest rate, and expected life.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Extinguishment of Debt, Net</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partial or full redemption of our borrowings, we recognize a gain or loss for the difference between the cash paid and the net carrying amount of the debt redeemed. Included in the net carrying amount is any unamortized premium or discount from the original issuance of the debt. Due to the particular characteristics of our convertible notes, we recognize a gain or loss upon conversion or derecognition for the difference between the net carrying amount of the liability component (including any unamortized discount and debt issuance costs) and the fair value of the consideration transferred to the holder that is allocated to the liability component, which is equal to the fair value of the liability component immediately prior to extinguishment.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reflected in the period in which they occur as an addition to, or reduction from, the income tax provision, rather than included in the estimated annual ETR.</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assets and liabilities are recognized based upon anticipated future tax consequences, in each of the jurisdictions in which we operate, attributable to:</w:t>
      </w:r>
    </w:p>
    <w:p>
      <w:pPr>
        <w:spacing w:after="0" w:line="50" w:lineRule="exact"/>
        <w:rPr>
          <w:sz w:val="20"/>
          <w:szCs w:val="20"/>
          <w:color w:val="auto"/>
        </w:rPr>
      </w:pPr>
    </w:p>
    <w:p>
      <w:pPr>
        <w:jc w:val="both"/>
        <w:ind w:firstLine="8"/>
        <w:spacing w:after="0" w:line="290" w:lineRule="auto"/>
        <w:tabs>
          <w:tab w:leader="none" w:pos="25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differences between the financial statement carrying amounts of existing assets and liabilities and their respective income tax bases; and (2) 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We classify interest expense and penalties related to uncertain tax positions and interest income on tax overpayments as part of income tax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We hold no assets or liabilities measured using Level 1 fair value inputs.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Restatement</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unaudited quarterly financial information for the first three quarters of 2010 was restated in the fourth quarter of 2010. The restatement was made primarily to defer revenue previously recognized on one contract due to a misinterpretation of an extended warranty provision. While the restatement was not deemed material to the first three quarters of 2010, we concluded that the aggregate correction of such amounts would be material to the fourth quarter of 2010. Accordingly, although not material to our financial statements for the first quarter of 2010, the results of operations and cash flows for the three months ended March 31, 2010 have been restated, as well as certain balance sheet components as of March 31, 2010. The consolidated statement of operations, consolidated balance sheet, and consolidated statement of cash flows have been restated,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operations restatement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center"/>
              <w:ind w:left="292"/>
              <w:spacing w:after="0"/>
              <w:rPr>
                <w:sz w:val="20"/>
                <w:szCs w:val="20"/>
                <w:color w:val="auto"/>
              </w:rPr>
            </w:pPr>
            <w:r>
              <w:rPr>
                <w:rFonts w:ascii="Arial" w:cs="Arial" w:eastAsia="Arial" w:hAnsi="Arial"/>
                <w:sz w:val="18"/>
                <w:szCs w:val="18"/>
                <w:b w:val="1"/>
                <w:bCs w:val="1"/>
                <w:color w:val="auto"/>
                <w:w w:val="89"/>
              </w:rPr>
              <w:t>Three Months Ended March 31, 2010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gridSpan w:val="2"/>
          </w:tcPr>
          <w:p>
            <w:pPr>
              <w:jc w:val="center"/>
              <w:ind w:right="1652"/>
              <w:spacing w:after="0" w:line="196" w:lineRule="exact"/>
              <w:rPr>
                <w:sz w:val="20"/>
                <w:szCs w:val="20"/>
                <w:color w:val="auto"/>
              </w:rPr>
            </w:pPr>
            <w:r>
              <w:rPr>
                <w:rFonts w:ascii="Arial" w:cs="Arial" w:eastAsia="Arial" w:hAnsi="Arial"/>
                <w:sz w:val="18"/>
                <w:szCs w:val="18"/>
                <w:b w:val="1"/>
                <w:bCs w:val="1"/>
                <w:color w:val="auto"/>
                <w:w w:val="86"/>
              </w:rPr>
              <w:t>As previously</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7"/>
              </w:rPr>
              <w:t>reported</w:t>
            </w:r>
          </w:p>
        </w:tc>
        <w:tc>
          <w:tcPr>
            <w:tcW w:w="15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As restated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except per share data)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499,280</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revenues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340,385</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340,559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158,895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157,064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33,450</w:t>
            </w: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18,102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benefit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8,685</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26,787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322"/>
        </w:trPr>
        <w:tc>
          <w:tcPr>
            <w:tcW w:w="6280" w:type="dxa"/>
            <w:vAlign w:val="bottom"/>
            <w:gridSpan w:val="2"/>
          </w:tcPr>
          <w:p>
            <w:pPr>
              <w:spacing w:after="0"/>
              <w:rPr>
                <w:sz w:val="20"/>
                <w:szCs w:val="20"/>
                <w:color w:val="auto"/>
              </w:rPr>
            </w:pPr>
            <w:r>
              <w:rPr>
                <w:rFonts w:ascii="Arial" w:cs="Arial" w:eastAsia="Arial" w:hAnsi="Arial"/>
                <w:sz w:val="18"/>
                <w:szCs w:val="18"/>
                <w:color w:val="auto"/>
              </w:rPr>
              <w:t>Earnings per common share-Basic</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0.67</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share-Diluted</w:t>
            </w:r>
          </w:p>
        </w:tc>
        <w:tc>
          <w:tcPr>
            <w:tcW w:w="11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0.66</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417"/>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restatement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90"/>
              </w:rPr>
              <w:t>March 31, 2010</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80" w:type="dxa"/>
            <w:vAlign w:val="bottom"/>
            <w:gridSpan w:val="3"/>
          </w:tcPr>
          <w:p>
            <w:pPr>
              <w:jc w:val="center"/>
              <w:ind w:right="1432"/>
              <w:spacing w:after="0"/>
              <w:rPr>
                <w:sz w:val="20"/>
                <w:szCs w:val="20"/>
                <w:color w:val="auto"/>
              </w:rPr>
            </w:pPr>
            <w:r>
              <w:rPr>
                <w:rFonts w:ascii="Arial" w:cs="Arial" w:eastAsia="Arial" w:hAnsi="Arial"/>
                <w:sz w:val="18"/>
                <w:szCs w:val="18"/>
                <w:b w:val="1"/>
                <w:bCs w:val="1"/>
                <w:color w:val="auto"/>
                <w:w w:val="87"/>
              </w:rPr>
              <w:t>As previously reported</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As 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333,141</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assets noncurrent, net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86,728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12,389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71,904</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372"/>
              <w:spacing w:after="0"/>
              <w:rPr>
                <w:sz w:val="20"/>
                <w:szCs w:val="20"/>
                <w:color w:val="auto"/>
              </w:rPr>
            </w:pPr>
            <w:r>
              <w:rPr>
                <w:rFonts w:ascii="Arial" w:cs="Arial" w:eastAsia="Arial" w:hAnsi="Arial"/>
                <w:sz w:val="18"/>
                <w:szCs w:val="18"/>
                <w:color w:val="auto"/>
              </w:rPr>
              <w:t>(15,283)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Retained earnings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57,037</w:t>
            </w: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41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cash flow restatement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center"/>
              <w:ind w:left="292"/>
              <w:spacing w:after="0"/>
              <w:rPr>
                <w:sz w:val="20"/>
                <w:szCs w:val="20"/>
                <w:color w:val="auto"/>
              </w:rPr>
            </w:pPr>
            <w:r>
              <w:rPr>
                <w:rFonts w:ascii="Arial" w:cs="Arial" w:eastAsia="Arial" w:hAnsi="Arial"/>
                <w:sz w:val="18"/>
                <w:szCs w:val="18"/>
                <w:b w:val="1"/>
                <w:bCs w:val="1"/>
                <w:color w:val="auto"/>
                <w:w w:val="89"/>
              </w:rPr>
              <w:t>Three Months Ended March 31, 2010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80" w:type="dxa"/>
            <w:vAlign w:val="bottom"/>
            <w:gridSpan w:val="3"/>
          </w:tcPr>
          <w:p>
            <w:pPr>
              <w:jc w:val="center"/>
              <w:ind w:right="1432"/>
              <w:spacing w:after="0"/>
              <w:rPr>
                <w:sz w:val="20"/>
                <w:szCs w:val="20"/>
                <w:color w:val="auto"/>
              </w:rPr>
            </w:pPr>
            <w:r>
              <w:rPr>
                <w:rFonts w:ascii="Arial" w:cs="Arial" w:eastAsia="Arial" w:hAnsi="Arial"/>
                <w:sz w:val="18"/>
                <w:szCs w:val="18"/>
                <w:b w:val="1"/>
                <w:bCs w:val="1"/>
                <w:color w:val="auto"/>
                <w:w w:val="87"/>
              </w:rPr>
              <w:t>As previously reported</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As 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26,787</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Deferred taxes, net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
          </w:tcPr>
          <w:p>
            <w:pPr>
              <w:jc w:val="right"/>
              <w:ind w:right="1372"/>
              <w:spacing w:after="0"/>
              <w:rPr>
                <w:sz w:val="20"/>
                <w:szCs w:val="20"/>
                <w:color w:val="auto"/>
              </w:rPr>
            </w:pPr>
            <w:r>
              <w:rPr>
                <w:rFonts w:ascii="Arial" w:cs="Arial" w:eastAsia="Arial" w:hAnsi="Arial"/>
                <w:sz w:val="18"/>
                <w:szCs w:val="18"/>
                <w:color w:val="auto"/>
              </w:rPr>
              <w:t>(13,809)</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
          </w:tcPr>
          <w:p>
            <w:pPr>
              <w:jc w:val="right"/>
              <w:ind w:right="1372"/>
              <w:spacing w:after="0"/>
              <w:rPr>
                <w:sz w:val="20"/>
                <w:szCs w:val="20"/>
                <w:color w:val="auto"/>
              </w:rPr>
            </w:pPr>
            <w:r>
              <w:rPr>
                <w:rFonts w:ascii="Arial" w:cs="Arial" w:eastAsia="Arial" w:hAnsi="Arial"/>
                <w:sz w:val="18"/>
                <w:szCs w:val="18"/>
                <w:color w:val="auto"/>
              </w:rPr>
              <w:t>(6,266)</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432"/>
              <w:spacing w:after="0"/>
              <w:rPr>
                <w:sz w:val="20"/>
                <w:szCs w:val="20"/>
                <w:color w:val="auto"/>
              </w:rPr>
            </w:pPr>
            <w:r>
              <w:rPr>
                <w:rFonts w:ascii="Arial" w:cs="Arial" w:eastAsia="Arial" w:hAnsi="Arial"/>
                <w:sz w:val="18"/>
                <w:szCs w:val="18"/>
                <w:color w:val="auto"/>
              </w:rPr>
              <w:t>11,057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Warranty</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2"/>
          </w:tcPr>
          <w:p>
            <w:pPr>
              <w:jc w:val="right"/>
              <w:ind w:right="1432"/>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6"/>
          </w:tcPr>
          <w:p>
            <w:pPr>
              <w:ind w:left="200"/>
              <w:spacing w:after="0"/>
              <w:rPr>
                <w:sz w:val="20"/>
                <w:szCs w:val="20"/>
                <w:color w:val="auto"/>
              </w:rPr>
            </w:pPr>
            <w:r>
              <w:rPr>
                <w:rFonts w:ascii="Arial" w:cs="Arial" w:eastAsia="Arial" w:hAnsi="Arial"/>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27,120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26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40,546</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convertible notes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Dilutive effect of stock-based awards</w:t>
            </w:r>
          </w:p>
        </w:tc>
        <w:tc>
          <w:tcPr>
            <w:tcW w:w="2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499</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41,045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0.67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share-Diluted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in the EPS calculation the amount of shares it would take to satisfy the conversion obligation, assuming that all of the convertible notes are converted. The average quarterly closing prices of our common stock were used as the basis for determining the dilutive effect on EPS. The average price of our common stock for the three months ended March 31, 2011 did not exceed the conversion price of $65.16 and, therefore, did not have an effect on diluted EPS. The average price of our common stock for the three months ended March 31, 2010 exceeded the conversion price of $65.16 and, therefore, approximately 130,000 shares have been included in the diluted EPS calculation.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Awards</w:t>
      </w:r>
    </w:p>
    <w:p>
      <w:pPr>
        <w:spacing w:after="0" w:line="9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657,000 and 463,000 stock-based awards were excluded from the calculation of diluted EPS for the three months ended March 31, 2011 and 2010, respectively, because they were anti-dilutive. These stock-based awards could be dilutive in future periods.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March 31, 2011 and December 31, 2010.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Certain Balance Sheet Components</w:t>
      </w:r>
    </w:p>
    <w:p>
      <w:pPr>
        <w:spacing w:after="0" w:line="96"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Accounts receivable, net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1"/>
              </w:rPr>
              <w:t>At March 31,</w:t>
            </w:r>
          </w:p>
        </w:tc>
        <w:tc>
          <w:tcPr>
            <w:tcW w:w="9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3"/>
              </w:rPr>
              <w:t>At December 31,</w:t>
            </w:r>
          </w:p>
        </w:tc>
      </w:tr>
      <w:tr>
        <w:trPr>
          <w:trHeight w:val="293"/>
        </w:trPr>
        <w:tc>
          <w:tcPr>
            <w:tcW w:w="2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$9,031 and $9,045)</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323,575</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328,811</w:t>
            </w:r>
          </w:p>
        </w:tc>
        <w:tc>
          <w:tcPr>
            <w:tcW w:w="10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Unbilled receivables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38,416</w:t>
            </w:r>
          </w:p>
        </w:tc>
        <w:tc>
          <w:tcPr>
            <w:tcW w:w="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42,851</w:t>
            </w:r>
          </w:p>
        </w:tc>
        <w:tc>
          <w:tcPr>
            <w:tcW w:w="1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accounts receivable, net</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361,991</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371,662</w:t>
            </w:r>
          </w:p>
        </w:tc>
        <w:tc>
          <w:tcPr>
            <w:tcW w:w="100" w:type="dxa"/>
            <w:vAlign w:val="bottom"/>
            <w:shd w:val="clear" w:color="auto" w:fill="CCEEFF"/>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March 31, 2011 and December 31, 2010, $7.8 million and $12.5 million were billed but not yet paid by customers in accordance with long-term contract retainage provisions. These retainage amounts within trade receivables are expected to be collected within the next 12 months.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A summary of the allowance for doubtful accounts activity is as follows: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4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4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08"/>
        </w:trPr>
        <w:tc>
          <w:tcPr>
            <w:tcW w:w="4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78"/>
              </w:rPr>
              <w:t>(in thousands)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6,339</w:t>
            </w:r>
          </w:p>
        </w:tc>
      </w:tr>
      <w:tr>
        <w:trPr>
          <w:trHeight w:val="216"/>
        </w:trPr>
        <w:tc>
          <w:tcPr>
            <w:tcW w:w="460" w:type="dxa"/>
            <w:vAlign w:val="bottom"/>
          </w:tcPr>
          <w:p>
            <w:pPr>
              <w:spacing w:after="0"/>
              <w:rPr>
                <w:sz w:val="18"/>
                <w:szCs w:val="18"/>
                <w:color w:val="auto"/>
              </w:rPr>
            </w:pPr>
          </w:p>
        </w:tc>
        <w:tc>
          <w:tcPr>
            <w:tcW w:w="7280" w:type="dxa"/>
            <w:vAlign w:val="bottom"/>
          </w:tcPr>
          <w:p>
            <w:pPr>
              <w:ind w:left="440"/>
              <w:spacing w:after="0"/>
              <w:rPr>
                <w:sz w:val="20"/>
                <w:szCs w:val="20"/>
                <w:color w:val="auto"/>
              </w:rPr>
            </w:pPr>
            <w:r>
              <w:rPr>
                <w:rFonts w:ascii="Arial" w:cs="Arial" w:eastAsia="Arial" w:hAnsi="Arial"/>
                <w:sz w:val="18"/>
                <w:szCs w:val="18"/>
                <w:color w:val="auto"/>
              </w:rPr>
              <w:t>Release of doubtful accounts, net</w:t>
            </w:r>
          </w:p>
        </w:tc>
        <w:tc>
          <w:tcPr>
            <w:tcW w:w="220" w:type="dxa"/>
            <w:vAlign w:val="bottom"/>
          </w:tcPr>
          <w:p>
            <w:pPr>
              <w:spacing w:after="0"/>
              <w:rPr>
                <w:sz w:val="18"/>
                <w:szCs w:val="18"/>
                <w:color w:val="auto"/>
              </w:rPr>
            </w:pPr>
          </w:p>
        </w:tc>
        <w:tc>
          <w:tcPr>
            <w:tcW w:w="1360" w:type="dxa"/>
            <w:vAlign w:val="bottom"/>
            <w:gridSpan w:val="2"/>
          </w:tcPr>
          <w:p>
            <w:pPr>
              <w:jc w:val="right"/>
              <w:ind w:right="392"/>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written-off</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460" w:type="dxa"/>
            <w:vAlign w:val="bottom"/>
          </w:tcPr>
          <w:p>
            <w:pPr>
              <w:spacing w:after="0"/>
              <w:rPr>
                <w:sz w:val="19"/>
                <w:szCs w:val="19"/>
                <w:color w:val="auto"/>
              </w:rPr>
            </w:pPr>
          </w:p>
        </w:tc>
        <w:tc>
          <w:tcPr>
            <w:tcW w:w="7280" w:type="dxa"/>
            <w:vAlign w:val="bottom"/>
          </w:tcPr>
          <w:p>
            <w:pPr>
              <w:ind w:left="440"/>
              <w:spacing w:after="0"/>
              <w:rPr>
                <w:sz w:val="20"/>
                <w:szCs w:val="20"/>
                <w:color w:val="auto"/>
              </w:rPr>
            </w:pPr>
            <w:r>
              <w:rPr>
                <w:rFonts w:ascii="Arial" w:cs="Arial" w:eastAsia="Arial" w:hAnsi="Arial"/>
                <w:sz w:val="18"/>
                <w:szCs w:val="18"/>
                <w:color w:val="auto"/>
              </w:rPr>
              <w:t>Effects of change in exchange rates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7460" w:type="dxa"/>
            <w:vAlign w:val="bottom"/>
            <w:gridSpan w:val="2"/>
          </w:tcPr>
          <w:p>
            <w:pPr>
              <w:spacing w:after="0"/>
              <w:rPr>
                <w:sz w:val="20"/>
                <w:szCs w:val="20"/>
                <w:color w:val="auto"/>
              </w:rPr>
            </w:pPr>
            <w:r>
              <w:rPr>
                <w:rFonts w:ascii="Arial" w:cs="Arial" w:eastAsia="Arial" w:hAnsi="Arial"/>
                <w:sz w:val="18"/>
                <w:szCs w:val="18"/>
                <w:i w:val="1"/>
                <w:iCs w:val="1"/>
                <w:color w:val="auto"/>
              </w:rPr>
              <w:t>Inventories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1"/>
              </w:rPr>
              <w:t>At March 31,</w:t>
            </w:r>
          </w:p>
        </w:tc>
        <w:tc>
          <w:tcPr>
            <w:tcW w:w="9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3"/>
              </w:rPr>
              <w:t>At December 31,</w:t>
            </w:r>
          </w:p>
        </w:tc>
      </w:tr>
      <w:tr>
        <w:trPr>
          <w:trHeight w:val="293"/>
        </w:trPr>
        <w:tc>
          <w:tcPr>
            <w:tcW w:w="2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129,009</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w:t>
            </w:r>
          </w:p>
        </w:tc>
        <w:tc>
          <w:tcPr>
            <w:tcW w:w="10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22,595</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18,389</w:t>
            </w: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96,754</w:t>
            </w:r>
          </w:p>
        </w:tc>
        <w:tc>
          <w:tcPr>
            <w:tcW w:w="9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83,747</w:t>
            </w:r>
          </w:p>
        </w:tc>
        <w:tc>
          <w:tcPr>
            <w:tcW w:w="100" w:type="dxa"/>
            <w:vAlign w:val="bottom"/>
            <w:shd w:val="clear" w:color="auto" w:fill="CCEEFF"/>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248,358</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208,157</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Consigned inventory is held at third-party locations; however, we retain title to the inventory until purchased by the third-party. Consigned inventory, consisting of raw materials and finished goods, was $16.6 million and $17.6 million at March 31, 2011 and December 31, 2010, respectively.</w:t>
      </w:r>
    </w:p>
    <w:p>
      <w:pPr>
        <w:spacing w:after="0" w:line="85"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7460" w:type="dxa"/>
            <w:vAlign w:val="bottom"/>
            <w:gridSpan w:val="2"/>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At March 31,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At December 31,</w:t>
            </w:r>
          </w:p>
        </w:tc>
      </w:tr>
      <w:tr>
        <w:trPr>
          <w:trHeight w:val="293"/>
        </w:trPr>
        <w:tc>
          <w:tcPr>
            <w:tcW w:w="2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278,003</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265,113</w:t>
            </w:r>
          </w:p>
        </w:tc>
      </w:tr>
      <w:tr>
        <w:trPr>
          <w:trHeight w:val="216"/>
        </w:trPr>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67,234</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63,077</w:t>
            </w:r>
          </w:p>
        </w:tc>
      </w:tr>
      <w:tr>
        <w:trPr>
          <w:trHeight w:val="216"/>
        </w:trPr>
        <w:tc>
          <w:tcPr>
            <w:tcW w:w="2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150,802</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146,661</w:t>
            </w:r>
          </w:p>
        </w:tc>
      </w:tr>
      <w:tr>
        <w:trPr>
          <w:trHeight w:val="216"/>
        </w:trPr>
        <w:tc>
          <w:tcPr>
            <w:tcW w:w="2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32,845</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35,968</w:t>
            </w:r>
          </w:p>
        </w:tc>
      </w:tr>
      <w:tr>
        <w:trPr>
          <w:trHeight w:val="216"/>
        </w:trPr>
        <w:tc>
          <w:tcPr>
            <w:tcW w:w="2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including purchased equipment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20,531</w:t>
            </w:r>
          </w:p>
        </w:tc>
        <w:tc>
          <w:tcPr>
            <w:tcW w:w="100" w:type="dxa"/>
            <w:vAlign w:val="bottom"/>
            <w:shd w:val="clear" w:color="auto" w:fill="CCEEFF"/>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Total cost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545,819</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531,350</w:t>
            </w:r>
          </w:p>
        </w:tc>
      </w:tr>
      <w:tr>
        <w:trPr>
          <w:trHeight w:val="217"/>
        </w:trPr>
        <w:tc>
          <w:tcPr>
            <w:tcW w:w="220" w:type="dxa"/>
            <w:vAlign w:val="bottom"/>
          </w:tcPr>
          <w:p>
            <w:pPr>
              <w:spacing w:after="0"/>
              <w:rPr>
                <w:sz w:val="18"/>
                <w:szCs w:val="18"/>
                <w:color w:val="auto"/>
              </w:rPr>
            </w:pPr>
          </w:p>
        </w:tc>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(249,811)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(232,108)</w:t>
            </w:r>
          </w:p>
        </w:tc>
      </w:tr>
      <w:tr>
        <w:trPr>
          <w:trHeight w:val="222"/>
        </w:trPr>
        <w:tc>
          <w:tcPr>
            <w:tcW w:w="220" w:type="dxa"/>
            <w:vAlign w:val="bottom"/>
          </w:tcPr>
          <w:p>
            <w:pPr>
              <w:spacing w:after="0"/>
              <w:rPr>
                <w:sz w:val="19"/>
                <w:szCs w:val="19"/>
                <w:color w:val="auto"/>
              </w:rPr>
            </w:pPr>
          </w:p>
        </w:tc>
        <w:tc>
          <w:tcPr>
            <w:tcW w:w="724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296,008</w:t>
            </w:r>
          </w:p>
        </w:tc>
        <w:tc>
          <w:tcPr>
            <w:tcW w:w="9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299,242</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auto"/>
              </w:rPr>
              <w:t>Depreciation expense was as follows: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4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1"/>
        </w:trPr>
        <w:tc>
          <w:tcPr>
            <w:tcW w:w="4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tcPr>
          <w:p>
            <w:pPr>
              <w:jc w:val="center"/>
              <w:ind w:left="552"/>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At March 31, 2011</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At December 31, 2010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Accumulated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Gross Assets</w:t>
            </w:r>
          </w:p>
        </w:tc>
        <w:tc>
          <w:tcPr>
            <w:tcW w:w="38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Amortization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Net</w:t>
            </w:r>
          </w:p>
        </w:tc>
        <w:tc>
          <w:tcPr>
            <w:tcW w:w="380" w:type="dxa"/>
            <w:vAlign w:val="bottom"/>
          </w:tcPr>
          <w:p>
            <w:pPr>
              <w:spacing w:after="0"/>
              <w:rPr>
                <w:sz w:val="19"/>
                <w:szCs w:val="19"/>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Gross Assets</w:t>
            </w:r>
          </w:p>
        </w:tc>
        <w:tc>
          <w:tcPr>
            <w:tcW w:w="38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Amortization</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r>
      <w:tr>
        <w:trPr>
          <w:trHeight w:val="212"/>
        </w:trPr>
        <w:tc>
          <w:tcPr>
            <w:tcW w:w="3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74"/>
              </w:rPr>
              <w:t>thousands)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403,004</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(291,317)</w:t>
            </w:r>
          </w:p>
        </w:tc>
        <w:tc>
          <w:tcPr>
            <w:tcW w:w="12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$ 111,687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378,705</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(274,198)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$104,507</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Customer contracts and relationships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302,572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(123,376)</w:t>
            </w:r>
          </w:p>
        </w:tc>
        <w:tc>
          <w:tcPr>
            <w:tcW w:w="1220" w:type="dxa"/>
            <w:vAlign w:val="bottom"/>
            <w:gridSpan w:val="3"/>
          </w:tcPr>
          <w:p>
            <w:pPr>
              <w:jc w:val="right"/>
              <w:ind w:right="292"/>
              <w:spacing w:after="0"/>
              <w:rPr>
                <w:sz w:val="20"/>
                <w:szCs w:val="20"/>
                <w:color w:val="auto"/>
              </w:rPr>
            </w:pPr>
            <w:r>
              <w:rPr>
                <w:rFonts w:ascii="Arial" w:cs="Arial" w:eastAsia="Arial" w:hAnsi="Arial"/>
                <w:sz w:val="18"/>
                <w:szCs w:val="18"/>
                <w:color w:val="auto"/>
              </w:rPr>
              <w:t>179,196</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282,997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(110,539)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172,458</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(62,614)</w:t>
            </w:r>
          </w:p>
        </w:tc>
        <w:tc>
          <w:tcPr>
            <w:tcW w:w="12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13,735</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13,959</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24,610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(24,452)</w:t>
            </w:r>
          </w:p>
        </w:tc>
        <w:tc>
          <w:tcPr>
            <w:tcW w:w="1220" w:type="dxa"/>
            <w:vAlign w:val="bottom"/>
            <w:gridSpan w:val="3"/>
          </w:tcPr>
          <w:p>
            <w:pPr>
              <w:jc w:val="right"/>
              <w:ind w:right="292"/>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(23,510)</w:t>
            </w:r>
          </w:p>
        </w:tc>
        <w:tc>
          <w:tcPr>
            <w:tcW w:w="66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r>
      <w:tr>
        <w:trPr>
          <w:trHeight w:val="27"/>
        </w:trPr>
        <w:tc>
          <w:tcPr>
            <w:tcW w:w="3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806,535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(501,759)</w:t>
            </w:r>
          </w:p>
        </w:tc>
        <w:tc>
          <w:tcPr>
            <w:tcW w:w="12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304,776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759,152</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(467,482)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291,670</w:t>
            </w:r>
          </w:p>
        </w:tc>
        <w:tc>
          <w:tcPr>
            <w:tcW w:w="100" w:type="dxa"/>
            <w:vAlign w:val="bottom"/>
            <w:shd w:val="clear" w:color="auto" w:fill="CCEEFF"/>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A summary of the intangible asset account activity is as follows: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Three Months Ended March 31,</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759,152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806,256</w:t>
            </w: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Intangible assets acquired</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10,297</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Ending balance, intangible assets, gross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806,535</w:t>
            </w:r>
          </w:p>
        </w:tc>
        <w:tc>
          <w:tcPr>
            <w:tcW w:w="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770,852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2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Estimated Annual</w:t>
            </w:r>
          </w:p>
        </w:tc>
      </w:tr>
      <w:tr>
        <w:trPr>
          <w:trHeight w:val="228"/>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Amortization</w:t>
            </w:r>
          </w:p>
        </w:tc>
      </w:tr>
      <w:tr>
        <w:trPr>
          <w:trHeight w:val="212"/>
        </w:trPr>
        <w:tc>
          <w:tcPr>
            <w:tcW w:w="2120" w:type="dxa"/>
            <w:vAlign w:val="bottom"/>
            <w:tcBorders>
              <w:top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(amount remaining at March 31, 2011)</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47,844</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2012</w:t>
            </w:r>
          </w:p>
        </w:tc>
        <w:tc>
          <w:tcPr>
            <w:tcW w:w="3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49,550</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40,862</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2014</w:t>
            </w:r>
          </w:p>
        </w:tc>
        <w:tc>
          <w:tcPr>
            <w:tcW w:w="3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33,600</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27,593</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Beyond 2015</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105,327</w:t>
            </w:r>
          </w:p>
        </w:tc>
      </w:tr>
      <w:tr>
        <w:trPr>
          <w:trHeight w:val="27"/>
        </w:trPr>
        <w:tc>
          <w:tcPr>
            <w:tcW w:w="2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304,776</w:t>
            </w:r>
          </w:p>
        </w:tc>
      </w:tr>
      <w:tr>
        <w:trPr>
          <w:trHeight w:val="20"/>
        </w:trPr>
        <w:tc>
          <w:tcPr>
            <w:tcW w:w="2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March 31, 2011 and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4"/>
              </w:rPr>
              <w:t>Itron North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200"/>
              <w:spacing w:after="0"/>
              <w:rPr>
                <w:sz w:val="20"/>
                <w:szCs w:val="20"/>
                <w:color w:val="auto"/>
              </w:rPr>
            </w:pPr>
            <w:r>
              <w:rPr>
                <w:rFonts w:ascii="Arial" w:cs="Arial" w:eastAsia="Arial" w:hAnsi="Arial"/>
                <w:sz w:val="18"/>
                <w:szCs w:val="18"/>
                <w:b w:val="1"/>
                <w:bCs w:val="1"/>
                <w:color w:val="auto"/>
              </w:rPr>
              <w:t>Itron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90"/>
              </w:rPr>
              <w:t>America</w:t>
            </w:r>
          </w:p>
        </w:tc>
        <w:tc>
          <w:tcPr>
            <w:tcW w:w="200" w:type="dxa"/>
            <w:vAlign w:val="bottom"/>
          </w:tcPr>
          <w:p>
            <w:pPr>
              <w:spacing w:after="0"/>
              <w:rPr>
                <w:sz w:val="19"/>
                <w:szCs w:val="19"/>
                <w:color w:val="auto"/>
              </w:rPr>
            </w:pPr>
          </w:p>
        </w:tc>
        <w:tc>
          <w:tcPr>
            <w:tcW w:w="1720" w:type="dxa"/>
            <w:vAlign w:val="bottom"/>
            <w:gridSpan w:val="4"/>
          </w:tcPr>
          <w:p>
            <w:pPr>
              <w:spacing w:after="0"/>
              <w:rPr>
                <w:sz w:val="20"/>
                <w:szCs w:val="20"/>
                <w:color w:val="auto"/>
              </w:rPr>
            </w:pPr>
            <w:r>
              <w:rPr>
                <w:rFonts w:ascii="Arial" w:cs="Arial" w:eastAsia="Arial" w:hAnsi="Arial"/>
                <w:sz w:val="18"/>
                <w:szCs w:val="18"/>
                <w:b w:val="1"/>
                <w:bCs w:val="1"/>
                <w:color w:val="auto"/>
              </w:rPr>
              <w:t>International</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5"/>
              </w:rPr>
              <w:t>Total 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0"/>
              </w:rPr>
              <w:t>(in thousands)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2010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197,515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1,108,084</w:t>
            </w: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(71,727)</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March 31, 2010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197,772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1,036,357</w:t>
            </w: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1,234,129</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500" w:type="dxa"/>
            <w:vAlign w:val="bottom"/>
            <w:gridSpan w:val="2"/>
          </w:tcPr>
          <w:p>
            <w:pPr>
              <w:spacing w:after="0"/>
              <w:rPr>
                <w:sz w:val="20"/>
                <w:szCs w:val="20"/>
                <w:color w:val="auto"/>
              </w:rPr>
            </w:pPr>
            <w:r>
              <w:rPr>
                <w:rFonts w:ascii="Arial" w:cs="Arial" w:eastAsia="Arial" w:hAnsi="Arial"/>
                <w:sz w:val="18"/>
                <w:szCs w:val="18"/>
                <w:color w:val="auto"/>
              </w:rPr>
              <w:t>Goodwill balance at January 1, 2011</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198,048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1,011,328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1,209,376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acquired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74,664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March 31, 2011</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198,377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1,096,075</w:t>
            </w: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1,294,452</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Debt</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5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gridSpan w:val="6"/>
          </w:tcPr>
          <w:p>
            <w:pPr>
              <w:spacing w:after="0"/>
              <w:rPr>
                <w:sz w:val="20"/>
                <w:szCs w:val="20"/>
                <w:color w:val="auto"/>
              </w:rPr>
            </w:pPr>
            <w:r>
              <w:rPr>
                <w:rFonts w:ascii="Arial" w:cs="Arial" w:eastAsia="Arial" w:hAnsi="Arial"/>
                <w:sz w:val="18"/>
                <w:szCs w:val="18"/>
                <w:b w:val="1"/>
                <w:bCs w:val="1"/>
                <w:color w:val="auto"/>
              </w:rPr>
              <w:t>At March 31,</w:t>
            </w:r>
          </w:p>
        </w:tc>
        <w:tc>
          <w:tcPr>
            <w:tcW w:w="1920" w:type="dxa"/>
            <w:vAlign w:val="bottom"/>
            <w:gridSpan w:val="5"/>
          </w:tcPr>
          <w:p>
            <w:pPr>
              <w:spacing w:after="0"/>
              <w:rPr>
                <w:sz w:val="20"/>
                <w:szCs w:val="20"/>
                <w:color w:val="auto"/>
              </w:rPr>
            </w:pPr>
            <w:r>
              <w:rPr>
                <w:rFonts w:ascii="Arial" w:cs="Arial" w:eastAsia="Arial" w:hAnsi="Arial"/>
                <w:sz w:val="18"/>
                <w:szCs w:val="18"/>
                <w:b w:val="1"/>
                <w:bCs w:val="1"/>
                <w:color w:val="auto"/>
              </w:rPr>
              <w:t>At December 31,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b w:val="1"/>
                <w:bCs w:val="1"/>
                <w:color w:val="auto"/>
                <w:w w:val="84"/>
              </w:rPr>
              <w:t>2011</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USD denominated term loan</w:t>
            </w: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202,129</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218,642</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 denominated term loan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150,205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174,031</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220,911</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573,245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610,941</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5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jc w:val="right"/>
              <w:ind w:right="212"/>
              <w:spacing w:after="0"/>
              <w:rPr>
                <w:sz w:val="20"/>
                <w:szCs w:val="20"/>
                <w:color w:val="auto"/>
              </w:rPr>
            </w:pPr>
            <w:r>
              <w:rPr>
                <w:rFonts w:ascii="Arial" w:cs="Arial" w:eastAsia="Arial" w:hAnsi="Arial"/>
                <w:sz w:val="18"/>
                <w:szCs w:val="18"/>
                <w:color w:val="auto"/>
              </w:rPr>
              <w:t>(231,682)</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(228,721)</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1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341,563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382,220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credit facility is dated April 18, 2007 and includes two amendments dated April 24, 2009 and February 10, 2010. The principal balance of our euro denominated term loan at March 31, 2011 and December 31, 2010 was €106.6 million and €132.4 million, respectively. Interest rates on the credit facility are based on the respective borrowing’s denominated London Interbank Offered Rate (LIBOR) or the Wells Fargo Bank, National Association’s prime rate, plus an additional margin subject to our consolidated leverage ratio. The additional interest rate margin was 3.50% at March 31, 2011. Our interest rates were 3.77% for the U.S. dollar denominated and 4.52% for the euro denominated term loans at March 31, 2011. Scheduled amortization of principal payments is 1% per year (0.25% quarterly) with an excess cash flow provision for additional annual principal repayment requirements. The amount of the excess cash flow provision payment varies according to our consolidated leverage ratio. Maturities of the term loans and the multicurrency revolving line of credit are in April 2014 and 2013, respectively. The credit facility is secured by substantially all of the assets of Itron, Inc. and our U.S. domestic operating subsidiaries and includes covenants, which contain certain financial ratios and place restrictions on the incurrence of debt, the payment of dividends, certain investments, incurrence of capital expenditures above a set limit, and mergers.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includes a multicurrency revolving line of credit, which was increased from $240 million to $315 million on January 20, 2011. The increase was completed under the terms of the February 10, 2010 amendment. Prepaid debt fees of $388,000 were capitalized associated with the increase in the credit line. There were no other changes to the credit facility.</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March 31, 2011, there were no borrowings outstanding under the revolving line of credit, and $59.7 million was utilized by outstanding standby letters of credit, resulting in $255.3 million being available for additional borrowings.</w:t>
      </w:r>
    </w:p>
    <w:p>
      <w:pPr>
        <w:spacing w:after="0" w:line="13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repaid $52.9 million and $52.8 million of the term loans during the three months ended March 31, 2011 and 2010, respectively. These term loan repayments were made with cash flows from operations and cash on hand. We were in compliance with the debt covenants under the credit facility at March 31, 2011.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are met or events occur,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w:t>
      </w:r>
    </w:p>
    <w:p>
      <w:pPr>
        <w:spacing w:after="0" w:line="51" w:lineRule="exact"/>
        <w:rPr>
          <w:sz w:val="20"/>
          <w:szCs w:val="20"/>
          <w:color w:val="auto"/>
        </w:rPr>
      </w:pPr>
    </w:p>
    <w:p>
      <w:pPr>
        <w:ind w:left="440" w:hanging="324"/>
        <w:spacing w:after="0" w:line="228" w:lineRule="auto"/>
        <w:tabs>
          <w:tab w:leader="none" w:pos="44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ectPr>
          <w:pgSz w:w="11900" w:h="16838" w:orient="portrait"/>
          <w:cols w:equalWidth="0" w:num="1">
            <w:col w:w="11420"/>
          </w:cols>
          <w:pgMar w:left="240" w:top="459" w:right="239" w:bottom="1440" w:gutter="0" w:footer="0" w:header="0"/>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1"/>
          <w:szCs w:val="11"/>
          <w:color w:val="auto"/>
        </w:rPr>
        <w: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between July 1, 2011 and August 1, 2011, and any time after August 1, 2024;</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average conversion value of the convertible notes;</w:t>
      </w:r>
    </w:p>
    <w:p>
      <w:pPr>
        <w:spacing w:after="0" w:line="30" w:lineRule="exact"/>
        <w:rPr>
          <w:sz w:val="20"/>
          <w:szCs w:val="20"/>
          <w:color w:val="auto"/>
        </w:rPr>
      </w:pPr>
    </w:p>
    <w:p>
      <w:pPr>
        <w:sectPr>
          <w:pgSz w:w="11900" w:h="16838" w:orient="portrait"/>
          <w:cols w:equalWidth="0" w:num="2">
            <w:col w:w="160" w:space="280"/>
            <w:col w:w="10980"/>
          </w:cols>
          <w:pgMar w:left="240" w:top="459" w:right="239" w:bottom="1440" w:gutter="0" w:footer="0" w:header="0"/>
          <w:type w:val="continuous"/>
        </w:sectPr>
      </w:pPr>
    </w:p>
    <w:p>
      <w:pPr>
        <w:ind w:left="120"/>
        <w:spacing w:after="0"/>
        <w:rPr>
          <w:sz w:val="20"/>
          <w:szCs w:val="20"/>
          <w:color w:val="auto"/>
        </w:rPr>
      </w:pPr>
      <w:r>
        <w:rPr>
          <w:rFonts w:ascii="Arial" w:cs="Arial" w:eastAsia="Arial" w:hAnsi="Arial"/>
          <w:sz w:val="11"/>
          <w:szCs w:val="11"/>
          <w:color w:val="auto"/>
        </w:rPr>
        <w: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if the convertible notes are called for redemption;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if a fundamental change occurs; or</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upon the occurrence of defined corporate events.</w:t>
      </w:r>
    </w:p>
    <w:p>
      <w:pPr>
        <w:spacing w:after="0" w:line="200" w:lineRule="exact"/>
        <w:rPr>
          <w:sz w:val="20"/>
          <w:szCs w:val="20"/>
          <w:color w:val="auto"/>
        </w:rPr>
      </w:pPr>
    </w:p>
    <w:p>
      <w:pPr>
        <w:sectPr>
          <w:pgSz w:w="11900" w:h="16838" w:orient="portrait"/>
          <w:cols w:equalWidth="0" w:num="2">
            <w:col w:w="160" w:space="280"/>
            <w:col w:w="10980"/>
          </w:cols>
          <w:pgMar w:left="240" w:top="459" w:right="239" w:bottom="1440" w:gutter="0" w:footer="0" w:header="0"/>
          <w:type w:val="continuous"/>
        </w:sectPr>
      </w:pPr>
    </w:p>
    <w:p>
      <w:pPr>
        <w:spacing w:after="0" w:line="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March 31, 2011 was $56.44 per share.</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10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w:t>
      </w:r>
    </w:p>
    <w:p>
      <w:pPr>
        <w:spacing w:after="0" w:line="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or after August 1, 2011, we have the option to redeem all or a portion of the convertible notes at a redemption price equal to 100% of the principal amount plus accrued and unpaid interest.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one U.S. subsidiary, which is 100% owned. The convertible notes contain covenants, which place restrictions on the incurrence of debt and certain mergers. We were in compliance with these debt covenants at March 31, 2011.</w:t>
      </w:r>
    </w:p>
    <w:p>
      <w:pPr>
        <w:spacing w:after="0" w:line="140"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The convertible notes are classified as current on the Consolidated Balance Sheet due to the combination of put, call, and conversion options occurring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convertible notes are separated between the liability and equity components using our estimated non-convertible debt borrowing rate at the time our convertible notes were issued, which was determined to be 7.38%. This rate also reflects the effective interest rate on the liability component. The carrying amounts of the debt and equity components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At March 31,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At December 31,</w:t>
            </w:r>
          </w:p>
        </w:tc>
      </w:tr>
      <w:tr>
        <w:trPr>
          <w:trHeight w:val="229"/>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Face value of convertible notes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223,604</w:t>
            </w: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Unamortized discount</w:t>
            </w:r>
          </w:p>
        </w:tc>
        <w:tc>
          <w:tcPr>
            <w:tcW w:w="200" w:type="dxa"/>
            <w:vAlign w:val="bottom"/>
          </w:tcPr>
          <w:p>
            <w:pPr>
              <w:spacing w:after="0"/>
              <w:rPr>
                <w:sz w:val="19"/>
                <w:szCs w:val="19"/>
                <w:color w:val="auto"/>
              </w:rPr>
            </w:pPr>
          </w:p>
        </w:tc>
        <w:tc>
          <w:tcPr>
            <w:tcW w:w="1680" w:type="dxa"/>
            <w:vAlign w:val="bottom"/>
            <w:gridSpan w:val="2"/>
          </w:tcPr>
          <w:p>
            <w:pPr>
              <w:jc w:val="right"/>
              <w:ind w:right="732"/>
              <w:spacing w:after="0"/>
              <w:rPr>
                <w:sz w:val="20"/>
                <w:szCs w:val="20"/>
                <w:color w:val="auto"/>
              </w:rPr>
            </w:pPr>
            <w:r>
              <w:rPr>
                <w:rFonts w:ascii="Arial" w:cs="Arial" w:eastAsia="Arial" w:hAnsi="Arial"/>
                <w:sz w:val="18"/>
                <w:szCs w:val="18"/>
                <w:color w:val="auto"/>
              </w:rPr>
              <w:t>(2,693)</w:t>
            </w:r>
          </w:p>
        </w:tc>
        <w:tc>
          <w:tcPr>
            <w:tcW w:w="3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(5,336)</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of debt component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220,911</w:t>
            </w:r>
          </w:p>
        </w:tc>
        <w:tc>
          <w:tcPr>
            <w:tcW w:w="8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218,268</w:t>
            </w:r>
          </w:p>
        </w:tc>
        <w:tc>
          <w:tcPr>
            <w:tcW w:w="100" w:type="dxa"/>
            <w:vAlign w:val="bottom"/>
            <w:shd w:val="clear" w:color="auto" w:fill="CCEEFF"/>
          </w:tcPr>
          <w:p>
            <w:pPr>
              <w:spacing w:after="0"/>
              <w:rPr>
                <w:sz w:val="18"/>
                <w:szCs w:val="18"/>
                <w:color w:val="auto"/>
              </w:rPr>
            </w:pPr>
          </w:p>
        </w:tc>
      </w:tr>
      <w:tr>
        <w:trPr>
          <w:trHeight w:val="20"/>
        </w:trPr>
        <w:tc>
          <w:tcPr>
            <w:tcW w:w="54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5440" w:type="dxa"/>
            <w:vAlign w:val="bottom"/>
            <w:gridSpan w:val="2"/>
          </w:tcPr>
          <w:p>
            <w:pPr>
              <w:spacing w:after="0"/>
              <w:rPr>
                <w:sz w:val="20"/>
                <w:szCs w:val="20"/>
                <w:color w:val="auto"/>
              </w:rPr>
            </w:pPr>
            <w:r>
              <w:rPr>
                <w:rFonts w:ascii="Arial" w:cs="Arial" w:eastAsia="Arial" w:hAnsi="Arial"/>
                <w:sz w:val="18"/>
                <w:szCs w:val="18"/>
                <w:color w:val="auto"/>
              </w:rPr>
              <w:t>Carrying amount of equity component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31,831</w:t>
            </w:r>
          </w:p>
        </w:tc>
        <w:tc>
          <w:tcPr>
            <w:tcW w:w="8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31,831</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coupon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on convertible notes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March 31, 2011, the remaining discount on the liability component will be amortized over the next three months due to the combination of put, call, and conversion options that are part of the terms of the convertible note agreement.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fair values of our derivative instruments are determined using the income approach and significant other observable inputs (also known as “Level 2”), as defined by FASB Accounting Standards Codification (ASC) 820-10-20,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We have used observable market inputs based on the type of derivative and the nature of the underlying instrument. The key inputs used at March 31, 2011 included interest rate yield curves (swap rates and futures) and foreign exchange spot and forward rates, all of which are available in an active market. We have utilized the mid-market pricing convention for these inputs at March 31, 2011.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our derivative instruments determined using the fair value measurement of significant other observable inputs (Level 2) at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0"/>
              </w:rPr>
              <w:t>Fair Value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32"/>
              <w:spacing w:after="0" w:line="197" w:lineRule="exact"/>
              <w:rPr>
                <w:sz w:val="20"/>
                <w:szCs w:val="20"/>
                <w:color w:val="auto"/>
              </w:rPr>
            </w:pPr>
            <w:r>
              <w:rPr>
                <w:rFonts w:ascii="Arial" w:cs="Arial" w:eastAsia="Arial" w:hAnsi="Arial"/>
                <w:sz w:val="18"/>
                <w:szCs w:val="18"/>
                <w:b w:val="1"/>
                <w:bCs w:val="1"/>
                <w:color w:val="auto"/>
              </w:rPr>
              <w:t>At</w:t>
            </w:r>
          </w:p>
        </w:tc>
        <w:tc>
          <w:tcPr>
            <w:tcW w:w="320" w:type="dxa"/>
            <w:vAlign w:val="bottom"/>
          </w:tcPr>
          <w:p>
            <w:pPr>
              <w:spacing w:after="0"/>
              <w:rPr>
                <w:sz w:val="17"/>
                <w:szCs w:val="17"/>
                <w:color w:val="auto"/>
              </w:rPr>
            </w:pPr>
          </w:p>
        </w:tc>
        <w:tc>
          <w:tcPr>
            <w:tcW w:w="720" w:type="dxa"/>
            <w:vAlign w:val="bottom"/>
          </w:tcPr>
          <w:p>
            <w:pPr>
              <w:jc w:val="right"/>
              <w:ind w:right="332"/>
              <w:spacing w:after="0" w:line="197" w:lineRule="exact"/>
              <w:rPr>
                <w:sz w:val="20"/>
                <w:szCs w:val="20"/>
                <w:color w:val="auto"/>
              </w:rPr>
            </w:pPr>
            <w:r>
              <w:rPr>
                <w:rFonts w:ascii="Arial" w:cs="Arial" w:eastAsia="Arial" w:hAnsi="Arial"/>
                <w:sz w:val="18"/>
                <w:szCs w:val="18"/>
                <w:b w:val="1"/>
                <w:bCs w:val="1"/>
                <w:color w:val="auto"/>
              </w:rPr>
              <w:t>At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Balance Sheet Location</w:t>
            </w:r>
          </w:p>
        </w:tc>
        <w:tc>
          <w:tcPr>
            <w:tcW w:w="320" w:type="dxa"/>
            <w:vAlign w:val="bottom"/>
            <w:vMerge w:val="restart"/>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40" w:type="dxa"/>
            <w:vAlign w:val="bottom"/>
            <w:tcBorders>
              <w:bottom w:val="single" w:sz="8" w:color="auto"/>
            </w:tcBorders>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Asset Derivatives</w:t>
            </w:r>
          </w:p>
        </w:tc>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w w:val="88"/>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Foreign exchange forward contracts</w:t>
            </w:r>
          </w:p>
        </w:tc>
        <w:tc>
          <w:tcPr>
            <w:tcW w:w="43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Liability Derivatives</w:t>
            </w: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720" w:type="dxa"/>
            <w:vAlign w:val="bottom"/>
            <w:gridSpan w:val="4"/>
            <w:vMerge w:val="continue"/>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90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Interest rate swap contracts</w:t>
            </w:r>
          </w:p>
        </w:tc>
        <w:tc>
          <w:tcPr>
            <w:tcW w:w="43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rPr>
              <w:t>(4,082)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rate swap contracts</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Euro denominated term loan *</w:t>
            </w:r>
          </w:p>
        </w:tc>
        <w:tc>
          <w:tcPr>
            <w:tcW w:w="4360" w:type="dxa"/>
            <w:vAlign w:val="bottom"/>
            <w:gridSpan w:val="2"/>
          </w:tcPr>
          <w:p>
            <w:pPr>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24"/>
                <w:szCs w:val="24"/>
                <w:color w:val="auto"/>
              </w:rPr>
            </w:pP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rPr>
              <w:t>(4,720)</w:t>
            </w:r>
          </w:p>
        </w:tc>
        <w:tc>
          <w:tcPr>
            <w:tcW w:w="3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Euro denominated term loan *</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0"/>
              </w:rPr>
              <w:t>(145,485)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(169,629)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rPr>
              <w:t>Total derivatives designated as hedging instruments under ASC 815-20</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9060" w:type="dxa"/>
            <w:vAlign w:val="bottom"/>
            <w:gridSpan w:val="5"/>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w w:val="90"/>
              </w:rPr>
              <w:t>(154,701)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(180,851)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200"/>
              <w:spacing w:after="0"/>
              <w:rPr>
                <w:sz w:val="20"/>
                <w:szCs w:val="20"/>
                <w:color w:val="auto"/>
              </w:rPr>
            </w:pPr>
            <w:r>
              <w:rPr>
                <w:rFonts w:ascii="Arial" w:cs="Arial" w:eastAsia="Arial" w:hAnsi="Arial"/>
                <w:sz w:val="18"/>
                <w:szCs w:val="18"/>
                <w:color w:val="auto"/>
              </w:rPr>
              <w:t>Foreign exchange forward contracts</w:t>
            </w:r>
          </w:p>
        </w:tc>
        <w:tc>
          <w:tcPr>
            <w:tcW w:w="43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72"/>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liability derivatives</w:t>
            </w:r>
          </w:p>
        </w:tc>
        <w:tc>
          <w:tcPr>
            <w:tcW w:w="4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0"/>
              </w:rPr>
              <w:t>(154,821)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
        <w:spacing w:after="0" w:line="268" w:lineRule="auto"/>
        <w:tabs>
          <w:tab w:leader="none" w:pos="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euro denominated term loan is a nonderivative financial instrument designated as a hedge of our net investment in international operations. It is recorded at its carrying value in the Consolidated Balance Sheets and is not recorded at fair value.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w w:val="70"/>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January 1,</w:t>
            </w:r>
          </w:p>
        </w:tc>
        <w:tc>
          <w:tcPr>
            <w:tcW w:w="29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 (10,034)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(30,300)</w:t>
            </w: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Unrealized gain (loss) on derivative instruments</w:t>
            </w:r>
          </w:p>
        </w:tc>
        <w:tc>
          <w:tcPr>
            <w:tcW w:w="2900" w:type="dxa"/>
            <w:vAlign w:val="bottom"/>
            <w:gridSpan w:val="3"/>
          </w:tcPr>
          <w:p>
            <w:pPr>
              <w:jc w:val="right"/>
              <w:ind w:right="112"/>
              <w:spacing w:after="0"/>
              <w:rPr>
                <w:sz w:val="20"/>
                <w:szCs w:val="20"/>
                <w:color w:val="auto"/>
              </w:rPr>
            </w:pPr>
            <w:r>
              <w:rPr>
                <w:rFonts w:ascii="Arial" w:cs="Arial" w:eastAsia="Arial" w:hAnsi="Arial"/>
                <w:sz w:val="18"/>
                <w:szCs w:val="18"/>
                <w:color w:val="auto"/>
              </w:rPr>
              <w:t>60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(2,025)</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29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(7,810)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11,444</w:t>
            </w: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Realized (gains) losses reclassified into net income (loss)</w:t>
            </w:r>
          </w:p>
        </w:tc>
        <w:tc>
          <w:tcPr>
            <w:tcW w:w="20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March 31,</w:t>
            </w:r>
          </w:p>
        </w:tc>
        <w:tc>
          <w:tcPr>
            <w:tcW w:w="29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(16,342)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(18,679)</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increases in the LIBOR base borrowing rates on our floating rate credit facility. The swaps do not protect us from changes to the applicable margin under our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one-year pay-fixed receive one-month LIBOR interest rate swaps to convert $200 million of our U.S. dollar term loan from a floating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interest rate to a fixed interest rate. Our outstanding swaps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w w:val="87"/>
              </w:rPr>
              <w:t>Transaction Date</w:t>
            </w:r>
          </w:p>
        </w:tc>
        <w:tc>
          <w:tcPr>
            <w:tcW w:w="166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Effective Date of Swap</w:t>
            </w:r>
          </w:p>
        </w:tc>
        <w:tc>
          <w:tcPr>
            <w:tcW w:w="164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Notional amount</w:t>
            </w:r>
          </w:p>
        </w:tc>
        <w:tc>
          <w:tcPr>
            <w:tcW w:w="17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Fixed Interest Rate</w:t>
            </w:r>
          </w:p>
        </w:tc>
      </w:tr>
      <w:tr>
        <w:trPr>
          <w:trHeight w:val="211"/>
        </w:trPr>
        <w:tc>
          <w:tcPr>
            <w:tcW w:w="1340" w:type="dxa"/>
            <w:vAlign w:val="bottom"/>
            <w:tcBorders>
              <w:top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5"/>
              </w:rPr>
              <w:t>(in thousands)</w:t>
            </w:r>
          </w:p>
        </w:tc>
        <w:tc>
          <w:tcPr>
            <w:tcW w:w="17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July 1, 2009</w:t>
            </w:r>
          </w:p>
        </w:tc>
        <w:tc>
          <w:tcPr>
            <w:tcW w:w="3760" w:type="dxa"/>
            <w:vAlign w:val="bottom"/>
            <w:gridSpan w:val="2"/>
            <w:shd w:val="clear" w:color="auto" w:fill="CCEEFF"/>
          </w:tcPr>
          <w:p>
            <w:pPr>
              <w:jc w:val="center"/>
              <w:ind w:left="1572"/>
              <w:spacing w:after="0"/>
              <w:rPr>
                <w:sz w:val="20"/>
                <w:szCs w:val="20"/>
                <w:color w:val="auto"/>
              </w:rPr>
            </w:pPr>
            <w:r>
              <w:rPr>
                <w:rFonts w:ascii="Arial" w:cs="Arial" w:eastAsia="Arial" w:hAnsi="Arial"/>
                <w:sz w:val="18"/>
                <w:szCs w:val="18"/>
                <w:color w:val="auto"/>
                <w:w w:val="85"/>
              </w:rPr>
              <w:t>June 30, 2010 - June 30, 2011</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r>
        <w:trPr>
          <w:trHeight w:val="322"/>
        </w:trPr>
        <w:tc>
          <w:tcPr>
            <w:tcW w:w="1340" w:type="dxa"/>
            <w:vAlign w:val="bottom"/>
          </w:tcPr>
          <w:p>
            <w:pPr>
              <w:spacing w:after="0"/>
              <w:rPr>
                <w:sz w:val="20"/>
                <w:szCs w:val="20"/>
                <w:color w:val="auto"/>
              </w:rPr>
            </w:pPr>
            <w:r>
              <w:rPr>
                <w:rFonts w:ascii="Arial" w:cs="Arial" w:eastAsia="Arial" w:hAnsi="Arial"/>
                <w:sz w:val="18"/>
                <w:szCs w:val="18"/>
                <w:color w:val="auto"/>
              </w:rPr>
              <w:t>July 1, 2009</w:t>
            </w:r>
          </w:p>
        </w:tc>
        <w:tc>
          <w:tcPr>
            <w:tcW w:w="3760" w:type="dxa"/>
            <w:vAlign w:val="bottom"/>
            <w:gridSpan w:val="2"/>
          </w:tcPr>
          <w:p>
            <w:pPr>
              <w:jc w:val="center"/>
              <w:ind w:left="1572"/>
              <w:spacing w:after="0"/>
              <w:rPr>
                <w:sz w:val="20"/>
                <w:szCs w:val="20"/>
                <w:color w:val="auto"/>
              </w:rPr>
            </w:pPr>
            <w:r>
              <w:rPr>
                <w:rFonts w:ascii="Arial" w:cs="Arial" w:eastAsia="Arial" w:hAnsi="Arial"/>
                <w:sz w:val="18"/>
                <w:szCs w:val="18"/>
                <w:color w:val="auto"/>
                <w:w w:val="85"/>
              </w:rPr>
              <w:t>June 30, 2010 - June 30, 2011</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0" w:type="dxa"/>
            <w:vAlign w:val="bottom"/>
            <w:gridSpan w:val="3"/>
          </w:tcPr>
          <w:p>
            <w:pPr>
              <w:jc w:val="right"/>
              <w:ind w:right="60"/>
              <w:spacing w:after="0"/>
              <w:rPr>
                <w:sz w:val="20"/>
                <w:szCs w:val="20"/>
                <w:color w:val="auto"/>
              </w:rPr>
            </w:pPr>
            <w:r>
              <w:rPr>
                <w:rFonts w:ascii="Arial" w:cs="Arial" w:eastAsia="Arial" w:hAnsi="Arial"/>
                <w:sz w:val="18"/>
                <w:szCs w:val="18"/>
                <w:color w:val="auto"/>
              </w:rPr>
              <w:t>2.11%</w:t>
            </w:r>
          </w:p>
        </w:tc>
      </w:tr>
    </w:tbl>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March 31, 2011 and December 31, 2010, our U.S. dollar term loan had a balance of $202.1 million and $218.6 million, respectively. The cash flow hedges have been and are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amounts paid or received on the hedge are recognized as adjustments to interest expense. The amount of net losses expected to be reclassified into earnings in the next 12 months is approximately $945,000, which was based on the Reuters U.S. dollar swap yield curve as of March 31, 2011.</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through December 31, 2012.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$136.1 million (€96.6 million) and $147.7 million (€112.4 million) as of March 31, 2011 and December 31, 2010, respectively. The amount of net losses expected to be reclassified into earnings in the next 12 months is approximately $2.9 million (€2.1 million), which was based on the Reuters euro swap yield curve as of March 31, 2011.</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three months ended March 31 are as follows:</w:t>
      </w:r>
    </w:p>
    <w:p>
      <w:pPr>
        <w:sectPr>
          <w:pgSz w:w="11900" w:h="16838" w:orient="portrait"/>
          <w:cols w:equalWidth="0" w:num="1">
            <w:col w:w="11420"/>
          </w:cols>
          <w:pgMar w:left="240" w:top="459" w:right="23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Amount of Gain (Loss)</w:t>
            </w:r>
          </w:p>
        </w:tc>
        <w:tc>
          <w:tcPr>
            <w:tcW w:w="0" w:type="dxa"/>
            <w:vAlign w:val="bottom"/>
          </w:tcPr>
          <w:p>
            <w:pPr>
              <w:spacing w:after="0"/>
              <w:rPr>
                <w:sz w:val="1"/>
                <w:szCs w:val="1"/>
                <w:color w:val="auto"/>
              </w:rPr>
            </w:pPr>
          </w:p>
        </w:tc>
      </w:tr>
      <w:tr>
        <w:trPr>
          <w:trHeight w:val="149"/>
        </w:trPr>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Derivatives in ASC 815-20 Cash</w:t>
            </w:r>
          </w:p>
        </w:tc>
        <w:tc>
          <w:tcPr>
            <w:tcW w:w="160" w:type="dxa"/>
            <w:vAlign w:val="bottom"/>
          </w:tcPr>
          <w:p>
            <w:pPr>
              <w:spacing w:after="0"/>
              <w:rPr>
                <w:sz w:val="12"/>
                <w:szCs w:val="12"/>
                <w:color w:val="auto"/>
              </w:rPr>
            </w:pPr>
          </w:p>
        </w:tc>
        <w:tc>
          <w:tcPr>
            <w:tcW w:w="14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Recognized in OCI on</w:t>
            </w:r>
          </w:p>
        </w:tc>
        <w:tc>
          <w:tcPr>
            <w:tcW w:w="0" w:type="dxa"/>
            <w:vAlign w:val="bottom"/>
          </w:tcPr>
          <w:p>
            <w:pPr>
              <w:spacing w:after="0"/>
              <w:rPr>
                <w:sz w:val="1"/>
                <w:szCs w:val="1"/>
                <w:color w:val="auto"/>
              </w:rPr>
            </w:pPr>
          </w:p>
        </w:tc>
      </w:tr>
      <w:tr>
        <w:trPr>
          <w:trHeight w:val="135"/>
        </w:trPr>
        <w:tc>
          <w:tcPr>
            <w:tcW w:w="3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Derivative (Effective</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Flow Hedging Relationships</w:t>
            </w:r>
          </w:p>
        </w:tc>
        <w:tc>
          <w:tcPr>
            <w:tcW w:w="16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89"/>
              </w:rPr>
              <w:t>Portion)</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w w:val="74"/>
              </w:rPr>
              <w:t>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40"/>
              <w:spacing w:after="0"/>
              <w:rPr>
                <w:sz w:val="20"/>
                <w:szCs w:val="20"/>
                <w:color w:val="auto"/>
              </w:rPr>
            </w:pPr>
            <w:r>
              <w:rPr>
                <w:rFonts w:ascii="Arial" w:cs="Arial" w:eastAsia="Arial" w:hAnsi="Arial"/>
                <w:sz w:val="14"/>
                <w:szCs w:val="14"/>
                <w:color w:val="auto"/>
              </w:rPr>
              <w:t>Interest rate swap contracts</w:t>
            </w:r>
          </w:p>
        </w:tc>
        <w:tc>
          <w:tcPr>
            <w:tcW w:w="980" w:type="dxa"/>
            <w:vAlign w:val="bottom"/>
            <w:gridSpan w:val="3"/>
          </w:tcPr>
          <w:p>
            <w:pPr>
              <w:jc w:val="right"/>
              <w:ind w:right="152"/>
              <w:spacing w:after="0"/>
              <w:rPr>
                <w:sz w:val="20"/>
                <w:szCs w:val="20"/>
                <w:color w:val="auto"/>
              </w:rPr>
            </w:pPr>
            <w:r>
              <w:rPr>
                <w:rFonts w:ascii="Arial" w:cs="Arial" w:eastAsia="Arial" w:hAnsi="Arial"/>
                <w:sz w:val="14"/>
                <w:szCs w:val="14"/>
                <w:color w:val="auto"/>
              </w:rPr>
              <w:t>$  (2,328)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89"/>
              </w:rPr>
              <w:t>Gain (Loss) Reclassified from Accumulated</w:t>
            </w:r>
          </w:p>
        </w:tc>
        <w:tc>
          <w:tcPr>
            <w:tcW w:w="300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87"/>
              </w:rPr>
              <w:t>Gain (Loss) Recognized in Income on Derivative</w:t>
            </w:r>
          </w:p>
        </w:tc>
      </w:t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w w:val="91"/>
              </w:rPr>
              <w:t>OCI into Income</w:t>
            </w:r>
          </w:p>
        </w:tc>
        <w:tc>
          <w:tcPr>
            <w:tcW w:w="1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9"/>
              </w:rPr>
              <w:t>(Effective Portion)</w:t>
            </w:r>
          </w:p>
        </w:tc>
        <w:tc>
          <w:tcPr>
            <w:tcW w:w="2400" w:type="dxa"/>
            <w:vAlign w:val="bottom"/>
            <w:gridSpan w:val="5"/>
          </w:tcPr>
          <w:p>
            <w:pPr>
              <w:jc w:val="center"/>
              <w:ind w:left="492"/>
              <w:spacing w:after="0"/>
              <w:rPr>
                <w:sz w:val="20"/>
                <w:szCs w:val="20"/>
                <w:color w:val="auto"/>
              </w:rPr>
            </w:pPr>
            <w:r>
              <w:rPr>
                <w:rFonts w:ascii="Arial" w:cs="Arial" w:eastAsia="Arial" w:hAnsi="Arial"/>
                <w:sz w:val="14"/>
                <w:szCs w:val="14"/>
                <w:b w:val="1"/>
                <w:bCs w:val="1"/>
                <w:color w:val="auto"/>
                <w:w w:val="88"/>
              </w:rPr>
              <w:t>(Ineffective Portion)</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30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Location</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2"/>
        </w:trPr>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76"/>
              </w:rPr>
              <w:t>2010</w:t>
            </w:r>
          </w:p>
        </w:tc>
        <w:tc>
          <w:tcPr>
            <w:tcW w:w="2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2010</w:t>
            </w:r>
          </w:p>
        </w:tc>
        <w:tc>
          <w:tcPr>
            <w:tcW w:w="40" w:type="dxa"/>
            <w:vAlign w:val="bottom"/>
          </w:tcPr>
          <w:p>
            <w:pPr>
              <w:spacing w:after="0"/>
              <w:rPr>
                <w:sz w:val="12"/>
                <w:szCs w:val="12"/>
                <w:color w:val="auto"/>
              </w:rPr>
            </w:pPr>
          </w:p>
        </w:tc>
      </w:tr>
      <w:tr>
        <w:trPr>
          <w:trHeight w:val="168"/>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76"/>
              </w:rPr>
              <w:t>thousands)</w:t>
            </w:r>
          </w:p>
        </w:tc>
        <w:tc>
          <w:tcPr>
            <w:tcW w:w="40" w:type="dxa"/>
            <w:vAlign w:val="bottom"/>
          </w:tcPr>
          <w:p>
            <w:pPr>
              <w:spacing w:after="0"/>
              <w:rPr>
                <w:sz w:val="14"/>
                <w:szCs w:val="14"/>
                <w:color w:val="auto"/>
              </w:rPr>
            </w:pPr>
          </w:p>
        </w:tc>
      </w:tr>
      <w:tr>
        <w:trPr>
          <w:trHeight w:val="392"/>
        </w:trPr>
        <w:tc>
          <w:tcPr>
            <w:tcW w:w="1300" w:type="dxa"/>
            <w:vAlign w:val="bottom"/>
            <w:gridSpan w:val="2"/>
          </w:tcPr>
          <w:p>
            <w:pPr>
              <w:ind w:left="260"/>
              <w:spacing w:after="0"/>
              <w:rPr>
                <w:sz w:val="20"/>
                <w:szCs w:val="20"/>
                <w:color w:val="auto"/>
              </w:rPr>
            </w:pPr>
            <w:r>
              <w:rPr>
                <w:rFonts w:ascii="Arial" w:cs="Arial" w:eastAsia="Arial" w:hAnsi="Arial"/>
                <w:sz w:val="14"/>
                <w:szCs w:val="14"/>
                <w:color w:val="auto"/>
                <w:w w:val="98"/>
              </w:rPr>
              <w:t>Interest expense</w:t>
            </w:r>
          </w:p>
        </w:tc>
        <w:tc>
          <w:tcPr>
            <w:tcW w:w="840" w:type="dxa"/>
            <w:vAlign w:val="bottom"/>
            <w:gridSpan w:val="3"/>
          </w:tcPr>
          <w:p>
            <w:pPr>
              <w:jc w:val="right"/>
              <w:ind w:right="132"/>
              <w:spacing w:after="0"/>
              <w:rPr>
                <w:sz w:val="20"/>
                <w:szCs w:val="20"/>
                <w:color w:val="auto"/>
              </w:rPr>
            </w:pPr>
            <w:r>
              <w:rPr>
                <w:rFonts w:ascii="Arial" w:cs="Arial" w:eastAsia="Arial" w:hAnsi="Arial"/>
                <w:sz w:val="14"/>
                <w:szCs w:val="14"/>
                <w:color w:val="auto"/>
              </w:rPr>
              <w:t>$  (2,383)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(3,572)</w:t>
            </w:r>
          </w:p>
        </w:tc>
        <w:tc>
          <w:tcPr>
            <w:tcW w:w="1620" w:type="dxa"/>
            <w:vAlign w:val="bottom"/>
            <w:gridSpan w:val="2"/>
          </w:tcPr>
          <w:p>
            <w:pPr>
              <w:ind w:left="500"/>
              <w:spacing w:after="0"/>
              <w:rPr>
                <w:sz w:val="20"/>
                <w:szCs w:val="20"/>
                <w:color w:val="auto"/>
              </w:rPr>
            </w:pPr>
            <w:r>
              <w:rPr>
                <w:rFonts w:ascii="Arial" w:cs="Arial" w:eastAsia="Arial" w:hAnsi="Arial"/>
                <w:sz w:val="14"/>
                <w:szCs w:val="14"/>
                <w:color w:val="auto"/>
              </w:rPr>
              <w:t>Interest expense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72"/>
              <w:spacing w:after="0"/>
              <w:rPr>
                <w:sz w:val="20"/>
                <w:szCs w:val="20"/>
                <w:color w:val="auto"/>
              </w:rPr>
            </w:pPr>
            <w:r>
              <w:rPr>
                <w:rFonts w:ascii="Arial" w:cs="Arial" w:eastAsia="Arial" w:hAnsi="Arial"/>
                <w:sz w:val="14"/>
                <w:szCs w:val="14"/>
                <w:color w:val="auto"/>
              </w:rPr>
              <w:t>(49)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-264795</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160"/>
            <w:col w:w="5960"/>
          </w:cols>
          <w:pgMar w:left="240" w:top="459" w:right="239" w:bottom="1440" w:gutter="0" w:footer="0" w:header="0"/>
          <w:type w:val="continuous"/>
        </w:sectPr>
      </w:pP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Investment Hedge</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declines each quarter due to repayments and was $150.2 million (€106.6 million) and $174.0 million (€132.4 million) as of March 31, 2011 and December 31, 2010, respectively. We had no hedge ineffectiveness.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before tax and net of tax effects of our net investment hedge nonderivative financial instrument on OCI for the three months ended March 31are as follows:</w:t>
      </w:r>
    </w:p>
    <w:p>
      <w:pPr>
        <w:sectPr>
          <w:pgSz w:w="11900" w:h="16838" w:orient="portrait"/>
          <w:cols w:equalWidth="0" w:num="1">
            <w:col w:w="11420"/>
          </w:cols>
          <w:pgMar w:left="240" w:top="459" w:right="239" w:bottom="1440" w:gutter="0" w:footer="0" w:header="0"/>
          <w:type w:val="continuous"/>
        </w:sectPr>
      </w:pP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Nonderivative Financial Instruments in ASC 815-20 Net</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Investment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93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480"/>
        <w:spacing w:after="0"/>
        <w:rPr>
          <w:sz w:val="20"/>
          <w:szCs w:val="20"/>
          <w:color w:val="auto"/>
        </w:rPr>
      </w:pPr>
      <w:r>
        <w:rPr>
          <w:rFonts w:ascii="Arial" w:cs="Arial" w:eastAsia="Arial" w:hAnsi="Arial"/>
          <w:sz w:val="15"/>
          <w:szCs w:val="15"/>
          <w:b w:val="1"/>
          <w:bCs w:val="1"/>
          <w:color w:val="auto"/>
        </w:rPr>
        <w:t>Euro Denominated Term Loan Designated as a Hedge</w:t>
      </w:r>
    </w:p>
    <w:p>
      <w:pPr>
        <w:spacing w:after="0" w:line="56"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of Our Net Investment in International Operations</w:t>
      </w:r>
    </w:p>
    <w:p>
      <w:pPr>
        <w:spacing w:after="0" w:line="3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-130175</wp:posOffset>
            </wp:positionV>
            <wp:extent cx="305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sectPr>
          <w:pgSz w:w="11900" w:h="16838" w:orient="portrait"/>
          <w:cols w:equalWidth="0" w:num="2">
            <w:col w:w="6180" w:space="720"/>
            <w:col w:w="45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2011</w:t>
            </w: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08"/>
        </w:trPr>
        <w:tc>
          <w:tcPr>
            <w:tcW w:w="6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Gain (loss) recognized in OCI on derivative (Effective Portion)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2600" w:type="dxa"/>
            <w:vAlign w:val="bottom"/>
            <w:gridSpan w:val="2"/>
          </w:tcPr>
          <w:p>
            <w:pPr>
              <w:jc w:val="right"/>
              <w:ind w:right="1012"/>
              <w:spacing w:after="0"/>
              <w:rPr>
                <w:sz w:val="20"/>
                <w:szCs w:val="20"/>
                <w:color w:val="auto"/>
              </w:rPr>
            </w:pPr>
            <w:r>
              <w:rPr>
                <w:rFonts w:ascii="Arial" w:cs="Arial" w:eastAsia="Arial" w:hAnsi="Arial"/>
                <w:sz w:val="18"/>
                <w:szCs w:val="18"/>
                <w:color w:val="auto"/>
              </w:rPr>
              <w:t>(12,580)</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18,555</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260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(7,810)</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113 contracts were entered into during the three months ended March 31,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 of our foreign exchange option and forward derivative instruments on the Consolidated Statements of Operations for the three months ended March 31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6"/>
              </w:rPr>
              <w:t>Gain (Loss) Recognized on Derivatives in</w:t>
            </w:r>
          </w:p>
        </w:tc>
      </w:tr>
      <w:tr>
        <w:trPr>
          <w:trHeight w:val="228"/>
        </w:trPr>
        <w:tc>
          <w:tcPr>
            <w:tcW w:w="6520" w:type="dxa"/>
            <w:vAlign w:val="bottom"/>
          </w:tcPr>
          <w:p>
            <w:pPr>
              <w:jc w:val="center"/>
              <w:spacing w:after="0"/>
              <w:rPr>
                <w:sz w:val="20"/>
                <w:szCs w:val="20"/>
                <w:color w:val="auto"/>
              </w:rPr>
            </w:pPr>
            <w:r>
              <w:rPr>
                <w:rFonts w:ascii="Arial" w:cs="Arial" w:eastAsia="Arial" w:hAnsi="Arial"/>
                <w:sz w:val="18"/>
                <w:szCs w:val="18"/>
                <w:b w:val="1"/>
                <w:bCs w:val="1"/>
                <w:color w:val="auto"/>
                <w:w w:val="87"/>
              </w:rPr>
              <w:t>Derivatives Not Designated as Hedging</w:t>
            </w: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8"/>
                <w:szCs w:val="18"/>
                <w:b w:val="1"/>
                <w:bCs w:val="1"/>
                <w:color w:val="auto"/>
                <w:w w:val="88"/>
              </w:rPr>
              <w:t>Other Income (Expense)</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Instrument under ASC 815-20</w:t>
            </w: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8"/>
                <w:szCs w:val="18"/>
                <w:b w:val="1"/>
                <w:bCs w:val="1"/>
                <w:color w:val="auto"/>
                <w:w w:val="90"/>
              </w:rPr>
              <w:t>Three Months Ended March 31,</w:t>
            </w:r>
          </w:p>
        </w:tc>
        <w:tc>
          <w:tcPr>
            <w:tcW w:w="100" w:type="dxa"/>
            <w:vAlign w:val="bottom"/>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2011</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option and forward contracts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(2,082)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r>
    </w:tbl>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both funded and unfunded defined benefit pension plans for our employees in Germany, France, Spain, Italy, Belgium, Chile, Hungary, and Indonesia offering death and disability, retirement, and special termination benefits. The defined benefit obligation is calculated annually by using the projected unit credit method. The measurement date for the pension plans was December 31, 2010.</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At March 31,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At December 31,</w:t>
            </w:r>
          </w:p>
        </w:tc>
      </w:tr>
      <w:tr>
        <w:trPr>
          <w:trHeight w:val="229"/>
        </w:trPr>
        <w:tc>
          <w:tcPr>
            <w:tcW w:w="8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1"/>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Plan assets in other long term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2,835</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pension plan liability</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66,865</w:t>
            </w:r>
          </w:p>
        </w:tc>
        <w:tc>
          <w:tcPr>
            <w:tcW w:w="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61,450</w:t>
            </w:r>
          </w:p>
        </w:tc>
        <w:tc>
          <w:tcPr>
            <w:tcW w:w="100" w:type="dxa"/>
            <w:vAlign w:val="bottom"/>
            <w:shd w:val="clear" w:color="auto" w:fill="CCEEFF"/>
          </w:tcPr>
          <w:p>
            <w:pPr>
              <w:spacing w:after="0"/>
              <w:rPr>
                <w:sz w:val="18"/>
                <w:szCs w:val="18"/>
                <w:color w:val="auto"/>
              </w:rPr>
            </w:pPr>
          </w:p>
        </w:tc>
      </w:tr>
      <w:tr>
        <w:trPr>
          <w:trHeight w:val="222"/>
        </w:trPr>
        <w:tc>
          <w:tcPr>
            <w:tcW w:w="8160" w:type="dxa"/>
            <w:vAlign w:val="bottom"/>
          </w:tcPr>
          <w:p>
            <w:pPr>
              <w:ind w:left="440"/>
              <w:spacing w:after="0"/>
              <w:rPr>
                <w:sz w:val="20"/>
                <w:szCs w:val="20"/>
                <w:color w:val="auto"/>
              </w:rPr>
            </w:pPr>
            <w:r>
              <w:rPr>
                <w:rFonts w:ascii="Arial" w:cs="Arial" w:eastAsia="Arial" w:hAnsi="Arial"/>
                <w:sz w:val="18"/>
                <w:szCs w:val="18"/>
                <w:color w:val="auto"/>
              </w:rPr>
              <w:t>Net pension plan benefit liability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69,242</w:t>
            </w:r>
          </w:p>
        </w:tc>
        <w:tc>
          <w:tcPr>
            <w:tcW w:w="9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63,694</w:t>
            </w:r>
          </w:p>
        </w:tc>
      </w:tr>
      <w:tr>
        <w:trPr>
          <w:trHeight w:val="20"/>
        </w:trPr>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$354,000 and $5,000 to the defined benefit pension plans for the three months ended March 31, 2011 and 2010, respectively. The timing of when contributions are made can vary by plan and from year to year. For 2011, assuming that actual plan asset returns are consistent with our expected rate of return, and that interest rates remain constant, we expect to contribute approximately $500,000 to our defined benefit pension plans. We contributed $519,000 to the defined benefit pension plans for the year ended December 31,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1"/>
        </w:trPr>
        <w:tc>
          <w:tcPr>
            <w:tcW w:w="5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08"/>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77"/>
              </w:rPr>
              <w:t>(in thousands)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actuarial net loss (gain)</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500" w:type="dxa"/>
            <w:vAlign w:val="bottom"/>
          </w:tcPr>
          <w:p>
            <w:pPr>
              <w:ind w:left="440"/>
              <w:spacing w:after="0"/>
              <w:rPr>
                <w:sz w:val="20"/>
                <w:szCs w:val="20"/>
                <w:color w:val="auto"/>
              </w:rPr>
            </w:pPr>
            <w:r>
              <w:rPr>
                <w:rFonts w:ascii="Arial" w:cs="Arial" w:eastAsia="Arial" w:hAnsi="Arial"/>
                <w:sz w:val="18"/>
                <w:szCs w:val="18"/>
                <w:color w:val="auto"/>
              </w:rPr>
              <w:t>Net periodic benefit cost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1,486</w:t>
            </w:r>
          </w:p>
        </w:tc>
        <w:tc>
          <w:tcPr>
            <w:tcW w:w="5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r>
      <w:tr>
        <w:trPr>
          <w:trHeight w:val="20"/>
        </w:trPr>
        <w:tc>
          <w:tcPr>
            <w:tcW w:w="5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three months ended March 31, stock-based compensation expense and the related tax benefit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5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jc w:val="right"/>
              <w:ind w:right="43"/>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3,551</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Unrestricted stock awards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ESPP</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5620" w:type="dxa"/>
            <w:vAlign w:val="bottom"/>
          </w:tcPr>
          <w:p>
            <w:pPr>
              <w:spacing w:after="0"/>
              <w:rPr>
                <w:sz w:val="20"/>
                <w:szCs w:val="20"/>
                <w:color w:val="auto"/>
              </w:rPr>
            </w:pPr>
            <w:r>
              <w:rPr>
                <w:rFonts w:ascii="Arial" w:cs="Arial" w:eastAsia="Arial" w:hAnsi="Arial"/>
                <w:sz w:val="18"/>
                <w:szCs w:val="18"/>
                <w:color w:val="auto"/>
              </w:rPr>
              <w:t>Related tax benefit</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80" w:type="dxa"/>
            <w:vAlign w:val="bottom"/>
          </w:tcPr>
          <w:p>
            <w:pPr>
              <w:spacing w:after="0"/>
              <w:rPr>
                <w:sz w:val="24"/>
                <w:szCs w:val="24"/>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issue new shares of common stock upon the exercise of stock options or when vesting conditions on restricted stock units are fully satisfied.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6"/>
              </w:rPr>
              <w:t>Employee Stock Options</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2"/>
        </w:trPr>
        <w:tc>
          <w:tcPr>
            <w:tcW w:w="4840" w:type="dxa"/>
            <w:vAlign w:val="bottom"/>
          </w:tcPr>
          <w:p>
            <w:pPr>
              <w:spacing w:after="0"/>
              <w:rPr>
                <w:sz w:val="18"/>
                <w:szCs w:val="18"/>
                <w:color w:val="auto"/>
              </w:rPr>
            </w:pPr>
          </w:p>
        </w:tc>
        <w:tc>
          <w:tcPr>
            <w:tcW w:w="3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Three Months Ended March 31,</w:t>
            </w:r>
          </w:p>
        </w:tc>
        <w:tc>
          <w:tcPr>
            <w:tcW w:w="200" w:type="dxa"/>
            <w:vAlign w:val="bottom"/>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2700" w:type="dxa"/>
            <w:vAlign w:val="bottom"/>
            <w:gridSpan w:val="2"/>
          </w:tcPr>
          <w:p>
            <w:pPr>
              <w:jc w:val="right"/>
              <w:ind w:right="1572"/>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gridSpan w:val="2"/>
            <w:shd w:val="clear" w:color="auto" w:fill="CCEEFF"/>
          </w:tcPr>
          <w:p>
            <w:pPr>
              <w:jc w:val="right"/>
              <w:ind w:right="1572"/>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Expected life (years)</w:t>
            </w: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9"/>
                <w:szCs w:val="19"/>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gridSpan w:val="3"/>
          </w:tcPr>
          <w:p>
            <w:pPr>
              <w:jc w:val="right"/>
              <w:ind w:right="1620"/>
              <w:spacing w:after="0"/>
              <w:rPr>
                <w:sz w:val="20"/>
                <w:szCs w:val="20"/>
                <w:color w:val="auto"/>
              </w:rPr>
            </w:pPr>
            <w:r>
              <w:rPr>
                <w:rFonts w:ascii="Arial" w:cs="Arial" w:eastAsia="Arial" w:hAnsi="Arial"/>
                <w:sz w:val="18"/>
                <w:szCs w:val="18"/>
                <w:b w:val="1"/>
                <w:bCs w:val="1"/>
                <w:color w:val="auto"/>
              </w:rPr>
              <w:t>ESPP</w:t>
            </w:r>
          </w:p>
        </w:tc>
      </w:tr>
      <w:tr>
        <w:trPr>
          <w:trHeight w:val="212"/>
        </w:trPr>
        <w:tc>
          <w:tcPr>
            <w:tcW w:w="5200" w:type="dxa"/>
            <w:vAlign w:val="bottom"/>
          </w:tcPr>
          <w:p>
            <w:pPr>
              <w:spacing w:after="0"/>
              <w:rPr>
                <w:sz w:val="18"/>
                <w:szCs w:val="18"/>
                <w:color w:val="auto"/>
              </w:rPr>
            </w:pPr>
          </w:p>
        </w:tc>
        <w:tc>
          <w:tcPr>
            <w:tcW w:w="3280" w:type="dxa"/>
            <w:vAlign w:val="bottom"/>
            <w:tcBorders>
              <w:top w:val="single" w:sz="8" w:color="auto"/>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29.2%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Expected life (years)</w:t>
            </w: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March 31, 2011, 2,173,742 shares were available for issuance under the Stock Incentive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three months ended March 31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Weighted</w:t>
            </w:r>
          </w:p>
        </w:tc>
        <w:tc>
          <w:tcPr>
            <w:tcW w:w="6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85"/>
              </w:rPr>
              <w:t>Weighted Average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Average Exercise</w:t>
            </w:r>
          </w:p>
        </w:tc>
        <w:tc>
          <w:tcPr>
            <w:tcW w:w="6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b w:val="1"/>
                <w:bCs w:val="1"/>
                <w:color w:val="auto"/>
              </w:rPr>
              <w:t>Aggregate</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Average Grant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Price per Share</w:t>
            </w:r>
          </w:p>
        </w:tc>
        <w:tc>
          <w:tcPr>
            <w:tcW w:w="6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 Life</w:t>
            </w:r>
          </w:p>
        </w:tc>
        <w:tc>
          <w:tcPr>
            <w:tcW w:w="620" w:type="dxa"/>
            <w:vAlign w:val="bottom"/>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Intrinsic Value </w:t>
            </w:r>
            <w:r>
              <w:rPr>
                <w:rFonts w:ascii="Arial" w:cs="Arial" w:eastAsia="Arial" w:hAnsi="Arial"/>
                <w:sz w:val="11"/>
                <w:szCs w:val="11"/>
                <w:b w:val="1"/>
                <w:bCs w:val="1"/>
                <w:color w:val="auto"/>
              </w:rPr>
              <w:t>(1)</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6"/>
              </w:rPr>
              <w:t>Date 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(years)</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(in thousands)</w:t>
            </w: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22,863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61.97</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tcPr>
          <w:p>
            <w:pPr>
              <w:ind w:left="9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0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color w:val="auto"/>
              </w:rPr>
              <w:t>Outstanding, March 31, 2010</w:t>
            </w:r>
          </w:p>
        </w:tc>
        <w:tc>
          <w:tcPr>
            <w:tcW w:w="1080" w:type="dxa"/>
            <w:vAlign w:val="bottom"/>
          </w:tcPr>
          <w:p>
            <w:pPr>
              <w:jc w:val="right"/>
              <w:spacing w:after="0"/>
              <w:rPr>
                <w:sz w:val="20"/>
                <w:szCs w:val="20"/>
                <w:color w:val="auto"/>
              </w:rPr>
            </w:pPr>
            <w:r>
              <w:rPr>
                <w:rFonts w:ascii="Arial" w:cs="Arial" w:eastAsia="Arial" w:hAnsi="Arial"/>
                <w:sz w:val="18"/>
                <w:szCs w:val="18"/>
                <w:color w:val="auto"/>
              </w:rPr>
              <w:t>1,175</w:t>
            </w:r>
          </w:p>
        </w:tc>
        <w:tc>
          <w:tcPr>
            <w:tcW w:w="6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29,112</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 March 31, 2010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28,952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620" w:type="dxa"/>
            <w:vAlign w:val="bottom"/>
            <w:gridSpan w:val="2"/>
          </w:tcPr>
          <w:p>
            <w:pPr>
              <w:spacing w:after="0"/>
              <w:rPr>
                <w:sz w:val="20"/>
                <w:szCs w:val="20"/>
                <w:color w:val="auto"/>
              </w:rPr>
            </w:pPr>
            <w:r>
              <w:rPr>
                <w:rFonts w:ascii="Arial" w:cs="Arial" w:eastAsia="Arial" w:hAnsi="Arial"/>
                <w:sz w:val="18"/>
                <w:szCs w:val="18"/>
                <w:color w:val="auto"/>
              </w:rPr>
              <w:t>Exercisable, March 31, 2010</w:t>
            </w: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c>
          <w:tcPr>
            <w:tcW w:w="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47.52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27,404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10,883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56.64</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tcPr>
          <w:p>
            <w:pPr>
              <w:ind w:left="9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7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color w:val="auto"/>
              </w:rPr>
              <w:t>Outstanding, March 31, 2011</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6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10,774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 March 31, 2011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10,774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620" w:type="dxa"/>
            <w:vAlign w:val="bottom"/>
            <w:gridSpan w:val="2"/>
          </w:tcPr>
          <w:p>
            <w:pPr>
              <w:spacing w:after="0"/>
              <w:rPr>
                <w:sz w:val="20"/>
                <w:szCs w:val="20"/>
                <w:color w:val="auto"/>
              </w:rPr>
            </w:pPr>
            <w:r>
              <w:rPr>
                <w:rFonts w:ascii="Arial" w:cs="Arial" w:eastAsia="Arial" w:hAnsi="Arial"/>
                <w:sz w:val="18"/>
                <w:szCs w:val="18"/>
                <w:color w:val="auto"/>
              </w:rPr>
              <w:t>Exercisable, March 31, 2011</w:t>
            </w:r>
          </w:p>
        </w:tc>
        <w:tc>
          <w:tcPr>
            <w:tcW w:w="1080" w:type="dxa"/>
            <w:vAlign w:val="bottom"/>
          </w:tcPr>
          <w:p>
            <w:pPr>
              <w:jc w:val="right"/>
              <w:spacing w:after="0"/>
              <w:rPr>
                <w:sz w:val="20"/>
                <w:szCs w:val="20"/>
                <w:color w:val="auto"/>
              </w:rPr>
            </w:pPr>
            <w:r>
              <w:rPr>
                <w:rFonts w:ascii="Arial" w:cs="Arial" w:eastAsia="Arial" w:hAnsi="Arial"/>
                <w:sz w:val="18"/>
                <w:szCs w:val="18"/>
                <w:color w:val="auto"/>
              </w:rPr>
              <w:t>988</w:t>
            </w:r>
          </w:p>
        </w:tc>
        <w:tc>
          <w:tcPr>
            <w:tcW w:w="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53.58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10,774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220" w:hanging="212"/>
        <w:spacing w:after="0" w:line="256" w:lineRule="auto"/>
        <w:tabs>
          <w:tab w:leader="none" w:pos="220" w:val="left"/>
        </w:tabs>
        <w:numPr>
          <w:ilvl w:val="0"/>
          <w:numId w:val="8"/>
        </w:numPr>
        <w:rPr>
          <w:rFonts w:ascii="Arial" w:cs="Arial" w:eastAsia="Arial" w:hAnsi="Arial"/>
          <w:sz w:val="21"/>
          <w:szCs w:val="21"/>
          <w:color w:val="auto"/>
          <w:vertAlign w:val="superscript"/>
        </w:rPr>
      </w:pPr>
      <w:r>
        <w:rPr>
          <w:rFonts w:ascii="Arial" w:cs="Arial" w:eastAsia="Arial" w:hAnsi="Arial"/>
          <w:sz w:val="17"/>
          <w:szCs w:val="17"/>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2011, total unrecognized stock-based compensation expense related to nonvested stock options was approximately $2.9 million, which is expected to be recognized over a weighted average period of approximately 13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w:t>
      </w:r>
    </w:p>
    <w:p>
      <w:pPr>
        <w:sectPr>
          <w:pgSz w:w="11900" w:h="16838" w:orient="portrait"/>
          <w:cols w:equalWidth="0" w:num="1">
            <w:col w:w="11420"/>
          </w:cols>
          <w:pgMar w:left="240" w:top="459" w:right="239" w:bottom="1440" w:gutter="0" w:footer="0" w:header="0"/>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the participant’s retirement eligible date. For performance awards granted in 2011, the maximum restricted stock units that may become eligible for vesting is 151,000 with a grant date fair value of $56.75.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w w:val="96"/>
              </w:rPr>
              <w:t>Weighted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20" w:type="dxa"/>
            <w:vAlign w:val="bottom"/>
          </w:tcPr>
          <w:p>
            <w:pPr>
              <w:jc w:val="center"/>
              <w:ind w:left="292"/>
              <w:spacing w:after="0"/>
              <w:rPr>
                <w:sz w:val="20"/>
                <w:szCs w:val="20"/>
                <w:color w:val="auto"/>
              </w:rPr>
            </w:pPr>
            <w:r>
              <w:rPr>
                <w:rFonts w:ascii="Arial" w:cs="Arial" w:eastAsia="Arial" w:hAnsi="Arial"/>
                <w:sz w:val="18"/>
                <w:szCs w:val="18"/>
                <w:b w:val="1"/>
                <w:bCs w:val="1"/>
                <w:color w:val="auto"/>
                <w:w w:val="91"/>
              </w:rPr>
              <w:t>Number of</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Average Grant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Restricted Stock Units</w:t>
            </w:r>
          </w:p>
        </w:tc>
        <w:tc>
          <w:tcPr>
            <w:tcW w:w="44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0"/>
              </w:rPr>
              <w:t>Date Fair Value</w:t>
            </w:r>
          </w:p>
        </w:tc>
        <w:tc>
          <w:tcPr>
            <w:tcW w:w="9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6"/>
              </w:rPr>
              <w:t>Intrinsic Value</w:t>
            </w:r>
            <w:r>
              <w:rPr>
                <w:rFonts w:ascii="Arial" w:cs="Arial" w:eastAsia="Arial" w:hAnsi="Arial"/>
                <w:sz w:val="11"/>
                <w:szCs w:val="11"/>
                <w:b w:val="1"/>
                <w:bCs w:val="1"/>
                <w:color w:val="auto"/>
                <w:w w:val="96"/>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7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(2)</w:t>
            </w:r>
          </w:p>
        </w:tc>
        <w:tc>
          <w:tcPr>
            <w:tcW w:w="380" w:type="dxa"/>
            <w:vAlign w:val="bottom"/>
          </w:tcPr>
          <w:p>
            <w:pPr>
              <w:jc w:val="right"/>
              <w:spacing w:after="0"/>
              <w:rPr>
                <w:sz w:val="20"/>
                <w:szCs w:val="20"/>
                <w:color w:val="auto"/>
              </w:rPr>
            </w:pPr>
            <w:r>
              <w:rPr>
                <w:rFonts w:ascii="Arial" w:cs="Arial" w:eastAsia="Arial" w:hAnsi="Arial"/>
                <w:sz w:val="18"/>
                <w:szCs w:val="18"/>
                <w:color w:val="auto"/>
              </w:rPr>
              <w:t>188</w:t>
            </w:r>
          </w:p>
        </w:tc>
        <w:tc>
          <w:tcPr>
            <w:tcW w:w="50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2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2010</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40" w:type="dxa"/>
            <w:vAlign w:val="bottom"/>
            <w:gridSpan w:val="3"/>
          </w:tcPr>
          <w:p>
            <w:pPr>
              <w:spacing w:after="0"/>
              <w:rPr>
                <w:sz w:val="20"/>
                <w:szCs w:val="20"/>
                <w:color w:val="auto"/>
              </w:rPr>
            </w:pPr>
            <w:r>
              <w:rPr>
                <w:rFonts w:ascii="Arial" w:cs="Arial" w:eastAsia="Arial" w:hAnsi="Arial"/>
                <w:sz w:val="18"/>
                <w:szCs w:val="18"/>
                <w:color w:val="auto"/>
              </w:rPr>
              <w:t>Outstanding, January 1, 2011</w:t>
            </w:r>
          </w:p>
        </w:tc>
        <w:tc>
          <w:tcPr>
            <w:tcW w:w="380" w:type="dxa"/>
            <w:vAlign w:val="bottom"/>
          </w:tcPr>
          <w:p>
            <w:pPr>
              <w:jc w:val="right"/>
              <w:spacing w:after="0"/>
              <w:rPr>
                <w:sz w:val="20"/>
                <w:szCs w:val="20"/>
                <w:color w:val="auto"/>
              </w:rPr>
            </w:pPr>
            <w:r>
              <w:rPr>
                <w:rFonts w:ascii="Arial" w:cs="Arial" w:eastAsia="Arial" w:hAnsi="Arial"/>
                <w:sz w:val="18"/>
                <w:szCs w:val="18"/>
                <w:color w:val="auto"/>
              </w:rPr>
              <w:t>588</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Released</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Outstanding, March 31, 2011</w:t>
            </w:r>
          </w:p>
        </w:tc>
        <w:tc>
          <w:tcPr>
            <w:tcW w:w="13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to vest, March 31, 2011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line="228" w:lineRule="auto"/>
        <w:tabs>
          <w:tab w:leader="none" w:pos="22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 w:lineRule="exact"/>
        <w:rPr>
          <w:rFonts w:ascii="Arial" w:cs="Arial" w:eastAsia="Arial" w:hAnsi="Arial"/>
          <w:sz w:val="22"/>
          <w:szCs w:val="22"/>
          <w:color w:val="auto"/>
          <w:vertAlign w:val="superscript"/>
        </w:rPr>
      </w:pPr>
    </w:p>
    <w:p>
      <w:pPr>
        <w:ind w:left="220" w:hanging="212"/>
        <w:spacing w:after="0" w:line="237" w:lineRule="auto"/>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These restricted stock units do not include the 2011 awards under the Performance Awards Agreement, which are not eligible for vesting as of March 31, 2011.</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2011, unrecognized compensation expense was $29.7 million, which is expected to be recognized over a weighted average period of approximately 29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Unrestricted Stock Awards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issue unrestricted stock awards to our Board of Directors as part of their compensation. Awards are fully vested and expensed when issued. The fair value of unrestricted stock awards is the market close price of our common stock on the date of grant.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4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Shares of unrestricted stock issued</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8"/>
                <w:szCs w:val="18"/>
                <w:color w:val="auto"/>
              </w:rPr>
            </w:pPr>
          </w:p>
        </w:tc>
      </w:tr>
      <w:tr>
        <w:trPr>
          <w:trHeight w:val="322"/>
        </w:trPr>
        <w:tc>
          <w:tcPr>
            <w:tcW w:w="416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55.03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4"/>
                <w:szCs w:val="24"/>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occurs at the beginning of the subsequent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The following table summarizes ESPP activity for the three months ended March 31:</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8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Shares of stock sold to employees</w:t>
            </w:r>
            <w:r>
              <w:rPr>
                <w:rFonts w:ascii="Arial" w:cs="Arial" w:eastAsia="Arial" w:hAnsi="Arial"/>
                <w:sz w:val="11"/>
                <w:szCs w:val="11"/>
                <w:color w:val="auto"/>
              </w:rPr>
              <w:t>(1)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17,058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shd w:val="clear" w:color="auto" w:fill="CCEEFF"/>
          </w:tcPr>
          <w:p>
            <w:pPr>
              <w:spacing w:after="0"/>
              <w:rPr>
                <w:sz w:val="18"/>
                <w:szCs w:val="18"/>
                <w:color w:val="auto"/>
              </w:rPr>
            </w:pPr>
          </w:p>
        </w:tc>
      </w:tr>
      <w:tr>
        <w:trPr>
          <w:trHeight w:val="322"/>
        </w:trPr>
        <w:tc>
          <w:tcPr>
            <w:tcW w:w="8340" w:type="dxa"/>
            <w:vAlign w:val="bottom"/>
          </w:tcPr>
          <w:p>
            <w:pPr>
              <w:spacing w:after="0"/>
              <w:rPr>
                <w:sz w:val="20"/>
                <w:szCs w:val="20"/>
                <w:color w:val="auto"/>
              </w:rPr>
            </w:pPr>
            <w:r>
              <w:rPr>
                <w:rFonts w:ascii="Arial" w:cs="Arial" w:eastAsia="Arial" w:hAnsi="Arial"/>
                <w:sz w:val="18"/>
                <w:szCs w:val="18"/>
                <w:color w:val="auto"/>
              </w:rPr>
              <w:t>Weighted average fair value per ESPP award</w:t>
            </w:r>
            <w:r>
              <w:rPr>
                <w:rFonts w:ascii="Arial" w:cs="Arial" w:eastAsia="Arial" w:hAnsi="Arial"/>
                <w:sz w:val="11"/>
                <w:szCs w:val="11"/>
                <w:color w:val="auto"/>
              </w:rPr>
              <w:t>(2)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8.47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4"/>
                <w:szCs w:val="24"/>
                <w:color w:val="auto"/>
              </w:rPr>
            </w:pPr>
          </w:p>
        </w:tc>
      </w:tr>
    </w:tbl>
    <w:p>
      <w:pPr>
        <w:spacing w:after="0" w:line="67"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Stock sold to employees during each fiscal quarter under the ESPP is associated with the offering period ending on the last day of the previous fiscal quarter.</w:t>
      </w:r>
    </w:p>
    <w:p>
      <w:pPr>
        <w:spacing w:after="0" w:line="7" w:lineRule="exact"/>
        <w:rPr>
          <w:rFonts w:ascii="Arial" w:cs="Arial" w:eastAsia="Arial" w:hAnsi="Arial"/>
          <w:sz w:val="20"/>
          <w:szCs w:val="20"/>
          <w:color w:val="auto"/>
          <w:vertAlign w:val="superscript"/>
        </w:rPr>
      </w:pPr>
    </w:p>
    <w:p>
      <w:pPr>
        <w:ind w:left="220" w:hanging="212"/>
        <w:spacing w:after="0" w:line="197"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Relating to awards associated with the offering period during the three months ended March 31.</w:t>
      </w:r>
    </w:p>
    <w:p>
      <w:pPr>
        <w:spacing w:after="0" w:line="15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fair value of ESPP awards is estimated using the Black-Scholes option-pricing model. At March 31, 2011, all compensation cost associated with the ESPP had been recognized. There were approximately 179,000 shares of common stock available for future issuance under the ESPP at March 31, 2011.</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tax provisions (benefits) as a percentage of income (loss) before tax typically differs from the federal statutory rate of 35%, and may vary from period to period, due to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2011, we had a tax provision of 26%, based on a percentage of income before tax, as compared with a tax benefit of 55% for the same period in 2010.</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tax provision in 2011 is lower than the federal statutory rate due to projected earnings in tax jurisdictions with rates lower than 35%, the benefit of certain interest expense deductions, and an election under U.S. Internal Revenue Code Sections 338 with respect to a foreign acquisition in 2007.</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tax benefit in 2010 was the result of certain interest expense deductions and the election under U.S. Internal Revenue Code Section 338 with respect to a foreign acquisition in 2007, as well as the estimated mix of earnings in different tax jurisdictions. The 2010 tax benefit also reflects the receipt of a clean energy manufacturing tax credit awarded as part of the American Recovery and Reinvestment Act and a benefit related to the reduction of tax reserves for certain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We classify interest expense and penalties related to unrecognized tax liabilities and interest income on tax overpayments as components of income tax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net interest and penalties expense (benefit) recognized is as follows:</w:t>
      </w:r>
    </w:p>
    <w:p>
      <w:pPr>
        <w:spacing w:after="0" w:line="199"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Three Months Ended March 31,</w:t>
      </w:r>
    </w:p>
    <w:p>
      <w:pPr>
        <w:spacing w:after="0" w:line="23" w:lineRule="exact"/>
        <w:rPr>
          <w:sz w:val="20"/>
          <w:szCs w:val="20"/>
          <w:color w:val="auto"/>
        </w:rPr>
      </w:pPr>
    </w:p>
    <w:p>
      <w:pPr>
        <w:ind w:left="6520"/>
        <w:spacing w:after="0"/>
        <w:tabs>
          <w:tab w:leader="none" w:pos="866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-130175</wp:posOffset>
            </wp:positionV>
            <wp:extent cx="2092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4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ind w:left="20"/>
              <w:spacing w:after="0" w:line="192" w:lineRule="exact"/>
              <w:rPr>
                <w:sz w:val="20"/>
                <w:szCs w:val="20"/>
                <w:color w:val="auto"/>
              </w:rPr>
            </w:pPr>
            <w:r>
              <w:rPr>
                <w:rFonts w:ascii="Arial" w:cs="Arial" w:eastAsia="Arial" w:hAnsi="Arial"/>
                <w:sz w:val="18"/>
                <w:szCs w:val="18"/>
                <w:b w:val="1"/>
                <w:bCs w:val="1"/>
                <w:color w:val="auto"/>
                <w:w w:val="98"/>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penalties expense (benefit)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r>
      <w:tr>
        <w:trPr>
          <w:trHeight w:val="430"/>
        </w:trPr>
        <w:tc>
          <w:tcPr>
            <w:tcW w:w="4740" w:type="dxa"/>
            <w:vAlign w:val="bottom"/>
          </w:tcPr>
          <w:p>
            <w:pPr>
              <w:spacing w:after="0"/>
              <w:rPr>
                <w:sz w:val="20"/>
                <w:szCs w:val="20"/>
                <w:color w:val="auto"/>
              </w:rPr>
            </w:pPr>
            <w:r>
              <w:rPr>
                <w:rFonts w:ascii="Arial" w:cs="Arial" w:eastAsia="Arial" w:hAnsi="Arial"/>
                <w:sz w:val="18"/>
                <w:szCs w:val="18"/>
                <w:color w:val="auto"/>
              </w:rPr>
              <w:t>Accrued interest and penalties recorded are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4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At March</w:t>
            </w:r>
          </w:p>
        </w:tc>
        <w:tc>
          <w:tcPr>
            <w:tcW w:w="96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At December</w:t>
            </w:r>
          </w:p>
        </w:tc>
      </w:tr>
      <w:tr>
        <w:trPr>
          <w:trHeight w:val="216"/>
        </w:trPr>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28"/>
        </w:trPr>
        <w:tc>
          <w:tcPr>
            <w:tcW w:w="4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w w:val="74"/>
              </w:rPr>
              <w:t>(in thousands)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4,368</w:t>
            </w: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Accrued penalties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3,696</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3,233</w:t>
            </w:r>
          </w:p>
        </w:tc>
      </w:tr>
      <w:tr>
        <w:trPr>
          <w:trHeight w:val="395"/>
        </w:trPr>
        <w:tc>
          <w:tcPr>
            <w:tcW w:w="4740" w:type="dxa"/>
            <w:vAlign w:val="bottom"/>
          </w:tcPr>
          <w:p>
            <w:pPr>
              <w:spacing w:after="0"/>
              <w:rPr>
                <w:sz w:val="24"/>
                <w:szCs w:val="24"/>
                <w:color w:val="auto"/>
              </w:rPr>
            </w:pPr>
          </w:p>
        </w:tc>
        <w:tc>
          <w:tcPr>
            <w:tcW w:w="1460" w:type="dxa"/>
            <w:vAlign w:val="bottom"/>
          </w:tcPr>
          <w:p>
            <w:pPr>
              <w:jc w:val="right"/>
              <w:ind w:right="285"/>
              <w:spacing w:after="0"/>
              <w:rPr>
                <w:sz w:val="20"/>
                <w:szCs w:val="20"/>
                <w:color w:val="auto"/>
              </w:rPr>
            </w:pPr>
            <w:r>
              <w:rPr>
                <w:rFonts w:ascii="Arial" w:cs="Arial" w:eastAsia="Arial" w:hAnsi="Arial"/>
                <w:sz w:val="22"/>
                <w:szCs w:val="22"/>
                <w:color w:val="auto"/>
              </w:rPr>
              <w:t>23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At March 31,</w:t>
            </w:r>
          </w:p>
        </w:tc>
        <w:tc>
          <w:tcPr>
            <w:tcW w:w="8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At December 31,</w:t>
            </w:r>
          </w:p>
        </w:tc>
      </w:tr>
      <w:tr>
        <w:trPr>
          <w:trHeight w:val="229"/>
        </w:trPr>
        <w:tc>
          <w:tcPr>
            <w:tcW w:w="8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1"/>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87"/>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related to uncertain tax positions</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12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42,175</w:t>
            </w:r>
          </w:p>
        </w:tc>
        <w:tc>
          <w:tcPr>
            <w:tcW w:w="100" w:type="dxa"/>
            <w:vAlign w:val="bottom"/>
            <w:shd w:val="clear" w:color="auto" w:fill="CCEEFF"/>
          </w:tcPr>
          <w:p>
            <w:pPr>
              <w:spacing w:after="0"/>
              <w:rPr>
                <w:sz w:val="18"/>
                <w:szCs w:val="18"/>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The amount of unrecognized tax benefits that, if recognized, would affect our effective tax rate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30,400</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30,832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2011, we are not able to reasonably estimate the timing of future cash flows relating to our uncertain tax positions.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it reasonably possible that our unrecognized tax benefits may decrease by approximately $6.6 million within the next twelve months due to the expiration of statute of limitations, and a final ruling related to an audit.</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At March 31,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At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3"/>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1"/>
                <w:szCs w:val="11"/>
                <w:color w:val="auto"/>
              </w:rPr>
              <w:t>(1)</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Multicurrency revolving line of credit</w:t>
            </w:r>
          </w:p>
        </w:tc>
        <w:tc>
          <w:tcPr>
            <w:tcW w:w="13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315,000</w:t>
            </w:r>
          </w:p>
        </w:tc>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Standby LOC’s issued and outstanding</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(59,682)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860"/>
              <w:spacing w:after="0"/>
              <w:rPr>
                <w:sz w:val="20"/>
                <w:szCs w:val="20"/>
                <w:color w:val="auto"/>
              </w:rPr>
            </w:pPr>
            <w:r>
              <w:rPr>
                <w:rFonts w:ascii="Arial" w:cs="Arial" w:eastAsia="Arial" w:hAnsi="Arial"/>
                <w:sz w:val="18"/>
                <w:szCs w:val="18"/>
                <w:color w:val="auto"/>
              </w:rPr>
              <w:t>Net available for additional borrowings and LOC’s</w:t>
            </w:r>
          </w:p>
        </w:tc>
        <w:tc>
          <w:tcPr>
            <w:tcW w:w="1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255,318</w:t>
            </w:r>
          </w:p>
        </w:tc>
        <w:tc>
          <w:tcPr>
            <w:tcW w:w="8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Unsecured multicurrency revolving lines of credit with various financial institutions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Total lines of credit</w:t>
            </w:r>
          </w:p>
        </w:tc>
        <w:tc>
          <w:tcPr>
            <w:tcW w:w="13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58,442</w:t>
            </w:r>
          </w:p>
        </w:tc>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Standby LOC’s issued and outstanding</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(27,027)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Short-term borrowings</w:t>
            </w:r>
            <w:r>
              <w:rPr>
                <w:rFonts w:ascii="Arial" w:cs="Arial" w:eastAsia="Arial" w:hAnsi="Arial"/>
                <w:sz w:val="11"/>
                <w:szCs w:val="11"/>
                <w:color w:val="auto"/>
              </w:rPr>
              <w:t>(2)</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672"/>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available for additional borrowings and LOC’s</w:t>
            </w:r>
          </w:p>
        </w:tc>
        <w:tc>
          <w:tcPr>
            <w:tcW w:w="11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31,160</w:t>
            </w:r>
          </w:p>
        </w:tc>
        <w:tc>
          <w:tcPr>
            <w:tcW w:w="8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Unsecured surety bonds in force</w:t>
            </w: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2"/>
            <w:vMerge w:val="continue"/>
          </w:tcPr>
          <w:p>
            <w:pPr>
              <w:spacing w:after="0"/>
              <w:rPr>
                <w:sz w:val="18"/>
                <w:szCs w:val="18"/>
                <w:color w:val="auto"/>
              </w:rPr>
            </w:pPr>
          </w:p>
        </w:tc>
        <w:tc>
          <w:tcPr>
            <w:tcW w:w="13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117,803</w:t>
            </w:r>
          </w:p>
        </w:tc>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120,109</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See Note 6 for details regarding our credit facility, which is secured.</w:t>
      </w:r>
    </w:p>
    <w:p>
      <w:pPr>
        <w:spacing w:after="0" w:line="7" w:lineRule="exact"/>
        <w:rPr>
          <w:rFonts w:ascii="Arial" w:cs="Arial" w:eastAsia="Arial" w:hAnsi="Arial"/>
          <w:sz w:val="22"/>
          <w:szCs w:val="22"/>
          <w:color w:val="auto"/>
          <w:vertAlign w:val="superscript"/>
        </w:rPr>
      </w:pPr>
    </w:p>
    <w:p>
      <w:pPr>
        <w:ind w:left="220" w:hanging="212"/>
        <w:spacing w:after="0" w:line="197" w:lineRule="auto"/>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Short-term borrowings are included in “Other current liabilities” on the Consolidated Balance Sheets.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March 31, 2011 were not material to our financial condition or results of operations.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2010, Acoustic Technologies Incorporated (Acoustic) filed a complaint in the U.S. District Court for the District of Massachusetts against Itron alleging infringement of two patents owned by Acoustic related to the use of concentrator meters to relay information between meters and a collection point. Itron filed a Motion to Dismiss the complaint, based on the argument that Acoustic lacked standing to bring the action, and the Motion to Dismiss was granted by the Court on March 18, 2011. Acoustic has appealed the Court’s decision. The complaint seeks unspecified damages as well as injunctive relief. Itron has denied all of the allegations.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2010, Transdata Incorporated (Transdata) filed a complaint in the U.S. District Court for the Eastern District of Texas against CenterPoint Energy, one of our customers, and several other utilities alleging infringement of three patents owned by Transdata related to the use of an antenna in a meter. Pursuant to our contract with CenterPoint, we agreed to indemnify and defend CenterPoint in this lawsuit. The complaint seeks unspecified damages as well as injunctive relief. CenterPoint has denied all of the allegations.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November, 2010, we received notice from Dialight BLP Limited (Dialight) that it had been awarded a patent by the U.S. Patent and Trademark Office and that a feature contained in one of our products could be infringing upon their patents rights. We are engaged in discussions with Dialight and believe that this issue will be resolved.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February 23, 2011, a class action lawsuit was filed in U.S. Federal Court for the Eastern District of Washington alleging a violation of federal securities laws relating to a restatement of our financial results for the quarters ended March 31, June 30, and September 30, 2010. These revisions were made primarily to defer revenue that had been incorrectly recognized on one contract due to a misinterpretation of an extended warranty obligation. The effect was to reduce revenue and earnings in each of the first three quarters of the year. For the first nine months of 2010, total revenue was reduced by $6.1 million and diluted EPS was reduced by 11 cents. We believe the facts and legal claims alleged are without merit and we intend to vigorously defend our interests.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2011, a lawsuit was filed in the Superior Court of the State of Washington, in and for Spokane County against certain officers and directors seeking damages on behalf of Itron, Inc. The complaint alleges that the defendants breached their fiduciary obligations to Itron with respect to the restatement of Itron’s financial results for the quarters ended March 31, June 30, and September 30, 2010. This lawsuit is a shareholder derivative action that purports to assert claims on behalf of Itron,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A summary of the warranty accrual account activity is as follows: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8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1"/>
        </w:trPr>
        <w:tc>
          <w:tcPr>
            <w:tcW w:w="84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0"/>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51,283</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33,873</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New product warranties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3,104</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changes/adjustments to warranties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Claims activity</w:t>
            </w:r>
          </w:p>
        </w:tc>
        <w:tc>
          <w:tcPr>
            <w:tcW w:w="140" w:type="dxa"/>
            <w:vAlign w:val="bottom"/>
          </w:tcPr>
          <w:p>
            <w:pPr>
              <w:spacing w:after="0"/>
              <w:rPr>
                <w:sz w:val="18"/>
                <w:szCs w:val="18"/>
                <w:color w:val="auto"/>
              </w:rPr>
            </w:pPr>
          </w:p>
        </w:tc>
        <w:tc>
          <w:tcPr>
            <w:tcW w:w="1280" w:type="dxa"/>
            <w:vAlign w:val="bottom"/>
            <w:gridSpan w:val="2"/>
          </w:tcPr>
          <w:p>
            <w:pPr>
              <w:jc w:val="right"/>
              <w:ind w:right="232"/>
              <w:spacing w:after="0"/>
              <w:rPr>
                <w:sz w:val="20"/>
                <w:szCs w:val="20"/>
                <w:color w:val="auto"/>
              </w:rPr>
            </w:pPr>
            <w:r>
              <w:rPr>
                <w:rFonts w:ascii="Arial" w:cs="Arial" w:eastAsia="Arial" w:hAnsi="Arial"/>
                <w:sz w:val="18"/>
                <w:szCs w:val="18"/>
                <w:color w:val="auto"/>
              </w:rPr>
              <w:t>(4,447)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(3,746)</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r>
      <w:tr>
        <w:trPr>
          <w:trHeight w:val="221"/>
        </w:trPr>
        <w:tc>
          <w:tcPr>
            <w:tcW w:w="848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59,163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33,527</w:t>
            </w:r>
          </w:p>
        </w:tc>
        <w:tc>
          <w:tcPr>
            <w:tcW w:w="100" w:type="dxa"/>
            <w:vAlign w:val="bottom"/>
          </w:tcPr>
          <w:p>
            <w:pPr>
              <w:spacing w:after="0"/>
              <w:rPr>
                <w:sz w:val="19"/>
                <w:szCs w:val="19"/>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warranty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color w:val="auto"/>
              </w:rPr>
              <w:t>Long-term warranty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32,903</w:t>
            </w:r>
          </w:p>
        </w:tc>
        <w:tc>
          <w:tcPr>
            <w:tcW w:w="3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12,563</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40" w:type="dxa"/>
            <w:vAlign w:val="bottom"/>
          </w:tcPr>
          <w:p>
            <w:pPr>
              <w:spacing w:after="0"/>
              <w:rPr>
                <w:sz w:val="20"/>
                <w:szCs w:val="20"/>
                <w:color w:val="auto"/>
              </w:rPr>
            </w:pPr>
            <w:r>
              <w:rPr>
                <w:rFonts w:ascii="Arial" w:cs="Arial" w:eastAsia="Arial" w:hAnsi="Arial"/>
                <w:sz w:val="18"/>
                <w:szCs w:val="18"/>
                <w:color w:val="auto"/>
                <w:w w:val="95"/>
              </w:rPr>
              <w:t>Warranty expense associated with our segments for the three months ended March 31 is as follows: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7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3"/>
          </w:tcPr>
          <w:p>
            <w:pPr>
              <w:jc w:val="right"/>
              <w:ind w:right="63"/>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8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2,889</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Itron International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8"/>
                <w:szCs w:val="18"/>
                <w:color w:val="auto"/>
              </w:rPr>
            </w:pPr>
          </w:p>
        </w:tc>
      </w:tr>
      <w:tr>
        <w:trPr>
          <w:trHeight w:val="27"/>
        </w:trPr>
        <w:tc>
          <w:tcPr>
            <w:tcW w:w="7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warranty expense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Warranty expense for Itron International reflects an $8.6 million recovery from a third party, associated with the settlement of product claims in Sweden in 2010, and a warranty charge of $7.7 million related to certain products in Brazil.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Extended Warranty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8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1"/>
        </w:trPr>
        <w:tc>
          <w:tcPr>
            <w:tcW w:w="8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78"/>
              </w:rPr>
              <w:t>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14,637</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Unearned revenue for new extended warranties</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2,933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 recognized</w:t>
            </w:r>
          </w:p>
        </w:tc>
        <w:tc>
          <w:tcPr>
            <w:tcW w:w="1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r>
      <w:tr>
        <w:trPr>
          <w:trHeight w:val="221"/>
        </w:trPr>
        <w:tc>
          <w:tcPr>
            <w:tcW w:w="838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17,193</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19"/>
                <w:szCs w:val="19"/>
                <w:color w:val="auto"/>
              </w:rPr>
            </w:pPr>
          </w:p>
        </w:tc>
      </w:tr>
      <w:tr>
        <w:trPr>
          <w:trHeight w:val="218"/>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unearned revenue for extended warranty</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r>
      <w:tr>
        <w:trPr>
          <w:trHeight w:val="222"/>
        </w:trPr>
        <w:tc>
          <w:tcPr>
            <w:tcW w:w="8380" w:type="dxa"/>
            <w:vAlign w:val="bottom"/>
          </w:tcPr>
          <w:p>
            <w:pPr>
              <w:ind w:left="440"/>
              <w:spacing w:after="0"/>
              <w:rPr>
                <w:sz w:val="20"/>
                <w:szCs w:val="20"/>
                <w:color w:val="auto"/>
              </w:rPr>
            </w:pPr>
            <w:r>
              <w:rPr>
                <w:rFonts w:ascii="Arial" w:cs="Arial" w:eastAsia="Arial" w:hAnsi="Arial"/>
                <w:sz w:val="18"/>
                <w:szCs w:val="18"/>
                <w:color w:val="auto"/>
              </w:rPr>
              <w:t>Long-term unearned revenue for extended warranty within Other long-term obligations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16,067</w:t>
            </w:r>
          </w:p>
        </w:tc>
        <w:tc>
          <w:tcPr>
            <w:tcW w:w="7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6,021</w:t>
            </w:r>
          </w:p>
        </w:tc>
      </w:tr>
      <w:tr>
        <w:trPr>
          <w:trHeight w:val="20"/>
        </w:trPr>
        <w:tc>
          <w:tcPr>
            <w:tcW w:w="8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and the IBNR accrual, which is included in wages and benefits payable,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Three Months Ended 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3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w w:val="70"/>
              </w:rPr>
              <w:t>(in thousands)</w:t>
            </w: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Plan costs</w:t>
            </w:r>
          </w:p>
        </w:tc>
        <w:tc>
          <w:tcPr>
            <w:tcW w:w="24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6,744</w:t>
            </w:r>
          </w:p>
        </w:tc>
        <w:tc>
          <w:tcPr>
            <w:tcW w:w="18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5,086</w:t>
            </w:r>
          </w:p>
        </w:tc>
        <w:tc>
          <w:tcPr>
            <w:tcW w:w="100" w:type="dxa"/>
            <w:vAlign w:val="bottom"/>
            <w:shd w:val="clear" w:color="auto" w:fill="CCEEFF"/>
          </w:tcPr>
          <w:p>
            <w:pPr>
              <w:spacing w:after="0"/>
              <w:rPr>
                <w:sz w:val="18"/>
                <w:szCs w:val="18"/>
                <w:color w:val="auto"/>
              </w:rPr>
            </w:pPr>
          </w:p>
        </w:tc>
      </w:tr>
      <w:tr>
        <w:trPr>
          <w:trHeight w:val="418"/>
        </w:trPr>
        <w:tc>
          <w:tcPr>
            <w:tcW w:w="3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5"/>
              </w:rPr>
              <w:t>At March 31,</w:t>
            </w:r>
          </w:p>
        </w:tc>
        <w:tc>
          <w:tcPr>
            <w:tcW w:w="94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At December 31,</w:t>
            </w:r>
          </w:p>
        </w:tc>
      </w:tr>
      <w:tr>
        <w:trPr>
          <w:trHeight w:val="228"/>
        </w:trPr>
        <w:tc>
          <w:tcPr>
            <w:tcW w:w="3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w w:val="70"/>
              </w:rPr>
              <w:t>(in thousands)</w:t>
            </w: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IBNR accrual</w:t>
            </w:r>
          </w:p>
        </w:tc>
        <w:tc>
          <w:tcPr>
            <w:tcW w:w="24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w:t>
            </w:r>
          </w:p>
        </w:tc>
        <w:tc>
          <w:tcPr>
            <w:tcW w:w="18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Other Comprehensive Income (Loss)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OCI is reflected as a net increase (decrease) to shareholders’ equity and is not reflected in our results of operations. Total comprehensive income (loss) during the reporting periods, net of tax,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11"/>
        </w:trPr>
        <w:tc>
          <w:tcPr>
            <w:tcW w:w="8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10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Foreign currency translation adjustment, net</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100,447</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(97,478)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 instruments, designated as cash flow hedges, net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unrealized gain (loss) on a nonderivative net investment hedging instrument, net</w:t>
            </w:r>
          </w:p>
        </w:tc>
        <w:tc>
          <w:tcPr>
            <w:tcW w:w="220" w:type="dxa"/>
            <w:vAlign w:val="bottom"/>
          </w:tcPr>
          <w:p>
            <w:pPr>
              <w:spacing w:after="0"/>
              <w:rPr>
                <w:sz w:val="18"/>
                <w:szCs w:val="18"/>
                <w:color w:val="auto"/>
              </w:rPr>
            </w:pPr>
          </w:p>
        </w:tc>
        <w:tc>
          <w:tcPr>
            <w:tcW w:w="1920" w:type="dxa"/>
            <w:vAlign w:val="bottom"/>
            <w:gridSpan w:val="3"/>
          </w:tcPr>
          <w:p>
            <w:pPr>
              <w:jc w:val="right"/>
              <w:ind w:right="1000"/>
              <w:spacing w:after="0"/>
              <w:rPr>
                <w:sz w:val="20"/>
                <w:szCs w:val="20"/>
                <w:color w:val="auto"/>
              </w:rPr>
            </w:pPr>
            <w:r>
              <w:rPr>
                <w:rFonts w:ascii="Arial" w:cs="Arial" w:eastAsia="Arial" w:hAnsi="Arial"/>
                <w:sz w:val="18"/>
                <w:szCs w:val="18"/>
                <w:color w:val="auto"/>
              </w:rPr>
              <w:t>(7,810)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11,444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hedging (gain) loss reclassified into net income (loss), net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Pension plan benefits liability adjustment, net</w:t>
            </w:r>
          </w:p>
        </w:tc>
        <w:tc>
          <w:tcPr>
            <w:tcW w:w="220" w:type="dxa"/>
            <w:vAlign w:val="bottom"/>
          </w:tcPr>
          <w:p>
            <w:pPr>
              <w:spacing w:after="0"/>
              <w:rPr>
                <w:sz w:val="18"/>
                <w:szCs w:val="18"/>
                <w:color w:val="auto"/>
              </w:rPr>
            </w:pPr>
          </w:p>
        </w:tc>
        <w:tc>
          <w:tcPr>
            <w:tcW w:w="1920" w:type="dxa"/>
            <w:vAlign w:val="bottom"/>
            <w:gridSpan w:val="3"/>
          </w:tcPr>
          <w:p>
            <w:pPr>
              <w:jc w:val="right"/>
              <w:ind w:right="1000"/>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120,707</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(61,175)</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Income tax (provision) benefit related to OCI during the reporting periods was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0"/>
              </w:rPr>
              <w:t>Three Months Ended March 31,</w:t>
            </w:r>
          </w:p>
        </w:tc>
        <w:tc>
          <w:tcPr>
            <w:tcW w:w="0" w:type="dxa"/>
            <w:vAlign w:val="bottom"/>
          </w:tcPr>
          <w:p>
            <w:pPr>
              <w:spacing w:after="0"/>
              <w:rPr>
                <w:sz w:val="1"/>
                <w:szCs w:val="1"/>
                <w:color w:val="auto"/>
              </w:rPr>
            </w:pPr>
          </w:p>
        </w:tc>
      </w:tr>
      <w:tr>
        <w:trPr>
          <w:trHeight w:val="211"/>
        </w:trPr>
        <w:tc>
          <w:tcPr>
            <w:tcW w:w="8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92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(345)</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unrealized gain (loss) on derivative instruments</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a nonderivative net investment hedging instrument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hedging (gain) loss reclassified into net income (loss)</w:t>
            </w:r>
          </w:p>
        </w:tc>
        <w:tc>
          <w:tcPr>
            <w:tcW w:w="220" w:type="dxa"/>
            <w:vAlign w:val="bottom"/>
          </w:tcPr>
          <w:p>
            <w:pPr>
              <w:spacing w:after="0"/>
              <w:rPr>
                <w:sz w:val="18"/>
                <w:szCs w:val="18"/>
                <w:color w:val="auto"/>
              </w:rPr>
            </w:pPr>
          </w:p>
        </w:tc>
        <w:tc>
          <w:tcPr>
            <w:tcW w:w="1920" w:type="dxa"/>
            <w:vAlign w:val="bottom"/>
            <w:gridSpan w:val="3"/>
          </w:tcPr>
          <w:p>
            <w:pPr>
              <w:jc w:val="right"/>
              <w:ind w:right="1000"/>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 liability adjustment</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ind w:left="440"/>
              <w:spacing w:after="0"/>
              <w:rPr>
                <w:sz w:val="20"/>
                <w:szCs w:val="20"/>
                <w:color w:val="auto"/>
              </w:rPr>
            </w:pPr>
            <w:r>
              <w:rPr>
                <w:rFonts w:ascii="Arial" w:cs="Arial" w:eastAsia="Arial" w:hAnsi="Arial"/>
                <w:sz w:val="18"/>
                <w:szCs w:val="18"/>
                <w:color w:val="auto"/>
              </w:rPr>
              <w:t>Total income tax (provision) benefit on other comprehensive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3,770</w:t>
            </w:r>
          </w:p>
        </w:tc>
        <w:tc>
          <w:tcPr>
            <w:tcW w:w="104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Designated as cash flow hedges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Accumulated other comprehensive income (loss), net of tax, was $58.6 million at March 31, 2011 and ($35.0) million at December 31, 2010. These amounts include adjustments for foreign currency translation, the unrealized gain (loss) on our hedging instruments, the hedging gain (loss), and the pension liability adjustment as indicated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Fair Values of Financial Instruments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fair values at March 31, 2011 and December 31, 2010 do not reflect subsequent changes in the economy, interest rates, tax rates, and other variables that may affect the determination of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8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98"/>
              </w:rPr>
              <w:t>At March 31, 2011</w:t>
            </w:r>
          </w:p>
        </w:tc>
        <w:tc>
          <w:tcPr>
            <w:tcW w:w="300" w:type="dxa"/>
            <w:vAlign w:val="bottom"/>
          </w:tcPr>
          <w:p>
            <w:pPr>
              <w:spacing w:after="0"/>
              <w:rPr>
                <w:sz w:val="19"/>
                <w:szCs w:val="19"/>
                <w:color w:val="auto"/>
              </w:rPr>
            </w:pPr>
          </w:p>
        </w:tc>
        <w:tc>
          <w:tcPr>
            <w:tcW w:w="190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At December 31, 2010</w:t>
            </w:r>
          </w:p>
        </w:tc>
      </w:tr>
      <w:tr>
        <w:trPr>
          <w:trHeight w:val="197"/>
        </w:trPr>
        <w:tc>
          <w:tcPr>
            <w:tcW w:w="5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rPr>
              <w:t>Carrying</w:t>
            </w:r>
          </w:p>
        </w:tc>
        <w:tc>
          <w:tcPr>
            <w:tcW w:w="680" w:type="dxa"/>
            <w:vAlign w:val="bottom"/>
            <w:tcBorders>
              <w:top w:val="single" w:sz="8" w:color="auto"/>
            </w:tcBorders>
          </w:tcPr>
          <w:p>
            <w:pPr>
              <w:jc w:val="right"/>
              <w:ind w:right="92"/>
              <w:spacing w:after="0" w:line="197" w:lineRule="exact"/>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7"/>
                <w:szCs w:val="17"/>
                <w:color w:val="auto"/>
              </w:rPr>
            </w:pPr>
          </w:p>
        </w:tc>
        <w:tc>
          <w:tcPr>
            <w:tcW w:w="76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94"/>
              </w:rPr>
              <w:t>Carrying</w:t>
            </w: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2"/>
              <w:spacing w:after="0" w:line="197"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29"/>
        </w:trPr>
        <w:tc>
          <w:tcPr>
            <w:tcW w:w="5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r>
      <w:tr>
        <w:trPr>
          <w:trHeight w:val="211"/>
        </w:trPr>
        <w:tc>
          <w:tcPr>
            <w:tcW w:w="5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(in</w:t>
            </w:r>
          </w:p>
        </w:tc>
        <w:tc>
          <w:tcPr>
            <w:tcW w:w="1060" w:type="dxa"/>
            <w:vAlign w:val="bottom"/>
            <w:gridSpan w:val="3"/>
          </w:tcPr>
          <w:p>
            <w:pPr>
              <w:jc w:val="center"/>
              <w:ind w:right="252"/>
              <w:spacing w:after="0"/>
              <w:rPr>
                <w:sz w:val="20"/>
                <w:szCs w:val="20"/>
                <w:color w:val="auto"/>
              </w:rPr>
            </w:pPr>
            <w:r>
              <w:rPr>
                <w:rFonts w:ascii="Arial" w:cs="Arial" w:eastAsia="Arial" w:hAnsi="Arial"/>
                <w:sz w:val="18"/>
                <w:szCs w:val="18"/>
                <w:b w:val="1"/>
                <w:bCs w:val="1"/>
                <w:color w:val="auto"/>
                <w:w w:val="74"/>
              </w:rPr>
              <w:t>thousands)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3"/>
          </w:tcPr>
          <w:p>
            <w:pPr>
              <w:jc w:val="right"/>
              <w:ind w:right="300"/>
              <w:spacing w:after="0"/>
              <w:rPr>
                <w:sz w:val="20"/>
                <w:szCs w:val="20"/>
                <w:color w:val="auto"/>
              </w:rPr>
            </w:pPr>
            <w:r>
              <w:rPr>
                <w:rFonts w:ascii="Arial" w:cs="Arial" w:eastAsia="Arial" w:hAnsi="Arial"/>
                <w:sz w:val="18"/>
                <w:szCs w:val="18"/>
                <w:color w:val="auto"/>
              </w:rPr>
              <w:t>$ 133,412</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$133,412</w:t>
            </w:r>
          </w:p>
        </w:tc>
        <w:tc>
          <w:tcPr>
            <w:tcW w:w="4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169,477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169,477</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forwards</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Liabilities</w:t>
            </w: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loans</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880"/>
              <w:spacing w:after="0"/>
              <w:rPr>
                <w:sz w:val="20"/>
                <w:szCs w:val="20"/>
                <w:color w:val="auto"/>
              </w:rPr>
            </w:pPr>
            <w:r>
              <w:rPr>
                <w:rFonts w:ascii="Arial" w:cs="Arial" w:eastAsia="Arial" w:hAnsi="Arial"/>
                <w:sz w:val="18"/>
                <w:szCs w:val="18"/>
                <w:color w:val="auto"/>
              </w:rPr>
              <w:t>USD denominated term loan</w:t>
            </w:r>
          </w:p>
        </w:tc>
        <w:tc>
          <w:tcPr>
            <w:tcW w:w="3220" w:type="dxa"/>
            <w:vAlign w:val="bottom"/>
            <w:gridSpan w:val="3"/>
          </w:tcPr>
          <w:p>
            <w:pPr>
              <w:jc w:val="right"/>
              <w:ind w:right="300"/>
              <w:spacing w:after="0"/>
              <w:rPr>
                <w:sz w:val="20"/>
                <w:szCs w:val="20"/>
                <w:color w:val="auto"/>
              </w:rPr>
            </w:pPr>
            <w:r>
              <w:rPr>
                <w:rFonts w:ascii="Arial" w:cs="Arial" w:eastAsia="Arial" w:hAnsi="Arial"/>
                <w:sz w:val="18"/>
                <w:szCs w:val="18"/>
                <w:color w:val="auto"/>
              </w:rPr>
              <w:t>$ 202,129</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$202,382</w:t>
            </w:r>
          </w:p>
        </w:tc>
        <w:tc>
          <w:tcPr>
            <w:tcW w:w="44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218,642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219,462</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EUR denominated term loan</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150,205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150,393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174,031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174,684</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Convertible senior subordinated notes</w:t>
            </w:r>
          </w:p>
        </w:tc>
        <w:tc>
          <w:tcPr>
            <w:tcW w:w="3220" w:type="dxa"/>
            <w:vAlign w:val="bottom"/>
            <w:gridSpan w:val="3"/>
          </w:tcPr>
          <w:p>
            <w:pPr>
              <w:jc w:val="right"/>
              <w:ind w:right="300"/>
              <w:spacing w:after="0"/>
              <w:rPr>
                <w:sz w:val="20"/>
                <w:szCs w:val="20"/>
                <w:color w:val="auto"/>
              </w:rPr>
            </w:pPr>
            <w:r>
              <w:rPr>
                <w:rFonts w:ascii="Arial" w:cs="Arial" w:eastAsia="Arial" w:hAnsi="Arial"/>
                <w:sz w:val="18"/>
                <w:szCs w:val="18"/>
                <w:color w:val="auto"/>
              </w:rPr>
              <w:t>220,911</w:t>
            </w:r>
          </w:p>
        </w:tc>
        <w:tc>
          <w:tcPr>
            <w:tcW w:w="680" w:type="dxa"/>
            <w:vAlign w:val="bottom"/>
          </w:tcPr>
          <w:p>
            <w:pPr>
              <w:jc w:val="right"/>
              <w:spacing w:after="0"/>
              <w:rPr>
                <w:sz w:val="20"/>
                <w:szCs w:val="20"/>
                <w:color w:val="auto"/>
              </w:rPr>
            </w:pPr>
            <w:r>
              <w:rPr>
                <w:rFonts w:ascii="Arial" w:cs="Arial" w:eastAsia="Arial" w:hAnsi="Arial"/>
                <w:sz w:val="18"/>
                <w:szCs w:val="18"/>
                <w:color w:val="auto"/>
              </w:rPr>
              <w:t>229,614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218,268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236,461</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18"/>
                <w:szCs w:val="18"/>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Foreign exchange forwards</w:t>
            </w:r>
          </w:p>
        </w:tc>
        <w:tc>
          <w:tcPr>
            <w:tcW w:w="3220" w:type="dxa"/>
            <w:vAlign w:val="bottom"/>
            <w:gridSpan w:val="3"/>
          </w:tcPr>
          <w:p>
            <w:pPr>
              <w:jc w:val="right"/>
              <w:ind w:right="300"/>
              <w:spacing w:after="0"/>
              <w:rPr>
                <w:sz w:val="20"/>
                <w:szCs w:val="20"/>
                <w:color w:val="auto"/>
              </w:rPr>
            </w:pPr>
            <w:r>
              <w:rPr>
                <w:rFonts w:ascii="Arial" w:cs="Arial" w:eastAsia="Arial" w:hAnsi="Arial"/>
                <w:sz w:val="18"/>
                <w:szCs w:val="18"/>
                <w:color w:val="auto"/>
              </w:rPr>
              <w:t>120</w:t>
            </w: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from recent trades of the term loans.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Convertible senior subordinated notes: </w:t>
      </w:r>
      <w:r>
        <w:rPr>
          <w:rFonts w:ascii="Arial" w:cs="Arial" w:eastAsia="Arial" w:hAnsi="Arial"/>
          <w:sz w:val="16"/>
          <w:szCs w:val="16"/>
          <w:color w:val="auto"/>
        </w:rPr>
        <w:t>The convertible notes are registered with the SEC and are generally transferable. The fair value is based on quoted prices</w:t>
      </w:r>
      <w:r>
        <w:rPr>
          <w:rFonts w:ascii="Arial" w:cs="Arial" w:eastAsia="Arial" w:hAnsi="Arial"/>
          <w:sz w:val="16"/>
          <w:szCs w:val="16"/>
          <w:i w:val="1"/>
          <w:iCs w:val="1"/>
          <w:color w:val="auto"/>
        </w:rPr>
        <w:t xml:space="preserve"> </w:t>
      </w:r>
      <w:r>
        <w:rPr>
          <w:rFonts w:ascii="Arial" w:cs="Arial" w:eastAsia="Arial" w:hAnsi="Arial"/>
          <w:sz w:val="16"/>
          <w:szCs w:val="16"/>
          <w:color w:val="auto"/>
        </w:rPr>
        <w:t>from recent broker trades of the convertible notes. The carrying value is lower than the face value of the convertible notes as a result of separating the liability and equity components. The face value of the convertible notes was $223.6 million at March 31, 2011 and December 31, 2010. See Note 6 for further discussion.</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of significant other observable inputs (Level 2).</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Segment Information</w:t>
      </w:r>
    </w:p>
    <w:p>
      <w:pPr>
        <w:spacing w:after="0" w:line="9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have two operating segments: Itron North America and Itron International. Itron North America generates the majority of its revenues in the United States and Canada, while Itron International generates the majority of its revenues in Europe, and the balance primarily in Africa, South America, and Asia/Pacific.</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14, 2011, we announced a global reorganization in which the Company will be managed under two operating segments, Energy and Water. Management of the Company’s two new operating segments is effective immediately. Further changes to the organizational structure, operations, and financial and operational management systems will continue through the remainder of 2011. During 2011, management and external financial reporting will be based on the previous geographic operating segments, Itron North America and Itron International, until new systems and processes are deployed. Financial reporting of the Energy and Water operating segments is expected in the first quarter of 2012.</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gain (loss) on extinguishment of debt, other income (expense), and income tax provision (benefit) are not allocated to the segments, nor included in the measure of segment profit or loss.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8" w:lineRule="exact"/>
        <w:rPr>
          <w:sz w:val="20"/>
          <w:szCs w:val="20"/>
          <w:color w:val="auto"/>
        </w:rPr>
      </w:pPr>
    </w:p>
    <w:p>
      <w:pPr>
        <w:jc w:val="both"/>
        <w:ind w:left="1840" w:hanging="1836"/>
        <w:spacing w:after="0" w:line="298" w:lineRule="auto"/>
        <w:tabs>
          <w:tab w:leader="none" w:pos="1820" w:val="left"/>
        </w:tabs>
        <w:rPr>
          <w:sz w:val="20"/>
          <w:szCs w:val="20"/>
          <w:color w:val="auto"/>
        </w:rPr>
      </w:pPr>
      <w:r>
        <w:rPr>
          <w:rFonts w:ascii="Arial" w:cs="Arial" w:eastAsia="Arial" w:hAnsi="Arial"/>
          <w:sz w:val="18"/>
          <w:szCs w:val="18"/>
          <w:i w:val="1"/>
          <w:iCs w:val="1"/>
          <w:color w:val="auto"/>
        </w:rPr>
        <w:t>Itron North America</w:t>
      </w:r>
      <w:r>
        <w:rPr>
          <w:sz w:val="20"/>
          <w:szCs w:val="20"/>
          <w:color w:val="auto"/>
        </w:rPr>
        <w:tab/>
      </w:r>
      <w:r>
        <w:rPr>
          <w:rFonts w:ascii="Arial" w:cs="Arial" w:eastAsia="Arial" w:hAnsi="Arial"/>
          <w:sz w:val="16"/>
          <w:szCs w:val="16"/>
          <w:color w:val="auto"/>
        </w:rPr>
        <w:t>Standard electricity (electronic), gas, and water meters; advanced and smart electricity and water meters and communication modules; advanced and smart gas communication modules; advanced systems including handheld, mobile, and fixed network collection technologies; smart network technologies; meter data management software; knowledge application solutions; and professional services including implementation, installation, consulting, and analysis.</w:t>
      </w:r>
    </w:p>
    <w:p>
      <w:pPr>
        <w:spacing w:after="0" w:line="59" w:lineRule="exact"/>
        <w:rPr>
          <w:sz w:val="20"/>
          <w:szCs w:val="20"/>
          <w:color w:val="auto"/>
        </w:rPr>
      </w:pPr>
    </w:p>
    <w:p>
      <w:pPr>
        <w:jc w:val="both"/>
        <w:ind w:left="1840" w:hanging="1836"/>
        <w:spacing w:after="0" w:line="294" w:lineRule="auto"/>
        <w:tabs>
          <w:tab w:leader="none" w:pos="1820" w:val="left"/>
        </w:tabs>
        <w:rPr>
          <w:sz w:val="20"/>
          <w:szCs w:val="20"/>
          <w:color w:val="auto"/>
        </w:rPr>
      </w:pPr>
      <w:r>
        <w:rPr>
          <w:rFonts w:ascii="Arial" w:cs="Arial" w:eastAsia="Arial" w:hAnsi="Arial"/>
          <w:sz w:val="18"/>
          <w:szCs w:val="18"/>
          <w:i w:val="1"/>
          <w:iCs w:val="1"/>
          <w:color w:val="auto"/>
        </w:rPr>
        <w:t>Itron International</w:t>
      </w:r>
      <w:r>
        <w:rPr>
          <w:sz w:val="20"/>
          <w:szCs w:val="20"/>
          <w:color w:val="auto"/>
        </w:rPr>
        <w:tab/>
      </w:r>
      <w:r>
        <w:rPr>
          <w:rFonts w:ascii="Arial" w:cs="Arial" w:eastAsia="Arial" w:hAnsi="Arial"/>
          <w:sz w:val="16"/>
          <w:szCs w:val="16"/>
          <w:color w:val="auto"/>
        </w:rPr>
        <w:t>Standard electricity (electromechanical and electronic), gas, and water meters; advanced electricity, gas, and water meters; advanced water communication modules; smart electricity meters and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and professional services including implementation, installation, consulting/analysis, and system management.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w w:val="89"/>
              </w:rPr>
              <w:t>Revenues, gross profit, and operating income associated with our segments were as follows: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March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8"/>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276,982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563,691</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497,623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94,722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184,110</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43,793</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16,228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160" w:type="dxa"/>
            <w:vAlign w:val="bottom"/>
          </w:tcPr>
          <w:p>
            <w:pPr>
              <w:spacing w:after="0"/>
              <w:rPr>
                <w:sz w:val="19"/>
                <w:szCs w:val="19"/>
                <w:color w:val="auto"/>
              </w:rPr>
            </w:pP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(9,932)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8"/>
                <w:szCs w:val="18"/>
                <w:color w:val="auto"/>
              </w:rPr>
            </w:pP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(13,402)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36,687</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 single customer represented more than 10% of total Company or Itron International revenues for the three months ended March 31, 2011 and 2010. Three customers each accounted for more than 10% of Itron North America revenues for the three months ended March 31, 2011 and 2010.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Revenues by region were as follows: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Three Months Ended March 31,</w:t>
            </w:r>
          </w:p>
        </w:tc>
        <w:tc>
          <w:tcPr>
            <w:tcW w:w="0" w:type="dxa"/>
            <w:vAlign w:val="bottom"/>
          </w:tcPr>
          <w:p>
            <w:pPr>
              <w:spacing w:after="0"/>
              <w:rPr>
                <w:sz w:val="1"/>
                <w:szCs w:val="1"/>
                <w:color w:val="auto"/>
              </w:rPr>
            </w:pPr>
          </w:p>
        </w:tc>
      </w:tr>
      <w:tr>
        <w:trPr>
          <w:trHeight w:val="211"/>
        </w:trPr>
        <w:tc>
          <w:tcPr>
            <w:tcW w:w="6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2011</w:t>
            </w: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and Canada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274,462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202,832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195,485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86,397</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63,138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563,691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497,623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8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March 31,</w:t>
            </w:r>
          </w:p>
        </w:tc>
      </w:tr>
      <w:tr>
        <w:trPr>
          <w:trHeight w:val="211"/>
        </w:trPr>
        <w:tc>
          <w:tcPr>
            <w:tcW w:w="8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0"/>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Itron International</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20,359</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21,989</w:t>
            </w: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Corporate Unallocated</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8520" w:type="dxa"/>
            <w:vAlign w:val="bottom"/>
          </w:tcPr>
          <w:p>
            <w:pPr>
              <w:ind w:left="440"/>
              <w:spacing w:after="0"/>
              <w:rPr>
                <w:sz w:val="20"/>
                <w:szCs w:val="20"/>
                <w:color w:val="auto"/>
              </w:rPr>
            </w:pPr>
            <w:r>
              <w:rPr>
                <w:rFonts w:ascii="Arial" w:cs="Arial" w:eastAsia="Arial" w:hAnsi="Arial"/>
                <w:sz w:val="18"/>
                <w:szCs w:val="18"/>
                <w:color w:val="auto"/>
              </w:rPr>
              <w:t>Total Company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31,531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33,277</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Consolidating Financial Information</w:t>
      </w:r>
    </w:p>
    <w:p>
      <w:pPr>
        <w:spacing w:after="0" w:line="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convertible notes, issued by Itron, Inc., are guaranteed by one U.S. subsidiary, which is 100% owned. The guaranty by our U.S. subsidiary is joint and several, full, complete, and unconditional. There are currently no restrictions on the ability of the subsidiary guarantor to transfer funds to the parent company.</w:t>
      </w: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Three Months Ended March 31,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5"/>
              </w:rPr>
              <w:t>Combined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1"/>
              </w:rPr>
              <w:t>Guarantor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Parent</w:t>
            </w:r>
          </w:p>
        </w:tc>
        <w:tc>
          <w:tcPr>
            <w:tcW w:w="20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6"/>
              </w:rPr>
              <w:t>Subsidiary</w:t>
            </w:r>
          </w:p>
        </w:tc>
        <w:tc>
          <w:tcPr>
            <w:tcW w:w="10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4"/>
              </w:rPr>
              <w:t>Subsidiaries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thousands)</w:t>
            </w:r>
          </w:p>
        </w:tc>
        <w:tc>
          <w:tcPr>
            <w:tcW w:w="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273,565</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308,290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(18,164)</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182,277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215,468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(18,164)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92,822</w:t>
            </w: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27,633</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15,254</w:t>
            </w: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20,386</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75,358</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32,625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17,464</w:t>
            </w:r>
          </w:p>
        </w:tc>
        <w:tc>
          <w:tcPr>
            <w:tcW w:w="26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(15,639)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(12,819)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(14,934)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(15,087)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(13,402)</w:t>
            </w:r>
          </w:p>
        </w:tc>
        <w:tc>
          <w:tcPr>
            <w:tcW w:w="0" w:type="dxa"/>
            <w:vAlign w:val="bottom"/>
          </w:tcPr>
          <w:p>
            <w:pPr>
              <w:spacing w:after="0"/>
              <w:rPr>
                <w:sz w:val="1"/>
                <w:szCs w:val="1"/>
                <w:color w:val="auto"/>
              </w:rPr>
            </w:pPr>
          </w:p>
        </w:tc>
      </w:tr>
      <w:tr>
        <w:trPr>
          <w:trHeight w:val="329"/>
        </w:trPr>
        <w:tc>
          <w:tcPr>
            <w:tcW w:w="4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33,484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(11,367)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 earnings of guarantor and non-guarantor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(5,003)</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5"/>
              </w:rPr>
              <w:t>Combined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1"/>
              </w:rPr>
              <w:t>Guarantor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Parent</w:t>
            </w:r>
          </w:p>
        </w:tc>
        <w:tc>
          <w:tcPr>
            <w:tcW w:w="20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6"/>
              </w:rPr>
              <w:t>Subsidiary</w:t>
            </w:r>
          </w:p>
        </w:tc>
        <w:tc>
          <w:tcPr>
            <w:tcW w:w="10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4"/>
              </w:rPr>
              <w:t>Subsidiaries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thousands)</w:t>
            </w:r>
          </w:p>
        </w:tc>
        <w:tc>
          <w:tcPr>
            <w:tcW w:w="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240,874</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268,829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(12,080)</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164,891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187,748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(12,080)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340,559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81,081</w:t>
            </w:r>
          </w:p>
        </w:tc>
        <w:tc>
          <w:tcPr>
            <w:tcW w:w="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25,970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11,862</w:t>
            </w: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19,274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13,725</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21,369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10,250</w:t>
            </w:r>
          </w:p>
        </w:tc>
        <w:tc>
          <w:tcPr>
            <w:tcW w:w="26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(15,582)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(16,250)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329"/>
        </w:trPr>
        <w:tc>
          <w:tcPr>
            <w:tcW w:w="4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 earnings of guarantor and non-guarantor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(10,384)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(10,384)</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Combined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Guarantor</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Parent</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Subsidiary</w:t>
            </w: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1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88,690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121,149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240,842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(16,083)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117,916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131,281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70,743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358,241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552,432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(18,958)</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184,027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Prepaid debt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(17,037)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184,750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1,109,702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1,294,452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(300,338)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1,375,817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102,243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(1,478,060)</w:t>
            </w:r>
          </w:p>
        </w:tc>
        <w:tc>
          <w:tcPr>
            <w:tcW w:w="18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2,378,239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2,166,590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(1,797,356)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2,849,716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75,559</w:t>
            </w: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177,033</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Intercompany 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(16,083)</w:t>
            </w:r>
          </w:p>
        </w:tc>
        <w:tc>
          <w:tcPr>
            <w:tcW w:w="18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25,464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17,482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Deferred tax liabilities current, net</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advances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386,261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345,677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(18,119)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warranty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13,282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19,621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1,375,817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(1,478,060)</w:t>
            </w:r>
          </w:p>
        </w:tc>
        <w:tc>
          <w:tcPr>
            <w:tcW w:w="18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25,750</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1,967,656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(1,496,179)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1,294,798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1,334,165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97,377</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100,227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(197,604)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1,334,165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(41,379)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162,140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(62,194)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1,554,918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(301,177)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1,554,918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2,378,239</w:t>
            </w:r>
          </w:p>
        </w:tc>
        <w:tc>
          <w:tcPr>
            <w:tcW w:w="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102,243</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2,166,590</w:t>
            </w:r>
          </w:p>
        </w:tc>
        <w:tc>
          <w:tcPr>
            <w:tcW w:w="18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(1,797,356)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2,849,716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Combined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Guarantor</w:t>
            </w:r>
          </w:p>
        </w:tc>
        <w:tc>
          <w:tcPr>
            <w:tcW w:w="14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Parent</w:t>
            </w:r>
          </w:p>
        </w:tc>
        <w:tc>
          <w:tcPr>
            <w:tcW w:w="14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Subsidiary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Subsidiaries</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thousands)</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163,758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207,904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109,208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359,159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539,733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(16,675)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882,217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Prepaid debt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249,842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1,024,626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1,209,376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(324,104)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1,283,139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101,418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(1,384,557)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2,330,297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101,418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2,039,418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(1,725,336)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2,745,797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75,027</w:t>
            </w:r>
          </w:p>
        </w:tc>
        <w:tc>
          <w:tcPr>
            <w:tcW w:w="22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166,922</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Intercompany 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(13,781)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16,357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Deferred tax liabilities current, net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advances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408,557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310,955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(15,778)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703,734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warranty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 liability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1,283,139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(1,384,557)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54,829</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(1,400,335)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1,317,502</w:t>
            </w: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1,328,249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97,377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136,441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(233,818)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1,328,249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45,364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(57,191)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1,428,295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1,428,295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2,330,297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101,418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2,039,418</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(1,725,336)</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2,745,797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3"/>
              </w:rPr>
              <w:t>Combined</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Guarantor</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9"/>
              </w:rPr>
              <w:t>Parent</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Subsidiary</w:t>
            </w:r>
          </w:p>
        </w:tc>
        <w:tc>
          <w:tcPr>
            <w:tcW w:w="10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4"/>
              </w:rPr>
              <w:t>Subsidiaries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24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27,120</w:t>
            </w:r>
          </w:p>
        </w:tc>
        <w:tc>
          <w:tcPr>
            <w:tcW w:w="5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826</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4,177</w:t>
            </w:r>
          </w:p>
        </w:tc>
        <w:tc>
          <w:tcPr>
            <w:tcW w:w="5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(5,003)</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provided by (used in) operating activities: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11,147</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20,384</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Deferred taxes,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12,048</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(4,479)</w:t>
            </w: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of guarantor and non-guarantor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subsidiaries, net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(5,003)</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adjustments,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(1,782)</w:t>
            </w: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42,609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(18,064)</w:t>
            </w: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(18,128)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(15,946)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payables, other current liabilities, and taxes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payable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(27,679)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(1,704)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8,464</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7,229</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Intercompany transactions,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(1,913)</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1,913</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(11,121)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(20,552)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46,291</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(11,104)</w:t>
            </w: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36,013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Acquisitions of property, plant, and equipment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(5,070)</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(6,180)</w:t>
            </w: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Business acquisition, net of cash equivalents acquired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(14,829)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Current intercompany notes,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35,806</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(35,500)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30,826</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(56,509)</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Payments on debt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(52,919)</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Current intercompany notes,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debt fees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financing, net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(51,541)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6"/>
              </w:rPr>
              <w:t>Effect of foreign exchange rate changes on cash and cash</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25,576</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(61,641)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19,146</w:t>
            </w: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150,331</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44,722</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133,412</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purchased but not yet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Fair value of contingent and deferred consideration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payable for business acquisition</w:t>
            </w:r>
          </w:p>
        </w:tc>
        <w:tc>
          <w:tcPr>
            <w:tcW w:w="10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5,108</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9,443</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5"/>
              </w:rPr>
              <w:t>Combined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Guarantor</w:t>
            </w:r>
          </w:p>
        </w:tc>
        <w:tc>
          <w:tcPr>
            <w:tcW w:w="24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Non-guarantor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Parent</w:t>
            </w:r>
          </w:p>
        </w:tc>
        <w:tc>
          <w:tcPr>
            <w:tcW w:w="26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Subsidiary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5"/>
              </w:rPr>
              <w:t>Subsidiaries</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Eliminations</w:t>
            </w:r>
          </w:p>
        </w:tc>
        <w:tc>
          <w:tcPr>
            <w:tcW w:w="5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(in thousands)</w:t>
            </w: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25,250</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9,626</w:t>
            </w:r>
          </w:p>
        </w:tc>
        <w:tc>
          <w:tcPr>
            <w:tcW w:w="5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(10,384)</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Adjustments to reconcile net loss to net cash provided by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11,251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22,026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convertible debt discount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(9,763)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(4,340)</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guarantor and non-guarantor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subsidiaries, net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(10,384)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 adjustments,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(5,072)</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(21,346)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(6,407)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w w:val="99"/>
              </w:rPr>
              <w:t>Accounts payables, other current liabilities, and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payable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16,110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14,665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benefits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8,857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Intercompany transactions,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(1,502)</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(8,905)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26,762</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Acquisitions of property, plant, and equipment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(7,437)</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Other investing,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(52,837)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4,542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(27,096)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Other financing,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(52,537)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(27,192)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5"/>
              </w:rPr>
              <w:t>Effect of foreign exchange rate changes on cash and cash</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(2,814)</w:t>
            </w:r>
          </w:p>
        </w:tc>
        <w:tc>
          <w:tcPr>
            <w:tcW w:w="220" w:type="dxa"/>
            <w:vAlign w:val="bottom"/>
          </w:tcPr>
          <w:p>
            <w:pPr>
              <w:spacing w:after="0"/>
              <w:rPr>
                <w:sz w:val="19"/>
                <w:szCs w:val="19"/>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(7,152)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105,508</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25,062</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assets purchased but not yet paid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2,990</w:t>
            </w:r>
          </w:p>
        </w:tc>
        <w:tc>
          <w:tcPr>
            <w:tcW w:w="5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amounts capitalized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2010, filed with the Securities and Exchange Commission (SEC) on February 25, 2011.</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reliance on certain key vendors and components, 4) competition, 5) changes in estimated liabilities for product warranties and/or litigation, 6) our dependence on customers’ acceptance of new products and their performance, 7) changes in domestic and international laws and regulations, 8) future business combinations, 9) changes in estimates for stock-based compensation and pension costs, 10) changes in foreign currency exchange rates and interest rates, 11) international business risks, 12) our own and our customers’ or suppliers’ access to and cost of capital, and 13)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refer to Item 1A: “Risk Factors” included in our Annual Report on Form 10-K for the fiscal year ended December 31, 2010, which was filed with the SEC on February 25, 2011.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14, 2011, we announced a global reorganization in which the Company will be managed under two operating segments, Energy and Water. Management of the Company’s two new operating segments is effective immediately. Further changes to the organizational structure, operations, and financial and operational management systems will continue through the remainder of 2011. During 2011, management and external financial reporting will be based on the previous geographic operating segments, Itron North America and Itron International, until new systems and processes are deployed. Financial reporting of the Energy and Water operating segments is expected in the first quarter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Revenues for the three months ended March 31, 2011 increased 13% to $564 million, compared with the same period last year, due to increases in both Itron North America and Itron International results. Meter and communication module volumes increased 7% and gross margin was 110 basis points higher in the first quarter of 2011, compared with the same period last year. Diluted earnings per share were $0.66 for the three months ended March 31, 2011, compared with $0.62 for the same period last year. Total backlog was $1.7 billion and twelve-month backlog was $989 million at March 31, 2011.</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first quarter of 2011 included minimal discrete tax benefits, compared with the same period last year, which included approximately $11 million of discrete tax benefits related to the receipt of a clean energy manufacturing tax credit and reductions of tax reserves for certain international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Term debt repayments during the three months ended March 31, 2011 were $52.9 million, bringing the total debt outstanding to $573.2 million at March 31, 2011.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20"/>
                <w:szCs w:val="20"/>
                <w:color w:val="auto"/>
              </w:rPr>
            </w:pPr>
            <w:r>
              <w:rPr>
                <w:rFonts w:ascii="Arial" w:cs="Arial" w:eastAsia="Arial" w:hAnsi="Arial"/>
                <w:sz w:val="18"/>
                <w:szCs w:val="18"/>
                <w:b w:val="1"/>
                <w:bCs w:val="1"/>
                <w:color w:val="auto"/>
                <w:w w:val="92"/>
              </w:rPr>
              <w:t>Total Company Revenues, Gross Profit and Margin, and Unit Shipments</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19"/>
        </w:trPr>
        <w:tc>
          <w:tcPr>
            <w:tcW w:w="5720" w:type="dxa"/>
            <w:vAlign w:val="bottom"/>
          </w:tcPr>
          <w:p>
            <w:pPr>
              <w:spacing w:after="0"/>
              <w:rPr>
                <w:sz w:val="24"/>
                <w:szCs w:val="24"/>
                <w:color w:val="auto"/>
              </w:rPr>
            </w:pPr>
          </w:p>
        </w:tc>
        <w:tc>
          <w:tcPr>
            <w:tcW w:w="38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 March 31,</w:t>
            </w:r>
          </w:p>
        </w:tc>
      </w:tr>
      <w:tr>
        <w:trPr>
          <w:trHeight w:val="212"/>
        </w:trPr>
        <w:tc>
          <w:tcPr>
            <w:tcW w:w="572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460" w:type="dxa"/>
            <w:vAlign w:val="bottom"/>
            <w:tcBorders>
              <w:top w:val="single" w:sz="8" w:color="auto"/>
            </w:tcBorders>
            <w:gridSpan w:val="2"/>
          </w:tcPr>
          <w:p>
            <w:pPr>
              <w:jc w:val="center"/>
              <w:ind w:left="632"/>
              <w:spacing w:after="0"/>
              <w:rPr>
                <w:sz w:val="20"/>
                <w:szCs w:val="20"/>
                <w:color w:val="auto"/>
              </w:rPr>
            </w:pPr>
            <w:r>
              <w:rPr>
                <w:rFonts w:ascii="Arial" w:cs="Arial" w:eastAsia="Arial" w:hAnsi="Arial"/>
                <w:sz w:val="18"/>
                <w:szCs w:val="18"/>
                <w:b w:val="1"/>
                <w:bCs w:val="1"/>
                <w:color w:val="auto"/>
                <w:w w:val="84"/>
              </w:rPr>
              <w:t>2010</w:t>
            </w:r>
          </w:p>
        </w:tc>
        <w:tc>
          <w:tcPr>
            <w:tcW w:w="7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Change</w:t>
            </w:r>
          </w:p>
        </w:tc>
        <w:tc>
          <w:tcPr>
            <w:tcW w:w="200" w:type="dxa"/>
            <w:vAlign w:val="bottom"/>
          </w:tcPr>
          <w:p>
            <w:pPr>
              <w:spacing w:after="0"/>
              <w:rPr>
                <w:sz w:val="18"/>
                <w:szCs w:val="18"/>
                <w:color w:val="auto"/>
              </w:rPr>
            </w:pPr>
          </w:p>
        </w:tc>
      </w:tr>
      <w:tr>
        <w:trPr>
          <w:trHeight w:val="195"/>
        </w:trPr>
        <w:tc>
          <w:tcPr>
            <w:tcW w:w="57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w w:val="85"/>
              </w:rPr>
              <w:t>(restated)</w:t>
            </w:r>
          </w:p>
        </w:tc>
        <w:tc>
          <w:tcPr>
            <w:tcW w:w="7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8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$563,691</w:t>
            </w:r>
          </w:p>
        </w:tc>
        <w:tc>
          <w:tcPr>
            <w:tcW w:w="2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$ 497,623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$ 184,110</w:t>
            </w:r>
          </w:p>
        </w:tc>
        <w:tc>
          <w:tcPr>
            <w:tcW w:w="2180" w:type="dxa"/>
            <w:vAlign w:val="bottom"/>
            <w:gridSpan w:val="3"/>
          </w:tcPr>
          <w:p>
            <w:pPr>
              <w:jc w:val="center"/>
              <w:spacing w:after="0"/>
              <w:rPr>
                <w:sz w:val="20"/>
                <w:szCs w:val="20"/>
                <w:color w:val="auto"/>
              </w:rPr>
            </w:pPr>
            <w:r>
              <w:rPr>
                <w:rFonts w:ascii="Arial" w:cs="Arial" w:eastAsia="Arial" w:hAnsi="Arial"/>
                <w:sz w:val="18"/>
                <w:szCs w:val="18"/>
                <w:color w:val="auto"/>
                <w:w w:val="92"/>
              </w:rPr>
              <w:t>$ 157,064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32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rPr>
              <w:t>32.7%</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31.6%</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20" w:type="dxa"/>
            <w:vAlign w:val="bottom"/>
            <w:tcBorders>
              <w:bottom w:val="single" w:sz="8" w:color="auto"/>
            </w:tcBorders>
            <w:gridSpan w:val="4"/>
          </w:tcPr>
          <w:p>
            <w:pPr>
              <w:jc w:val="center"/>
              <w:ind w:left="512"/>
              <w:spacing w:after="0"/>
              <w:rPr>
                <w:sz w:val="20"/>
                <w:szCs w:val="20"/>
                <w:color w:val="auto"/>
              </w:rPr>
            </w:pPr>
            <w:r>
              <w:rPr>
                <w:rFonts w:ascii="Arial" w:cs="Arial" w:eastAsia="Arial" w:hAnsi="Arial"/>
                <w:sz w:val="18"/>
                <w:szCs w:val="18"/>
                <w:b w:val="1"/>
                <w:bCs w:val="1"/>
                <w:color w:val="auto"/>
                <w:w w:val="93"/>
              </w:rPr>
              <w:t>March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w w:val="85"/>
              </w:rPr>
              <w:t>(restated)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1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5"/>
              </w:rPr>
              <w:t>(in thousands)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 by region</w:t>
            </w:r>
          </w:p>
        </w:tc>
        <w:tc>
          <w:tcPr>
            <w:tcW w:w="3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United States and Canada</w:t>
            </w:r>
          </w:p>
        </w:tc>
        <w:tc>
          <w:tcPr>
            <w:tcW w:w="33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$ 274,462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w:t>
            </w:r>
          </w:p>
        </w:tc>
        <w:tc>
          <w:tcPr>
            <w:tcW w:w="3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202,832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Other</w:t>
            </w:r>
          </w:p>
        </w:tc>
        <w:tc>
          <w:tcPr>
            <w:tcW w:w="3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86,397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$ 563,691</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497,623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Revenues increased $66.1 million, or 13% for the three months ended March 31, 2011, compared with the same period last year. The net translation effect of our operations denominated in foreign currencies to the U.S. dollar accounted for $4.2 million of the increase in revenues. A more detailed analysis of these fluctuations is provided in </w:t>
      </w:r>
      <w:r>
        <w:rPr>
          <w:rFonts w:ascii="Arial" w:cs="Arial" w:eastAsia="Arial" w:hAnsi="Arial"/>
          <w:sz w:val="18"/>
          <w:szCs w:val="18"/>
          <w:i w:val="1"/>
          <w:iCs w:val="1"/>
          <w:color w:val="auto"/>
        </w:rPr>
        <w:t>Operating Segment Results.</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 single customer represented more than 10% of total revenues for the first quarter of 2011 and 2010. Our 10 largest customers accounted for 32% of total revenues for the first quarters of both 2011 and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Gross margin was 32.7% for the three months ended March 31, 2011, compared with 31.6% for the same period last year due to improved Itron North America margins. A more detailed analysis of these fluctuations is provided in </w:t>
      </w:r>
      <w:r>
        <w:rPr>
          <w:rFonts w:ascii="Arial" w:cs="Arial" w:eastAsia="Arial" w:hAnsi="Arial"/>
          <w:sz w:val="18"/>
          <w:szCs w:val="18"/>
          <w:i w:val="1"/>
          <w:iCs w:val="1"/>
          <w:color w:val="auto"/>
        </w:rPr>
        <w:t>Operating Segment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Meter and Module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Meters can be broken down into three categories: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capability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advanced and smart meter communication modules can be sold separately from the meter. Depending on customers’ preferences, we also incorporate other vendors’ technology in our meters. A summary of our meter and communication module shipments is as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4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1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70"/>
              </w:rPr>
              <w:t>(units 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meters (standard, advanced, and smart)</w:t>
            </w:r>
          </w:p>
        </w:tc>
        <w:tc>
          <w:tcPr>
            <w:tcW w:w="1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Itron North America</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Electricity</w:t>
            </w:r>
          </w:p>
        </w:tc>
        <w:tc>
          <w:tcPr>
            <w:tcW w:w="22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1,520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Gas</w:t>
            </w:r>
          </w:p>
        </w:tc>
        <w:tc>
          <w:tcPr>
            <w:tcW w:w="2240" w:type="dxa"/>
            <w:vAlign w:val="bottom"/>
            <w:gridSpan w:val="2"/>
          </w:tcPr>
          <w:p>
            <w:pPr>
              <w:jc w:val="right"/>
              <w:ind w:right="1152"/>
              <w:spacing w:after="0"/>
              <w:rPr>
                <w:sz w:val="20"/>
                <w:szCs w:val="20"/>
                <w:color w:val="auto"/>
              </w:rPr>
            </w:pPr>
            <w:r>
              <w:rPr>
                <w:rFonts w:ascii="Arial" w:cs="Arial" w:eastAsia="Arial" w:hAnsi="Arial"/>
                <w:sz w:val="18"/>
                <w:szCs w:val="18"/>
                <w:color w:val="auto"/>
              </w:rPr>
              <w:t>140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International</w:t>
            </w:r>
          </w:p>
        </w:tc>
        <w:tc>
          <w:tcPr>
            <w:tcW w:w="1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Electricity</w:t>
            </w:r>
          </w:p>
        </w:tc>
        <w:tc>
          <w:tcPr>
            <w:tcW w:w="2240" w:type="dxa"/>
            <w:vAlign w:val="bottom"/>
            <w:gridSpan w:val="2"/>
          </w:tcPr>
          <w:p>
            <w:pPr>
              <w:jc w:val="right"/>
              <w:ind w:right="1152"/>
              <w:spacing w:after="0"/>
              <w:rPr>
                <w:sz w:val="20"/>
                <w:szCs w:val="20"/>
                <w:color w:val="auto"/>
              </w:rPr>
            </w:pPr>
            <w:r>
              <w:rPr>
                <w:rFonts w:ascii="Arial" w:cs="Arial" w:eastAsia="Arial" w:hAnsi="Arial"/>
                <w:sz w:val="18"/>
                <w:szCs w:val="18"/>
                <w:color w:val="auto"/>
              </w:rPr>
              <w:t>1,620</w:t>
            </w:r>
          </w:p>
        </w:tc>
        <w:tc>
          <w:tcPr>
            <w:tcW w:w="10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Gas</w:t>
            </w:r>
          </w:p>
        </w:tc>
        <w:tc>
          <w:tcPr>
            <w:tcW w:w="22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940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Water</w:t>
            </w:r>
          </w:p>
        </w:tc>
        <w:tc>
          <w:tcPr>
            <w:tcW w:w="2240" w:type="dxa"/>
            <w:vAlign w:val="bottom"/>
            <w:gridSpan w:val="2"/>
          </w:tcPr>
          <w:p>
            <w:pPr>
              <w:jc w:val="right"/>
              <w:ind w:right="1152"/>
              <w:spacing w:after="0"/>
              <w:rPr>
                <w:sz w:val="20"/>
                <w:szCs w:val="20"/>
                <w:color w:val="auto"/>
              </w:rPr>
            </w:pPr>
            <w:r>
              <w:rPr>
                <w:rFonts w:ascii="Arial" w:cs="Arial" w:eastAsia="Arial" w:hAnsi="Arial"/>
                <w:sz w:val="18"/>
                <w:szCs w:val="18"/>
                <w:color w:val="auto"/>
              </w:rPr>
              <w:t>2,540</w:t>
            </w:r>
          </w:p>
        </w:tc>
        <w:tc>
          <w:tcPr>
            <w:tcW w:w="108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meters</w:t>
            </w:r>
          </w:p>
        </w:tc>
        <w:tc>
          <w:tcPr>
            <w:tcW w:w="22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6,760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Additional meter information (Total Company)</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Advanced meters</w:t>
            </w:r>
          </w:p>
        </w:tc>
        <w:tc>
          <w:tcPr>
            <w:tcW w:w="22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900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Smart meters</w:t>
            </w:r>
          </w:p>
        </w:tc>
        <w:tc>
          <w:tcPr>
            <w:tcW w:w="2240" w:type="dxa"/>
            <w:vAlign w:val="bottom"/>
            <w:gridSpan w:val="2"/>
          </w:tcPr>
          <w:p>
            <w:pPr>
              <w:jc w:val="right"/>
              <w:ind w:right="1152"/>
              <w:spacing w:after="0"/>
              <w:rPr>
                <w:sz w:val="20"/>
                <w:szCs w:val="20"/>
                <w:color w:val="auto"/>
              </w:rPr>
            </w:pPr>
            <w:r>
              <w:rPr>
                <w:rFonts w:ascii="Arial" w:cs="Arial" w:eastAsia="Arial" w:hAnsi="Arial"/>
                <w:sz w:val="18"/>
                <w:szCs w:val="18"/>
                <w:color w:val="auto"/>
              </w:rPr>
              <w:t>990</w:t>
            </w:r>
          </w:p>
        </w:tc>
        <w:tc>
          <w:tcPr>
            <w:tcW w:w="10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Standalone advanced and smart communication modules</w:t>
            </w:r>
          </w:p>
        </w:tc>
        <w:tc>
          <w:tcPr>
            <w:tcW w:w="22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1,430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880"/>
              <w:spacing w:after="0"/>
              <w:rPr>
                <w:sz w:val="20"/>
                <w:szCs w:val="20"/>
                <w:color w:val="auto"/>
              </w:rPr>
            </w:pPr>
            <w:r>
              <w:rPr>
                <w:rFonts w:ascii="Arial" w:cs="Arial" w:eastAsia="Arial" w:hAnsi="Arial"/>
                <w:sz w:val="18"/>
                <w:szCs w:val="18"/>
                <w:color w:val="auto"/>
              </w:rPr>
              <w:t>Advanced and smart meters and communication modules</w:t>
            </w:r>
          </w:p>
        </w:tc>
        <w:tc>
          <w:tcPr>
            <w:tcW w:w="1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vMerge w:val="continue"/>
          </w:tcPr>
          <w:p>
            <w:pPr>
              <w:spacing w:after="0"/>
              <w:rPr>
                <w:sz w:val="19"/>
                <w:szCs w:val="19"/>
                <w:color w:val="auto"/>
              </w:rPr>
            </w:pPr>
          </w:p>
        </w:tc>
        <w:tc>
          <w:tcPr>
            <w:tcW w:w="2240" w:type="dxa"/>
            <w:vAlign w:val="bottom"/>
            <w:gridSpan w:val="2"/>
          </w:tcPr>
          <w:p>
            <w:pPr>
              <w:jc w:val="right"/>
              <w:ind w:right="1152"/>
              <w:spacing w:after="0"/>
              <w:rPr>
                <w:sz w:val="20"/>
                <w:szCs w:val="20"/>
                <w:color w:val="auto"/>
              </w:rPr>
            </w:pPr>
            <w:r>
              <w:rPr>
                <w:rFonts w:ascii="Arial" w:cs="Arial" w:eastAsia="Arial" w:hAnsi="Arial"/>
                <w:sz w:val="18"/>
                <w:szCs w:val="18"/>
                <w:color w:val="auto"/>
              </w:rPr>
              <w:t>3,320</w:t>
            </w:r>
          </w:p>
        </w:tc>
        <w:tc>
          <w:tcPr>
            <w:tcW w:w="108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Meters with other vendors’ advanced or smart communication modules</w:t>
            </w:r>
          </w:p>
        </w:tc>
        <w:tc>
          <w:tcPr>
            <w:tcW w:w="224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110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14: Segment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1"/>
              </w:rPr>
              <w:t>Three Months Ended 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1"/>
              </w:rPr>
              <w:t>% Change</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29"/>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(restated)</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6160" w:type="dxa"/>
            <w:vAlign w:val="bottom"/>
          </w:tcPr>
          <w:p>
            <w:pPr>
              <w:spacing w:after="0"/>
              <w:rPr>
                <w:sz w:val="20"/>
                <w:szCs w:val="20"/>
                <w:color w:val="auto"/>
              </w:rPr>
            </w:pPr>
            <w:r>
              <w:rPr>
                <w:rFonts w:ascii="Arial" w:cs="Arial" w:eastAsia="Arial" w:hAnsi="Arial"/>
                <w:sz w:val="14"/>
                <w:szCs w:val="14"/>
                <w:b w:val="1"/>
                <w:bCs w:val="1"/>
                <w:i w:val="1"/>
                <w:iCs w:val="1"/>
                <w:color w:val="auto"/>
              </w:rPr>
              <w:t>Segment Revenues</w:t>
            </w:r>
          </w:p>
        </w:tc>
        <w:tc>
          <w:tcPr>
            <w:tcW w:w="100" w:type="dxa"/>
            <w:vAlign w:val="bottom"/>
          </w:tcPr>
          <w:p>
            <w:pPr>
              <w:spacing w:after="0"/>
              <w:rPr>
                <w:sz w:val="14"/>
                <w:szCs w:val="14"/>
                <w:color w:val="auto"/>
              </w:rPr>
            </w:pPr>
          </w:p>
        </w:tc>
        <w:tc>
          <w:tcPr>
            <w:tcW w:w="266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276,982</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241,559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Itron International</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286,709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256,064</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32"/>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563,691</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497,623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6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752"/>
              <w:spacing w:after="0"/>
              <w:rPr>
                <w:sz w:val="20"/>
                <w:szCs w:val="20"/>
                <w:color w:val="auto"/>
              </w:rPr>
            </w:pPr>
            <w:r>
              <w:rPr>
                <w:rFonts w:ascii="Arial" w:cs="Arial" w:eastAsia="Arial" w:hAnsi="Arial"/>
                <w:sz w:val="14"/>
                <w:szCs w:val="14"/>
                <w:b w:val="1"/>
                <w:bCs w:val="1"/>
                <w:color w:val="auto"/>
                <w:w w:val="95"/>
              </w:rPr>
              <w:t>Three Months Ended March 31,</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left="598"/>
              <w:spacing w:after="0" w:line="142" w:lineRule="exact"/>
              <w:rPr>
                <w:sz w:val="20"/>
                <w:szCs w:val="20"/>
                <w:color w:val="auto"/>
              </w:rPr>
            </w:pPr>
            <w:r>
              <w:rPr>
                <w:rFonts w:ascii="Arial" w:cs="Arial" w:eastAsia="Arial" w:hAnsi="Arial"/>
                <w:sz w:val="14"/>
                <w:szCs w:val="14"/>
                <w:b w:val="1"/>
                <w:bCs w:val="1"/>
                <w:color w:val="auto"/>
                <w:w w:val="83"/>
              </w:rPr>
              <w:t>2010</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280" w:type="dxa"/>
            <w:vAlign w:val="bottom"/>
            <w:gridSpan w:val="3"/>
          </w:tcPr>
          <w:p>
            <w:pPr>
              <w:jc w:val="center"/>
              <w:ind w:right="412"/>
              <w:spacing w:after="0" w:line="142" w:lineRule="exact"/>
              <w:rPr>
                <w:sz w:val="20"/>
                <w:szCs w:val="20"/>
                <w:color w:val="auto"/>
              </w:rPr>
            </w:pPr>
            <w:r>
              <w:rPr>
                <w:rFonts w:ascii="Arial" w:cs="Arial" w:eastAsia="Arial" w:hAnsi="Arial"/>
                <w:sz w:val="14"/>
                <w:szCs w:val="14"/>
                <w:b w:val="1"/>
                <w:bCs w:val="1"/>
                <w:i w:val="1"/>
                <w:iCs w:val="1"/>
                <w:color w:val="auto"/>
                <w:w w:val="83"/>
              </w:rPr>
              <w:t>Gross Profit</w:t>
            </w:r>
          </w:p>
        </w:tc>
        <w:tc>
          <w:tcPr>
            <w:tcW w:w="10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Gross Margin</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572"/>
              <w:spacing w:after="0" w:line="142" w:lineRule="exact"/>
              <w:rPr>
                <w:sz w:val="20"/>
                <w:szCs w:val="20"/>
                <w:color w:val="auto"/>
              </w:rPr>
            </w:pPr>
            <w:r>
              <w:rPr>
                <w:rFonts w:ascii="Arial" w:cs="Arial" w:eastAsia="Arial" w:hAnsi="Arial"/>
                <w:sz w:val="14"/>
                <w:szCs w:val="14"/>
                <w:b w:val="1"/>
                <w:bCs w:val="1"/>
                <w:i w:val="1"/>
                <w:iCs w:val="1"/>
                <w:color w:val="auto"/>
                <w:w w:val="83"/>
              </w:rPr>
              <w:t>Gross Profit</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Gross Margin</w:t>
            </w:r>
          </w:p>
        </w:tc>
        <w:tc>
          <w:tcPr>
            <w:tcW w:w="200" w:type="dxa"/>
            <w:vAlign w:val="bottom"/>
          </w:tcPr>
          <w:p>
            <w:pPr>
              <w:spacing w:after="0"/>
              <w:rPr>
                <w:sz w:val="12"/>
                <w:szCs w:val="12"/>
                <w:color w:val="auto"/>
              </w:rPr>
            </w:pPr>
          </w:p>
        </w:tc>
      </w:tr>
      <w:tr>
        <w:trPr>
          <w:trHeight w:val="131"/>
        </w:trPr>
        <w:tc>
          <w:tcPr>
            <w:tcW w:w="6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4"/>
              </w:rPr>
              <w:t>(restated)</w:t>
            </w: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59"/>
        </w:trPr>
        <w:tc>
          <w:tcPr>
            <w:tcW w:w="616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rPr>
              <w:t>Segment Gross Profit and Margin</w:t>
            </w:r>
          </w:p>
        </w:tc>
        <w:tc>
          <w:tcPr>
            <w:tcW w:w="128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3"/>
          </w:tcPr>
          <w:p>
            <w:pPr>
              <w:ind w:left="20"/>
              <w:spacing w:after="0" w:line="159" w:lineRule="exact"/>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78,159</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Itron International</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78,905</w:t>
            </w:r>
          </w:p>
        </w:tc>
        <w:tc>
          <w:tcPr>
            <w:tcW w:w="6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r>
        <w:trPr>
          <w:trHeight w:val="216"/>
        </w:trPr>
        <w:tc>
          <w:tcPr>
            <w:tcW w:w="6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gross profit and margin</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157,064</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6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752"/>
              <w:spacing w:after="0"/>
              <w:rPr>
                <w:sz w:val="20"/>
                <w:szCs w:val="20"/>
                <w:color w:val="auto"/>
              </w:rPr>
            </w:pPr>
            <w:r>
              <w:rPr>
                <w:rFonts w:ascii="Arial" w:cs="Arial" w:eastAsia="Arial" w:hAnsi="Arial"/>
                <w:sz w:val="14"/>
                <w:szCs w:val="14"/>
                <w:b w:val="1"/>
                <w:bCs w:val="1"/>
                <w:color w:val="auto"/>
                <w:w w:val="95"/>
              </w:rPr>
              <w:t>Three Months Ended March 31,</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left="598"/>
              <w:spacing w:after="0" w:line="142" w:lineRule="exact"/>
              <w:rPr>
                <w:sz w:val="20"/>
                <w:szCs w:val="20"/>
                <w:color w:val="auto"/>
              </w:rPr>
            </w:pPr>
            <w:r>
              <w:rPr>
                <w:rFonts w:ascii="Arial" w:cs="Arial" w:eastAsia="Arial" w:hAnsi="Arial"/>
                <w:sz w:val="14"/>
                <w:szCs w:val="14"/>
                <w:b w:val="1"/>
                <w:bCs w:val="1"/>
                <w:color w:val="auto"/>
                <w:w w:val="83"/>
              </w:rPr>
              <w:t>2010</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1"/>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512"/>
              <w:spacing w:after="0" w:line="131" w:lineRule="exact"/>
              <w:rPr>
                <w:sz w:val="20"/>
                <w:szCs w:val="20"/>
                <w:color w:val="auto"/>
              </w:rPr>
            </w:pPr>
            <w:r>
              <w:rPr>
                <w:rFonts w:ascii="Arial" w:cs="Arial" w:eastAsia="Arial" w:hAnsi="Arial"/>
                <w:sz w:val="14"/>
                <w:szCs w:val="14"/>
                <w:b w:val="1"/>
                <w:bCs w:val="1"/>
                <w:i w:val="1"/>
                <w:iCs w:val="1"/>
                <w:color w:val="auto"/>
                <w:w w:val="84"/>
              </w:rPr>
              <w:t>Operating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0"/>
              <w:spacing w:after="0" w:line="131" w:lineRule="exact"/>
              <w:rPr>
                <w:sz w:val="20"/>
                <w:szCs w:val="20"/>
                <w:color w:val="auto"/>
              </w:rPr>
            </w:pPr>
            <w:r>
              <w:rPr>
                <w:rFonts w:ascii="Arial" w:cs="Arial" w:eastAsia="Arial" w:hAnsi="Arial"/>
                <w:sz w:val="14"/>
                <w:szCs w:val="14"/>
                <w:b w:val="1"/>
                <w:bCs w:val="1"/>
                <w:i w:val="1"/>
                <w:iCs w:val="1"/>
                <w:color w:val="auto"/>
                <w:w w:val="84"/>
              </w:rPr>
              <w:t>Operating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672"/>
              <w:spacing w:after="0" w:line="131" w:lineRule="exact"/>
              <w:rPr>
                <w:sz w:val="20"/>
                <w:szCs w:val="20"/>
                <w:color w:val="auto"/>
              </w:rPr>
            </w:pPr>
            <w:r>
              <w:rPr>
                <w:rFonts w:ascii="Arial" w:cs="Arial" w:eastAsia="Arial" w:hAnsi="Arial"/>
                <w:sz w:val="14"/>
                <w:szCs w:val="14"/>
                <w:b w:val="1"/>
                <w:bCs w:val="1"/>
                <w:i w:val="1"/>
                <w:iCs w:val="1"/>
                <w:color w:val="auto"/>
                <w:w w:val="84"/>
              </w:rPr>
              <w:t>Operating</w:t>
            </w:r>
          </w:p>
        </w:tc>
        <w:tc>
          <w:tcPr>
            <w:tcW w:w="780" w:type="dxa"/>
            <w:vAlign w:val="bottom"/>
          </w:tcPr>
          <w:p>
            <w:pPr>
              <w:jc w:val="center"/>
              <w:spacing w:after="0" w:line="131" w:lineRule="exact"/>
              <w:rPr>
                <w:sz w:val="20"/>
                <w:szCs w:val="20"/>
                <w:color w:val="auto"/>
              </w:rPr>
            </w:pPr>
            <w:r>
              <w:rPr>
                <w:rFonts w:ascii="Arial" w:cs="Arial" w:eastAsia="Arial" w:hAnsi="Arial"/>
                <w:sz w:val="14"/>
                <w:szCs w:val="14"/>
                <w:b w:val="1"/>
                <w:bCs w:val="1"/>
                <w:i w:val="1"/>
                <w:iCs w:val="1"/>
                <w:color w:val="auto"/>
                <w:w w:val="84"/>
              </w:rPr>
              <w:t>Operating</w:t>
            </w:r>
          </w:p>
        </w:tc>
        <w:tc>
          <w:tcPr>
            <w:tcW w:w="200" w:type="dxa"/>
            <w:vAlign w:val="bottom"/>
          </w:tcPr>
          <w:p>
            <w:pPr>
              <w:spacing w:after="0"/>
              <w:rPr>
                <w:sz w:val="11"/>
                <w:szCs w:val="11"/>
                <w:color w:val="auto"/>
              </w:rPr>
            </w:pPr>
          </w:p>
        </w:tc>
      </w:tr>
      <w:tr>
        <w:trPr>
          <w:trHeight w:val="159"/>
        </w:trPr>
        <w:tc>
          <w:tcPr>
            <w:tcW w:w="6160" w:type="dxa"/>
            <w:vAlign w:val="bottom"/>
          </w:tcPr>
          <w:p>
            <w:pPr>
              <w:spacing w:after="0"/>
              <w:rPr>
                <w:sz w:val="13"/>
                <w:szCs w:val="13"/>
                <w:color w:val="auto"/>
              </w:rPr>
            </w:pPr>
          </w:p>
        </w:tc>
        <w:tc>
          <w:tcPr>
            <w:tcW w:w="128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rPr>
              <w:t>Income (Loss)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680"/>
              <w:spacing w:after="0" w:line="159" w:lineRule="exact"/>
              <w:rPr>
                <w:sz w:val="20"/>
                <w:szCs w:val="20"/>
                <w:color w:val="auto"/>
              </w:rPr>
            </w:pPr>
            <w:r>
              <w:rPr>
                <w:rFonts w:ascii="Arial" w:cs="Arial" w:eastAsia="Arial" w:hAnsi="Arial"/>
                <w:sz w:val="14"/>
                <w:szCs w:val="14"/>
                <w:b w:val="1"/>
                <w:bCs w:val="1"/>
                <w:i w:val="1"/>
                <w:iCs w:val="1"/>
                <w:color w:val="auto"/>
                <w:w w:val="91"/>
              </w:rPr>
              <w:t>Margin</w:t>
            </w:r>
          </w:p>
        </w:tc>
        <w:tc>
          <w:tcPr>
            <w:tcW w:w="40" w:type="dxa"/>
            <w:vAlign w:val="bottom"/>
          </w:tcPr>
          <w:p>
            <w:pPr>
              <w:spacing w:after="0"/>
              <w:rPr>
                <w:sz w:val="13"/>
                <w:szCs w:val="13"/>
                <w:color w:val="auto"/>
              </w:rPr>
            </w:pPr>
          </w:p>
        </w:tc>
        <w:tc>
          <w:tcPr>
            <w:tcW w:w="1480" w:type="dxa"/>
            <w:vAlign w:val="bottom"/>
            <w:gridSpan w:val="3"/>
          </w:tcPr>
          <w:p>
            <w:pPr>
              <w:ind w:left="20"/>
              <w:spacing w:after="0" w:line="159" w:lineRule="exact"/>
              <w:rPr>
                <w:sz w:val="20"/>
                <w:szCs w:val="20"/>
                <w:color w:val="auto"/>
              </w:rPr>
            </w:pPr>
            <w:r>
              <w:rPr>
                <w:rFonts w:ascii="Arial" w:cs="Arial" w:eastAsia="Arial" w:hAnsi="Arial"/>
                <w:sz w:val="14"/>
                <w:szCs w:val="14"/>
                <w:b w:val="1"/>
                <w:bCs w:val="1"/>
                <w:i w:val="1"/>
                <w:iCs w:val="1"/>
                <w:color w:val="auto"/>
              </w:rPr>
              <w:t>Income (Loss)</w:t>
            </w:r>
          </w:p>
        </w:tc>
        <w:tc>
          <w:tcPr>
            <w:tcW w:w="98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i w:val="1"/>
                <w:iCs w:val="1"/>
                <w:color w:val="auto"/>
                <w:w w:val="91"/>
              </w:rPr>
              <w:t>Margin</w:t>
            </w:r>
          </w:p>
        </w:tc>
      </w:tr>
      <w:tr>
        <w:trPr>
          <w:trHeight w:val="129"/>
        </w:trPr>
        <w:tc>
          <w:tcPr>
            <w:tcW w:w="6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(restated)</w:t>
            </w: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6160" w:type="dxa"/>
            <w:vAlign w:val="bottom"/>
          </w:tcPr>
          <w:p>
            <w:pPr>
              <w:spacing w:after="0"/>
              <w:rPr>
                <w:sz w:val="20"/>
                <w:szCs w:val="20"/>
                <w:color w:val="auto"/>
              </w:rPr>
            </w:pPr>
            <w:r>
              <w:rPr>
                <w:rFonts w:ascii="Arial" w:cs="Arial" w:eastAsia="Arial" w:hAnsi="Arial"/>
                <w:sz w:val="14"/>
                <w:szCs w:val="14"/>
                <w:b w:val="1"/>
                <w:bCs w:val="1"/>
                <w:i w:val="1"/>
                <w:iCs w:val="1"/>
                <w:color w:val="auto"/>
              </w:rPr>
              <w:t>Segment Operating Income (Loss) and Operating Margin</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Itron International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10,437</w:t>
            </w:r>
          </w:p>
        </w:tc>
        <w:tc>
          <w:tcPr>
            <w:tcW w:w="6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(9,932)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(10,854)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2"/>
        </w:trPr>
        <w:tc>
          <w:tcPr>
            <w:tcW w:w="6160" w:type="dxa"/>
            <w:vAlign w:val="bottom"/>
          </w:tcPr>
          <w:p>
            <w:pPr>
              <w:ind w:left="880"/>
              <w:spacing w:after="0"/>
              <w:rPr>
                <w:sz w:val="20"/>
                <w:szCs w:val="20"/>
                <w:color w:val="auto"/>
              </w:rPr>
            </w:pPr>
            <w:r>
              <w:rPr>
                <w:rFonts w:ascii="Arial" w:cs="Arial" w:eastAsia="Arial" w:hAnsi="Arial"/>
                <w:sz w:val="18"/>
                <w:szCs w:val="18"/>
                <w:color w:val="auto"/>
              </w:rPr>
              <w:t>Total Company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31,619</w:t>
            </w:r>
          </w:p>
        </w:tc>
        <w:tc>
          <w:tcPr>
            <w:tcW w:w="6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Itron North America: </w:t>
      </w:r>
      <w:r>
        <w:rPr>
          <w:rFonts w:ascii="Arial" w:cs="Arial" w:eastAsia="Arial" w:hAnsi="Arial"/>
          <w:sz w:val="18"/>
          <w:szCs w:val="18"/>
          <w:color w:val="auto"/>
        </w:rPr>
        <w:t>Revenues increased $35.4 million, or 15%, for the three months ended March 31, 2011, compared with the same period last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revenues was primarily due to our OpenWay products and services with OpenWay meter and communication module volumes increasing 17%, compared with the same period last year. OpenWay products and services accounted for 48% of operating segment revenues for the three months ended March 31, 2011, compared with 44% for the same period last year. Non-OpenWay product and service revenues increased 8% for the three months ended March 31, 2011, compared with the same period last year.</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margin increased to 34.2% for the three months ended March 31, 2011, compared with gross margin of 32.4% for the same period last year, due primarily to OpenWay margins. Improved OpenWay margins were the result of manufacturing efficiencies.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Three customers each represented more than 10% of Itron North America revenues in the three months ended March 31, 2011 and 2010, respectively.</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North America operating expenses increased $4.8 million, or 10%, for the three months ended March 31, 2011, compared with the same period last year, primarily due to increased research and development costs for new and enhanced products, as well as higher marketing expense associated with the pursuit of smart grid opportunities. These higher costs were partially offset by a scheduled decrease in amortization of intangible assets and lower general and administrative expenses. As a result of higher revenues, operating expenses as a percentage of revenues were 18% for the three months ended March 31, 2011, compared with 19% for the same period last year.</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Itron International</w:t>
      </w:r>
      <w:r>
        <w:rPr>
          <w:rFonts w:ascii="Arial" w:cs="Arial" w:eastAsia="Arial" w:hAnsi="Arial"/>
          <w:sz w:val="16"/>
          <w:szCs w:val="16"/>
          <w:color w:val="auto"/>
        </w:rPr>
        <w:t>: Revenues increased $30.6 million, or 12%, for the three months ended March 31, 2011, compared with the same period last year.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translation effect of our operations denominated in foreign currencies to the U.S. dollar accounted for $3.0 million of the increase in revenues. Meter and communication module volumes increased 6% for the three months ended March 31, 2011, compared with the same period last year primarily due to increased gas and water advanced metering projects. Electricity product revenues for the first quarter of 2011 were consistent with the same time last year. Itron International experiences variability in revenues as a result of the diverse economies in which it operates and sells its products.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Itron International gross margin increased to 31.2% for the three months ended March 31, 2011, compared with gross margin of 30.8% for the same period last year. The primary driver was increased gas revenues.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Gas margins increased due to a favorable product mix of higher margin C&amp;I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Water margins decreased due to higher material costs including brass.</w:t>
      </w:r>
    </w:p>
    <w:p>
      <w:pPr>
        <w:spacing w:after="0" w:line="9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Electricity margins were stable. Electricity margins were impacted favorably by an $8.6 million recovery in warranty expense from a third party in the first quarter of 2011, associated with the settlement of product claims in Sweden in 2010, and were impacted unfavorably by a warranty charge of $7.7 million related to certain products in Brazil.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Itron International business line revenues were as follows: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1"/>
        </w:trPr>
        <w:tc>
          <w:tcPr>
            <w:tcW w:w="5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19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32"/>
              <w:spacing w:after="0" w:line="195" w:lineRule="exact"/>
              <w:rPr>
                <w:sz w:val="20"/>
                <w:szCs w:val="20"/>
                <w:color w:val="auto"/>
              </w:rPr>
            </w:pPr>
            <w:r>
              <w:rPr>
                <w:rFonts w:ascii="Arial" w:cs="Arial" w:eastAsia="Arial" w:hAnsi="Arial"/>
                <w:sz w:val="18"/>
                <w:szCs w:val="18"/>
                <w:b w:val="1"/>
                <w:bCs w:val="1"/>
                <w:color w:val="auto"/>
                <w:w w:val="92"/>
              </w:rPr>
              <w:t>(restated)</w:t>
            </w:r>
          </w:p>
        </w:tc>
        <w:tc>
          <w:tcPr>
            <w:tcW w:w="100" w:type="dxa"/>
            <w:vAlign w:val="bottom"/>
          </w:tcPr>
          <w:p>
            <w:pPr>
              <w:spacing w:after="0"/>
              <w:rPr>
                <w:sz w:val="16"/>
                <w:szCs w:val="16"/>
                <w:color w:val="auto"/>
              </w:rPr>
            </w:pPr>
          </w:p>
        </w:tc>
      </w:tr>
      <w:tr>
        <w:trPr>
          <w:trHeight w:val="228"/>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95,661</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Water</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106,487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92,317</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82,536</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68,086</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tcPr>
          <w:p>
            <w:pPr>
              <w:ind w:left="440"/>
              <w:spacing w:after="0"/>
              <w:rPr>
                <w:sz w:val="20"/>
                <w:szCs w:val="20"/>
                <w:color w:val="auto"/>
              </w:rPr>
            </w:pPr>
            <w:r>
              <w:rPr>
                <w:rFonts w:ascii="Arial" w:cs="Arial" w:eastAsia="Arial" w:hAnsi="Arial"/>
                <w:sz w:val="18"/>
                <w:szCs w:val="18"/>
                <w:color w:val="auto"/>
              </w:rPr>
              <w:t>Itron International revenues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286,709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256,064</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Itron International operating segment revenues in the three months ended March 31, 2011 and 2010.</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expenses for Itron International were $73.2 million and $68.5 million for the three months ended March 31, 2011 and 2010, or 26% and 27% of revenues for the respective periods. The $4.7 million increase was primarily due to increased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research and development related to smart metering. Increases in sales, marketing, and general administrative expenses were the result of continued growth of the operating segment, which were primarily offset by a $1.6 million scheduled reduction in amortization of intangible assets.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8% to $9.9 million in the three months ended March 31, 2011, compared with the same period last year, primarily due to expectations of lower bonus and stock compensation expense in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8"/>
              </w:rPr>
              <w:t>Ending</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Ending</w:t>
            </w:r>
          </w:p>
        </w:tc>
        <w:tc>
          <w:tcPr>
            <w:tcW w:w="0" w:type="dxa"/>
            <w:vAlign w:val="bottom"/>
          </w:tcPr>
          <w:p>
            <w:pPr>
              <w:spacing w:after="0"/>
              <w:rPr>
                <w:sz w:val="1"/>
                <w:szCs w:val="1"/>
                <w:color w:val="auto"/>
              </w:rPr>
            </w:pPr>
          </w:p>
        </w:tc>
      </w:tr>
      <w:tr>
        <w:trPr>
          <w:trHeight w:val="216"/>
        </w:trPr>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Quarter Ended</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Quarterly</w:t>
            </w:r>
          </w:p>
        </w:tc>
        <w:tc>
          <w:tcPr>
            <w:tcW w:w="360" w:type="dxa"/>
            <w:vAlign w:val="bottom"/>
          </w:tcPr>
          <w:p>
            <w:pPr>
              <w:spacing w:after="0"/>
              <w:rPr>
                <w:sz w:val="18"/>
                <w:szCs w:val="18"/>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8"/>
              </w:rPr>
              <w:t>Total</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12-Month</w:t>
            </w:r>
          </w:p>
        </w:tc>
        <w:tc>
          <w:tcPr>
            <w:tcW w:w="0" w:type="dxa"/>
            <w:vAlign w:val="bottom"/>
          </w:tcPr>
          <w:p>
            <w:pPr>
              <w:spacing w:after="0"/>
              <w:rPr>
                <w:sz w:val="1"/>
                <w:szCs w:val="1"/>
                <w:color w:val="auto"/>
              </w:rPr>
            </w:pPr>
          </w:p>
        </w:tc>
      </w:tr>
      <w:tr>
        <w:trPr>
          <w:trHeight w:val="228"/>
        </w:trPr>
        <w:tc>
          <w:tcPr>
            <w:tcW w:w="26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5"/>
              </w:rPr>
              <w:t>Bookings</w:t>
            </w:r>
          </w:p>
        </w:tc>
        <w:tc>
          <w:tcPr>
            <w:tcW w:w="360" w:type="dxa"/>
            <w:vAlign w:val="bottom"/>
          </w:tcPr>
          <w:p>
            <w:pPr>
              <w:spacing w:after="0"/>
              <w:rPr>
                <w:sz w:val="19"/>
                <w:szCs w:val="19"/>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5"/>
              </w:rPr>
              <w:t>Backlog</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Backlog</w:t>
            </w:r>
          </w:p>
        </w:tc>
        <w:tc>
          <w:tcPr>
            <w:tcW w:w="0" w:type="dxa"/>
            <w:vAlign w:val="bottom"/>
          </w:tcPr>
          <w:p>
            <w:pPr>
              <w:spacing w:after="0"/>
              <w:rPr>
                <w:sz w:val="1"/>
                <w:szCs w:val="1"/>
                <w:color w:val="auto"/>
              </w:rPr>
            </w:pPr>
          </w:p>
        </w:tc>
      </w:tr>
      <w:tr>
        <w:trPr>
          <w:trHeight w:val="212"/>
        </w:trPr>
        <w:tc>
          <w:tcPr>
            <w:tcW w:w="26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220"/>
              <w:spacing w:after="0"/>
              <w:rPr>
                <w:sz w:val="20"/>
                <w:szCs w:val="20"/>
                <w:color w:val="auto"/>
              </w:rPr>
            </w:pPr>
            <w:r>
              <w:rPr>
                <w:rFonts w:ascii="Arial" w:cs="Arial" w:eastAsia="Arial" w:hAnsi="Arial"/>
                <w:sz w:val="13"/>
                <w:szCs w:val="13"/>
                <w:b w:val="1"/>
                <w:bCs w:val="1"/>
                <w:color w:val="auto"/>
                <w:w w:val="75"/>
              </w:rPr>
              <w:t>(in</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0"/>
              </w:rPr>
              <w:t>millions)</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December 31, 2010</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June 30, 2010</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1,686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376"/>
        </w:trPr>
        <w:tc>
          <w:tcPr>
            <w:tcW w:w="5540" w:type="dxa"/>
            <w:vAlign w:val="bottom"/>
            <w:gridSpan w:val="5"/>
          </w:tcPr>
          <w:p>
            <w:pPr>
              <w:spacing w:after="0"/>
              <w:rPr>
                <w:sz w:val="20"/>
                <w:szCs w:val="20"/>
                <w:color w:val="auto"/>
              </w:rPr>
            </w:pPr>
            <w:r>
              <w:rPr>
                <w:rFonts w:ascii="Arial" w:cs="Arial" w:eastAsia="Arial" w:hAnsi="Arial"/>
                <w:sz w:val="18"/>
                <w:szCs w:val="18"/>
                <w:color w:val="auto"/>
              </w:rPr>
              <w:t>Information on bookings by our operating segments is as follows: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820" w:type="dxa"/>
            <w:vAlign w:val="bottom"/>
          </w:tcPr>
          <w:p>
            <w:pPr>
              <w:spacing w:after="0"/>
              <w:rPr>
                <w:sz w:val="24"/>
                <w:szCs w:val="24"/>
                <w:color w:val="auto"/>
              </w:rPr>
            </w:pPr>
          </w:p>
        </w:tc>
        <w:tc>
          <w:tcPr>
            <w:tcW w:w="20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w w:val="84"/>
              </w:rPr>
              <w:t>Total Bookings</w:t>
            </w:r>
          </w:p>
        </w:tc>
        <w:tc>
          <w:tcPr>
            <w:tcW w:w="2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Itron North America</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1"/>
              </w:rPr>
              <w:t>Itron International</w:t>
            </w:r>
          </w:p>
        </w:tc>
        <w:tc>
          <w:tcPr>
            <w:tcW w:w="0" w:type="dxa"/>
            <w:vAlign w:val="bottom"/>
          </w:tcPr>
          <w:p>
            <w:pPr>
              <w:spacing w:after="0"/>
              <w:rPr>
                <w:sz w:val="1"/>
                <w:szCs w:val="1"/>
                <w:color w:val="auto"/>
              </w:rPr>
            </w:pPr>
          </w:p>
        </w:tc>
      </w:tr>
      <w:tr>
        <w:trPr>
          <w:trHeight w:val="212"/>
        </w:trPr>
        <w:tc>
          <w:tcPr>
            <w:tcW w:w="268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13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December 31, 2010</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June 30, 2010</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When we sign project agreements to deploy our meter and communication systems, we include these contracts in bookings and backlog when regulatory approvals are received and/or contractual conditions are satisfied. For the quarter ended March 31, 2011, bookings and backlog included an OpenWay contract for $268 million with BC Hydro. For the quarter ended June 30, 2010, bookings and backlog included an OpenWay contract for $339 million with Detroit Edison.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7"/>
          </w:tcPr>
          <w:p>
            <w:pPr>
              <w:jc w:val="right"/>
              <w:ind w:right="920"/>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7"/>
        </w:trPr>
        <w:tc>
          <w:tcPr>
            <w:tcW w:w="3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gridSpan w:val="2"/>
          </w:tcPr>
          <w:p>
            <w:pPr>
              <w:jc w:val="right"/>
              <w:ind w:right="640"/>
              <w:spacing w:after="0" w:line="197"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jc w:val="right"/>
              <w:ind w:right="92"/>
              <w:spacing w:after="0" w:line="197"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r>
      <w:tr>
        <w:trPr>
          <w:trHeight w:val="228"/>
        </w:trPr>
        <w:tc>
          <w:tcPr>
            <w:tcW w:w="3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2"/>
              </w:rPr>
              <w:t>Revenues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6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2"/>
              </w:rPr>
              <w:t>Revenues</w:t>
            </w:r>
          </w:p>
        </w:tc>
      </w:tr>
      <w:tr>
        <w:trPr>
          <w:trHeight w:val="212"/>
        </w:trPr>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3"/>
              </w:rPr>
              <w:t>(in thousands)</w:t>
            </w:r>
          </w:p>
        </w:tc>
        <w:tc>
          <w:tcPr>
            <w:tcW w:w="6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6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44,648</w:t>
            </w:r>
          </w:p>
        </w:tc>
        <w:tc>
          <w:tcPr>
            <w:tcW w:w="1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Product development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40,445</w:t>
            </w:r>
          </w:p>
        </w:tc>
        <w:tc>
          <w:tcPr>
            <w:tcW w:w="184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33,040</w:t>
            </w:r>
          </w:p>
        </w:tc>
        <w:tc>
          <w:tcPr>
            <w:tcW w:w="6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w:t>
            </w:r>
          </w:p>
        </w:tc>
        <w:tc>
          <w:tcPr>
            <w:tcW w:w="1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15,597</w:t>
            </w:r>
          </w:p>
        </w:tc>
        <w:tc>
          <w:tcPr>
            <w:tcW w:w="6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17,811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7"/>
        </w:trPr>
        <w:tc>
          <w:tcPr>
            <w:tcW w:w="3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134,021</w:t>
            </w:r>
          </w:p>
        </w:tc>
        <w:tc>
          <w:tcPr>
            <w:tcW w:w="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125,445</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0"/>
        </w:trPr>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expenses increased $8.6 million, or 7%, for the three months ended March 31, 2011, compared with the same period last year. The net increase in operating expenses was primarily due to research and development costs for new and enhanced products, as well as higher marketing expense associated with the pursuit of smart grid opportunities. The impact on operating expenses from translation of foreign currencies was minimal.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1"/>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12"/>
              <w:spacing w:after="0"/>
              <w:rPr>
                <w:sz w:val="20"/>
                <w:szCs w:val="20"/>
                <w:color w:val="auto"/>
              </w:rPr>
            </w:pPr>
            <w:r>
              <w:rPr>
                <w:rFonts w:ascii="Arial" w:cs="Arial" w:eastAsia="Arial" w:hAnsi="Arial"/>
                <w:sz w:val="18"/>
                <w:szCs w:val="18"/>
                <w:color w:val="auto"/>
              </w:rPr>
              <w:t>(10,809)</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(13,671)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prepaid debt fees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12"/>
              <w:spacing w:after="0"/>
              <w:rPr>
                <w:sz w:val="20"/>
                <w:szCs w:val="20"/>
                <w:color w:val="auto"/>
              </w:rPr>
            </w:pPr>
            <w:r>
              <w:rPr>
                <w:rFonts w:ascii="Arial" w:cs="Arial" w:eastAsia="Arial" w:hAnsi="Arial"/>
                <w:sz w:val="18"/>
                <w:szCs w:val="18"/>
                <w:color w:val="auto"/>
              </w:rPr>
              <w:t>(1,596)</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r>
      <w:tr>
        <w:trPr>
          <w:trHeight w:val="27"/>
        </w:trPr>
        <w:tc>
          <w:tcPr>
            <w:tcW w:w="4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(13,402)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(15,348)</w:t>
            </w:r>
          </w:p>
        </w:tc>
      </w:tr>
      <w:tr>
        <w:trPr>
          <w:trHeight w:val="20"/>
        </w:trPr>
        <w:tc>
          <w:tcPr>
            <w:tcW w:w="4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continues to decline each period as a result of our declining principal balance of debt outstanding. Total debt was $573.2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$610.9 million at March 31, 2011 and December 31, 2010, respectively. At March 31, 2011, inclusive of our interest rate swaps, 97% of our borrowings were at fixed rates. Refer to Item 1: “Financial Statements Note 6: Debt” for additional details related to our long-term borrowings.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for the three months ended March 31, 2011 was similar to the same period last year,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repayments on our borrowings of $52.9 million and $52.8 million for the respective periods. When debt is repaid early, the related portion of unamortized prepaid debt fees is written off and included in interest expense.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due to balances denominated in a</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other than the reporting entity’s functional currency and other non-operating income (expenses). Foreign currency losses, net, were $1.2 million for the first quarter of 2011, compared with a net $200,000 gain in the first quarter of 2010.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1"/>
        </w:trPr>
        <w:tc>
          <w:tcPr>
            <w:tcW w:w="4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72"/>
              </w:rPr>
              <w:t>thousands)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36,013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572"/>
              <w:spacing w:after="0"/>
              <w:rPr>
                <w:sz w:val="20"/>
                <w:szCs w:val="20"/>
                <w:color w:val="auto"/>
              </w:rPr>
            </w:pPr>
            <w:r>
              <w:rPr>
                <w:rFonts w:ascii="Arial" w:cs="Arial" w:eastAsia="Arial" w:hAnsi="Arial"/>
                <w:sz w:val="18"/>
                <w:szCs w:val="18"/>
                <w:color w:val="auto"/>
              </w:rPr>
              <w:t>(25,774)</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(13,049)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(52,366)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(48,391)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632"/>
              <w:spacing w:after="0"/>
              <w:rPr>
                <w:sz w:val="20"/>
                <w:szCs w:val="20"/>
                <w:color w:val="auto"/>
              </w:rPr>
            </w:pPr>
            <w:r>
              <w:rPr>
                <w:rFonts w:ascii="Arial" w:cs="Arial" w:eastAsia="Arial" w:hAnsi="Arial"/>
                <w:sz w:val="18"/>
                <w:szCs w:val="18"/>
                <w:color w:val="auto"/>
              </w:rPr>
              <w:t>6,062</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(2,814)</w:t>
            </w:r>
          </w:p>
        </w:tc>
      </w:tr>
      <w:tr>
        <w:trPr>
          <w:trHeight w:val="27"/>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(36,065)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r>
      <w:tr>
        <w:trPr>
          <w:trHeight w:val="20"/>
        </w:trPr>
        <w:tc>
          <w:tcPr>
            <w:tcW w:w="4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Cash and cash equivalents was $133.4 million at March 31, 2011, compared with $169.5 million at December 31, 2010. The decrease was primarily due to the payment of accrued bonus and profit sharing awards of approximately $41 million and an increase in raw materials and finished goods inventory.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Cash provided by operating activities during the first quarter of 2011 was $29.8 million lower, compared with the same period in 2010, primarily due to the payment of accrued bonus and profit sharing expenses during the quarter and an increase in raw materials and finished goods inventory.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in investing activities during the first quarter of 2011 was $12.7 million higher, compared with the same period in 2010, primarily due to the Asais acquisition on January 10,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During the first quarter of 2011, we repaid $52.9 million in borrowings, compared with $52.8 million during the same period in 2010. Cash generated from the exercise of stock-based awards was $1.1 million for the first quarter of 2011, compared with $4.5 million during the same period in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first quarter of 2011 was an increase of $6.1 million, compared with a decrease of $2.8 million for the same period in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Non-cash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substantial portion of the $5.1 million payable for the Asais acquisition is expected to be paid within the next twelve months.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2011 and December 31, 2010 that we believe are reasonably likely to have a current or future effect on our financial condition, results of operations, or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Sources and Uses of Capital:</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20, 2011, we increased our multicurrency revolving line of credit to $315 million as approved by the participating lenders, the issuing agents, the swingline lender, and the administrative agent and as permitted by section 2.19 of Amendment No. 1 of our Credit Facility dated April 24, 2009. There were no other changes to the credit facility. The expanded multicurrency revolving line of credit will provide us with increased flexibility and liquidity for general corporate purposes. At March 31, 2011, there were no borrowings outstanding under the revolver, and $59.7 million was utilized by outstanding standby letters of credit.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Between July 1, 2011 and August 1, 2011, our convertible notes may be converted at the option of the holder at a conversion rate of 15.3478 shares of our common stock for each $1,000 principal amount of the convertible notes, regardless if the closing sale price per share of our common stock exceeds $78.19. In addition, the convertible notes contain purchase options, at the option of the holders, which if exercised would require us to repurchase all or a portion of the convertible notes on August 1, 2011 at 100% of the principal amount, plus accrued and unpaid interest. If the closing sale price per share of our common stock is below the conversion price of $65.16, we anticipate some or all of the investors will exercise this option, requiring us to purchase the $223.6 million convertible notes. With the expansion of our revolving line of credit from $240 million to $315 million on January 20, 2011, we believe we will have sufficient liquidity to purchase the convertible notes if required.</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are required to purchase all of the outstanding $223.6 million convertible notes as detailed above, we expect our tax payments to increase by $5 million to $10 million in 2011.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term loans under our credit facility and convertible senior subordinated notes, refer to Item 1: “Financial Statements Note 6: Debt”.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multicurrency revolving line of credit that is part of our credit facility, refer to Item 1: “Financial Statements Note 11: 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funded and unfunded non-U.S. defined benefit pension plans and our expected 2011 contributions, refer to Item 1: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8: Defined Benefit Pension Plans”.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March 31, 2011 and the expected timing of payment, refer to </w:t>
      </w:r>
      <w:r>
        <w:rPr>
          <w:rFonts w:ascii="Arial" w:cs="Arial" w:eastAsia="Arial" w:hAnsi="Arial"/>
          <w:sz w:val="18"/>
          <w:szCs w:val="18"/>
          <w:i w:val="1"/>
          <w:iCs w:val="1"/>
          <w:color w:val="auto"/>
        </w:rPr>
        <w:t>Bonus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within Critical Accounting Estimates below.</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net deferred tax assets consist primarily of tax credits and net operating loss carryforwards. The utilization of some of the net operating loss carryforwards are limited by Internal Revenue Code Section 382.</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 projections, which does not include the purchase of the outstanding $223.6 million convertible notes as detailed above, we expect to pay approximately $1.2 million in U.S. federal and state taxes and $19.8 million in local and foreign taxes in 2011. See Item 1: “Financial Statements Note 10: Income Taxes” for a discussion of our tax provision (benefit) and unrecognized tax benefits.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Working capital, which represents current assets less current liabilities, was $177.9 million at March 31, 2011, compared with $178.5 million at December 31, 2010.</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I of our Annual Report on Form 10-K for the fiscal year ended December 31, 2010, which was filed with the SEC on February 25, 2011, as well as in our “Quantitative and Qualitative Disclosures About Market Risk” within Item 3 of Part 1, included in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A majority of our revenue is recognized when products are shipped to or received by a customer or when services are provided.</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represents the estimated price charged if an item were sold separately. If the fair value of any undelivered deliverable included in a multiple deliverable arrangement cannot be objectively determined, revenue is deferred until all deliverables are delivered and services have been performed, or until the fair value can be objectively determined for any remaining undelivered deliverables. We review our fair values on an annual basis or more frequently if a significant trend is noted.</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Extended/noncustomary warranties do not represent a significant portion of our revenue.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annual estimated effective tax rate requires significant judgment and is subject to several factors, including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 Changes in tax laws and unanticipated tax liabilities could significantly impact our tax rate.</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Our Itron North America operating segment represents one reporting unit, while our Itron International operating segment has three reporting units.</w:t>
      </w:r>
    </w:p>
    <w:p>
      <w:pPr>
        <w:spacing w:after="0" w:line="13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Our 2010 annual goodwill impairment analysis did not result in an impairment charge as the fair value of each reporting unit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exceeded its carrying value. The percentage by which the fair value of each reporting unit exceeded its carrying value and the amount of goodwill allocated to each reporting unit at October 1, 2010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w w:val="92"/>
              </w:rPr>
              <w:t>October 1, 2010</w:t>
            </w:r>
          </w:p>
        </w:tc>
      </w:tr>
      <w:tr>
        <w:trPr>
          <w:trHeight w:val="197"/>
        </w:trPr>
        <w:tc>
          <w:tcPr>
            <w:tcW w:w="4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w w:val="86"/>
              </w:rPr>
              <w:t>Fair Value Exceeded</w:t>
            </w:r>
          </w:p>
        </w:tc>
        <w:tc>
          <w:tcPr>
            <w:tcW w:w="200" w:type="dxa"/>
            <w:vAlign w:val="bottom"/>
          </w:tcPr>
          <w:p>
            <w:pPr>
              <w:spacing w:after="0"/>
              <w:rPr>
                <w:sz w:val="17"/>
                <w:szCs w:val="17"/>
                <w:color w:val="auto"/>
              </w:rPr>
            </w:pPr>
          </w:p>
        </w:tc>
      </w:tr>
      <w:tr>
        <w:trPr>
          <w:trHeight w:val="228"/>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Goodwill</w:t>
            </w:r>
          </w:p>
        </w:tc>
        <w:tc>
          <w:tcPr>
            <w:tcW w:w="940" w:type="dxa"/>
            <w:vAlign w:val="bottom"/>
          </w:tcPr>
          <w:p>
            <w:pPr>
              <w:spacing w:after="0"/>
              <w:rPr>
                <w:sz w:val="19"/>
                <w:szCs w:val="19"/>
                <w:color w:val="auto"/>
              </w:rPr>
            </w:pPr>
          </w:p>
        </w:tc>
        <w:tc>
          <w:tcPr>
            <w:tcW w:w="17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Carrying Value</w:t>
            </w:r>
          </w:p>
        </w:tc>
      </w:tr>
      <w:tr>
        <w:trPr>
          <w:trHeight w:val="212"/>
        </w:trPr>
        <w:tc>
          <w:tcPr>
            <w:tcW w:w="484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(in thousands)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197,645</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08"/>
        </w:trPr>
        <w:tc>
          <w:tcPr>
            <w:tcW w:w="4840" w:type="dxa"/>
            <w:vAlign w:val="bottom"/>
          </w:tcPr>
          <w:p>
            <w:pPr>
              <w:spacing w:after="0"/>
              <w:rPr>
                <w:sz w:val="20"/>
                <w:szCs w:val="20"/>
                <w:color w:val="auto"/>
              </w:rPr>
            </w:pPr>
            <w:r>
              <w:rPr>
                <w:rFonts w:ascii="Arial" w:cs="Arial" w:eastAsia="Arial" w:hAnsi="Arial"/>
                <w:sz w:val="18"/>
                <w:szCs w:val="18"/>
                <w:color w:val="auto"/>
              </w:rPr>
              <w:t>Itron International -</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840" w:type="dxa"/>
            <w:vAlign w:val="bottom"/>
          </w:tcPr>
          <w:p>
            <w:pPr>
              <w:ind w:left="220"/>
              <w:spacing w:after="0"/>
              <w:rPr>
                <w:sz w:val="20"/>
                <w:szCs w:val="20"/>
                <w:color w:val="auto"/>
              </w:rPr>
            </w:pPr>
            <w:r>
              <w:rPr>
                <w:rFonts w:ascii="Arial" w:cs="Arial" w:eastAsia="Arial" w:hAnsi="Arial"/>
                <w:sz w:val="18"/>
                <w:szCs w:val="18"/>
                <w:color w:val="auto"/>
              </w:rPr>
              <w:t>Electricity</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347,299</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Itron International - Water</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383,194</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Itron International - Gas</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308,445</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r>
      <w:tr>
        <w:trPr>
          <w:trHeight w:val="27"/>
        </w:trPr>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1,236,583</w:t>
            </w:r>
          </w:p>
        </w:tc>
        <w:tc>
          <w:tcPr>
            <w:tcW w:w="9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market demand and the economies in which we operate across local markets, the volatility and decline in the worldwide equity markets, and the decline in our market capitalization could negatively impact our annual goodwill impairment test, which could have a significant effect on our current and future results of operations and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(also known as “Level 2”), as defined by FASB Accounting Standards Codification (ASC) 820-10-20, Fair Value Measurements.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Debt</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convertible notes are separated into their liability and equity components in a manner that reflects our non-convertible debt borrowing rate, which we determined to be 7.38% at the time of the convertible notes issuance in August 2006. Upon derecognition of the convertible notes, we are required to remeasure the fair value of the liability and equity components using a borrowing rate for similar non-convertible debt that would be applicable to Itron at the date of the derecognition. Any increase or decrease in borrowing rates from the inception of the debt to the date of derecognition could result in a gain or loss, respectively, on extinguishment. Based on market conditions and our credit rating at the date of derecognition, the borrowing rate could be materially different from the rate determined at the inception of the convertible debt. At December 31, 2010, we classified the convertible notes as current due to the combination of put, call, and conversion options commencing on July 1,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(OCI), net of tax, the actuarial gains or losses and prior service costs or credits, if any, that arise during the period but are not recognized as components of net periodic benefit cost.</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(separated between shorter and longer duration plans), using a hypothetical yield curve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 The weighted average discount rate used to measure the projected benefit obligation for all of the plans at December 31, 2010 was 5.35%. A change of 25 basis points in the discount rate would change our pension benefit obligation by approximately $2.5 million. The financial and actuarial assumptions used at December 31, 2010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Bonus and Profit Sharing</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months ended March 31, 2011, we accrued $7.3 million for such awards, compared with $12.6 million in the same period in 2010. Awards are typically distributed in the first quarter of the following year.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values of stock options and ESPP awards are estimated at the date of grant using the Black-Scholes option-pricing model, which includes assumptions for the dividend yield, expected volatility, risk-free interest rate, and expected life. In valuing our stock-based awards, significant judgment is required in determining the expected volatility of our common stock and the expected life that individuals will hold their stock-based awards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stock-based awards,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March 31, 2011. Including the effect of our interest rate swaps at March 31, 2011, 97% of our borrowings are at fixed rates. Weighted average variable rates in the table are based on implied forward rates in the Reuters U.S. dollar yield curve as of March 31, 2011, our estimated leverage ratio, which determines our additional interest rate margin, and a static foreign exchange rate at March 31,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2011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2012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2014</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r>
      <w:tr>
        <w:trPr>
          <w:trHeight w:val="212"/>
        </w:trPr>
        <w:tc>
          <w:tcPr>
            <w:tcW w:w="2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w w:val="99"/>
              </w:rPr>
              <w:t>(in</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0"/>
              </w:rPr>
              <w:t>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 xml:space="preserve">Principal: Convertible notes </w:t>
            </w:r>
            <w:r>
              <w:rPr>
                <w:rFonts w:ascii="Arial" w:cs="Arial" w:eastAsia="Arial" w:hAnsi="Arial"/>
                <w:sz w:val="11"/>
                <w:szCs w:val="11"/>
                <w:color w:val="auto"/>
              </w:rPr>
              <w:t>(1)</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223,604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$223,604</w:t>
            </w: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4980" w:type="dxa"/>
            <w:vAlign w:val="bottom"/>
            <w:gridSpan w:val="2"/>
          </w:tcPr>
          <w:p>
            <w:pPr>
              <w:spacing w:after="0"/>
              <w:rPr>
                <w:sz w:val="20"/>
                <w:szCs w:val="20"/>
                <w:color w:val="auto"/>
              </w:rPr>
            </w:pPr>
            <w:r>
              <w:rPr>
                <w:rFonts w:ascii="Arial" w:cs="Arial" w:eastAsia="Arial" w:hAnsi="Arial"/>
                <w:sz w:val="18"/>
                <w:szCs w:val="18"/>
                <w:i w:val="1"/>
                <w:iCs w:val="1"/>
                <w:color w:val="auto"/>
              </w:rPr>
              <w:t>Variable Rate Debt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U.S. dollar term loan</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6,051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6,051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185,489</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$202,129</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6.35%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Euro term loan</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4,720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4,720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137,225</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$150,205</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Interest rate swaps on U.S. dollar term loan </w:t>
            </w:r>
            <w:r>
              <w:rPr>
                <w:rFonts w:ascii="Arial" w:cs="Arial" w:eastAsia="Arial" w:hAnsi="Arial"/>
                <w:sz w:val="11"/>
                <w:szCs w:val="11"/>
                <w:color w:val="auto"/>
              </w:rPr>
              <w:t>(2)</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Net/Spread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Interest rate swap on euro term loan </w:t>
            </w:r>
            <w:r>
              <w:rPr>
                <w:rFonts w:ascii="Arial" w:cs="Arial" w:eastAsia="Arial" w:hAnsi="Arial"/>
                <w:sz w:val="11"/>
                <w:szCs w:val="11"/>
                <w:color w:val="auto"/>
              </w:rPr>
              <w:t>(3)</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Net/Spread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73"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face value of our convertible notes is $223.6 million, while the carrying value is $220.9 million. (Refer to Item 1: “Financial Statements, Note 6: Debt” for a summary of our convertible note terms and a reconciliation between the face and carrying values). Our convertible notes mature in August 2026. Due to the combination of put, call, and conversion options in the third quarter of 2011, we are amortizing the remaining $2.7 million discount on the liability component of the convertible notes to interest expense over the next three months and have reflected the principal repayment in 2011.</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swaps, expiring on June 30, 2011, are used to convert $200 million of our $202.1 million U.S. dollar denominated variable rate term loan from a floating London Interbank Offered Rate interest rate, plus the applicable margin, to a fixed interest rate, plus the applicable margin (refer to Item 1: “Financial Statements, Note 7: Derivative Financial Instruments and Hedging Activities”).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amortizing euro denominated interest rate swap is used to convert $136.1 million (€96.6 million) of our $150.2 million (€106.6 million) euro denominated variable rate term loan from a floating Euro Interbank Offered Rate (EURIBOR), plus the applicable margin, to a fixed interest rate of 6.59%, through December 31, 2012, plus or minus the variance in the applicable margin from 2%. As a result of the amortization schedule, the interest rate swap will terminate before the stated maturity of the term loan (Refer to Item 1: “Financial Statements, Note 7: Derivative Financial Instruments and Hedging Activities”).</w:t>
      </w:r>
    </w:p>
    <w:p>
      <w:pPr>
        <w:spacing w:after="0" w:line="116"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Based on a sensitivity analysis as of March 31, 2011, we estimate that if market interest rates average one percentage point higher in 2011 than in the table above, our earnings in 2011 would not be materially impacted due to our interest rate swaps in place at March 31, 2011.</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55% of total revenues for the three months ended March 31, 2011, compared with 54% for the same period in 2010.</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conjunction with our acquisition of Actaris Metering Systems SA, we entered into a euro denominated term loan in 2007 that exposes us to fluctuations in the euro foreign exchange rate.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other comprehensive income. We had no hedge ineffectiveness (refer to Item 1: “Financial Statements, Note 7: Derivative Financial Instruments and Hedging Activities”).</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113 contracts were entered into during the three months ended March 31,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left="460" w:hanging="452"/>
        <w:spacing w:after="0" w:line="28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March 31, 2011, an evaluation was performed under the supervision and with the participation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41"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There have been no changes in internal control over financial reporting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2011 that have materially affected, or are reasonably likely to materially affect, our internal controls over financial reporting.</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first quarter of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were no material changes to risk factors during the first quarter of 2011 from those previously disclosed in Item 1A of Part I of our Annual Report on Form 10-K for the fiscal year ended December 31, 2010, which was filed with the SEC on February 25,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2011 that was not reported.</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0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022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9"/>
                <w:szCs w:val="19"/>
                <w:color w:val="auto"/>
              </w:rPr>
            </w:pPr>
          </w:p>
        </w:tc>
        <w:tc>
          <w:tcPr>
            <w:tcW w:w="10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Statement re Computation of Ratios</w:t>
            </w:r>
          </w:p>
        </w:tc>
        <w:tc>
          <w:tcPr>
            <w:tcW w:w="0" w:type="dxa"/>
            <w:vAlign w:val="bottom"/>
          </w:tcPr>
          <w:p>
            <w:pPr>
              <w:spacing w:after="0"/>
              <w:rPr>
                <w:sz w:val="1"/>
                <w:szCs w:val="1"/>
                <w:color w:val="auto"/>
              </w:rPr>
            </w:pPr>
          </w:p>
        </w:tc>
      </w:tr>
      <w:tr>
        <w:trPr>
          <w:trHeight w:val="432"/>
        </w:trPr>
        <w:tc>
          <w:tcPr>
            <w:tcW w:w="640" w:type="dxa"/>
            <w:vAlign w:val="bottom"/>
          </w:tcPr>
          <w:p>
            <w:pPr>
              <w:ind w:left="10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32"/>
        </w:trPr>
        <w:tc>
          <w:tcPr>
            <w:tcW w:w="640" w:type="dxa"/>
            <w:vAlign w:val="bottom"/>
          </w:tcPr>
          <w:p>
            <w:pPr>
              <w:ind w:left="10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32"/>
        </w:trPr>
        <w:tc>
          <w:tcPr>
            <w:tcW w:w="640" w:type="dxa"/>
            <w:vAlign w:val="bottom"/>
          </w:tcPr>
          <w:p>
            <w:pPr>
              <w:ind w:left="10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20" w:hanging="212"/>
        <w:spacing w:after="0" w:line="255"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6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33"/>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May 3, 2011</w:t>
            </w:r>
          </w:p>
        </w:tc>
        <w:tc>
          <w:tcPr>
            <w:tcW w:w="1720" w:type="dxa"/>
            <w:vAlign w:val="bottom"/>
          </w:tcPr>
          <w:p>
            <w:pPr>
              <w:ind w:left="1040"/>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M. HELMBRECHT</w:t>
            </w:r>
          </w:p>
        </w:tc>
      </w:tr>
      <w:tr>
        <w:trPr>
          <w:trHeight w:val="210"/>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tcPr>
          <w:p>
            <w:pPr>
              <w:spacing w:after="0"/>
              <w:rPr>
                <w:sz w:val="18"/>
                <w:szCs w:val="18"/>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90"/>
              </w:rPr>
              <w:t>Steven M. Helmbrecht</w:t>
            </w:r>
          </w:p>
        </w:tc>
      </w:tr>
      <w:tr>
        <w:trPr>
          <w:trHeight w:val="228"/>
        </w:trPr>
        <w:tc>
          <w:tcPr>
            <w:tcW w:w="3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88"/>
              </w:rPr>
              <w:t>Sr. Vice President and Chief Financial Officer</w:t>
            </w: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45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gridSpan w:val="9"/>
          </w:tcPr>
          <w:p>
            <w:pPr>
              <w:jc w:val="right"/>
              <w:ind w:right="972"/>
              <w:spacing w:after="0"/>
              <w:rPr>
                <w:sz w:val="20"/>
                <w:szCs w:val="20"/>
                <w:color w:val="auto"/>
              </w:rPr>
            </w:pPr>
            <w:r>
              <w:rPr>
                <w:rFonts w:ascii="Arial" w:cs="Arial" w:eastAsia="Arial" w:hAnsi="Arial"/>
                <w:sz w:val="18"/>
                <w:szCs w:val="18"/>
                <w:b w:val="1"/>
                <w:bCs w:val="1"/>
                <w:color w:val="auto"/>
              </w:rPr>
              <w:t>STATEMENT RE COMPUTATION OF RATIOS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Three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7"/>
              </w:rPr>
              <w:t>Months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9"/>
            <w:vMerge w:val="restart"/>
          </w:tcPr>
          <w:p>
            <w:pPr>
              <w:jc w:val="right"/>
              <w:ind w:right="48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Ended</w:t>
            </w: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gridSpan w:val="9"/>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9"/>
              </w:rPr>
              <w:t>March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2010</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2006</w:t>
            </w:r>
            <w:r>
              <w:rPr>
                <w:rFonts w:ascii="Arial" w:cs="Arial" w:eastAsia="Arial" w:hAnsi="Arial"/>
                <w:sz w:val="11"/>
                <w:szCs w:val="11"/>
                <w:b w:val="1"/>
                <w:bCs w:val="1"/>
                <w:color w:val="auto"/>
                <w:w w:val="97"/>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13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9"/>
              </w:rPr>
              <w:t>except ratios)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Pre-tax income (loss)</w:t>
            </w:r>
          </w:p>
        </w:tc>
        <w:tc>
          <w:tcPr>
            <w:tcW w:w="2440" w:type="dxa"/>
            <w:vAlign w:val="bottom"/>
            <w:gridSpan w:val="2"/>
          </w:tcPr>
          <w:p>
            <w:pPr>
              <w:ind w:left="236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36,687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120,744</w:t>
            </w:r>
          </w:p>
        </w:tc>
        <w:tc>
          <w:tcPr>
            <w:tcW w:w="1180" w:type="dxa"/>
            <w:vAlign w:val="bottom"/>
            <w:gridSpan w:val="3"/>
          </w:tcPr>
          <w:p>
            <w:pPr>
              <w:jc w:val="right"/>
              <w:ind w:right="92"/>
              <w:spacing w:after="0"/>
              <w:rPr>
                <w:sz w:val="20"/>
                <w:szCs w:val="20"/>
                <w:color w:val="auto"/>
              </w:rPr>
            </w:pPr>
            <w:r>
              <w:rPr>
                <w:rFonts w:ascii="Arial" w:cs="Arial" w:eastAsia="Arial" w:hAnsi="Arial"/>
                <w:sz w:val="18"/>
                <w:szCs w:val="18"/>
                <w:color w:val="auto"/>
              </w:rPr>
              <w:t>$ (46,074)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18,582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(43,550)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income from equity investees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120,130</w:t>
            </w:r>
          </w:p>
        </w:tc>
        <w:tc>
          <w:tcPr>
            <w:tcW w:w="280" w:type="dxa"/>
            <w:vAlign w:val="bottom"/>
          </w:tcPr>
          <w:p>
            <w:pPr>
              <w:spacing w:after="0"/>
              <w:rPr>
                <w:sz w:val="19"/>
                <w:szCs w:val="19"/>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(46,351)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18,489</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(43,908)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52,202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11"/>
                <w:szCs w:val="11"/>
                <w:color w:val="auto"/>
              </w:rPr>
              <w:t>(1)</w:t>
            </w:r>
            <w:r>
              <w:rPr>
                <w:rFonts w:ascii="Arial" w:cs="Arial" w:eastAsia="Arial" w:hAnsi="Arial"/>
                <w:sz w:val="18"/>
                <w:szCs w:val="18"/>
                <w:color w:val="auto"/>
              </w:rPr>
              <w: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11"/>
                <w:szCs w:val="11"/>
                <w:color w:val="auto"/>
              </w:rPr>
              <w:t>(2)</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54,904</w:t>
            </w: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70,311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94,177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100,935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portion of rent expense</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380" w:type="dxa"/>
            <w:vAlign w:val="bottom"/>
            <w:gridSpan w:val="2"/>
          </w:tcPr>
          <w:p>
            <w:pPr>
              <w:spacing w:after="0"/>
              <w:rPr>
                <w:sz w:val="20"/>
                <w:szCs w:val="20"/>
                <w:color w:val="auto"/>
              </w:rPr>
            </w:pPr>
            <w:r>
              <w:rPr>
                <w:rFonts w:ascii="Arial" w:cs="Arial" w:eastAsia="Arial" w:hAnsi="Arial"/>
                <w:sz w:val="18"/>
                <w:szCs w:val="18"/>
                <w:color w:val="auto"/>
              </w:rPr>
              <w:t>a) Fixed charges</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13,264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60,029</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75,552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99,340</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105,033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11"/>
                <w:szCs w:val="11"/>
                <w:color w:val="auto"/>
              </w:rPr>
              <w:t>(3)</w:t>
            </w:r>
          </w:p>
        </w:tc>
        <w:tc>
          <w:tcPr>
            <w:tcW w:w="2440" w:type="dxa"/>
            <w:vAlign w:val="bottom"/>
            <w:gridSpan w:val="2"/>
            <w:shd w:val="clear" w:color="auto" w:fill="CCEEFF"/>
          </w:tcPr>
          <w:p>
            <w:pPr>
              <w:ind w:left="23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180,159</w:t>
            </w: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$ 29,201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117,829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Ratios:</w:t>
            </w: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38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11"/>
                <w:szCs w:val="11"/>
                <w:color w:val="auto"/>
              </w:rPr>
              <w:t>(b/a)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80" w:type="dxa"/>
            <w:vAlign w:val="bottom"/>
            <w:gridSpan w:val="2"/>
          </w:tcPr>
          <w:p>
            <w:pPr>
              <w:spacing w:after="0"/>
              <w:rPr>
                <w:sz w:val="20"/>
                <w:szCs w:val="20"/>
                <w:color w:val="auto"/>
              </w:rPr>
            </w:pPr>
            <w:r>
              <w:rPr>
                <w:rFonts w:ascii="Arial" w:cs="Arial" w:eastAsia="Arial" w:hAnsi="Arial"/>
                <w:sz w:val="18"/>
                <w:szCs w:val="18"/>
                <w:color w:val="auto"/>
              </w:rPr>
              <w:t>Deficit of earnings to fixed charges</w:t>
            </w:r>
          </w:p>
        </w:tc>
        <w:tc>
          <w:tcPr>
            <w:tcW w:w="2440" w:type="dxa"/>
            <w:vAlign w:val="bottom"/>
            <w:gridSpan w:val="2"/>
          </w:tcPr>
          <w:p>
            <w:pPr>
              <w:ind w:left="236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92"/>
              <w:spacing w:after="0"/>
              <w:rPr>
                <w:sz w:val="20"/>
                <w:szCs w:val="20"/>
                <w:color w:val="auto"/>
              </w:rPr>
            </w:pPr>
            <w:r>
              <w:rPr>
                <w:rFonts w:ascii="Arial" w:cs="Arial" w:eastAsia="Arial" w:hAnsi="Arial"/>
                <w:sz w:val="18"/>
                <w:szCs w:val="18"/>
                <w:color w:val="auto"/>
              </w:rPr>
              <w:t>$ (46,351)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(43,908)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240" w:hanging="446"/>
        <w:spacing w:after="0" w:line="228" w:lineRule="auto"/>
        <w:tabs>
          <w:tab w:leader="none" w:pos="90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 w:lineRule="exact"/>
        <w:rPr>
          <w:rFonts w:ascii="Arial" w:cs="Arial" w:eastAsia="Arial" w:hAnsi="Arial"/>
          <w:sz w:val="22"/>
          <w:szCs w:val="22"/>
          <w:color w:val="auto"/>
          <w:vertAlign w:val="superscript"/>
        </w:rPr>
      </w:pPr>
    </w:p>
    <w:p>
      <w:pPr>
        <w:ind w:left="900" w:hanging="446"/>
        <w:spacing w:after="0" w:line="205" w:lineRule="auto"/>
        <w:tabs>
          <w:tab w:leader="none" w:pos="90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Interest expense, gross, includes amortization of prepaid debt fees and discount.</w:t>
      </w:r>
    </w:p>
    <w:p>
      <w:pPr>
        <w:spacing w:after="0" w:line="7" w:lineRule="exact"/>
        <w:rPr>
          <w:rFonts w:ascii="Arial" w:cs="Arial" w:eastAsia="Arial" w:hAnsi="Arial"/>
          <w:sz w:val="22"/>
          <w:szCs w:val="22"/>
          <w:color w:val="auto"/>
          <w:vertAlign w:val="superscript"/>
        </w:rPr>
      </w:pPr>
    </w:p>
    <w:p>
      <w:pPr>
        <w:ind w:left="900" w:right="460" w:hanging="446"/>
        <w:spacing w:after="0" w:line="221" w:lineRule="auto"/>
        <w:tabs>
          <w:tab w:leader="none" w:pos="90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Earnings for ratio consist of income (loss) from continuing operations before income taxes, less income (loss) from equity investees, plus fixed charges.</w:t>
      </w:r>
    </w:p>
    <w:p>
      <w:pPr>
        <w:ind w:left="900" w:right="420" w:hanging="446"/>
        <w:spacing w:after="0" w:line="237" w:lineRule="auto"/>
        <w:tabs>
          <w:tab w:leader="none" w:pos="900" w:val="left"/>
        </w:tabs>
        <w:numPr>
          <w:ilvl w:val="0"/>
          <w:numId w:val="17"/>
        </w:numPr>
        <w:rPr>
          <w:rFonts w:ascii="Arial" w:cs="Arial" w:eastAsia="Arial" w:hAnsi="Arial"/>
          <w:sz w:val="21"/>
          <w:szCs w:val="21"/>
          <w:color w:val="auto"/>
          <w:vertAlign w:val="superscript"/>
        </w:rPr>
      </w:pPr>
      <w:r>
        <w:rPr>
          <w:rFonts w:ascii="Arial" w:cs="Arial" w:eastAsia="Arial" w:hAnsi="Arial"/>
          <w:sz w:val="17"/>
          <w:szCs w:val="17"/>
          <w:color w:val="auto"/>
        </w:rPr>
        <w:t>Due to Itron’s losses for the years ended December 31, 2009 and 2007, the coverage ratio was less than 1:1. Additional earnings of $46,351 and $43,908 would have been needed to achieve a coverage ratio of 1:1 in each of those respective periods.</w:t>
      </w:r>
    </w:p>
    <w:p>
      <w:pPr>
        <w:ind w:left="900" w:right="80" w:hanging="446"/>
        <w:spacing w:after="0" w:line="258" w:lineRule="auto"/>
        <w:tabs>
          <w:tab w:leader="none" w:pos="900" w:val="left"/>
        </w:tabs>
        <w:numPr>
          <w:ilvl w:val="0"/>
          <w:numId w:val="17"/>
        </w:numPr>
        <w:rPr>
          <w:rFonts w:ascii="Arial" w:cs="Arial" w:eastAsia="Arial" w:hAnsi="Arial"/>
          <w:sz w:val="21"/>
          <w:szCs w:val="21"/>
          <w:color w:val="auto"/>
          <w:vertAlign w:val="superscript"/>
        </w:rPr>
      </w:pPr>
      <w:r>
        <w:rPr>
          <w:rFonts w:ascii="Arial" w:cs="Arial" w:eastAsia="Arial" w:hAnsi="Arial"/>
          <w:sz w:val="17"/>
          <w:szCs w:val="17"/>
          <w:color w:val="auto"/>
        </w:rPr>
        <w:t xml:space="preserve">On January 1, 2009, we adopted Financial Accounting Standards Board (FASB) Staff Position (FSP) APB 14-1, </w:t>
      </w:r>
      <w:r>
        <w:rPr>
          <w:rFonts w:ascii="Arial" w:cs="Arial" w:eastAsia="Arial" w:hAnsi="Arial"/>
          <w:sz w:val="17"/>
          <w:szCs w:val="17"/>
          <w:i w:val="1"/>
          <w:iCs w:val="1"/>
          <w:color w:val="auto"/>
        </w:rPr>
        <w:t>Accounting for Convertible 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That May Be Settled in Cash upon Conversion (Including Partial Cash Settlement) </w:t>
      </w:r>
      <w:r>
        <w:rPr>
          <w:rFonts w:ascii="Arial" w:cs="Arial" w:eastAsia="Arial" w:hAnsi="Arial"/>
          <w:sz w:val="17"/>
          <w:szCs w:val="17"/>
          <w:color w:val="auto"/>
        </w:rPr>
        <w:t>(FSP 14-1) relating to our convertible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 notes issued in August 2006. (The guidance in FSP 14-1 is now embedded within Accounting Standards Codification</w:t>
      </w:r>
      <w:r>
        <w:rPr>
          <w:rFonts w:ascii="Arial" w:cs="Arial" w:eastAsia="Arial" w:hAnsi="Arial"/>
          <w:sz w:val="11"/>
          <w:szCs w:val="11"/>
          <w:color w:val="auto"/>
        </w:rPr>
        <w:t>TM</w:t>
      </w:r>
      <w:r>
        <w:rPr>
          <w:rFonts w:ascii="Arial" w:cs="Arial" w:eastAsia="Arial" w:hAnsi="Arial"/>
          <w:sz w:val="17"/>
          <w:szCs w:val="17"/>
          <w:color w:val="auto"/>
        </w:rPr>
        <w:t xml:space="preserve"> (ASC) 470-20). We used the SEC staff’s Alternative A transition election for presenting prior financial information, and therefore the financial information as of and for the year ended December 31, 2006 has not been adjusted and is not comparable to the financial information as of and for the years ended December 31, 2010, 2009, 2008, and 2007.</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00" w:hanging="440"/>
        <w:spacing w:after="0" w:line="332" w:lineRule="auto"/>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117" w:lineRule="exact"/>
        <w:rPr>
          <w:sz w:val="20"/>
          <w:szCs w:val="20"/>
          <w:color w:val="auto"/>
        </w:rPr>
      </w:pPr>
    </w:p>
    <w:p>
      <w:pPr>
        <w:ind w:left="6860"/>
        <w:spacing w:after="0"/>
        <w:tabs>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Malcolm Unsworth</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2011</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00" w:hanging="440"/>
        <w:spacing w:after="0" w:line="332"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117" w:lineRule="exact"/>
        <w:rPr>
          <w:sz w:val="20"/>
          <w:szCs w:val="20"/>
          <w:color w:val="auto"/>
        </w:rPr>
      </w:pPr>
    </w:p>
    <w:p>
      <w:pPr>
        <w:ind w:left="6860"/>
        <w:spacing w:after="0"/>
        <w:tabs>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2011</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2011 (the Report) for the purpose of complying with Rule 13a-14(b) or Rule 15d-14(b) of the Securities Exchange Act of 1934 and Section 1350 of Chapter 63 of Title 18 of the United States Code.</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Malcolm Unsworth</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May 3, 2011</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May 3,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2019-12-10T06:43:28Z</dcterms:created>
  <dcterms:modified xsi:type="dcterms:W3CDTF">2019-12-10T06:43:28Z</dcterms:modified>
</cp:coreProperties>
</file>