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As filed with the Securities and Exchange Commission on September 3, 1999</w:t>
      </w:r>
    </w:p>
    <w:p>
      <w:pPr>
        <w:spacing w:after="0" w:line="201" w:lineRule="exact"/>
        <w:rPr>
          <w:sz w:val="24"/>
          <w:szCs w:val="24"/>
          <w:color w:val="auto"/>
        </w:rPr>
      </w:pPr>
    </w:p>
    <w:p>
      <w:pPr>
        <w:ind w:left="5900"/>
        <w:spacing w:after="0"/>
        <w:rPr>
          <w:sz w:val="20"/>
          <w:szCs w:val="20"/>
          <w:color w:val="auto"/>
        </w:rPr>
      </w:pPr>
      <w:r>
        <w:rPr>
          <w:rFonts w:ascii="Courier New" w:cs="Courier New" w:eastAsia="Courier New" w:hAnsi="Courier New"/>
          <w:sz w:val="18"/>
          <w:szCs w:val="18"/>
          <w:color w:val="auto"/>
        </w:rPr>
        <w:t>Registration No. 333-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ITRON, INC.</w:t>
      </w:r>
    </w:p>
    <w:p>
      <w:pPr>
        <w:jc w:val="center"/>
        <w:ind w:right="13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039"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91-1011792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3920" w:space="720"/>
            <w:col w:w="5579"/>
          </w:cols>
          <w:pgMar w:left="240" w:top="244" w:right="1440" w:bottom="1039" w:gutter="0" w:footer="0" w:header="0"/>
          <w:type w:val="continuous"/>
        </w:sectPr>
      </w:pPr>
    </w:p>
    <w:p>
      <w:pPr>
        <w:spacing w:after="0" w:line="22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2818 N. Sullivan Road</w:t>
      </w:r>
    </w:p>
    <w:p>
      <w:pPr>
        <w:ind w:left="2640"/>
        <w:spacing w:after="0" w:line="238" w:lineRule="auto"/>
        <w:rPr>
          <w:sz w:val="20"/>
          <w:szCs w:val="20"/>
          <w:color w:val="auto"/>
        </w:rPr>
      </w:pPr>
      <w:r>
        <w:rPr>
          <w:rFonts w:ascii="Courier New" w:cs="Courier New" w:eastAsia="Courier New" w:hAnsi="Courier New"/>
          <w:sz w:val="18"/>
          <w:szCs w:val="18"/>
          <w:color w:val="auto"/>
        </w:rPr>
        <w:t>Spokane, Washington 99216-1897</w:t>
      </w: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NONQUALIFIED STOCK OPTION LETTER AGREEMENT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DAVID G. REMINGTON</w:t>
      </w:r>
    </w:p>
    <w:p>
      <w:pPr>
        <w:ind w:left="2000"/>
        <w:spacing w:after="0" w:line="238" w:lineRule="auto"/>
        <w:rPr>
          <w:sz w:val="20"/>
          <w:szCs w:val="20"/>
          <w:color w:val="auto"/>
        </w:rPr>
      </w:pPr>
      <w:r>
        <w:rPr>
          <w:rFonts w:ascii="Courier New" w:cs="Courier New" w:eastAsia="Courier New" w:hAnsi="Courier New"/>
          <w:sz w:val="18"/>
          <w:szCs w:val="18"/>
          <w:color w:val="auto"/>
        </w:rPr>
        <w:t>Vice President and Chief Financial Officer</w:t>
      </w:r>
    </w:p>
    <w:p>
      <w:pPr>
        <w:ind w:left="3700"/>
        <w:spacing w:after="0"/>
        <w:rPr>
          <w:sz w:val="20"/>
          <w:szCs w:val="20"/>
          <w:color w:val="auto"/>
        </w:rPr>
      </w:pPr>
      <w:r>
        <w:rPr>
          <w:rFonts w:ascii="Courier New" w:cs="Courier New" w:eastAsia="Courier New" w:hAnsi="Courier New"/>
          <w:sz w:val="18"/>
          <w:szCs w:val="18"/>
          <w:color w:val="auto"/>
        </w:rPr>
        <w:t>Itron, Inc.</w:t>
      </w:r>
    </w:p>
    <w:p>
      <w:pPr>
        <w:ind w:left="3160"/>
        <w:spacing w:after="0" w:line="237" w:lineRule="auto"/>
        <w:rPr>
          <w:sz w:val="20"/>
          <w:szCs w:val="20"/>
          <w:color w:val="auto"/>
        </w:rPr>
      </w:pPr>
      <w:r>
        <w:rPr>
          <w:rFonts w:ascii="Courier New" w:cs="Courier New" w:eastAsia="Courier New" w:hAnsi="Courier New"/>
          <w:sz w:val="18"/>
          <w:szCs w:val="18"/>
          <w:color w:val="auto"/>
        </w:rPr>
        <w:t>2818 N. Sullivan Road</w:t>
      </w:r>
    </w:p>
    <w:p>
      <w:pPr>
        <w:ind w:left="2640"/>
        <w:spacing w:after="0" w:line="238" w:lineRule="auto"/>
        <w:rPr>
          <w:sz w:val="20"/>
          <w:szCs w:val="20"/>
          <w:color w:val="auto"/>
        </w:rPr>
      </w:pPr>
      <w:r>
        <w:rPr>
          <w:rFonts w:ascii="Courier New" w:cs="Courier New" w:eastAsia="Courier New" w:hAnsi="Courier New"/>
          <w:sz w:val="18"/>
          <w:szCs w:val="18"/>
          <w:color w:val="auto"/>
        </w:rPr>
        <w:t>Spokane, Washington 99216-1897</w:t>
      </w:r>
    </w:p>
    <w:p>
      <w:pPr>
        <w:ind w:left="3480"/>
        <w:spacing w:after="0"/>
        <w:rPr>
          <w:sz w:val="20"/>
          <w:szCs w:val="20"/>
          <w:color w:val="auto"/>
        </w:rPr>
      </w:pPr>
      <w:r>
        <w:rPr>
          <w:rFonts w:ascii="Courier New" w:cs="Courier New" w:eastAsia="Courier New" w:hAnsi="Courier New"/>
          <w:sz w:val="18"/>
          <w:szCs w:val="18"/>
          <w:color w:val="auto"/>
        </w:rPr>
        <w:t>(509) 924-9900</w:t>
      </w:r>
    </w:p>
    <w:p>
      <w:pPr>
        <w:spacing w:after="0" w:line="237" w:lineRule="auto"/>
        <w:rPr>
          <w:sz w:val="20"/>
          <w:szCs w:val="20"/>
          <w:color w:val="auto"/>
        </w:rPr>
      </w:pPr>
      <w:r>
        <w:rPr>
          <w:rFonts w:ascii="Courier New" w:cs="Courier New" w:eastAsia="Courier New" w:hAnsi="Courier New"/>
          <w:sz w:val="18"/>
          <w:szCs w:val="18"/>
          <w:color w:val="auto"/>
        </w:rPr>
        <w:t>(Name, address and telephone number, including area code, of agent for service)</w:t>
      </w:r>
    </w:p>
    <w:p>
      <w:pPr>
        <w:ind w:left="3160"/>
        <w:spacing w:after="0"/>
        <w:rPr>
          <w:sz w:val="20"/>
          <w:szCs w:val="20"/>
          <w:color w:val="auto"/>
        </w:rPr>
      </w:pPr>
      <w:r>
        <w:rPr>
          <w:rFonts w:ascii="Courier New" w:cs="Courier New" w:eastAsia="Courier New" w:hAnsi="Courier New"/>
          <w:sz w:val="18"/>
          <w:szCs w:val="18"/>
          <w:color w:val="auto"/>
        </w:rPr>
        <w:t>----------------------</w:t>
      </w:r>
    </w:p>
    <w:p>
      <w:pPr>
        <w:ind w:left="3800"/>
        <w:spacing w:after="0" w:line="237" w:lineRule="auto"/>
        <w:rPr>
          <w:sz w:val="20"/>
          <w:szCs w:val="20"/>
          <w:color w:val="auto"/>
        </w:rPr>
      </w:pPr>
      <w:r>
        <w:rPr>
          <w:rFonts w:ascii="Courier New" w:cs="Courier New" w:eastAsia="Courier New" w:hAnsi="Courier New"/>
          <w:sz w:val="18"/>
          <w:szCs w:val="18"/>
          <w:color w:val="auto"/>
        </w:rPr>
        <w:t>Copy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LINDA A. SCHOEMAKER</w:t>
      </w:r>
    </w:p>
    <w:p>
      <w:pPr>
        <w:ind w:left="3160"/>
        <w:spacing w:after="0" w:line="238" w:lineRule="auto"/>
        <w:rPr>
          <w:sz w:val="20"/>
          <w:szCs w:val="20"/>
          <w:color w:val="auto"/>
        </w:rPr>
      </w:pPr>
      <w:r>
        <w:rPr>
          <w:rFonts w:ascii="Courier New" w:cs="Courier New" w:eastAsia="Courier New" w:hAnsi="Courier New"/>
          <w:sz w:val="18"/>
          <w:szCs w:val="18"/>
          <w:color w:val="auto"/>
        </w:rPr>
        <w:t>Perkins Coie LLP</w:t>
      </w:r>
    </w:p>
    <w:p>
      <w:pPr>
        <w:ind w:left="2540"/>
        <w:spacing w:after="0"/>
        <w:rPr>
          <w:sz w:val="20"/>
          <w:szCs w:val="20"/>
          <w:color w:val="auto"/>
        </w:rPr>
      </w:pPr>
      <w:r>
        <w:rPr>
          <w:rFonts w:ascii="Courier New" w:cs="Courier New" w:eastAsia="Courier New" w:hAnsi="Courier New"/>
          <w:sz w:val="18"/>
          <w:szCs w:val="18"/>
          <w:color w:val="auto"/>
        </w:rPr>
        <w:t>1201 Third Avenue, 40th Floor</w:t>
      </w:r>
    </w:p>
    <w:p>
      <w:pPr>
        <w:ind w:left="2540"/>
        <w:spacing w:after="0" w:line="237" w:lineRule="auto"/>
        <w:rPr>
          <w:sz w:val="20"/>
          <w:szCs w:val="20"/>
          <w:color w:val="auto"/>
        </w:rPr>
      </w:pPr>
      <w:r>
        <w:rPr>
          <w:rFonts w:ascii="Courier New" w:cs="Courier New" w:eastAsia="Courier New" w:hAnsi="Courier New"/>
          <w:sz w:val="18"/>
          <w:szCs w:val="18"/>
          <w:color w:val="auto"/>
        </w:rPr>
        <w:t>Seattle, Washington 98101-3099</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Securities Number to be  Proposed Maximum Proposed Maximum Amount of</w:t>
      </w:r>
    </w:p>
    <w:p>
      <w:pPr>
        <w:ind w:left="120"/>
        <w:spacing w:after="0"/>
        <w:tabs>
          <w:tab w:leader="none" w:pos="2100" w:val="left"/>
          <w:tab w:leader="none" w:pos="5360" w:val="left"/>
          <w:tab w:leader="none" w:pos="7160" w:val="left"/>
        </w:tabs>
        <w:rPr>
          <w:sz w:val="20"/>
          <w:szCs w:val="20"/>
          <w:color w:val="auto"/>
        </w:rPr>
      </w:pPr>
      <w:r>
        <w:rPr>
          <w:rFonts w:ascii="Courier New" w:cs="Courier New" w:eastAsia="Courier New" w:hAnsi="Courier New"/>
          <w:sz w:val="18"/>
          <w:szCs w:val="18"/>
          <w:color w:val="auto"/>
        </w:rPr>
        <w:t>to Be Registered</w:t>
      </w:r>
      <w:r>
        <w:rPr>
          <w:sz w:val="20"/>
          <w:szCs w:val="20"/>
          <w:color w:val="auto"/>
        </w:rPr>
        <w:tab/>
      </w:r>
      <w:r>
        <w:rPr>
          <w:rFonts w:ascii="Courier New" w:cs="Courier New" w:eastAsia="Courier New" w:hAnsi="Courier New"/>
          <w:sz w:val="18"/>
          <w:szCs w:val="18"/>
          <w:color w:val="auto"/>
        </w:rPr>
        <w:t>Registered(1) Offering Price</w:t>
      </w:r>
      <w:r>
        <w:rPr>
          <w:sz w:val="20"/>
          <w:szCs w:val="20"/>
          <w:color w:val="auto"/>
        </w:rPr>
        <w:tab/>
      </w:r>
      <w:r>
        <w:rPr>
          <w:rFonts w:ascii="Courier New" w:cs="Courier New" w:eastAsia="Courier New" w:hAnsi="Courier New"/>
          <w:sz w:val="18"/>
          <w:szCs w:val="18"/>
          <w:color w:val="auto"/>
        </w:rPr>
        <w:t>Aggregate</w:t>
      </w:r>
      <w:r>
        <w:rPr>
          <w:sz w:val="20"/>
          <w:szCs w:val="20"/>
          <w:color w:val="auto"/>
        </w:rPr>
        <w:tab/>
      </w:r>
      <w:r>
        <w:rPr>
          <w:rFonts w:ascii="Courier New" w:cs="Courier New" w:eastAsia="Courier New" w:hAnsi="Courier New"/>
          <w:sz w:val="16"/>
          <w:szCs w:val="16"/>
          <w:color w:val="auto"/>
        </w:rPr>
        <w:t>Registration</w:t>
      </w:r>
    </w:p>
    <w:p>
      <w:pPr>
        <w:ind w:left="3700"/>
        <w:spacing w:after="0"/>
        <w:tabs>
          <w:tab w:leader="none" w:pos="5360" w:val="left"/>
          <w:tab w:leader="none" w:pos="7160" w:val="left"/>
        </w:tabs>
        <w:rPr>
          <w:sz w:val="20"/>
          <w:szCs w:val="20"/>
          <w:color w:val="auto"/>
        </w:rPr>
      </w:pPr>
      <w:r>
        <w:rPr>
          <w:rFonts w:ascii="Courier New" w:cs="Courier New" w:eastAsia="Courier New" w:hAnsi="Courier New"/>
          <w:sz w:val="18"/>
          <w:szCs w:val="18"/>
          <w:color w:val="auto"/>
        </w:rPr>
        <w:t>Per Share</w:t>
      </w:r>
      <w:r>
        <w:rPr>
          <w:sz w:val="20"/>
          <w:szCs w:val="20"/>
          <w:color w:val="auto"/>
        </w:rPr>
        <w:tab/>
      </w:r>
      <w:r>
        <w:rPr>
          <w:rFonts w:ascii="Courier New" w:cs="Courier New" w:eastAsia="Courier New" w:hAnsi="Courier New"/>
          <w:sz w:val="18"/>
          <w:szCs w:val="18"/>
          <w:color w:val="auto"/>
        </w:rPr>
        <w:t>Offering Price</w:t>
      </w:r>
      <w:r>
        <w:rPr>
          <w:sz w:val="20"/>
          <w:szCs w:val="20"/>
          <w:color w:val="auto"/>
        </w:rPr>
        <w:tab/>
      </w:r>
      <w:r>
        <w:rPr>
          <w:rFonts w:ascii="Courier New" w:cs="Courier New" w:eastAsia="Courier New" w:hAnsi="Courier New"/>
          <w:sz w:val="16"/>
          <w:szCs w:val="16"/>
          <w:color w:val="auto"/>
        </w:rPr>
        <w:t>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Common</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Stock, no</w:t>
            </w: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par value, under the</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158,975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$7.3125(2)</w:t>
            </w: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$1,162,504.60(2)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$323.18</w:t>
            </w:r>
          </w:p>
        </w:tc>
      </w:tr>
      <w:tr>
        <w:trPr>
          <w:trHeight w:val="203"/>
        </w:trPr>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Nonqualified Stock</w:t>
            </w: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Letter</w:t>
            </w: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200" w:lineRule="exact"/>
        <w:rPr>
          <w:sz w:val="24"/>
          <w:szCs w:val="24"/>
          <w:color w:val="auto"/>
        </w:rPr>
      </w:pPr>
    </w:p>
    <w:p>
      <w:pPr>
        <w:spacing w:after="0" w:line="226" w:lineRule="exact"/>
        <w:rPr>
          <w:sz w:val="24"/>
          <w:szCs w:val="24"/>
          <w:color w:val="auto"/>
        </w:rPr>
      </w:pPr>
    </w:p>
    <w:p>
      <w:pPr>
        <w:jc w:val="both"/>
        <w:ind w:left="960" w:right="1779" w:hanging="952"/>
        <w:spacing w:after="0" w:line="237"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Together with an indeterminate number of additional shares that may be necessary to adjust the number of shares reserved for issuance pursuant to such employee benefit plan as the result of any future stock split, stock dividend or similar adjustment of the Registrant's outstanding Common Stock.</w:t>
      </w:r>
    </w:p>
    <w:p>
      <w:pPr>
        <w:spacing w:after="0" w:line="208" w:lineRule="exact"/>
        <w:rPr>
          <w:rFonts w:ascii="Courier New" w:cs="Courier New" w:eastAsia="Courier New" w:hAnsi="Courier New"/>
          <w:sz w:val="18"/>
          <w:szCs w:val="18"/>
          <w:color w:val="auto"/>
        </w:rPr>
      </w:pPr>
    </w:p>
    <w:p>
      <w:pPr>
        <w:jc w:val="both"/>
        <w:ind w:left="960" w:right="1779" w:hanging="952"/>
        <w:spacing w:after="0" w:line="237"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are issuable upon exercise of an outstanding option with a fixed exercise price. Pursuant to Rule 457(h) under the Securities Act of 1933, as amended, the proposed maximum aggregate offering price and the registration fee have been computed upon the basis at which the option may be exercised.</w:t>
      </w:r>
    </w:p>
    <w:p>
      <w:pPr>
        <w:sectPr>
          <w:pgSz w:w="11900" w:h="16838" w:orient="portrait"/>
          <w:cols w:equalWidth="0" w:num="1">
            <w:col w:w="10219"/>
          </w:cols>
          <w:pgMar w:left="240" w:top="244" w:right="1440" w:bottom="1039"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INFORMATION REQUIRED IN REGISTRATION STATEMENT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jc w:val="both"/>
        <w:ind w:firstLine="948"/>
        <w:spacing w:after="0" w:line="236" w:lineRule="auto"/>
        <w:rPr>
          <w:sz w:val="20"/>
          <w:szCs w:val="20"/>
          <w:color w:val="auto"/>
        </w:rPr>
      </w:pPr>
      <w:r>
        <w:rPr>
          <w:rFonts w:ascii="Courier New" w:cs="Courier New" w:eastAsia="Courier New" w:hAnsi="Courier New"/>
          <w:sz w:val="18"/>
          <w:szCs w:val="18"/>
          <w:color w:val="auto"/>
        </w:rPr>
        <w:t>The following documents filed Commission (the "Commission") are hereby Registration Statement: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779"/>
        <w:spacing w:after="0" w:line="290" w:lineRule="auto"/>
        <w:rPr>
          <w:sz w:val="20"/>
          <w:szCs w:val="20"/>
          <w:color w:val="auto"/>
        </w:rPr>
      </w:pPr>
      <w:r>
        <w:rPr>
          <w:rFonts w:ascii="Courier New" w:cs="Courier New" w:eastAsia="Courier New" w:hAnsi="Courier New"/>
          <w:sz w:val="16"/>
          <w:szCs w:val="16"/>
          <w:color w:val="auto"/>
        </w:rPr>
        <w:t>with  the  Securities  and  Exchange incorporated  by  reference in this</w:t>
      </w:r>
    </w:p>
    <w:p>
      <w:pPr>
        <w:spacing w:after="0" w:line="363" w:lineRule="exact"/>
        <w:rPr>
          <w:sz w:val="20"/>
          <w:szCs w:val="20"/>
          <w:color w:val="auto"/>
        </w:rPr>
      </w:pPr>
    </w:p>
    <w:p>
      <w:pPr>
        <w:sectPr>
          <w:pgSz w:w="11900" w:h="16838" w:orient="portrait"/>
          <w:cols w:equalWidth="0" w:num="2">
            <w:col w:w="4540" w:space="100"/>
            <w:col w:w="5579"/>
          </w:cols>
          <w:pgMar w:left="240" w:top="339" w:right="1440" w:bottom="0" w:gutter="0" w:footer="0" w:header="0"/>
          <w:type w:val="continuous"/>
        </w:sectPr>
      </w:pPr>
    </w:p>
    <w:p>
      <w:pPr>
        <w:spacing w:after="0" w:line="9" w:lineRule="exact"/>
        <w:rPr>
          <w:sz w:val="20"/>
          <w:szCs w:val="20"/>
          <w:color w:val="auto"/>
        </w:rPr>
      </w:pPr>
    </w:p>
    <w:p>
      <w:pPr>
        <w:jc w:val="both"/>
        <w:ind w:right="1779" w:firstLine="1904"/>
        <w:spacing w:after="0" w:line="237" w:lineRule="auto"/>
        <w:tabs>
          <w:tab w:leader="none" w:pos="231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Annual Report on Form 10-K for the year ended December 31, 1998, filed on March 30, 1999, which contains audited financial statements for the most recent fiscal year for which such statements have been filed;</w:t>
      </w:r>
    </w:p>
    <w:p>
      <w:pPr>
        <w:spacing w:after="0" w:line="207" w:lineRule="exact"/>
        <w:rPr>
          <w:rFonts w:ascii="Courier New" w:cs="Courier New" w:eastAsia="Courier New" w:hAnsi="Courier New"/>
          <w:sz w:val="18"/>
          <w:szCs w:val="18"/>
          <w:color w:val="auto"/>
        </w:rPr>
      </w:pPr>
    </w:p>
    <w:p>
      <w:pPr>
        <w:jc w:val="both"/>
        <w:ind w:right="1779" w:firstLine="1904"/>
        <w:spacing w:after="0" w:line="237" w:lineRule="auto"/>
        <w:tabs>
          <w:tab w:leader="none" w:pos="231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by the Registrant pursuant to Section 13(a) or 15(d) of the Securities Exchange Act of 1934, as amended (the "Exchange Act"), since the end of the fiscal year covered by the Annual Report on Form 10-K referred to in (a) above; and</w:t>
      </w:r>
    </w:p>
    <w:p>
      <w:pPr>
        <w:spacing w:after="0" w:line="207" w:lineRule="exact"/>
        <w:rPr>
          <w:rFonts w:ascii="Courier New" w:cs="Courier New" w:eastAsia="Courier New" w:hAnsi="Courier New"/>
          <w:sz w:val="18"/>
          <w:szCs w:val="18"/>
          <w:color w:val="auto"/>
        </w:rPr>
      </w:pPr>
    </w:p>
    <w:p>
      <w:pPr>
        <w:jc w:val="both"/>
        <w:ind w:right="1779" w:firstLine="1904"/>
        <w:spacing w:after="0" w:line="237" w:lineRule="auto"/>
        <w:tabs>
          <w:tab w:leader="none" w:pos="231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Registrant's Common Stock contained in the Registration Statement on Form 8-A filed on September 18, 1993, under Section 12(g) of the Exchange Act, including any amendments or reports filed for the purpose of updating such description.</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All documents filed by the Registrant pursuant to Section 13(a), 13(c), 14 or 15(d) of the Exchange Act after the date hereof,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205" w:lineRule="exact"/>
        <w:rPr>
          <w:sz w:val="20"/>
          <w:szCs w:val="20"/>
          <w:color w:val="auto"/>
        </w:rPr>
      </w:pPr>
    </w:p>
    <w:p>
      <w:pPr>
        <w:jc w:val="center"/>
        <w:ind w:right="6639"/>
        <w:spacing w:after="0"/>
        <w:tabs>
          <w:tab w:leader="none" w:pos="2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Sections 23B.08.500 through 23B.08.600 of the Washington Business Corporation Act authorize a court to award, or a corporation's board of directors to grant, indemnification to directors and officers on terms sufficiently broad to permit indemnification under certain circumstances for liabilities arising under the Securities Act of 1933, as amended (the "Securities Act"). Section 10 of the Registrant's Restated Bylaws provides for indemnification of the Registrant's directors, officers, employees and agents to the maximum extent permitted by Washington law. Certain of the directors of the Registrant, who are affiliated with principal shareholders of the Registrant, also may be indemnified by such shareholders against liability they may incur in their capacity as a director of the Registrant, including pursuant to a liability insurance policy for such purpose.</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23B.08.320 of the Washington Business Corporation Act authorizes a corporation to limit a director's liability to the corporation or its shareholders for monetary damages for acts or omissions as a director, except in certain circumstances involving intentional misconduct, self-dealing or illegal corporate loans or distributions, or any transactions from which the director personally receives a benefit in money, property or services to which the director is not entitled. Article 9 of the Registrant's Restated Articles of Incorporation contains provisions implementing, to the fullest extent permitted by Washington law, such limitations on a director's liability to the Registrant and its shareholders.</w:t>
      </w:r>
    </w:p>
    <w:p>
      <w:pPr>
        <w:spacing w:after="0" w:line="215"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The Registrant has entered into an Indemnification Agreement with each of its executive officers and directors in which the Registrant agrees to hold harmless and indemnify the officer or director to the fullest extent permitted by Washington law. In addition, the Registrant agrees to indemnify the officer or director against any and all losses, claims, damages, liabilities or expenses incurred in connection with any actual, pending or threatened action, suit, claim or proceeding, whether civil, criminal, administrative or investigative and whether formal or informal, in which the officer or director is, was or becomes involved by reason of the fact that the officer or director is or was a director, officer, employee or agent of the Registrant, or that being or having been such a director, officer, employee or agent, such director is or was serving at the request of the Registrant as a director, officer, employee, trustee or agent of another corporation or of a partnership, joint venture,</w:t>
      </w:r>
    </w:p>
    <w:p>
      <w:pPr>
        <w:sectPr>
          <w:pgSz w:w="11900" w:h="16838" w:orient="portrait"/>
          <w:cols w:equalWidth="0" w:num="1">
            <w:col w:w="10219"/>
          </w:cols>
          <w:pgMar w:left="240" w:top="339" w:right="1440" w:bottom="0" w:gutter="0" w:footer="0" w:header="0"/>
          <w:type w:val="continuous"/>
        </w:sectPr>
      </w:pPr>
    </w:p>
    <w:bookmarkStart w:id="2" w:name="page3"/>
    <w:bookmarkEnd w:id="2"/>
    <w:p>
      <w:pPr>
        <w:jc w:val="both"/>
        <w:ind w:right="1779"/>
        <w:spacing w:after="0" w:line="271" w:lineRule="auto"/>
        <w:rPr>
          <w:sz w:val="20"/>
          <w:szCs w:val="20"/>
          <w:color w:val="auto"/>
        </w:rPr>
      </w:pPr>
      <w:r>
        <w:rPr>
          <w:rFonts w:ascii="Courier New" w:cs="Courier New" w:eastAsia="Courier New" w:hAnsi="Courier New"/>
          <w:sz w:val="16"/>
          <w:szCs w:val="16"/>
          <w:color w:val="auto"/>
        </w:rPr>
        <w:t>trust or other enterprise, including service with respect to an employee benefit plan, whether the basis of such proceeding is alleged action (or inaction) by the officer or director in an official capacity as a director, officer, employee, trustee or agent or in any other capacity while serving as a director, officer, employee, trustee or agent. The officer or director is not indemnified for any action, suit, claim or proceeding instituted by or at the direction of the officer or director unless such action, suit, claim or proceeding is or was authorized by the Registrant's Board of Directors or unless the action is to enforce the provisions of the Indemnification Agreement.</w:t>
      </w:r>
    </w:p>
    <w:p>
      <w:pPr>
        <w:spacing w:after="0" w:line="388"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No indemnity pursuant to the Indemnification Agreements may be provided by the Registrant on account of any suit in which a final, unappealable judgment is rendered against an officer or director for an accounting of profits made from the purchase or sale by the officer or director of securities of the Registrant in violation of the provisions of Section 16(b) of the Exchange Act, and amendments thereto, or for damages that have been paid directly to the executive officer or director by an insurance carrier under a policy of directors' and officers' liability insurance maintained by the Registrant.</w:t>
      </w:r>
    </w:p>
    <w:p>
      <w:pPr>
        <w:spacing w:after="0" w:line="186"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Officers and directors of the Registrant are covered by insurance (with certain exceptions and certain limitations) that indemnifies them against losses and liabilities arising from certain alleged "wrongful acts," including alleged errors or misstatements, or certain other alleged wrongful acts or omissions constituting neglect or breach of duty.</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ectPr>
          <w:pgSz w:w="11900" w:h="16838" w:orient="portrait"/>
          <w:cols w:equalWidth="0" w:num="2">
            <w:col w:w="740" w:space="220"/>
            <w:col w:w="9259"/>
          </w:cols>
          <w:pgMar w:left="240" w:top="142" w:right="1440" w:bottom="0" w:gutter="0" w:footer="0" w:header="0"/>
          <w:type w:val="continuous"/>
        </w:sectPr>
      </w:pP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ind w:left="640"/>
        <w:spacing w:after="0"/>
        <w:tabs>
          <w:tab w:leader="none" w:pos="48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5.1</w:t>
            </w:r>
          </w:p>
        </w:tc>
        <w:tc>
          <w:tcPr>
            <w:tcW w:w="252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Opinion of Perkins</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Coie LLP regarding legality of the</w:t>
            </w:r>
          </w:p>
        </w:tc>
      </w:tr>
      <w:tr>
        <w:trPr>
          <w:trHeight w:val="203"/>
        </w:trPr>
        <w:tc>
          <w:tcPr>
            <w:tcW w:w="1000" w:type="dxa"/>
            <w:vAlign w:val="bottom"/>
          </w:tcPr>
          <w:p>
            <w:pPr>
              <w:spacing w:after="0"/>
              <w:rPr>
                <w:sz w:val="17"/>
                <w:szCs w:val="17"/>
                <w:color w:val="auto"/>
              </w:rPr>
            </w:pPr>
          </w:p>
        </w:tc>
        <w:tc>
          <w:tcPr>
            <w:tcW w:w="1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Common Stock</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being</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r>
      <w:tr>
        <w:trPr>
          <w:trHeight w:val="405"/>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23.1</w:t>
            </w:r>
          </w:p>
        </w:tc>
        <w:tc>
          <w:tcPr>
            <w:tcW w:w="65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Consent of Deloitte &amp; Touche LLP</w:t>
            </w:r>
          </w:p>
        </w:tc>
      </w:tr>
      <w:tr>
        <w:trPr>
          <w:trHeight w:val="405"/>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23.2</w:t>
            </w:r>
          </w:p>
        </w:tc>
        <w:tc>
          <w:tcPr>
            <w:tcW w:w="658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7"/>
              </w:rPr>
              <w:t>Consent of Perkins Coie LLP (included in opinion filed as</w:t>
            </w:r>
          </w:p>
        </w:tc>
      </w:tr>
      <w:tr>
        <w:trPr>
          <w:trHeight w:val="203"/>
        </w:trPr>
        <w:tc>
          <w:tcPr>
            <w:tcW w:w="1000" w:type="dxa"/>
            <w:vAlign w:val="bottom"/>
          </w:tcPr>
          <w:p>
            <w:pPr>
              <w:spacing w:after="0"/>
              <w:rPr>
                <w:sz w:val="17"/>
                <w:szCs w:val="17"/>
                <w:color w:val="auto"/>
              </w:rPr>
            </w:pPr>
          </w:p>
        </w:tc>
        <w:tc>
          <w:tcPr>
            <w:tcW w:w="1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Exhibit 5.1)</w:t>
            </w:r>
          </w:p>
        </w:tc>
        <w:tc>
          <w:tcPr>
            <w:tcW w:w="62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405"/>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24.1</w:t>
            </w:r>
          </w:p>
        </w:tc>
        <w:tc>
          <w:tcPr>
            <w:tcW w:w="65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Power of Attorney (see signature page)</w:t>
            </w:r>
          </w:p>
        </w:tc>
      </w:tr>
      <w:tr>
        <w:trPr>
          <w:trHeight w:val="405"/>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99.1</w:t>
            </w:r>
          </w:p>
        </w:tc>
        <w:tc>
          <w:tcPr>
            <w:tcW w:w="1900" w:type="dxa"/>
            <w:vAlign w:val="bottom"/>
          </w:tcPr>
          <w:p>
            <w:pPr>
              <w:ind w:left="580"/>
              <w:spacing w:after="0"/>
              <w:rPr>
                <w:sz w:val="20"/>
                <w:szCs w:val="20"/>
                <w:color w:val="auto"/>
              </w:rPr>
            </w:pPr>
            <w:r>
              <w:rPr>
                <w:rFonts w:ascii="Courier New" w:cs="Courier New" w:eastAsia="Courier New" w:hAnsi="Courier New"/>
                <w:sz w:val="18"/>
                <w:szCs w:val="18"/>
                <w:color w:val="auto"/>
              </w:rPr>
              <w:t>Nonqualified</w:t>
            </w:r>
          </w:p>
        </w:tc>
        <w:tc>
          <w:tcPr>
            <w:tcW w:w="4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Stock Option Letter Agreement</w:t>
            </w:r>
          </w:p>
        </w:tc>
      </w:tr>
    </w:tbl>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right="1779" w:firstLine="956"/>
        <w:spacing w:after="0" w:line="235" w:lineRule="auto"/>
        <w:tabs>
          <w:tab w:leader="none" w:pos="136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right="2419" w:firstLine="1904"/>
        <w:spacing w:after="0" w:line="235" w:lineRule="auto"/>
        <w:tabs>
          <w:tab w:leader="none" w:pos="3055"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jc w:val="both"/>
        <w:ind w:right="1779" w:firstLine="1904"/>
        <w:spacing w:after="0" w:line="237" w:lineRule="auto"/>
        <w:tabs>
          <w:tab w:leader="none" w:pos="2423"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208" w:lineRule="exact"/>
        <w:rPr>
          <w:rFonts w:ascii="Courier New" w:cs="Courier New" w:eastAsia="Courier New" w:hAnsi="Courier New"/>
          <w:sz w:val="18"/>
          <w:szCs w:val="18"/>
          <w:color w:val="auto"/>
        </w:rPr>
      </w:pPr>
    </w:p>
    <w:p>
      <w:pPr>
        <w:jc w:val="both"/>
        <w:ind w:right="1779" w:firstLine="1904"/>
        <w:spacing w:after="0" w:line="279" w:lineRule="auto"/>
        <w:tabs>
          <w:tab w:leader="none" w:pos="2528"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this Registration Statement or any material change to such information in this Registration Statement;</w:t>
      </w:r>
    </w:p>
    <w:p>
      <w:pPr>
        <w:spacing w:after="0" w:line="17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provided, however, that paragraphs (1)(i) and (1)(ii) above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209" w:lineRule="exact"/>
        <w:rPr>
          <w:sz w:val="20"/>
          <w:szCs w:val="20"/>
          <w:color w:val="auto"/>
        </w:rPr>
      </w:pPr>
    </w:p>
    <w:p>
      <w:pPr>
        <w:jc w:val="both"/>
        <w:ind w:right="1779" w:firstLine="956"/>
        <w:spacing w:after="0" w:line="237" w:lineRule="auto"/>
        <w:tabs>
          <w:tab w:leader="none" w:pos="136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jc w:val="both"/>
        <w:ind w:right="1779" w:firstLine="956"/>
        <w:spacing w:after="0" w:line="236" w:lineRule="auto"/>
        <w:tabs>
          <w:tab w:leader="none" w:pos="136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0219"/>
          </w:cols>
          <w:pgMar w:left="240" w:top="142" w:right="1440" w:bottom="0" w:gutter="0" w:footer="0" w:header="0"/>
          <w:type w:val="continuous"/>
        </w:sectPr>
      </w:pPr>
    </w:p>
    <w:bookmarkStart w:id="3" w:name="page4"/>
    <w:bookmarkEnd w:id="3"/>
    <w:p>
      <w:pPr>
        <w:jc w:val="both"/>
        <w:ind w:right="1779"/>
        <w:spacing w:after="0" w:line="237" w:lineRule="auto"/>
        <w:rPr>
          <w:sz w:val="20"/>
          <w:szCs w:val="20"/>
          <w:color w:val="auto"/>
        </w:rPr>
      </w:pPr>
      <w:r>
        <w:rPr>
          <w:rFonts w:ascii="Courier New" w:cs="Courier New" w:eastAsia="Courier New" w:hAnsi="Courier New"/>
          <w:sz w:val="18"/>
          <w:szCs w:val="18"/>
          <w:color w:val="auto"/>
        </w:rPr>
        <w:t>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19"/>
          </w:cols>
          <w:pgMar w:left="240" w:top="344"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the requirements for filing on Form S-8 and has duly caused this Registration Statement to be signed on its behalf by the undersigned, thereunto duly authorized, in the City of Spokane, State of Washington, on the 3rd day of September, 1999.</w:t>
      </w: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/s/ DAVID G. REMINGTON</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By: David G. Remington</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Vice President and Chief Financial Officer</w:t>
      </w:r>
    </w:p>
    <w:p>
      <w:pPr>
        <w:spacing w:after="0" w:line="21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Each person whose signature appears below authorizes David G. Remington and Johnny M. Humphreys, or either of them, as attorneys-in-fact with full power of substitution, to execute in the name and on the behalf of each person, individually and in each capacity stated below, and to file, any and all amendments to this Registration Statement, including any and all post-effective amendments.</w:t>
      </w:r>
    </w:p>
    <w:p>
      <w:pPr>
        <w:spacing w:after="0" w:line="210"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Registration Statement has been signed by the following persons in the capacities indicated below on the 3rd day of September, 1999.</w:t>
      </w:r>
    </w:p>
    <w:p>
      <w:pPr>
        <w:sectPr>
          <w:pgSz w:w="11900" w:h="16838" w:orient="portrait"/>
          <w:cols w:equalWidth="0" w:num="1">
            <w:col w:w="10219"/>
          </w:cols>
          <w:pgMar w:left="240" w:top="1122" w:right="1440" w:bottom="767" w:gutter="0" w:footer="0" w:header="0"/>
        </w:sect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4880" w:space="720"/>
            <w:col w:w="4619"/>
          </w:cols>
          <w:pgMar w:left="240" w:top="1122" w:right="1440" w:bottom="767"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CHESSER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Michael J. Chesser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(Principal Executive Officer)</w:t>
      </w:r>
    </w:p>
    <w:p>
      <w:pPr>
        <w:spacing w:after="0" w:line="402" w:lineRule="exact"/>
        <w:rPr>
          <w:sz w:val="20"/>
          <w:szCs w:val="20"/>
          <w:color w:val="auto"/>
        </w:rPr>
      </w:pPr>
    </w:p>
    <w:p>
      <w:pPr>
        <w:sectPr>
          <w:pgSz w:w="11900" w:h="16838" w:orient="portrait"/>
          <w:cols w:equalWidth="0" w:num="2">
            <w:col w:w="3300" w:space="720"/>
            <w:col w:w="6199"/>
          </w:cols>
          <w:pgMar w:left="240" w:top="1122" w:right="1440" w:bottom="767"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G. REMINGTON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G. Remington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 and Chief Financial Officer</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(Principal Financial and Accounting Officer)</w:t>
      </w:r>
    </w:p>
    <w:p>
      <w:pPr>
        <w:spacing w:after="0" w:line="419" w:lineRule="exact"/>
        <w:rPr>
          <w:sz w:val="20"/>
          <w:szCs w:val="20"/>
          <w:color w:val="auto"/>
        </w:rPr>
      </w:pPr>
    </w:p>
    <w:p>
      <w:pPr>
        <w:sectPr>
          <w:pgSz w:w="11900" w:h="16838" w:orient="portrait"/>
          <w:cols w:equalWidth="0" w:num="2">
            <w:col w:w="3280" w:space="620"/>
            <w:col w:w="6319"/>
          </w:cols>
          <w:pgMar w:left="240" w:top="1122" w:right="1440" w:bottom="767"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B. BRACY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ectPr>
          <w:pgSz w:w="11900" w:h="16838" w:orient="portrait"/>
          <w:cols w:equalWidth="0" w:num="2">
            <w:col w:w="4760" w:space="720"/>
            <w:col w:w="4739"/>
          </w:cols>
          <w:pgMar w:left="240" w:top="1122" w:right="1440" w:bottom="767" w:gutter="0" w:footer="0" w:header="0"/>
          <w:type w:val="continuous"/>
        </w:sect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 B. Bracy</w:t>
      </w:r>
    </w:p>
    <w:p>
      <w:pPr>
        <w:spacing w:after="0" w:line="202"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/s/ TED C. DEMERRITT</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Ted C. DeMerritt</w:t>
      </w:r>
    </w:p>
    <w:p>
      <w:pPr>
        <w:spacing w:after="0" w:line="202"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/s/ JON E. ELIASSEN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Jon E. Eliassen</w:t>
      </w:r>
    </w:p>
    <w:p>
      <w:pPr>
        <w:spacing w:after="0" w:line="202"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/s/ JOHNNY M. HUMPHREYS</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Johnny M. Humphreys</w:t>
      </w:r>
    </w:p>
    <w:p>
      <w:pPr>
        <w:spacing w:after="0" w:line="202"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/s/ MARY ANN PETERS</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Mary Ann Peters</w:t>
      </w:r>
    </w:p>
    <w:p>
      <w:pPr>
        <w:spacing w:after="0" w:line="200" w:lineRule="exact"/>
        <w:rPr>
          <w:sz w:val="20"/>
          <w:szCs w:val="20"/>
          <w:color w:val="auto"/>
        </w:rPr>
      </w:pPr>
    </w:p>
    <w:p>
      <w:pPr>
        <w:spacing w:after="0" w:line="204"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/s/ PAUL A. REDMOND</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Paul A. Redmond</w:t>
      </w:r>
    </w:p>
    <w:p>
      <w:pPr>
        <w:spacing w:after="0" w:line="202"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/s/ GRAHAM M. WILSON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Graham M. Wilson</w:t>
      </w:r>
    </w:p>
    <w:p>
      <w:pPr>
        <w:spacing w:after="0" w:line="202"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/s/ STUART EDWARD WHITE</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Stuart Edward White</w:t>
      </w:r>
    </w:p>
    <w:p>
      <w:pPr>
        <w:sectPr>
          <w:pgSz w:w="11900" w:h="16838" w:orient="portrait"/>
          <w:cols w:equalWidth="0" w:num="1">
            <w:col w:w="10219"/>
          </w:cols>
          <w:pgMar w:left="240" w:top="1122" w:right="1440" w:bottom="767"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INDEX TO EXHIBITS</w:t>
            </w:r>
          </w:p>
        </w:tc>
      </w:tr>
      <w:tr>
        <w:trPr>
          <w:trHeight w:val="405"/>
        </w:trPr>
        <w:tc>
          <w:tcPr>
            <w:tcW w:w="2220" w:type="dxa"/>
            <w:vAlign w:val="bottom"/>
          </w:tcPr>
          <w:p>
            <w:pPr>
              <w:ind w:left="640"/>
              <w:spacing w:after="0"/>
              <w:rPr>
                <w:sz w:val="20"/>
                <w:szCs w:val="20"/>
                <w:color w:val="auto"/>
              </w:rPr>
            </w:pPr>
            <w:r>
              <w:rPr>
                <w:rFonts w:ascii="Courier New" w:cs="Courier New" w:eastAsia="Courier New" w:hAnsi="Courier New"/>
                <w:sz w:val="18"/>
                <w:szCs w:val="18"/>
                <w:color w:val="auto"/>
              </w:rPr>
              <w:t>Exhibit</w:t>
            </w:r>
          </w:p>
        </w:tc>
        <w:tc>
          <w:tcPr>
            <w:tcW w:w="110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03"/>
        </w:trPr>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Number</w:t>
            </w:r>
          </w:p>
        </w:tc>
        <w:tc>
          <w:tcPr>
            <w:tcW w:w="1100" w:type="dxa"/>
            <w:vAlign w:val="bottom"/>
          </w:tcPr>
          <w:p>
            <w:pPr>
              <w:spacing w:after="0"/>
              <w:rPr>
                <w:sz w:val="17"/>
                <w:szCs w:val="17"/>
                <w:color w:val="auto"/>
              </w:rPr>
            </w:pPr>
          </w:p>
        </w:tc>
        <w:tc>
          <w:tcPr>
            <w:tcW w:w="532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64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2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5.1</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Opinion of</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Perkins Coie LLP regarding legality of the</w:t>
            </w:r>
          </w:p>
        </w:tc>
      </w:tr>
      <w:tr>
        <w:trPr>
          <w:trHeight w:val="203"/>
        </w:trPr>
        <w:tc>
          <w:tcPr>
            <w:tcW w:w="2220" w:type="dxa"/>
            <w:vAlign w:val="bottom"/>
          </w:tcPr>
          <w:p>
            <w:pPr>
              <w:spacing w:after="0"/>
              <w:rPr>
                <w:sz w:val="17"/>
                <w:szCs w:val="17"/>
                <w:color w:val="auto"/>
              </w:rPr>
            </w:pPr>
          </w:p>
        </w:tc>
        <w:tc>
          <w:tcPr>
            <w:tcW w:w="6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 being registered</w:t>
            </w:r>
          </w:p>
        </w:tc>
      </w:tr>
      <w:tr>
        <w:trPr>
          <w:trHeight w:val="405"/>
        </w:trPr>
        <w:tc>
          <w:tcPr>
            <w:tcW w:w="22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23.1</w:t>
            </w:r>
          </w:p>
        </w:tc>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Consent of</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Deloitte &amp; Touche LLP</w:t>
            </w:r>
          </w:p>
        </w:tc>
      </w:tr>
      <w:tr>
        <w:trPr>
          <w:trHeight w:val="405"/>
        </w:trPr>
        <w:tc>
          <w:tcPr>
            <w:tcW w:w="22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23.2</w:t>
            </w:r>
          </w:p>
        </w:tc>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Consent of</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Perkins Coie LLP (included in opinion filed</w:t>
            </w:r>
          </w:p>
        </w:tc>
      </w:tr>
      <w:tr>
        <w:trPr>
          <w:trHeight w:val="203"/>
        </w:trPr>
        <w:tc>
          <w:tcPr>
            <w:tcW w:w="2220" w:type="dxa"/>
            <w:vAlign w:val="bottom"/>
          </w:tcPr>
          <w:p>
            <w:pPr>
              <w:spacing w:after="0"/>
              <w:rPr>
                <w:sz w:val="17"/>
                <w:szCs w:val="17"/>
                <w:color w:val="auto"/>
              </w:rPr>
            </w:pP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 Exhibit</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w:t>
            </w:r>
          </w:p>
        </w:tc>
      </w:tr>
      <w:tr>
        <w:trPr>
          <w:trHeight w:val="405"/>
        </w:trPr>
        <w:tc>
          <w:tcPr>
            <w:tcW w:w="22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24.1</w:t>
            </w:r>
          </w:p>
        </w:tc>
        <w:tc>
          <w:tcPr>
            <w:tcW w:w="6420" w:type="dxa"/>
            <w:vAlign w:val="bottom"/>
            <w:gridSpan w:val="2"/>
          </w:tcPr>
          <w:p>
            <w:pPr>
              <w:spacing w:after="0"/>
              <w:rPr>
                <w:sz w:val="20"/>
                <w:szCs w:val="20"/>
                <w:color w:val="auto"/>
              </w:rPr>
            </w:pPr>
            <w:r>
              <w:rPr>
                <w:rFonts w:ascii="Courier New" w:cs="Courier New" w:eastAsia="Courier New" w:hAnsi="Courier New"/>
                <w:sz w:val="18"/>
                <w:szCs w:val="18"/>
                <w:color w:val="auto"/>
              </w:rPr>
              <w:t>Power of Attorney (see signature page)</w:t>
            </w:r>
          </w:p>
        </w:tc>
      </w:tr>
      <w:tr>
        <w:trPr>
          <w:trHeight w:val="405"/>
        </w:trPr>
        <w:tc>
          <w:tcPr>
            <w:tcW w:w="22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99.1</w:t>
            </w:r>
          </w:p>
        </w:tc>
        <w:tc>
          <w:tcPr>
            <w:tcW w:w="6420" w:type="dxa"/>
            <w:vAlign w:val="bottom"/>
            <w:gridSpan w:val="2"/>
          </w:tcPr>
          <w:p>
            <w:pPr>
              <w:spacing w:after="0"/>
              <w:rPr>
                <w:sz w:val="20"/>
                <w:szCs w:val="20"/>
                <w:color w:val="auto"/>
              </w:rPr>
            </w:pPr>
            <w:r>
              <w:rPr>
                <w:rFonts w:ascii="Courier New" w:cs="Courier New" w:eastAsia="Courier New" w:hAnsi="Courier New"/>
                <w:sz w:val="18"/>
                <w:szCs w:val="18"/>
                <w:color w:val="auto"/>
              </w:rPr>
              <w:t>Nonqualified Stock Option Letter Agreement</w:t>
            </w:r>
          </w:p>
        </w:tc>
      </w:tr>
    </w:tbl>
    <w:p>
      <w:pPr>
        <w:sectPr>
          <w:pgSz w:w="11900" w:h="16838" w:orient="portrait"/>
          <w:cols w:equalWidth="0" w:num="1">
            <w:col w:w="10219"/>
          </w:cols>
          <w:pgMar w:left="240" w:top="1122"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PERKINS COIE LLP</w:t>
      </w:r>
    </w:p>
    <w:p>
      <w:pPr>
        <w:spacing w:after="0" w:line="207" w:lineRule="exact"/>
        <w:rPr>
          <w:sz w:val="20"/>
          <w:szCs w:val="20"/>
          <w:color w:val="auto"/>
        </w:rPr>
      </w:pPr>
    </w:p>
    <w:p>
      <w:pPr>
        <w:jc w:val="center"/>
        <w:ind w:left="340" w:right="960"/>
        <w:spacing w:after="0" w:line="236" w:lineRule="auto"/>
        <w:rPr>
          <w:sz w:val="20"/>
          <w:szCs w:val="20"/>
          <w:color w:val="auto"/>
        </w:rPr>
      </w:pPr>
      <w:r>
        <w:rPr>
          <w:rFonts w:ascii="Courier New" w:cs="Courier New" w:eastAsia="Courier New" w:hAnsi="Courier New"/>
          <w:sz w:val="18"/>
          <w:szCs w:val="18"/>
          <w:color w:val="auto"/>
        </w:rPr>
        <w:t>A LAW PARTNERSHIP INCLUDING PROFESSIONAL CORPORATIONS 1201 THIRD AVENUE, 40TH FLOOR, SEATTLE, WASHINGTON 98101-3099 TELEPHONE: 206 583-8888 FACSIMILE: 206 583-8500</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September 3,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2818 N. Sullivan Road</w:t>
      </w:r>
    </w:p>
    <w:p>
      <w:pPr>
        <w:spacing w:after="0"/>
        <w:tabs>
          <w:tab w:leader="none" w:pos="2200" w:val="left"/>
        </w:tabs>
        <w:rPr>
          <w:sz w:val="20"/>
          <w:szCs w:val="20"/>
          <w:color w:val="auto"/>
        </w:rPr>
      </w:pPr>
      <w:r>
        <w:rPr>
          <w:rFonts w:ascii="Courier New" w:cs="Courier New" w:eastAsia="Courier New" w:hAnsi="Courier New"/>
          <w:sz w:val="18"/>
          <w:szCs w:val="18"/>
          <w:color w:val="auto"/>
        </w:rPr>
        <w:t>Spokane, Washington</w:t>
      </w:r>
      <w:r>
        <w:rPr>
          <w:sz w:val="20"/>
          <w:szCs w:val="20"/>
          <w:color w:val="auto"/>
        </w:rPr>
        <w:tab/>
      </w:r>
      <w:r>
        <w:rPr>
          <w:rFonts w:ascii="Courier New" w:cs="Courier New" w:eastAsia="Courier New" w:hAnsi="Courier New"/>
          <w:sz w:val="16"/>
          <w:szCs w:val="16"/>
          <w:color w:val="auto"/>
        </w:rPr>
        <w:t>99216-1897</w:t>
      </w:r>
    </w:p>
    <w:p>
      <w:pPr>
        <w:spacing w:after="0" w:line="206"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Registration Statement on Form S-8 of Shares of Common Stock,</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 Par Value, of 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jc w:val="both"/>
        <w:ind w:right="1779" w:firstLine="948"/>
        <w:spacing w:after="0" w:line="272" w:lineRule="auto"/>
        <w:rPr>
          <w:sz w:val="20"/>
          <w:szCs w:val="20"/>
          <w:color w:val="auto"/>
        </w:rPr>
      </w:pPr>
      <w:r>
        <w:rPr>
          <w:rFonts w:ascii="Courier New" w:cs="Courier New" w:eastAsia="Courier New" w:hAnsi="Courier New"/>
          <w:sz w:val="16"/>
          <w:szCs w:val="16"/>
          <w:color w:val="auto"/>
        </w:rPr>
        <w:t>We have acted as counsel to Itron, Inc. (the "Company") in connection with the preparation of a Registration Statement on Form S-8 (the "Registration Statement") under the Securities Act of 1933, as amended (the "Act"), which the Company is filing with the Securities and Exchange Commission with respect to up to 158,975 shares of Common Stock, no par value, which may be issued under a nonqualified stock option letter agreement (the "Agreement").</w:t>
      </w:r>
    </w:p>
    <w:p>
      <w:pPr>
        <w:sectPr>
          <w:pgSz w:w="11900" w:h="16838" w:orient="portrait"/>
          <w:cols w:equalWidth="0" w:num="1">
            <w:col w:w="10219"/>
          </w:cols>
          <w:pgMar w:left="240" w:top="946" w:right="1440" w:bottom="1440" w:gutter="0" w:footer="0" w:header="0"/>
        </w:sectPr>
      </w:pPr>
    </w:p>
    <w:p>
      <w:pPr>
        <w:spacing w:after="0" w:line="186" w:lineRule="exact"/>
        <w:rPr>
          <w:sz w:val="20"/>
          <w:szCs w:val="20"/>
          <w:color w:val="auto"/>
        </w:rPr>
      </w:pPr>
    </w:p>
    <w:p>
      <w:pPr>
        <w:ind w:firstLine="948"/>
        <w:spacing w:after="0" w:line="272" w:lineRule="auto"/>
        <w:rPr>
          <w:sz w:val="20"/>
          <w:szCs w:val="20"/>
          <w:color w:val="auto"/>
        </w:rPr>
      </w:pPr>
      <w:r>
        <w:rPr>
          <w:rFonts w:ascii="Courier New" w:cs="Courier New" w:eastAsia="Courier New" w:hAnsi="Courier New"/>
          <w:sz w:val="16"/>
          <w:szCs w:val="16"/>
          <w:color w:val="auto"/>
        </w:rPr>
        <w:t>We have examined the Registration records of the Company and other documents necessary for the purpose of this opinion. assuming the authenticity of all instruments conformity with originals of all instruments genuineness of all signatures.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right"/>
        <w:ind w:right="1779"/>
        <w:spacing w:after="0" w:line="273" w:lineRule="auto"/>
        <w:rPr>
          <w:sz w:val="20"/>
          <w:szCs w:val="20"/>
          <w:color w:val="auto"/>
        </w:rPr>
      </w:pPr>
      <w:r>
        <w:rPr>
          <w:rFonts w:ascii="Courier New" w:cs="Courier New" w:eastAsia="Courier New" w:hAnsi="Courier New"/>
          <w:sz w:val="16"/>
          <w:szCs w:val="16"/>
          <w:color w:val="auto"/>
        </w:rPr>
        <w:t>Statement  and such  documents and as we have  deemed  relevant  and In giving  this  opinion,  we are presented to us as originals,  the presented to us as copies and the</w:t>
      </w:r>
    </w:p>
    <w:p>
      <w:pPr>
        <w:spacing w:after="0" w:line="387" w:lineRule="exact"/>
        <w:rPr>
          <w:sz w:val="20"/>
          <w:szCs w:val="20"/>
          <w:color w:val="auto"/>
        </w:rPr>
      </w:pPr>
    </w:p>
    <w:p>
      <w:pPr>
        <w:sectPr>
          <w:pgSz w:w="11900" w:h="16838" w:orient="portrait"/>
          <w:cols w:equalWidth="0" w:num="2">
            <w:col w:w="4740" w:space="120"/>
            <w:col w:w="5359"/>
          </w:cols>
          <w:pgMar w:left="240" w:top="946" w:right="1440" w:bottom="1440" w:gutter="0" w:footer="0" w:header="0"/>
          <w:type w:val="continuous"/>
        </w:sect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Based on and subject to the foregoing, we are of the opinion that any shares that may be issued pursuant to the Agreement have been duly authorized and that, upon the due execution by the Company and the registration by its registrar of such shares, issuance thereof by the Company in accordance with the terms of the Agreement and the receipt of consideration therefor in accordance with the terms of the Agreement, such shares will be validly issued, fully paid and nonassessable.</w:t>
      </w:r>
    </w:p>
    <w:p>
      <w:pPr>
        <w:spacing w:after="0" w:line="211"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In giving such consent, we do not admit that we are in the category of persons whose consent is required under Section 7 of the Act.</w:t>
      </w: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 PERKINS COIE LLP</w:t>
      </w:r>
    </w:p>
    <w:p>
      <w:pPr>
        <w:sectPr>
          <w:pgSz w:w="11900" w:h="16838" w:orient="portrait"/>
          <w:cols w:equalWidth="0" w:num="1">
            <w:col w:w="10219"/>
          </w:cols>
          <w:pgMar w:left="240" w:top="946" w:right="1440" w:bottom="1440" w:gutter="0" w:footer="0" w:header="0"/>
          <w:type w:val="continuous"/>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9"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Itron, Inc. on Form S-8 of our report dated February 17, 1999 appearing in the Annual Report on Form 10-K of Itron, Inc. for the year ended December 31, 1998.</w:t>
      </w:r>
    </w:p>
    <w:p>
      <w:pPr>
        <w:spacing w:after="0" w:line="200" w:lineRule="exact"/>
        <w:rPr>
          <w:sz w:val="20"/>
          <w:szCs w:val="20"/>
          <w:color w:val="auto"/>
        </w:rPr>
      </w:pPr>
    </w:p>
    <w:p>
      <w:pPr>
        <w:spacing w:after="0" w:line="37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Seattle, Washington</w:t>
      </w:r>
    </w:p>
    <w:p>
      <w:pPr>
        <w:spacing w:after="0" w:line="238" w:lineRule="auto"/>
        <w:rPr>
          <w:sz w:val="20"/>
          <w:szCs w:val="20"/>
          <w:color w:val="auto"/>
        </w:rPr>
      </w:pPr>
      <w:r>
        <w:rPr>
          <w:rFonts w:ascii="Courier New" w:cs="Courier New" w:eastAsia="Courier New" w:hAnsi="Courier New"/>
          <w:sz w:val="18"/>
          <w:szCs w:val="18"/>
          <w:color w:val="auto"/>
        </w:rPr>
        <w:t>September 3, 1999</w:t>
      </w:r>
    </w:p>
    <w:p>
      <w:pPr>
        <w:sectPr>
          <w:pgSz w:w="11900" w:h="16838" w:orient="portrait"/>
          <w:cols w:equalWidth="0" w:num="1">
            <w:col w:w="10219"/>
          </w:cols>
          <w:pgMar w:left="240" w:top="946"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NONQUALIFIED STOCK OPTION LETTER AGREEMENT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Michael Chesser</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We are pleased to inform you that you have been selected by Itron, Inc. (the "Company") to receive a nonqualified stock option for the purchase of 158,975 shares of the Company's Common Stock at an exercise price of $7.3125 per share.</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terms of the option are as set forth in this Agreement. In addition, although the option is not granted under the Company's 1989 Restated Stock Option Plan (the "Plan"), to the extent not inconsistent with the terms set forth below, the terms and conditions of the Plan will be applicable to the option. Such terms and conditions are hereby incorporated into this Agreement, and a copy of the Plan is attached to this Agreement. The most important terms of the option are summarized as follows:</w:t>
      </w:r>
    </w:p>
    <w:p>
      <w:pPr>
        <w:spacing w:after="0" w:line="211"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Term: The term of the option is ten years from date of grant, unless sooner terminated.</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Exercise: During your lifetime only you can exercise the option. The Plan also provides for exercise of the option by the personal representative of your estate, by the beneficiary you have designated on forms prescribed by and filed with the Company, or by the beneficiary of your estate following your death. You may use the Notice of Exercise of Nonqualified Stock Option in the form attached to this Agreement when you exercise the option.</w:t>
      </w:r>
    </w:p>
    <w:p>
      <w:pPr>
        <w:spacing w:after="0" w:line="210" w:lineRule="exact"/>
        <w:rPr>
          <w:sz w:val="20"/>
          <w:szCs w:val="20"/>
          <w:color w:val="auto"/>
        </w:rPr>
      </w:pPr>
    </w:p>
    <w:p>
      <w:pPr>
        <w:ind w:right="2619" w:firstLine="948"/>
        <w:spacing w:after="0" w:line="236" w:lineRule="auto"/>
        <w:rPr>
          <w:sz w:val="20"/>
          <w:szCs w:val="20"/>
          <w:color w:val="auto"/>
        </w:rPr>
      </w:pPr>
      <w:r>
        <w:rPr>
          <w:rFonts w:ascii="Courier New" w:cs="Courier New" w:eastAsia="Courier New" w:hAnsi="Courier New"/>
          <w:sz w:val="18"/>
          <w:szCs w:val="18"/>
          <w:color w:val="auto"/>
        </w:rPr>
        <w:t>Payment for Shares: Unless the Plan Administrator at any time determines otherwise, the option may be exercised by the delivery of any combination of:</w:t>
      </w:r>
    </w:p>
    <w:p>
      <w:pPr>
        <w:spacing w:after="0" w:line="203" w:lineRule="exact"/>
        <w:rPr>
          <w:sz w:val="20"/>
          <w:szCs w:val="20"/>
          <w:color w:val="auto"/>
        </w:rPr>
      </w:pPr>
    </w:p>
    <w:p>
      <w:pPr>
        <w:ind w:left="1900" w:hanging="944"/>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personal check, bank certified or cashier's check;</w:t>
      </w:r>
    </w:p>
    <w:p>
      <w:pPr>
        <w:spacing w:after="0" w:line="206" w:lineRule="exact"/>
        <w:rPr>
          <w:rFonts w:ascii="Courier New" w:cs="Courier New" w:eastAsia="Courier New" w:hAnsi="Courier New"/>
          <w:sz w:val="18"/>
          <w:szCs w:val="18"/>
          <w:color w:val="auto"/>
        </w:rPr>
      </w:pPr>
    </w:p>
    <w:p>
      <w:pPr>
        <w:jc w:val="both"/>
        <w:ind w:right="1779" w:firstLine="956"/>
        <w:spacing w:after="0" w:line="237" w:lineRule="auto"/>
        <w:tabs>
          <w:tab w:leader="none" w:pos="136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Tendering (either actually or by attestation) shares of the capital stock of the Company held by you for a period of at least six months having a fair market value at the time of exercise, as determined in good faith by the Plan Administrator, equal to the exercise price (You should consult your tax advisor before exercising this option with stock you received upon the exercise of an incentive stock option.); and/or</w:t>
      </w:r>
    </w:p>
    <w:p>
      <w:pPr>
        <w:spacing w:after="0" w:line="209" w:lineRule="exact"/>
        <w:rPr>
          <w:rFonts w:ascii="Courier New" w:cs="Courier New" w:eastAsia="Courier New" w:hAnsi="Courier New"/>
          <w:sz w:val="18"/>
          <w:szCs w:val="18"/>
          <w:color w:val="auto"/>
        </w:rPr>
      </w:pPr>
    </w:p>
    <w:p>
      <w:pPr>
        <w:jc w:val="both"/>
        <w:ind w:right="1779" w:firstLine="956"/>
        <w:spacing w:after="0" w:line="236" w:lineRule="auto"/>
        <w:tabs>
          <w:tab w:leader="none" w:pos="136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properly executed exercise notice together with irrevocable instructions to a broker to promptly deliver to the Company the amount of sale or loan proceeds to pay the exercise price.</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Termination: The option will terminate immediately upon termination for cause, as defined in the Plan, or three months after cessation of employment with the Company or a related corporation, unless cessation is due to total disability, in which case the option will terminate upon the earlier of 12 months after cessation of employment and the option's expiration date (June 7, 2009). If you die while the option is exercisable, the option may be exercised until the earlier of one year after the date of death and the option's expiration date.</w:t>
      </w:r>
    </w:p>
    <w:p>
      <w:pPr>
        <w:spacing w:after="0" w:line="212"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Withholding Taxes: As a condition to the exercise of the option, you must make such arrangements as the Company may require for the satisfaction of any federal, state or local withholding tax obligations that may arise in connection with such exercise. The Company has the right to retain without notice sufficient shares of stock to satisfy the withholding obligation. Unless the Plan Administrator determines otherwise, you may satisfy the withholding obligation by electing to have the Company withhold from the shares to be issued upon exercise that number of shares having a fair market value equal to the amount required to be withheld (up to the minimum required federal tax withholding rate).</w:t>
      </w:r>
    </w:p>
    <w:p>
      <w:pPr>
        <w:spacing w:after="0" w:line="215"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Transfer of Option: The option is not transferable except by will or by the applicable laws of descent and distribution.</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Vesting: The option will vest and become exercisable according to the following schedule:</w:t>
      </w:r>
    </w:p>
    <w:p>
      <w:pPr>
        <w:sectPr>
          <w:pgSz w:w="11900" w:h="16838" w:orient="portrait"/>
          <w:cols w:equalWidth="0" w:num="1">
            <w:col w:w="10219"/>
          </w:cols>
          <w:pgMar w:left="240" w:top="5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260"/>
        <w:spacing w:after="0"/>
        <w:rPr>
          <w:sz w:val="20"/>
          <w:szCs w:val="20"/>
          <w:color w:val="auto"/>
        </w:rPr>
      </w:pPr>
      <w:r>
        <w:rPr>
          <w:rFonts w:ascii="Courier New" w:cs="Courier New" w:eastAsia="Courier New" w:hAnsi="Courier New"/>
          <w:sz w:val="16"/>
          <w:szCs w:val="16"/>
          <w:color w:val="auto"/>
        </w:rPr>
        <w:t>Date on and After Which</w:t>
      </w:r>
    </w:p>
    <w:p>
      <w:pPr>
        <w:spacing w:after="0" w:line="16" w:lineRule="exact"/>
        <w:rPr>
          <w:sz w:val="20"/>
          <w:szCs w:val="20"/>
          <w:color w:val="auto"/>
        </w:rPr>
      </w:pPr>
    </w:p>
    <w:p>
      <w:pPr>
        <w:jc w:val="center"/>
        <w:ind w:right="1260"/>
        <w:spacing w:after="0"/>
        <w:rPr>
          <w:sz w:val="20"/>
          <w:szCs w:val="20"/>
          <w:color w:val="auto"/>
        </w:rPr>
      </w:pPr>
      <w:r>
        <w:rPr>
          <w:rFonts w:ascii="Courier New" w:cs="Courier New" w:eastAsia="Courier New" w:hAnsi="Courier New"/>
          <w:sz w:val="18"/>
          <w:szCs w:val="18"/>
          <w:color w:val="auto"/>
        </w:rPr>
        <w:t>Option Is Exercisable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Portion of Total Option</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Which Is Exercisable</w:t>
      </w:r>
    </w:p>
    <w:p>
      <w:pPr>
        <w:sectPr>
          <w:pgSz w:w="11900" w:h="16838" w:orient="portrait"/>
          <w:cols w:equalWidth="0" w:num="2">
            <w:col w:w="4760" w:space="720"/>
            <w:col w:w="4739"/>
          </w:cols>
          <w:pgMar w:left="240" w:top="541" w:right="1440"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4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7"/>
              </w:rPr>
              <w:t>- ------------------------------------</w:t>
            </w:r>
          </w:p>
        </w:tc>
        <w:tc>
          <w:tcPr>
            <w:tcW w:w="4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June 7, 2000</w:t>
            </w:r>
          </w:p>
        </w:tc>
        <w:tc>
          <w:tcPr>
            <w:tcW w:w="420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33%</w:t>
            </w:r>
          </w:p>
        </w:tc>
      </w:tr>
      <w:tr>
        <w:trPr>
          <w:trHeight w:val="405"/>
        </w:trPr>
        <w:tc>
          <w:tcPr>
            <w:tcW w:w="1960" w:type="dxa"/>
            <w:vAlign w:val="bottom"/>
          </w:tcPr>
          <w:p>
            <w:pPr>
              <w:ind w:left="1160"/>
              <w:spacing w:after="0"/>
              <w:rPr>
                <w:sz w:val="20"/>
                <w:szCs w:val="20"/>
                <w:color w:val="auto"/>
              </w:rPr>
            </w:pPr>
            <w:r>
              <w:rPr>
                <w:rFonts w:ascii="Courier New" w:cs="Courier New" w:eastAsia="Courier New" w:hAnsi="Courier New"/>
                <w:sz w:val="18"/>
                <w:szCs w:val="18"/>
                <w:color w:val="auto"/>
              </w:rPr>
              <w:t>June 7,</w:t>
            </w:r>
          </w:p>
        </w:tc>
        <w:tc>
          <w:tcPr>
            <w:tcW w:w="248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2001</w:t>
            </w:r>
          </w:p>
        </w:tc>
        <w:tc>
          <w:tcPr>
            <w:tcW w:w="420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66%</w:t>
            </w:r>
          </w:p>
        </w:tc>
      </w:tr>
      <w:tr>
        <w:trPr>
          <w:trHeight w:val="405"/>
        </w:trPr>
        <w:tc>
          <w:tcPr>
            <w:tcW w:w="1960" w:type="dxa"/>
            <w:vAlign w:val="bottom"/>
          </w:tcPr>
          <w:p>
            <w:pPr>
              <w:ind w:left="1160"/>
              <w:spacing w:after="0"/>
              <w:rPr>
                <w:sz w:val="20"/>
                <w:szCs w:val="20"/>
                <w:color w:val="auto"/>
              </w:rPr>
            </w:pPr>
            <w:r>
              <w:rPr>
                <w:rFonts w:ascii="Courier New" w:cs="Courier New" w:eastAsia="Courier New" w:hAnsi="Courier New"/>
                <w:sz w:val="18"/>
                <w:szCs w:val="18"/>
                <w:color w:val="auto"/>
              </w:rPr>
              <w:t>June 7,</w:t>
            </w:r>
          </w:p>
        </w:tc>
        <w:tc>
          <w:tcPr>
            <w:tcW w:w="248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2002</w:t>
            </w:r>
          </w:p>
        </w:tc>
        <w:tc>
          <w:tcPr>
            <w:tcW w:w="420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100%</w:t>
            </w:r>
          </w:p>
        </w:tc>
      </w:tr>
    </w:tbl>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Change of Control: In the event of a Change of Control (as defined in your Change of Control Agreement dated June 7, 1999), the option vesting will accelerate and the option will be exercisable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gridSpan w:val="3"/>
          </w:tcPr>
          <w:p>
            <w:pPr>
              <w:jc w:val="right"/>
              <w:ind w:right="712"/>
              <w:spacing w:after="0"/>
              <w:rPr>
                <w:sz w:val="20"/>
                <w:szCs w:val="20"/>
                <w:color w:val="auto"/>
              </w:rPr>
            </w:pPr>
            <w:r>
              <w:rPr>
                <w:rFonts w:ascii="Courier New" w:cs="Courier New" w:eastAsia="Courier New" w:hAnsi="Courier New"/>
                <w:sz w:val="18"/>
                <w:szCs w:val="18"/>
                <w:color w:val="auto"/>
              </w:rPr>
              <w:t>Duration of Employment</w:t>
            </w:r>
          </w:p>
        </w:tc>
        <w:tc>
          <w:tcPr>
            <w:tcW w:w="5200" w:type="dxa"/>
            <w:vAlign w:val="bottom"/>
          </w:tcPr>
          <w:p>
            <w:pPr>
              <w:ind w:left="260"/>
              <w:spacing w:after="0"/>
              <w:rPr>
                <w:sz w:val="20"/>
                <w:szCs w:val="20"/>
                <w:color w:val="auto"/>
              </w:rPr>
            </w:pPr>
            <w:r>
              <w:rPr>
                <w:rFonts w:ascii="Courier New" w:cs="Courier New" w:eastAsia="Courier New" w:hAnsi="Courier New"/>
                <w:sz w:val="18"/>
                <w:szCs w:val="18"/>
                <w:color w:val="auto"/>
              </w:rPr>
              <w:t>Portion of Total Option Which Is Exercisable</w:t>
            </w:r>
          </w:p>
        </w:tc>
      </w:tr>
      <w:tr>
        <w:trPr>
          <w:trHeight w:val="203"/>
        </w:trPr>
        <w:tc>
          <w:tcPr>
            <w:tcW w:w="3440" w:type="dxa"/>
            <w:vAlign w:val="bottom"/>
            <w:gridSpan w:val="3"/>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 ----------------------------</w:t>
            </w:r>
          </w:p>
        </w:tc>
        <w:tc>
          <w:tcPr>
            <w:tcW w:w="5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Less than</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6</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months</w:t>
            </w:r>
          </w:p>
        </w:tc>
        <w:tc>
          <w:tcPr>
            <w:tcW w:w="520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33%</w:t>
            </w:r>
          </w:p>
        </w:tc>
      </w:tr>
      <w:tr>
        <w:trPr>
          <w:trHeight w:val="405"/>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At least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6</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months</w:t>
            </w:r>
          </w:p>
        </w:tc>
        <w:tc>
          <w:tcPr>
            <w:tcW w:w="520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66%</w:t>
            </w:r>
          </w:p>
        </w:tc>
      </w:tr>
      <w:tr>
        <w:trPr>
          <w:trHeight w:val="405"/>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At least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12 months</w:t>
            </w:r>
          </w:p>
        </w:tc>
        <w:tc>
          <w:tcPr>
            <w:tcW w:w="5200" w:type="dxa"/>
            <w:vAlign w:val="bottom"/>
          </w:tcPr>
          <w:p>
            <w:pPr>
              <w:jc w:val="right"/>
              <w:ind w:right="2232"/>
              <w:spacing w:after="0"/>
              <w:rPr>
                <w:sz w:val="20"/>
                <w:szCs w:val="20"/>
                <w:color w:val="auto"/>
              </w:rPr>
            </w:pPr>
            <w:r>
              <w:rPr>
                <w:rFonts w:ascii="Courier New" w:cs="Courier New" w:eastAsia="Courier New" w:hAnsi="Courier New"/>
                <w:sz w:val="18"/>
                <w:szCs w:val="18"/>
                <w:color w:val="auto"/>
              </w:rPr>
              <w:t>100%</w:t>
            </w:r>
          </w:p>
        </w:tc>
      </w:tr>
    </w:tbl>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Section 16 of the Securities Exchange Act: If an individual subject to Section 16 of the Securities Exchange Act sells shares of Common Stock obtained upon the exercise of a stock option within six months after the date the option was granted, such sale may result in short-swing profit recovery under Section 16(b) of the Securities Exchange Act.</w:t>
      </w:r>
    </w:p>
    <w:p>
      <w:pPr>
        <w:spacing w:after="0" w:line="203" w:lineRule="exact"/>
        <w:rPr>
          <w:sz w:val="20"/>
          <w:szCs w:val="20"/>
          <w:color w:val="auto"/>
        </w:rPr>
      </w:pPr>
    </w:p>
    <w:p>
      <w:pPr>
        <w:ind w:left="960"/>
        <w:spacing w:after="0"/>
        <w:tabs>
          <w:tab w:leader="none" w:pos="2620" w:val="left"/>
        </w:tabs>
        <w:rPr>
          <w:sz w:val="20"/>
          <w:szCs w:val="20"/>
          <w:color w:val="auto"/>
        </w:rPr>
      </w:pPr>
      <w:r>
        <w:rPr>
          <w:rFonts w:ascii="Courier New" w:cs="Courier New" w:eastAsia="Courier New" w:hAnsi="Courier New"/>
          <w:sz w:val="18"/>
          <w:szCs w:val="18"/>
          <w:color w:val="auto"/>
        </w:rPr>
        <w:t>Date of Grant:</w:t>
      </w:r>
      <w:r>
        <w:rPr>
          <w:sz w:val="20"/>
          <w:szCs w:val="20"/>
          <w:color w:val="auto"/>
        </w:rPr>
        <w:tab/>
      </w:r>
      <w:r>
        <w:rPr>
          <w:rFonts w:ascii="Courier New" w:cs="Courier New" w:eastAsia="Courier New" w:hAnsi="Courier New"/>
          <w:sz w:val="16"/>
          <w:szCs w:val="16"/>
          <w:color w:val="auto"/>
        </w:rPr>
        <w:t>The date of grant of the option is June 7, 1999.</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COMPANY INTENDS TO FILE AND MAINTAIN A REGISTRATION STATEMENT WITH RESPECT TO THE SHARES THAT WILL BE ISSUED UPON THE EXERCISE OF THIS OPTION BUT HAS NO OBLIGATION TO DO SO. IN THE EVENT THAT SUCH REGISTRATION IS NOT EFFECTIVE AT THE TIME YOU WISH TO EXERCISE, YOU WILL NOT BE ABLE TO EXERCISE THE OPTION UNLESS EXEMPTIONS FROM REGISTRATION UNDER FEDERAL AND STATE SECURITIES LAWS ARE AVAILABLE; SUCH EXEMPTIONS FROM REGISTRATION ARE VERY LIMITED AND MIGHT BE UNAVAILABLE.</w:t>
      </w:r>
    </w:p>
    <w:p>
      <w:pPr>
        <w:spacing w:after="0" w:line="211"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Please execute the Acceptance and Acknowledgment set forth below on the enclosed copy of this Agreement and return it to the undersigned.</w:t>
      </w:r>
    </w:p>
    <w:p>
      <w:pPr>
        <w:spacing w:after="0" w:line="203"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ITRON, INC.</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 /s/ JOHNNY M. HUMPHREYS</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6320"/>
        <w:spacing w:after="0"/>
        <w:rPr>
          <w:sz w:val="20"/>
          <w:szCs w:val="20"/>
          <w:color w:val="auto"/>
        </w:rPr>
      </w:pPr>
      <w:r>
        <w:rPr>
          <w:rFonts w:ascii="Courier New" w:cs="Courier New" w:eastAsia="Courier New" w:hAnsi="Courier New"/>
          <w:sz w:val="18"/>
          <w:szCs w:val="18"/>
          <w:color w:val="auto"/>
        </w:rPr>
        <w:t>Johnny M. Humphreys</w:t>
      </w:r>
    </w:p>
    <w:p>
      <w:pPr>
        <w:ind w:left="5600"/>
        <w:spacing w:after="0" w:line="237" w:lineRule="auto"/>
        <w:rPr>
          <w:sz w:val="20"/>
          <w:szCs w:val="20"/>
          <w:color w:val="auto"/>
        </w:rPr>
      </w:pPr>
      <w:r>
        <w:rPr>
          <w:rFonts w:ascii="Courier New" w:cs="Courier New" w:eastAsia="Courier New" w:hAnsi="Courier New"/>
          <w:sz w:val="18"/>
          <w:szCs w:val="18"/>
          <w:color w:val="auto"/>
        </w:rPr>
        <w:t>Its: Chairman of the Board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2020-02-22T14:07:19Z</dcterms:created>
  <dcterms:modified xsi:type="dcterms:W3CDTF">2020-02-22T14:07:19Z</dcterms:modified>
</cp:coreProperties>
</file>