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ITRON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465741106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December 31, 2008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ALLIANCEBERNSTEIN L.P., AS INVESTMENT ADVISER. (ALLIANCEBERNSTEIN L.P. IS A MAJORITY-OWNED SUBSIDIARY OF AXA FINANCIAL, INC.)</w:t>
      </w:r>
    </w:p>
    <w:p>
      <w:pPr>
        <w:spacing w:after="0" w:line="207" w:lineRule="exact"/>
        <w:rPr>
          <w:sz w:val="24"/>
          <w:szCs w:val="24"/>
          <w:color w:val="auto"/>
        </w:rPr>
      </w:pPr>
    </w:p>
    <w:p>
      <w:pPr>
        <w:ind w:left="420"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960" w:right="7899" w:hanging="320"/>
        <w:spacing w:after="0" w:line="279" w:lineRule="auto"/>
        <w:tabs>
          <w:tab w:leader="none" w:pos="96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420"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420"/>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420"/>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420"/>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420"/>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Page 9 of 11 Pages</w:t>
            </w:r>
          </w:p>
        </w:tc>
      </w:tr>
      <w:tr>
        <w:trPr>
          <w:trHeight w:val="405"/>
        </w:trPr>
        <w:tc>
          <w:tcPr>
            <w:tcW w:w="2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60" w:type="dxa"/>
            <w:vAlign w:val="bottom"/>
            <w:gridSpan w:val="3"/>
          </w:tcPr>
          <w:p>
            <w:pPr>
              <w:ind w:left="1000"/>
              <w:spacing w:after="0"/>
              <w:rPr>
                <w:sz w:val="20"/>
                <w:szCs w:val="20"/>
                <w:color w:val="auto"/>
              </w:rPr>
            </w:pPr>
            <w:r>
              <w:rPr>
                <w:rFonts w:ascii="Courier New" w:cs="Courier New" w:eastAsia="Courier New" w:hAnsi="Courier New"/>
                <w:sz w:val="18"/>
                <w:szCs w:val="18"/>
                <w:color w:val="auto"/>
              </w:rPr>
              <w:t>ITEM 4. Ownership as of</w:t>
            </w:r>
          </w:p>
        </w:tc>
      </w:tr>
      <w:tr>
        <w:trPr>
          <w:trHeight w:val="203"/>
        </w:trPr>
        <w:tc>
          <w:tcPr>
            <w:tcW w:w="24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(CONT.)</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74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38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Shared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Power</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4,100</w:t>
            </w:r>
          </w:p>
        </w:tc>
        <w:tc>
          <w:tcPr>
            <w:tcW w:w="14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4,100</w:t>
            </w:r>
          </w:p>
        </w:tc>
        <w:tc>
          <w:tcPr>
            <w:tcW w:w="1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Paris</w:t>
            </w: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(France)</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Rosenberg</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LLC</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AllianceBernstein</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350,332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360,772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160" w:type="dxa"/>
            <w:vAlign w:val="bottom"/>
          </w:tcPr>
          <w:p>
            <w:pPr>
              <w:ind w:left="120"/>
              <w:spacing w:after="0"/>
              <w:rPr>
                <w:sz w:val="20"/>
                <w:szCs w:val="20"/>
                <w:color w:val="auto"/>
              </w:rPr>
            </w:pPr>
            <w:r>
              <w:rPr>
                <w:rFonts w:ascii="Courier New" w:cs="Courier New" w:eastAsia="Courier New" w:hAnsi="Courier New"/>
                <w:sz w:val="18"/>
                <w:szCs w:val="18"/>
                <w:color w:val="auto"/>
              </w:rPr>
              <w:t>AXA Equitable</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16,680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Life Insurance</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362,932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386,628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voting and investment decisions.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10 of 11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Investment Managers Paris (France)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Rosenberg Investment Management LLC</w:t>
      </w:r>
    </w:p>
    <w:p>
      <w:pPr>
        <w:spacing w:after="0" w:line="207" w:lineRule="exact"/>
        <w:rPr>
          <w:sz w:val="20"/>
          <w:szCs w:val="20"/>
          <w:color w:val="auto"/>
        </w:rPr>
      </w:pPr>
    </w:p>
    <w:p>
      <w:pPr>
        <w:ind w:left="860" w:right="2939" w:hanging="536"/>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AllianceBernstein L.P.</w:t>
      </w:r>
    </w:p>
    <w:p>
      <w:pPr>
        <w:spacing w:after="0" w:line="4" w:lineRule="exact"/>
        <w:rPr>
          <w:rFonts w:ascii="Courier New" w:cs="Courier New" w:eastAsia="Courier New" w:hAnsi="Courier New"/>
          <w:sz w:val="18"/>
          <w:szCs w:val="18"/>
          <w:color w:val="auto"/>
        </w:rPr>
      </w:pPr>
    </w:p>
    <w:p>
      <w:pPr>
        <w:ind w:left="860"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(13-3434400), an investment adviser registered under Section 203 of the Investment Advisers Act of 1940.</w:t>
      </w:r>
    </w:p>
    <w:p>
      <w:pPr>
        <w:spacing w:after="0" w:line="367" w:lineRule="exact"/>
        <w:rPr>
          <w:sz w:val="20"/>
          <w:szCs w:val="20"/>
          <w:color w:val="auto"/>
        </w:rPr>
      </w:pPr>
    </w:p>
    <w:p>
      <w:pPr>
        <w:ind w:left="860" w:hanging="536"/>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and an investment adviser registered under Section 203 of the Investment Advisers Act of 1940.</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11 of 11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2009</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419"/>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Each of the undersigned</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hereby</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agrees that the Schedule</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13G</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herewith</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 filed</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jointly, pursuant to Rule 13d-1(f)(1)</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Securities</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as amended on</w:t>
            </w:r>
          </w:p>
        </w:tc>
      </w:tr>
    </w:tbl>
    <w:p>
      <w:pPr>
        <w:spacing w:after="0" w:line="238" w:lineRule="auto"/>
        <w:rPr>
          <w:sz w:val="20"/>
          <w:szCs w:val="20"/>
          <w:color w:val="auto"/>
        </w:rPr>
      </w:pPr>
      <w:r>
        <w:rPr>
          <w:rFonts w:ascii="Courier New" w:cs="Courier New" w:eastAsia="Courier New" w:hAnsi="Courier New"/>
          <w:sz w:val="18"/>
          <w:szCs w:val="18"/>
          <w:color w:val="auto"/>
        </w:rPr>
        <w:t>behalf of each of them.</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13, 2009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519" w:firstLine="211"/>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X"/>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1)"/>
      <w:numFmt w:val="upperLetter"/>
      <w:start w:val="24"/>
    </w:lvl>
  </w:abstractNum>
  <w:abstractNum w:abstractNumId="3">
    <w:nsid w:val="46E87CCD"/>
    <w:multiLevelType w:val="hybridMultilevel"/>
    <w:lvl w:ilvl="0">
      <w:lvlJc w:val="left"/>
      <w:lvlText w:val="(%1)"/>
      <w:numFmt w:val="upperLetter"/>
      <w:start w:val="24"/>
    </w:lvl>
  </w:abstractNum>
  <w:abstractNum w:abstractNumId="4">
    <w:nsid w:val="3D1B58BA"/>
    <w:multiLevelType w:val="hybridMultilevel"/>
    <w:lvl w:ilvl="0">
      <w:lvlJc w:val="left"/>
      <w:lvlText w:val="(%1)"/>
      <w:numFmt w:val="upperLetter"/>
      <w:start w:val="24"/>
    </w:lvl>
  </w:abstractNum>
  <w:abstractNum w:abstractNumId="5">
    <w:nsid w:val="507ED7AB"/>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2019-12-10T06:41:55Z</dcterms:created>
  <dcterms:modified xsi:type="dcterms:W3CDTF">2019-12-10T06:41:55Z</dcterms:modified>
</cp:coreProperties>
</file>