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13, 2007</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7"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57" w:orient="portrait"/>
          <w:cols w:equalWidth="0" w:num="3">
            <w:col w:w="3280" w:space="200"/>
            <w:col w:w="2420" w:space="540"/>
            <w:col w:w="3779"/>
          </w:cols>
          <w:pgMar w:left="240" w:top="447" w:right="1440" w:bottom="0" w:gutter="0" w:footer="0" w:header="0"/>
          <w:type w:val="continuous"/>
        </w:sect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2111 N. Molter Road, Liberty Lake, WA 99019</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219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Securities Act (17 CFR 230.425)</w:t>
      </w:r>
    </w:p>
    <w:p>
      <w:pPr>
        <w:spacing w:after="0" w:line="6" w:lineRule="exact"/>
        <w:rPr>
          <w:sz w:val="24"/>
          <w:szCs w:val="24"/>
          <w:color w:val="auto"/>
        </w:rPr>
      </w:pPr>
    </w:p>
    <w:p>
      <w:pPr>
        <w:ind w:left="420" w:right="241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On February 13, 2007, Itron, Inc. issued a press release announcing the financial results for the three and twelve months ending December 31, 2006. A copy of this press release and accompanying financial statements are attached as Exhibit 99.1.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 is filed as part of this report:</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February 13, 2007.</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The information presented in this Current Report on Form 8-K may contain forward-looking statements and certain assumptions upon which such forward-looking statements are in part based. Numerous important factors,</w:t>
      </w:r>
    </w:p>
    <w:p>
      <w:pPr>
        <w:sectPr>
          <w:pgSz w:w="11900" w:h="16857" w:orient="portrait"/>
          <w:cols w:equalWidth="0" w:num="1">
            <w:col w:w="10219"/>
          </w:cols>
          <w:pgMar w:left="240" w:top="447"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Steven M. Helmbrecht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Steven M. Helmbrecht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Sr. Vice President and Chief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2">
            <w:col w:w="4340" w:space="720"/>
            <w:col w:w="5159"/>
          </w:cols>
          <w:pgMar w:left="240" w:top="919" w:right="1440" w:bottom="1440" w:gutter="0" w:footer="0" w:header="0"/>
          <w:type w:val="continuous"/>
        </w:sectPr>
      </w:pPr>
    </w:p>
    <w:bookmarkStart w:id="3" w:name="page4"/>
    <w:bookmarkEnd w:id="3"/>
    <w:p>
      <w:pPr>
        <w:ind w:left="3572"/>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12"/>
        <w:spacing w:after="0"/>
        <w:rPr>
          <w:sz w:val="20"/>
          <w:szCs w:val="20"/>
          <w:color w:val="auto"/>
        </w:rPr>
      </w:pPr>
      <w:r>
        <w:rPr>
          <w:rFonts w:ascii="Courier New" w:cs="Courier New" w:eastAsia="Courier New" w:hAnsi="Courier New"/>
          <w:sz w:val="18"/>
          <w:szCs w:val="18"/>
          <w:color w:val="auto"/>
        </w:rPr>
        <w:t>Exhibit</w:t>
      </w:r>
    </w:p>
    <w:p>
      <w:pPr>
        <w:ind w:left="112"/>
        <w:spacing w:after="0" w:line="238" w:lineRule="auto"/>
        <w:tabs>
          <w:tab w:leader="none" w:pos="1352"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5"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1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February 13, 2007.</w:t>
      </w:r>
    </w:p>
    <w:p>
      <w:pPr>
        <w:sectPr>
          <w:pgSz w:w="11900" w:h="16838" w:orient="portrait"/>
          <w:cols w:equalWidth="0" w:num="1">
            <w:col w:w="10211"/>
          </w:cols>
          <w:pgMar w:left="248"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Itron Announces Strong Fourth Quarter and Record Full-Year Results</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Sets Records for Backlog and Full-Year Revenue, Cash Flows from</w:t>
      </w:r>
    </w:p>
    <w:p>
      <w:pPr>
        <w:jc w:val="center"/>
        <w:ind w:right="2739"/>
        <w:spacing w:after="0" w:line="238" w:lineRule="auto"/>
        <w:rPr>
          <w:sz w:val="20"/>
          <w:szCs w:val="20"/>
          <w:color w:val="auto"/>
        </w:rPr>
      </w:pPr>
      <w:r>
        <w:rPr>
          <w:rFonts w:ascii="Courier New" w:cs="Courier New" w:eastAsia="Courier New" w:hAnsi="Courier New"/>
          <w:sz w:val="18"/>
          <w:szCs w:val="18"/>
          <w:color w:val="auto"/>
        </w:rPr>
        <w:t>Operations and Non-GAAP EPS</w:t>
      </w:r>
    </w:p>
    <w:p>
      <w:pPr>
        <w:spacing w:after="0" w:line="200" w:lineRule="exact"/>
        <w:rPr>
          <w:sz w:val="20"/>
          <w:szCs w:val="20"/>
          <w:color w:val="auto"/>
        </w:rPr>
      </w:pPr>
    </w:p>
    <w:p>
      <w:pPr>
        <w:spacing w:after="0" w:line="210" w:lineRule="exact"/>
        <w:rPr>
          <w:sz w:val="20"/>
          <w:szCs w:val="20"/>
          <w:color w:val="auto"/>
        </w:rPr>
      </w:pPr>
    </w:p>
    <w:p>
      <w:pPr>
        <w:ind w:right="2839" w:firstLine="421"/>
        <w:spacing w:after="0" w:line="236" w:lineRule="auto"/>
        <w:rPr>
          <w:sz w:val="20"/>
          <w:szCs w:val="20"/>
          <w:color w:val="auto"/>
        </w:rPr>
      </w:pPr>
      <w:r>
        <w:rPr>
          <w:rFonts w:ascii="Courier New" w:cs="Courier New" w:eastAsia="Courier New" w:hAnsi="Courier New"/>
          <w:sz w:val="18"/>
          <w:szCs w:val="18"/>
          <w:color w:val="auto"/>
        </w:rPr>
        <w:t>LIBERTY LAKE, Wash.--(BUSINESS WIRE)--Feb. 13, 2007--Itron, Inc. (NASDAQ:ITRI), today reported financial results for its fourth quarter and full-year ended December 31, 2006. Highlights include:</w:t>
      </w:r>
    </w:p>
    <w:p>
      <w:pPr>
        <w:spacing w:after="0" w:line="209" w:lineRule="exact"/>
        <w:rPr>
          <w:sz w:val="20"/>
          <w:szCs w:val="20"/>
          <w:color w:val="auto"/>
        </w:rPr>
      </w:pPr>
    </w:p>
    <w:p>
      <w:pPr>
        <w:ind w:left="860" w:right="3359" w:hanging="431"/>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and full-year revenues of $160 million and $644 million;</w:t>
      </w:r>
    </w:p>
    <w:p>
      <w:pPr>
        <w:spacing w:after="0" w:line="208" w:lineRule="exact"/>
        <w:rPr>
          <w:rFonts w:ascii="Courier New" w:cs="Courier New" w:eastAsia="Courier New" w:hAnsi="Courier New"/>
          <w:sz w:val="18"/>
          <w:szCs w:val="18"/>
          <w:color w:val="auto"/>
        </w:rPr>
      </w:pPr>
    </w:p>
    <w:p>
      <w:pPr>
        <w:ind w:left="860" w:right="2839" w:hanging="431"/>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and full-year new order bookings of $211 million and $652 million;</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and full-year GAAP diluted EPS of $.28 and $1.28;</w:t>
      </w:r>
    </w:p>
    <w:p>
      <w:pPr>
        <w:spacing w:after="0" w:line="206" w:lineRule="exact"/>
        <w:rPr>
          <w:rFonts w:ascii="Courier New" w:cs="Courier New" w:eastAsia="Courier New" w:hAnsi="Courier New"/>
          <w:sz w:val="18"/>
          <w:szCs w:val="18"/>
          <w:color w:val="auto"/>
        </w:rPr>
      </w:pPr>
    </w:p>
    <w:p>
      <w:pPr>
        <w:ind w:left="860" w:right="3479" w:hanging="431"/>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and full-year non-GAAP diluted EPS of $.56 and $2.39; and</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Full-year cash flows from operations of $95 million.</w:t>
      </w:r>
    </w:p>
    <w:p>
      <w:pPr>
        <w:spacing w:after="0" w:line="207" w:lineRule="exact"/>
        <w:rPr>
          <w:sz w:val="20"/>
          <w:szCs w:val="20"/>
          <w:color w:val="auto"/>
        </w:rPr>
      </w:pPr>
    </w:p>
    <w:p>
      <w:pPr>
        <w:jc w:val="both"/>
        <w:ind w:right="3039" w:firstLine="421"/>
        <w:spacing w:after="0" w:line="275" w:lineRule="auto"/>
        <w:rPr>
          <w:sz w:val="20"/>
          <w:szCs w:val="20"/>
          <w:color w:val="auto"/>
        </w:rPr>
      </w:pPr>
      <w:r>
        <w:rPr>
          <w:rFonts w:ascii="Courier New" w:cs="Courier New" w:eastAsia="Courier New" w:hAnsi="Courier New"/>
          <w:sz w:val="16"/>
          <w:szCs w:val="16"/>
          <w:color w:val="auto"/>
        </w:rPr>
        <w:t>"2006 was a banner year for Itron," said LeRoy Nosbaum, chairman and CEO. "We set new records for revenue, backlog, non-GAAP earnings per share and cash flow from operations. We delivered results to our shareholders while continuing to build a platform to drive growth."</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Full-Year Financial Summary:</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Revenue was $644 million, an increase of 16.5% over 2005 revenue of $553 million. Gross margin of 41.5% in 2006 was lower than gross margin of 42.3% in 2005 due primarily to an increase in lower margin installation revenue in 2006.</w:t>
      </w:r>
    </w:p>
    <w:p>
      <w:pPr>
        <w:spacing w:after="0" w:line="207" w:lineRule="exact"/>
        <w:rPr>
          <w:sz w:val="20"/>
          <w:szCs w:val="20"/>
          <w:color w:val="auto"/>
        </w:rPr>
      </w:pPr>
    </w:p>
    <w:p>
      <w:pPr>
        <w:ind w:right="2939" w:firstLine="421"/>
        <w:spacing w:after="0" w:line="238" w:lineRule="auto"/>
        <w:rPr>
          <w:sz w:val="20"/>
          <w:szCs w:val="20"/>
          <w:color w:val="auto"/>
        </w:rPr>
      </w:pPr>
      <w:r>
        <w:rPr>
          <w:rFonts w:ascii="Courier New" w:cs="Courier New" w:eastAsia="Courier New" w:hAnsi="Courier New"/>
          <w:sz w:val="18"/>
          <w:szCs w:val="18"/>
          <w:color w:val="auto"/>
        </w:rPr>
        <w:t>We report operating income, net income and earnings per share (EPS) on a GAAP basis and on a non-GAAP basis. The non-GAAP measures are described below and are reconciled to their most directly comparable GAAP measures in the accompanying financial information. GAAP net income and diluted EPS for 2005 included tax benefits of approximately $14 million related to the restructuring of certain foreign operations and prior year research and development credits. These tax benefits are not reflected in non-GAAP measures of net income or EPS. Operating income, net income and diluted EPS in 2006 were all positively impacted by the increase in revenues. Stock based compensation in 2006 was $9.7 million compared to $739,000 in 2005. The increase in 2006 was due to the adoption of FAS 123(R) on January 1, 2006.</w:t>
      </w:r>
    </w:p>
    <w:p>
      <w:pPr>
        <w:spacing w:after="0" w:line="207" w:lineRule="exact"/>
        <w:rPr>
          <w:sz w:val="20"/>
          <w:szCs w:val="20"/>
          <w:color w:val="auto"/>
        </w:rPr>
      </w:pPr>
    </w:p>
    <w:p>
      <w:pPr>
        <w:ind w:left="860" w:right="3039" w:hanging="431"/>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operating income for 2006 was $61.7 million, or 9.6% of revenues. This compares to GAAP operating income of $46.2 million, or 8.4% of revenues for 2005.</w:t>
      </w:r>
    </w:p>
    <w:p>
      <w:pPr>
        <w:spacing w:after="0" w:line="208" w:lineRule="exact"/>
        <w:rPr>
          <w:rFonts w:ascii="Courier New" w:cs="Courier New" w:eastAsia="Courier New" w:hAnsi="Courier New"/>
          <w:sz w:val="18"/>
          <w:szCs w:val="18"/>
          <w:color w:val="auto"/>
        </w:rPr>
      </w:pPr>
    </w:p>
    <w:p>
      <w:pPr>
        <w:ind w:left="860" w:right="303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Non-GAAP operating income for 2006 of $101.5 million was 19% higher than the $85.5 million for 2005.</w:t>
      </w:r>
    </w:p>
    <w:p>
      <w:pPr>
        <w:spacing w:after="0" w:line="208"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net income for 2006 was a record $33.8 million, compared with $33.1 million for 2005.</w:t>
      </w:r>
    </w:p>
    <w:p>
      <w:pPr>
        <w:spacing w:after="0" w:line="208" w:lineRule="exact"/>
        <w:rPr>
          <w:rFonts w:ascii="Courier New" w:cs="Courier New" w:eastAsia="Courier New" w:hAnsi="Courier New"/>
          <w:sz w:val="18"/>
          <w:szCs w:val="18"/>
          <w:color w:val="auto"/>
        </w:rPr>
      </w:pPr>
    </w:p>
    <w:p>
      <w:pPr>
        <w:ind w:left="860" w:right="303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Non-GAAP net income for 2006 of $62.8 million was 38% higher than 2005.</w:t>
      </w:r>
    </w:p>
    <w:p>
      <w:pPr>
        <w:spacing w:after="0" w:line="208" w:lineRule="exact"/>
        <w:rPr>
          <w:rFonts w:ascii="Courier New" w:cs="Courier New" w:eastAsia="Courier New" w:hAnsi="Courier New"/>
          <w:sz w:val="18"/>
          <w:szCs w:val="18"/>
          <w:color w:val="auto"/>
        </w:rPr>
      </w:pPr>
    </w:p>
    <w:p>
      <w:pPr>
        <w:ind w:left="860" w:right="2939" w:hanging="431"/>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slightly higher net income, diluted GAAP EPS of $1.28 for 2006 was less than 2005 diluted GAAP EPS of $1.33 due to increased shares outstanding in 2006.</w:t>
      </w:r>
    </w:p>
    <w:p>
      <w:pPr>
        <w:spacing w:after="0" w:line="208" w:lineRule="exact"/>
        <w:rPr>
          <w:rFonts w:ascii="Courier New" w:cs="Courier New" w:eastAsia="Courier New" w:hAnsi="Courier New"/>
          <w:sz w:val="18"/>
          <w:szCs w:val="18"/>
          <w:color w:val="auto"/>
        </w:rPr>
      </w:pPr>
    </w:p>
    <w:p>
      <w:pPr>
        <w:ind w:left="860" w:right="303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Non-GAAP diluted EPS for 2006 of $2.39 was approximately 30% higher than 2005 non-GAAP diluted EPS of $1.84.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Q4 Financial Summary:</w:t>
      </w:r>
    </w:p>
    <w:p>
      <w:pPr>
        <w:spacing w:after="0" w:line="207"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Revenue was $160 million, equal to revenue in the fourth quarter of 2005 although we shipped about 250,000 fewer electricity meters in the 2006 quarter due to the substantial completion of the Progress Energy contract. Gross margin of 40.1% was slightly lower than the 40.5% in 2005 due primarily to shipments of our first-generation advanced metering infrastructure (AMI) meters, which have higher costs as expected. Quarterly GAAP net income and diluted EPS for 2005 included a tax benefit of approximately $8 million related to the</w:t>
      </w:r>
    </w:p>
    <w:p>
      <w:pPr>
        <w:sectPr>
          <w:pgSz w:w="11900" w:h="16838" w:orient="portrait"/>
          <w:cols w:equalWidth="0" w:num="1">
            <w:col w:w="10219"/>
          </w:cols>
          <w:pgMar w:left="240" w:top="136" w:right="1440" w:bottom="0" w:gutter="0" w:footer="0" w:header="0"/>
        </w:sectPr>
      </w:pPr>
    </w:p>
    <w:bookmarkStart w:id="5" w:name="page6"/>
    <w:bookmarkEnd w:id="5"/>
    <w:p>
      <w:pPr>
        <w:ind w:right="2939"/>
        <w:spacing w:after="0" w:line="272" w:lineRule="auto"/>
        <w:rPr>
          <w:sz w:val="20"/>
          <w:szCs w:val="20"/>
          <w:color w:val="auto"/>
        </w:rPr>
      </w:pPr>
      <w:r>
        <w:rPr>
          <w:rFonts w:ascii="Courier New" w:cs="Courier New" w:eastAsia="Courier New" w:hAnsi="Courier New"/>
          <w:sz w:val="16"/>
          <w:szCs w:val="16"/>
          <w:color w:val="auto"/>
        </w:rPr>
        <w:t>restructuring of certain foreign operations. This tax benefit was excluded from non-GAAP results for 2005. 2006 operating income, net income and diluted EPS were all negatively impacted by lower margin AMI shipments as well as unplanned legal and accounting due diligence fees of $1.1 million related to an acquisition opportunity we did not complete and a $639,000 impairment charge related to our former headquarters building. Stock based compensation was $2.9 million in 2006 compared with $340,000 in 2005.</w:t>
      </w:r>
    </w:p>
    <w:p>
      <w:pPr>
        <w:spacing w:after="0" w:line="385" w:lineRule="exact"/>
        <w:rPr>
          <w:sz w:val="20"/>
          <w:szCs w:val="20"/>
          <w:color w:val="auto"/>
        </w:rPr>
      </w:pPr>
    </w:p>
    <w:p>
      <w:pPr>
        <w:ind w:left="860" w:right="3159" w:hanging="431"/>
        <w:spacing w:after="0" w:line="236"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operating income for 2006 was $9.2 million, or 5.8% of revenues. This compares to GAAP operating income of $16.0 million, or 10.0% of revenues for 2005.</w:t>
      </w:r>
    </w:p>
    <w:p>
      <w:pPr>
        <w:spacing w:after="0" w:line="208" w:lineRule="exact"/>
        <w:rPr>
          <w:rFonts w:ascii="Courier New" w:cs="Courier New" w:eastAsia="Courier New" w:hAnsi="Courier New"/>
          <w:sz w:val="18"/>
          <w:szCs w:val="18"/>
          <w:color w:val="auto"/>
        </w:rPr>
      </w:pPr>
    </w:p>
    <w:p>
      <w:pPr>
        <w:ind w:left="860" w:right="367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Non-GAAP operating income of $19.8 million in 2006 was approximately $6 million lower than 2005.</w:t>
      </w:r>
    </w:p>
    <w:p>
      <w:pPr>
        <w:spacing w:after="0" w:line="208"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net income for 2006 was $7.3 million compared with $16.9 million in 2005.</w:t>
      </w:r>
    </w:p>
    <w:p>
      <w:pPr>
        <w:spacing w:after="0" w:line="208" w:lineRule="exact"/>
        <w:rPr>
          <w:rFonts w:ascii="Courier New" w:cs="Courier New" w:eastAsia="Courier New" w:hAnsi="Courier New"/>
          <w:sz w:val="18"/>
          <w:szCs w:val="18"/>
          <w:color w:val="auto"/>
        </w:rPr>
      </w:pPr>
    </w:p>
    <w:p>
      <w:pPr>
        <w:ind w:left="860" w:right="283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Non-GAAP net income of $14.7 million in 2006 was approximately $1 million lower than 2005.</w:t>
      </w:r>
    </w:p>
    <w:p>
      <w:pPr>
        <w:spacing w:after="0" w:line="208" w:lineRule="exact"/>
        <w:rPr>
          <w:rFonts w:ascii="Courier New" w:cs="Courier New" w:eastAsia="Courier New" w:hAnsi="Courier New"/>
          <w:sz w:val="18"/>
          <w:szCs w:val="18"/>
          <w:color w:val="auto"/>
        </w:rPr>
      </w:pPr>
    </w:p>
    <w:p>
      <w:pPr>
        <w:ind w:left="860" w:right="3039" w:hanging="431"/>
        <w:spacing w:after="0" w:line="290"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GAAP EPS in 2006 was 28 cents per diluted share compared with 65 cents per diluted share in the 2005 period.</w:t>
      </w:r>
    </w:p>
    <w:p>
      <w:pPr>
        <w:spacing w:after="0" w:line="169" w:lineRule="exact"/>
        <w:rPr>
          <w:rFonts w:ascii="Courier New" w:cs="Courier New" w:eastAsia="Courier New" w:hAnsi="Courier New"/>
          <w:sz w:val="16"/>
          <w:szCs w:val="16"/>
          <w:color w:val="auto"/>
        </w:rPr>
      </w:pPr>
    </w:p>
    <w:p>
      <w:pPr>
        <w:ind w:left="860" w:right="3479" w:hanging="431"/>
        <w:spacing w:after="0" w:line="290"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non-GAAP EPS for the fourth quarter was 56 cents compared with 59 cents in the fourth quarter of 2005.</w:t>
      </w:r>
    </w:p>
    <w:p>
      <w:pPr>
        <w:spacing w:after="0" w:line="170"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"We had excellent financial results for both the quarter and the year," said Nosbaum. "Although our fourth quarter net income was slightly less than we would have liked, it was caused in part by activities that Itron will eventually benefit from, including our initial AMI product shipments and related development efforts. The AMI products were shipped at lower than normal margins because they are new, which we expected. We also incurred legal and accounting charges related to a potential acquisition opportunity that came up during the quarter. We did not complete the acquisition, but felt that evaluating the opportunity was in our best interest."</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2006 Financial Highlights: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Revenue -- Hardware solutions revenue for the fourth quarter and full-year 2006 of approximately $144 million and $585 million, respectively was $2 million lower than the fourth quarter of 2005 but $84 million higher than the full-year 2005. Electricity metering revenue in 2006 was $8 million higher in the fourth quarter and $85 million higher in the full-year 2006 compared with 2005 due to a strategic shift toward selling new electric meters with embedded AMR. Shipments of electricity meters increased 12% in the fourth quarter and 42% for the full-year of 2006 compared with the same periods in 2005. Meter data collection (MDC) revenues decreased approximately $10 million in the fourth quarter, yet full-year 2006 revenues were comparable with 2005. The decrease in the quarter was due to lower shipments of standalone electric meter modules and related royalties due to the strategic selling shift to new electric meters with embedded AMR and lower shipments of handheld computers in the fourth quarter of 2006 offset somewhat by increased shipments of stand alone gas AMR modules. Software revenues were $2 million and $8 million higher in the quarter and full-year 2006 periods due to an increased number of software projects.</w:t>
      </w:r>
    </w:p>
    <w:p>
      <w:pPr>
        <w:spacing w:after="0" w:line="210"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Gross Margin -- Electricity metering gross margin of 34% was five percentage points lower in the fourth quarter of 2006 and 2 percentage points lower for the full-year than the same periods of 2005 due to a larger level of lower margin installation revenue and initial shipments of AMI products to a customer. There was no installation revenue reflected in electricity metering in the 2005 period. MDC gross margin of 46% in the fourth quarter and 45% in the full year of 2006 was six percentage points and two percentage points higher than the comparable 2005 periods due to an increased proportion of revenue associated with gas meter modules. Software solutions gross margin of 44% in the fourth quarter of 2006 was three percentage points lower and full year margins were one percentage point lower than the same periods of 2005 due primarily to the timing of completion of several projects.</w:t>
      </w:r>
    </w:p>
    <w:p>
      <w:pPr>
        <w:spacing w:after="0" w:line="208"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Operating Expenses -- Total operating expenses for the quarter of $55 million were approximately $6 million higher than the fourth quarter of 2005. The higher operating expenses in the quarter were primarily driven by increased research and development expenses related to our AMI initiative; unplanned legal and accounting due</w:t>
      </w:r>
    </w:p>
    <w:p>
      <w:pPr>
        <w:sectPr>
          <w:pgSz w:w="11900" w:h="16838" w:orient="portrait"/>
          <w:cols w:equalWidth="0" w:num="1">
            <w:col w:w="10219"/>
          </w:cols>
          <w:pgMar w:left="240" w:top="142" w:right="1440" w:bottom="0" w:gutter="0" w:footer="0" w:header="0"/>
        </w:sectPr>
      </w:pPr>
    </w:p>
    <w:bookmarkStart w:id="6" w:name="page7"/>
    <w:bookmarkEnd w:id="6"/>
    <w:p>
      <w:pPr>
        <w:jc w:val="both"/>
        <w:ind w:right="3039"/>
        <w:spacing w:after="0" w:line="268" w:lineRule="auto"/>
        <w:rPr>
          <w:sz w:val="20"/>
          <w:szCs w:val="20"/>
          <w:color w:val="auto"/>
        </w:rPr>
      </w:pPr>
      <w:r>
        <w:rPr>
          <w:rFonts w:ascii="Courier New" w:cs="Courier New" w:eastAsia="Courier New" w:hAnsi="Courier New"/>
          <w:sz w:val="16"/>
          <w:szCs w:val="16"/>
          <w:color w:val="auto"/>
        </w:rPr>
        <w:t>diligence expenses for an acquisition opportunity we pursued but did not complete; an impairment charge related to our former headquarter building which is classified as held for sale; costs associated with our corporate headquarters move; and an upgrade of our ERP system.</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Operating expenses for the full-year 2006 are more than $18 million higher than the full year of 2005 for the same reasons. Although operating expenses were higher in the 2006 full-year, as a percentage of revenue they decreased two percentage points from the full-year 2005.</w:t>
      </w:r>
    </w:p>
    <w:p>
      <w:pPr>
        <w:spacing w:after="0" w:line="209" w:lineRule="exact"/>
        <w:rPr>
          <w:sz w:val="20"/>
          <w:szCs w:val="20"/>
          <w:color w:val="auto"/>
        </w:rPr>
      </w:pPr>
    </w:p>
    <w:p>
      <w:pPr>
        <w:ind w:right="2839" w:firstLine="421"/>
        <w:spacing w:after="0" w:line="272" w:lineRule="auto"/>
        <w:rPr>
          <w:sz w:val="20"/>
          <w:szCs w:val="20"/>
          <w:color w:val="auto"/>
        </w:rPr>
      </w:pPr>
      <w:r>
        <w:rPr>
          <w:rFonts w:ascii="Courier New" w:cs="Courier New" w:eastAsia="Courier New" w:hAnsi="Courier New"/>
          <w:sz w:val="16"/>
          <w:szCs w:val="16"/>
          <w:color w:val="auto"/>
        </w:rPr>
        <w:t>Stock-Based Compensation -- In the fourth quarter of 2006 total stock based compensation expense was $2.9 million, $2.7 million of which is due to the adoption of FAS 123(R). For the full-year 2006 our total stock-based compensation was $9.7 million, $8.6 million of which was due to the adoption of FAS 123(R). Stock-based compensation in the 2005 periods was $340,000 and $739,000, respectively.</w:t>
      </w:r>
    </w:p>
    <w:p>
      <w:pPr>
        <w:spacing w:after="0" w:line="186"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Interest and Other Income -- Interest income of $5.3 million in the fourth quarter and $9.5 million for the full-year 2006 was substantially higher than the $135,000 and $302,000 in the comparable periods of 2005. The increased interest income in the 2006 periods is due to interest earned on the investment of net proceeds from our $345 million convertible debt issuance in August of 2006. Interest expense of $5.4 million for the fourth quarter of 2006 was higher than the fourth quarter of 2005 due to interest expense and debt amortization fees associated with our outstanding convertible debt. Interest expense of $17.8 million for the full-year 2006 was lower than 2005 due primarily to repayment of variable rate debt in 2005 and early 2006.</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Income Taxes -- Our effective tax rate was 17% for the fourth quarter of 2006 and 35.4% for the full year. The effective rate for the quarter includes the annual benefit of the federal research and development tax credit which was recently renewed. Our effective rate in the fourth quarter and full year 2005 was a benefit of 37% and 20.1%, respectively. The effective rate in 2005 was impacted positively by $8.2 million and $14.1 million for the quarter and full-year related to discrete tax benefits from restructuring of certain foreign operations and the recognition of prior year research and development credits. Our non-GAAP tax rates were 27% and 34.8% for the fourth quarter and full-year 2006 compared to 32.6% and 36.4% for the fourth quarter and full-year 2005.</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New Order Bookings and Backlog -- New order bookings for the fourth quarter were $211 million compared to $149 million in the fourth quarter of 2005. New order bookings for 2006 were $652 million, compared to $655 million in 2005. Full-year 2005 new order bookings included our largest contract to date of $118 million for Progress Energy, which has been substantially completed. Our 2006 book-to-bill ratios were 1.4 for the quarter and 1.1 for the full-year. Total backlog at December 31, 2006 was $392 million compared to $324 million one year ago. Twelve month backlog at December 31, 2006 was $225 million, which is 20% higher than the $188 million in twelve-month backlog at the end of 2005.</w:t>
      </w:r>
    </w:p>
    <w:p>
      <w:pPr>
        <w:spacing w:after="0" w:line="216"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Cash Flow from Operations -- Net cash provided by operating activities of $95 million for the full-year 2006 was up 19% from $80 million in 2005. Earnings before interest, taxes, depreciation and amortization and non-cash stock based compensation expenses in 2006 (Adjusted EBITDA), which is used as an internal performance indicator and a measure of our ability to service debt, was $115 million for the year compared with $98 million for the full year 2005.</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This release contains forward-looking statements concerning our expectations about our operations, financial performance, sales, earnings and cash flows.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 based compensation and other factors which are more fully described in our Annual Report on Form 10-K for the year ended December 31, 2005 and other reports on file with the Securities and Exchange Commission. Itron undertakes no obligation to update</w:t>
      </w:r>
    </w:p>
    <w:p>
      <w:pPr>
        <w:sectPr>
          <w:pgSz w:w="11900" w:h="16838" w:orient="portrait"/>
          <w:cols w:equalWidth="0" w:num="1">
            <w:col w:w="10219"/>
          </w:cols>
          <w:pgMar w:left="240" w:top="142" w:right="1440" w:bottom="0" w:gutter="0" w:footer="0" w:header="0"/>
        </w:sectPr>
      </w:pPr>
    </w:p>
    <w:bookmarkStart w:id="7" w:name="page8"/>
    <w:bookmarkEnd w:id="7"/>
    <w:p>
      <w:pPr>
        <w:ind w:right="3479"/>
        <w:spacing w:after="0" w:line="235" w:lineRule="auto"/>
        <w:rPr>
          <w:sz w:val="20"/>
          <w:szCs w:val="20"/>
          <w:color w:val="auto"/>
        </w:rPr>
      </w:pPr>
      <w:r>
        <w:rPr>
          <w:rFonts w:ascii="Courier New" w:cs="Courier New" w:eastAsia="Courier New" w:hAnsi="Courier New"/>
          <w:sz w:val="18"/>
          <w:szCs w:val="18"/>
          <w:color w:val="auto"/>
        </w:rPr>
        <w:t>publicly or revise any forward-looking statements, including our business outlook.</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The outlook information provided below and elsewhere in this release is based on information available today and does not include the effect of any pending or future acquisitions. Itron assumes no obligation to publicly update or revise our business outlook. Our future performance involves risks and uncertainties.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full year 2007, we expect</w:t>
      </w:r>
    </w:p>
    <w:p>
      <w:pPr>
        <w:spacing w:after="0" w:line="201" w:lineRule="exact"/>
        <w:rPr>
          <w:sz w:val="20"/>
          <w:szCs w:val="20"/>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between $680 and $700 million;</w:t>
      </w:r>
    </w:p>
    <w:p>
      <w:pPr>
        <w:spacing w:after="0" w:line="206" w:lineRule="exact"/>
        <w:rPr>
          <w:rFonts w:ascii="Courier New" w:cs="Courier New" w:eastAsia="Courier New" w:hAnsi="Courier New"/>
          <w:sz w:val="18"/>
          <w:szCs w:val="18"/>
          <w:color w:val="auto"/>
        </w:rPr>
      </w:pPr>
    </w:p>
    <w:p>
      <w:pPr>
        <w:ind w:left="860" w:right="3359" w:hanging="431"/>
        <w:spacing w:after="0" w:line="23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non-GAAP EPS of between $2.70 and $2.90 (excludes approximately $0.27 - $0.31 of stock-based compensation expense);</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EBITDA of $130 to $135 million; and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revenues between $140 and $150 million.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Financial Information:</w:t>
      </w:r>
    </w:p>
    <w:p>
      <w:pPr>
        <w:spacing w:after="0" w:line="207"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To supplement our consolidated financial statements presented in accordance with GAAP, we use certain non-GAAP financial measures, including non-GAAP operating income, non-GAAP net income and diluted EPS, EBITDA and Adjusted EBITDA.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and non-cash stock based compensation. We exclude these expenses in our non-GAAP financial measures as we believe that they are a measure of our core business that is not subject to the variations of expenses associated with these infrequently occurring or non-cash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38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Earnings Conference Call:</w:t>
      </w:r>
    </w:p>
    <w:p>
      <w:pPr>
        <w:spacing w:after="0" w:line="207"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Itron will host a conference call to discuss the financial results contained in this release at 1:45 p.m. (PST) on February 13, 2007. The call will be webcast in a listen only mode and can be accessed online at www.itron.com, "Investors -- Investor Events." The live webcast will begin at 1:45 p.m. (PST). The webcast replay will begin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entering passcode # 5745059.</w:t>
      </w:r>
    </w:p>
    <w:p>
      <w:pPr>
        <w:spacing w:after="0" w:line="3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Nearly 3,000 utilities worldwide rely on Itron technology to deliver the knowledge they require to optimize the delivery and use of energy and water. Itron delivers value to its clients by providing industry-leading solutions for electricity metering, meter data collection, energy information management, demand side management and response, load forecasting, analysis and consulting services, distribution system design and optimization, Web-based workforce automation, commercial and industrial customer care and residential energy management. To know more, start here: www.itron.com.</w:t>
      </w:r>
    </w:p>
    <w:p>
      <w:pPr>
        <w:spacing w:after="0" w:line="216" w:lineRule="exact"/>
        <w:rPr>
          <w:sz w:val="20"/>
          <w:szCs w:val="20"/>
          <w:color w:val="auto"/>
        </w:rPr>
      </w:pPr>
    </w:p>
    <w:p>
      <w:pPr>
        <w:jc w:val="both"/>
        <w:ind w:right="3259" w:firstLine="421"/>
        <w:spacing w:after="0" w:line="236" w:lineRule="auto"/>
        <w:rPr>
          <w:sz w:val="20"/>
          <w:szCs w:val="20"/>
          <w:color w:val="auto"/>
        </w:rPr>
      </w:pPr>
      <w:r>
        <w:rPr>
          <w:rFonts w:ascii="Courier New" w:cs="Courier New" w:eastAsia="Courier New" w:hAnsi="Courier New"/>
          <w:sz w:val="18"/>
          <w:szCs w:val="18"/>
          <w:color w:val="auto"/>
        </w:rPr>
        <w:t>Statements of operations, segment information, balance sheets, cash flow statements and reconciliations between GAAP and non-GAAP financial measures follow.</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ITRON, INC.</w:t>
      </w:r>
    </w:p>
    <w:p>
      <w:pPr>
        <w:sectPr>
          <w:pgSz w:w="11900" w:h="16838" w:orient="portrait"/>
          <w:cols w:equalWidth="0" w:num="1">
            <w:col w:w="10219"/>
          </w:cols>
          <w:pgMar w:left="240" w:top="142" w:right="1440" w:bottom="0" w:gutter="0" w:footer="0" w:header="0"/>
          <w:type w:val="continuous"/>
        </w:sectPr>
      </w:pPr>
    </w:p>
    <w:bookmarkStart w:id="8" w:name="page9"/>
    <w:bookmarkEnd w:id="8"/>
    <w:tbl>
      <w:tblPr>
        <w:tblLayout w:type="fixed"/>
        <w:tblInd w:w="120" w:type="dxa"/>
        <w:tblCellMar>
          <w:top w:w="0" w:type="dxa"/>
          <w:left w:w="0" w:type="dxa"/>
          <w:bottom w:w="0" w:type="dxa"/>
          <w:right w:w="0" w:type="dxa"/>
        </w:tblCellMar>
      </w:tblPr>
      <w:tr>
        <w:trPr>
          <w:trHeight w:val="204"/>
        </w:trPr>
        <w:tc>
          <w:tcPr>
            <w:tcW w:w="6260" w:type="dxa"/>
            <w:vAlign w:val="bottom"/>
            <w:gridSpan w:val="7"/>
          </w:tcPr>
          <w:p>
            <w:pPr>
              <w:ind w:left="1680"/>
              <w:spacing w:after="0"/>
              <w:rPr>
                <w:sz w:val="20"/>
                <w:szCs w:val="20"/>
                <w:color w:val="auto"/>
              </w:rPr>
            </w:pPr>
            <w:r>
              <w:rPr>
                <w:rFonts w:ascii="Courier New" w:cs="Courier New" w:eastAsia="Courier New" w:hAnsi="Courier New"/>
                <w:sz w:val="18"/>
                <w:szCs w:val="18"/>
                <w:color w:val="auto"/>
              </w:rPr>
              <w:t>CONSOLIDATED STATEMENTS OF OPERATIONS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200" w:type="dxa"/>
            <w:vAlign w:val="bottom"/>
            <w:gridSpan w:val="5"/>
          </w:tcPr>
          <w:p>
            <w:pPr>
              <w:spacing w:after="0"/>
              <w:rPr>
                <w:sz w:val="20"/>
                <w:szCs w:val="20"/>
                <w:color w:val="auto"/>
              </w:rPr>
            </w:pPr>
            <w:r>
              <w:rPr>
                <w:rFonts w:ascii="Courier New" w:cs="Courier New" w:eastAsia="Courier New" w:hAnsi="Courier New"/>
                <w:sz w:val="18"/>
                <w:szCs w:val="18"/>
                <w:color w:val="auto"/>
                <w:w w:val="99"/>
              </w:rPr>
              <w:t>(Unaudited, in thousands, except per share data)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3000" w:type="dxa"/>
            <w:vAlign w:val="bottom"/>
          </w:tcPr>
          <w:p>
            <w:pPr>
              <w:spacing w:after="0"/>
              <w:rPr>
                <w:sz w:val="24"/>
                <w:szCs w:val="24"/>
                <w:color w:val="auto"/>
              </w:rPr>
            </w:pPr>
          </w:p>
        </w:tc>
        <w:tc>
          <w:tcPr>
            <w:tcW w:w="2200" w:type="dxa"/>
            <w:vAlign w:val="bottom"/>
            <w:gridSpan w:val="4"/>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000" w:type="dxa"/>
            <w:vAlign w:val="bottom"/>
          </w:tcPr>
          <w:p>
            <w:pPr>
              <w:spacing w:after="0"/>
              <w:rPr>
                <w:sz w:val="17"/>
                <w:szCs w:val="17"/>
                <w:color w:val="auto"/>
              </w:rPr>
            </w:pPr>
          </w:p>
        </w:tc>
        <w:tc>
          <w:tcPr>
            <w:tcW w:w="326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8"/>
              </w:rPr>
              <w:t>--------- --------- ---------</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$147,056</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$147,574</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$593,990</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$503,270</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Service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12,917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50,052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49,420</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 revenues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159,973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159,952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644,042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552,690</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88,931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349,210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291,445</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Service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27,390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27,624</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 cost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95,762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95,098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376,600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319,069</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64,211</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64,854</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267,442</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233,621</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16,609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63,587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56,642</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15,358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58,774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47,077</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15,109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11,047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52,213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44,428</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7,916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31,125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38,846</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Restructurings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 operating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54,992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205,699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187,383</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9,219</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15,976</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61,743</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46,238</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9,497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(5,426)</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(17,785)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(18,944)</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(expense)</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(3,617)</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(18,710)</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8,757</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12,359</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52,235</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27,528</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(18,476)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5,533</w:t>
            </w:r>
          </w:p>
        </w:tc>
      </w:tr>
      <w:tr>
        <w:trPr>
          <w:trHeight w:val="203"/>
        </w:trPr>
        <w:tc>
          <w:tcPr>
            <w:tcW w:w="3000" w:type="dxa"/>
            <w:vAlign w:val="bottom"/>
          </w:tcPr>
          <w:p>
            <w:pPr>
              <w:spacing w:after="0"/>
              <w:rPr>
                <w:sz w:val="17"/>
                <w:szCs w:val="17"/>
                <w:color w:val="auto"/>
              </w:rPr>
            </w:pP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7,271</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$ 16,929</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$ 33,759</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$ 33,061</w:t>
            </w:r>
          </w:p>
        </w:tc>
      </w:tr>
      <w:tr>
        <w:trPr>
          <w:trHeight w:val="203"/>
        </w:trPr>
        <w:tc>
          <w:tcPr>
            <w:tcW w:w="3000" w:type="dxa"/>
            <w:vAlign w:val="bottom"/>
          </w:tcPr>
          <w:p>
            <w:pPr>
              <w:spacing w:after="0"/>
              <w:rPr>
                <w:sz w:val="17"/>
                <w:szCs w:val="17"/>
                <w:color w:val="auto"/>
              </w:rPr>
            </w:pPr>
          </w:p>
        </w:tc>
        <w:tc>
          <w:tcPr>
            <w:tcW w:w="326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8"/>
              </w:rPr>
              <w:t>--------- --------- ---------</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3000" w:type="dxa"/>
            <w:vAlign w:val="bottom"/>
          </w:tcPr>
          <w:p>
            <w:pPr>
              <w:spacing w:after="0"/>
              <w:rPr>
                <w:sz w:val="17"/>
                <w:szCs w:val="17"/>
                <w:color w:val="auto"/>
              </w:rPr>
            </w:pP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3000" w:type="dxa"/>
            <w:vAlign w:val="bottom"/>
          </w:tcPr>
          <w:p>
            <w:pPr>
              <w:spacing w:after="0"/>
              <w:rPr>
                <w:sz w:val="17"/>
                <w:szCs w:val="17"/>
                <w:color w:val="auto"/>
              </w:rPr>
            </w:pPr>
          </w:p>
        </w:tc>
        <w:tc>
          <w:tcPr>
            <w:tcW w:w="426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number of shares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25,624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24,823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25,414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23,394</w:t>
            </w:r>
          </w:p>
        </w:tc>
      </w:tr>
      <w:tr>
        <w:trPr>
          <w:trHeight w:val="203"/>
        </w:trPr>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26,378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25,984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26,283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SEGMENT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in thousands)</w:t>
      </w:r>
    </w:p>
    <w:p>
      <w:pPr>
        <w:ind w:left="3280"/>
        <w:spacing w:after="0"/>
        <w:tabs>
          <w:tab w:leader="none" w:pos="536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Twelve Months Ended</w:t>
      </w:r>
    </w:p>
    <w:p>
      <w:pPr>
        <w:ind w:left="3700"/>
        <w:spacing w:after="0"/>
        <w:tabs>
          <w:tab w:leader="none" w:pos="578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31,</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tabs>
          <w:tab w:leader="none" w:pos="4720" w:val="left"/>
          <w:tab w:leader="none" w:pos="5780" w:val="left"/>
          <w:tab w:leader="none" w:pos="684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w:t>
      </w:r>
    </w:p>
    <w:p>
      <w:pPr>
        <w:ind w:left="320"/>
        <w:spacing w:after="0" w:line="238" w:lineRule="auto"/>
        <w:rPr>
          <w:sz w:val="20"/>
          <w:szCs w:val="20"/>
          <w:color w:val="auto"/>
        </w:rPr>
      </w:pPr>
      <w:r>
        <w:rPr>
          <w:rFonts w:ascii="Courier New" w:cs="Courier New" w:eastAsia="Courier New" w:hAnsi="Courier New"/>
          <w:sz w:val="18"/>
          <w:szCs w:val="18"/>
          <w:color w:val="auto"/>
        </w:rPr>
        <w:t>Hardware Solutions</w:t>
      </w:r>
    </w:p>
    <w:p>
      <w:pPr>
        <w:sectPr>
          <w:pgSz w:w="11900" w:h="16838" w:orient="portrait"/>
          <w:cols w:equalWidth="0" w:num="1">
            <w:col w:w="10219"/>
          </w:cols>
          <w:pgMar w:left="240" w:top="136"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$ 74,611</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$ 66,437</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$325,031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$239,763</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69,101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79,489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260,399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261,995</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143,712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145,926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585,430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501,758</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16,261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14,026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58,612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50,932</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$159,973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$159,952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$644,042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$552,690</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profit</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$ 25,484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$ 26,163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$125,876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$ 99,386</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31,614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116,746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112,504</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57,098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58,255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242,622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211,890</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21,731</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$ 64,211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$ 64,854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$267,442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$233,621</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 (loss)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$ 21,192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$ 21,514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$110,262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$ 82,018</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25,175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26,811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92,847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91,412</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unallocated costs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(37,048)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(25,395)</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37,488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41,073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166,061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148,035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(10,547)</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Corporate unallocated</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(26,470)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(92,821)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(91,250)</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9,219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$ 15,976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$ 61,743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$ 46,238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608"/>
        </w:trPr>
        <w:tc>
          <w:tcPr>
            <w:tcW w:w="328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3280" w:type="dxa"/>
            <w:vAlign w:val="bottom"/>
          </w:tcPr>
          <w:p>
            <w:pPr>
              <w:spacing w:after="0"/>
              <w:rPr>
                <w:sz w:val="17"/>
                <w:szCs w:val="17"/>
                <w:color w:val="auto"/>
              </w:rPr>
            </w:pPr>
          </w:p>
        </w:tc>
        <w:tc>
          <w:tcPr>
            <w:tcW w:w="20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280" w:type="dxa"/>
            <w:vAlign w:val="bottom"/>
          </w:tcPr>
          <w:p>
            <w:pPr>
              <w:spacing w:after="0"/>
              <w:rPr>
                <w:sz w:val="17"/>
                <w:szCs w:val="17"/>
                <w:color w:val="auto"/>
              </w:rPr>
            </w:pPr>
          </w:p>
        </w:tc>
        <w:tc>
          <w:tcPr>
            <w:tcW w:w="4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280" w:type="dxa"/>
            <w:vAlign w:val="bottom"/>
          </w:tcPr>
          <w:p>
            <w:pPr>
              <w:spacing w:after="0"/>
              <w:rPr>
                <w:sz w:val="17"/>
                <w:szCs w:val="17"/>
                <w:color w:val="auto"/>
              </w:rPr>
            </w:pPr>
          </w:p>
        </w:tc>
        <w:tc>
          <w:tcPr>
            <w:tcW w:w="4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 Shipments by Segment</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Meters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1,450</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4,675</w:t>
            </w: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With Itron AMR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With Other AMR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w:t>
            </w:r>
          </w:p>
        </w:tc>
      </w:tr>
      <w:tr>
        <w:trPr>
          <w:trHeight w:val="405"/>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Meter Data Collection</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AMR standalone modules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4,300</w:t>
            </w: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Licensed AMR (other</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vendors' meters)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r>
      <w:tr>
        <w:trPr>
          <w:trHeight w:val="405"/>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(1)Total Units Itron with</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7,350</w:t>
            </w: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Growth in total Itron AMR</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shipments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88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left="420" w:right="2939" w:hanging="420"/>
        <w:spacing w:after="0" w:line="290" w:lineRule="auto"/>
        <w:rPr>
          <w:sz w:val="20"/>
          <w:szCs w:val="20"/>
          <w:color w:val="auto"/>
        </w:rPr>
      </w:pPr>
      <w:r>
        <w:rPr>
          <w:rFonts w:ascii="Courier New" w:cs="Courier New" w:eastAsia="Courier New" w:hAnsi="Courier New"/>
          <w:sz w:val="16"/>
          <w:szCs w:val="16"/>
          <w:color w:val="auto"/>
        </w:rPr>
        <w:t>(1)Includes Itron meters with Itron AMR, Itron AMR standalone modules and other vendors' electronic electricity meters with Itron AMR.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2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020" w:type="dxa"/>
            <w:vAlign w:val="bottom"/>
          </w:tcPr>
          <w:p>
            <w:pPr>
              <w:spacing w:after="0"/>
              <w:rPr>
                <w:sz w:val="17"/>
                <w:szCs w:val="17"/>
                <w:color w:val="auto"/>
              </w:rPr>
            </w:pP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02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ASSETS</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$361,405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$ 33,638</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 held to maturity</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34,583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109,924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104,428</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52,496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49,456</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20,916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23,194</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17,121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10,941</w:t>
            </w:r>
          </w:p>
        </w:tc>
      </w:tr>
      <w:tr>
        <w:trPr>
          <w:trHeight w:val="203"/>
        </w:trPr>
        <w:tc>
          <w:tcPr>
            <w:tcW w:w="5020" w:type="dxa"/>
            <w:vAlign w:val="bottom"/>
          </w:tcPr>
          <w:p>
            <w:pPr>
              <w:spacing w:after="0"/>
              <w:rPr>
                <w:sz w:val="17"/>
                <w:szCs w:val="17"/>
                <w:color w:val="auto"/>
              </w:rPr>
            </w:pP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596,445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221,657</w:t>
            </w: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88,689</w:t>
            </w:r>
          </w:p>
        </w:tc>
        <w:tc>
          <w:tcPr>
            <w:tcW w:w="16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77,623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112,682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123,293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126,266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116,032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47,400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48,955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17,040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11,324</w:t>
            </w:r>
          </w:p>
        </w:tc>
      </w:tr>
      <w:tr>
        <w:trPr>
          <w:trHeight w:val="203"/>
        </w:trPr>
        <w:tc>
          <w:tcPr>
            <w:tcW w:w="5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assets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$988,522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598,884</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w w:val="99"/>
              </w:rPr>
              <w:t>LIABILITIES AND SHAREHOLDERS' EQUITY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$ 43,922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46,215</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24,214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23,732</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4,376</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7,999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8,497</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Unearned revenue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27,449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22,758</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103,584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105,578</w:t>
            </w:r>
          </w:p>
        </w:tc>
      </w:tr>
      <w:tr>
        <w:trPr>
          <w:trHeight w:val="405"/>
        </w:trPr>
        <w:tc>
          <w:tcPr>
            <w:tcW w:w="5280" w:type="dxa"/>
            <w:vAlign w:val="bottom"/>
          </w:tcPr>
          <w:p>
            <w:pPr>
              <w:ind w:left="420"/>
              <w:spacing w:after="0"/>
              <w:rPr>
                <w:sz w:val="20"/>
                <w:szCs w:val="20"/>
                <w:color w:val="auto"/>
              </w:rPr>
            </w:pPr>
            <w:r>
              <w:rPr>
                <w:rFonts w:ascii="Courier New" w:cs="Courier New" w:eastAsia="Courier New" w:hAnsi="Courier New"/>
                <w:sz w:val="18"/>
                <w:szCs w:val="18"/>
                <w:color w:val="auto"/>
              </w:rPr>
              <w:t>Long-term debt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469,324</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160,186</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Project financing debt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2,367</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Warranty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10,149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6,779</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Contingent purchase price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obligations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6,440</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597,540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281,350</w:t>
            </w:r>
          </w:p>
        </w:tc>
      </w:tr>
      <w:tr>
        <w:trPr>
          <w:trHeight w:val="405"/>
        </w:trPr>
        <w:tc>
          <w:tcPr>
            <w:tcW w:w="5280" w:type="dxa"/>
            <w:vAlign w:val="bottom"/>
          </w:tcPr>
          <w:p>
            <w:pPr>
              <w:ind w:left="420"/>
              <w:spacing w:after="0"/>
              <w:rPr>
                <w:sz w:val="20"/>
                <w:szCs w:val="20"/>
                <w:color w:val="auto"/>
              </w:rPr>
            </w:pPr>
            <w:r>
              <w:rPr>
                <w:rFonts w:ascii="Courier New" w:cs="Courier New" w:eastAsia="Courier New" w:hAnsi="Courier New"/>
                <w:sz w:val="18"/>
                <w:szCs w:val="18"/>
                <w:color w:val="auto"/>
              </w:rPr>
              <w:t>Commitments and contingencies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351,018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312,046</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other comprehensive income, net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38,376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4,617</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390,982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317,534</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equity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$988,522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598,884</w:t>
            </w:r>
          </w:p>
        </w:tc>
      </w:tr>
      <w:tr>
        <w:trPr>
          <w:trHeight w:val="203"/>
        </w:trPr>
        <w:tc>
          <w:tcPr>
            <w:tcW w:w="528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Year Ended December</w:t>
            </w:r>
          </w:p>
        </w:tc>
      </w:tr>
      <w:tr>
        <w:trPr>
          <w:trHeight w:val="203"/>
        </w:trPr>
        <w:tc>
          <w:tcPr>
            <w:tcW w:w="5160" w:type="dxa"/>
            <w:vAlign w:val="bottom"/>
          </w:tcPr>
          <w:p>
            <w:pPr>
              <w:spacing w:after="0"/>
              <w:rPr>
                <w:sz w:val="17"/>
                <w:szCs w:val="17"/>
                <w:color w:val="auto"/>
              </w:rPr>
            </w:pPr>
          </w:p>
        </w:tc>
        <w:tc>
          <w:tcPr>
            <w:tcW w:w="1320" w:type="dxa"/>
            <w:vAlign w:val="bottom"/>
            <w:gridSpan w:val="2"/>
          </w:tcPr>
          <w:p>
            <w:pPr>
              <w:jc w:val="center"/>
              <w:ind w:left="832"/>
              <w:spacing w:after="0" w:line="203" w:lineRule="exact"/>
              <w:rPr>
                <w:sz w:val="20"/>
                <w:szCs w:val="20"/>
                <w:color w:val="auto"/>
              </w:rPr>
            </w:pPr>
            <w:r>
              <w:rPr>
                <w:rFonts w:ascii="Courier New" w:cs="Courier New" w:eastAsia="Courier New" w:hAnsi="Courier New"/>
                <w:sz w:val="18"/>
                <w:szCs w:val="18"/>
                <w:color w:val="auto"/>
                <w:w w:val="98"/>
              </w:rPr>
              <w:t>31,</w:t>
            </w:r>
          </w:p>
        </w:tc>
        <w:tc>
          <w:tcPr>
            <w:tcW w:w="90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160" w:type="dxa"/>
            <w:vAlign w:val="bottom"/>
          </w:tcPr>
          <w:p>
            <w:pPr>
              <w:spacing w:after="0"/>
              <w:rPr>
                <w:sz w:val="17"/>
                <w:szCs w:val="17"/>
                <w:color w:val="auto"/>
              </w:rPr>
            </w:pPr>
          </w:p>
        </w:tc>
        <w:tc>
          <w:tcPr>
            <w:tcW w:w="2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33,759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33,061</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46,234</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51,572</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Employee stock plans income tax benefits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13,547</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15,146</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Excess tax benefits from stock-based</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compensation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(9,717)</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Stock-based compensation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9,689</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Amortization of prepaid debt fees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4,526</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5,031</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1,624</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(22,017)</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Changes in operating assets and liabilities, net</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acquisitions: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(3,275)</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(14,183)</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(1,599)</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(3,997)</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(8,278)</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4,432</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(1,774)</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9,282</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Unearned revenue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5,698</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Warranty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2,872</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3,831</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long-term obligations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1,125</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(5,203)</w:t>
            </w:r>
          </w:p>
        </w:tc>
      </w:tr>
      <w:tr>
        <w:trPr>
          <w:trHeight w:val="203"/>
        </w:trPr>
        <w:tc>
          <w:tcPr>
            <w:tcW w:w="5160" w:type="dxa"/>
            <w:vAlign w:val="bottom"/>
          </w:tcPr>
          <w:p>
            <w:pPr>
              <w:spacing w:after="0"/>
              <w:rPr>
                <w:sz w:val="17"/>
                <w:szCs w:val="17"/>
                <w:color w:val="auto"/>
              </w:rPr>
            </w:pPr>
          </w:p>
        </w:tc>
        <w:tc>
          <w:tcPr>
            <w:tcW w:w="2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activities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94,773</w:t>
            </w:r>
          </w:p>
        </w:tc>
        <w:tc>
          <w:tcPr>
            <w:tcW w:w="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79,617</w:t>
            </w:r>
          </w:p>
        </w:tc>
      </w:tr>
    </w:tbl>
    <w:p>
      <w:pPr>
        <w:sectPr>
          <w:pgSz w:w="11900" w:h="16838" w:orient="portrait"/>
          <w:cols w:equalWidth="0" w:num="1">
            <w:col w:w="10219"/>
          </w:cols>
          <w:pgMar w:left="240" w:top="339"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investments, held to maturity</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(204,995)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Proceeds from the maturities of investments,</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170,434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Acquisitions of property, plant and equipment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(31,739)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(31,973)</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Business acquisitions, net of cash and cash</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equivalents acquired</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(21,121)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1,402</w:t>
            </w:r>
          </w:p>
        </w:tc>
      </w:tr>
      <w:tr>
        <w:trPr>
          <w:trHeight w:val="203"/>
        </w:trPr>
        <w:tc>
          <w:tcPr>
            <w:tcW w:w="5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(30,571)</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345,000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Payments on debt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(126,196)</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84,727</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Excess tax benefits from stock-based</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compensation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9,717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debt fees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5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Net cash provided by (used in) financing</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activities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318,493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(27,032)</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327,767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22,014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year</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33,638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11,624</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year</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$ 361,405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33,638</w:t>
            </w:r>
          </w:p>
        </w:tc>
      </w:tr>
      <w:tr>
        <w:trPr>
          <w:trHeight w:val="203"/>
        </w:trPr>
        <w:tc>
          <w:tcPr>
            <w:tcW w:w="516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About Non-GAAP Financial Measures</w:t>
      </w:r>
    </w:p>
    <w:p>
      <w:pPr>
        <w:spacing w:after="0" w:line="200" w:lineRule="exact"/>
        <w:rPr>
          <w:sz w:val="20"/>
          <w:szCs w:val="20"/>
          <w:color w:val="auto"/>
        </w:rPr>
      </w:pPr>
    </w:p>
    <w:p>
      <w:pPr>
        <w:spacing w:after="0" w:line="210"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The accompanying press release dated February 13, 2007 contains non-GAAP financial measures. To supplement our consolidated financial statements, which are prepared and presented in accordance with GAAP, we use certain non-GAAP financial measures, including non-GAAP operating income, non-GAAP net income and EPS and Adjusted EBITDA.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 information following.</w:t>
      </w:r>
    </w:p>
    <w:p>
      <w:pPr>
        <w:spacing w:after="0" w:line="200" w:lineRule="exact"/>
        <w:rPr>
          <w:sz w:val="20"/>
          <w:szCs w:val="20"/>
          <w:color w:val="auto"/>
        </w:rPr>
      </w:pPr>
    </w:p>
    <w:p>
      <w:pPr>
        <w:spacing w:after="0" w:line="210"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Our executive compensation plans exclude non-cash charges related to stock option compensation expense and amortization of intangibles and non-recurring discrete cash charges that are infrequent in nature such as in-process research and development.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ability to service debt as well as comparisons to our competitor's operating results. We believe these non-GAAP financial measures are useful to investors because they allow for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0" w:lineRule="exact"/>
        <w:rPr>
          <w:sz w:val="20"/>
          <w:szCs w:val="20"/>
          <w:color w:val="auto"/>
        </w:rPr>
      </w:pPr>
    </w:p>
    <w:p>
      <w:pPr>
        <w:spacing w:after="0" w:line="397" w:lineRule="exact"/>
        <w:rPr>
          <w:sz w:val="20"/>
          <w:szCs w:val="20"/>
          <w:color w:val="auto"/>
        </w:rPr>
      </w:pPr>
    </w:p>
    <w:p>
      <w:pPr>
        <w:ind w:right="2939" w:firstLine="421"/>
        <w:spacing w:after="0" w:line="271" w:lineRule="auto"/>
        <w:rPr>
          <w:sz w:val="20"/>
          <w:szCs w:val="20"/>
          <w:color w:val="auto"/>
        </w:rPr>
      </w:pPr>
      <w:r>
        <w:rPr>
          <w:rFonts w:ascii="Courier New" w:cs="Courier New" w:eastAsia="Courier New" w:hAnsi="Courier New"/>
          <w:sz w:val="16"/>
          <w:szCs w:val="16"/>
          <w:color w:val="auto"/>
        </w:rPr>
        <w:t>Non-GAAP operating income -- We define non-GAAP operating income as operating income minus stock-based compensation, restructuring and amortization of intangible expenses. We consider this non-GAAP financial measure to be a useful metric for management and investors because it excludes the effects of expenses that were not in prior periods or are related to previous acquisitions. By excluding these expenses we believe that it is easier for management and investors to compare our financial results over multiple periods. We believe that, given our recent adoption of SFAS 123 (R), it is difficult for</w:t>
      </w:r>
    </w:p>
    <w:p>
      <w:pPr>
        <w:sectPr>
          <w:pgSz w:w="11900" w:h="16838" w:orient="portrait"/>
          <w:cols w:equalWidth="0" w:num="1">
            <w:col w:w="10219"/>
          </w:cols>
          <w:pgMar w:left="240" w:top="136" w:right="1440" w:bottom="0" w:gutter="0" w:footer="0" w:header="0"/>
        </w:sectPr>
      </w:pPr>
    </w:p>
    <w:bookmarkStart w:id="12" w:name="page13"/>
    <w:bookmarkEnd w:id="12"/>
    <w:p>
      <w:pPr>
        <w:ind w:right="2839"/>
        <w:spacing w:after="0" w:line="269" w:lineRule="auto"/>
        <w:rPr>
          <w:sz w:val="20"/>
          <w:szCs w:val="20"/>
          <w:color w:val="auto"/>
        </w:rPr>
      </w:pPr>
      <w:r>
        <w:rPr>
          <w:rFonts w:ascii="Courier New" w:cs="Courier New" w:eastAsia="Courier New" w:hAnsi="Courier New"/>
          <w:sz w:val="16"/>
          <w:szCs w:val="16"/>
          <w:color w:val="auto"/>
        </w:rPr>
        <w:t>investors to evaluate our GAAP results of operations on a year-over-year basis because GAAP results in 2005 did not include stock-based compensation expenses. Additionally, we believe that excluding restructuring charges and amortization of intangible assets enables management and investors to analyze trends in our operations. For example, expenses related to amortization of intangible assets has been decreasing, which is improving GAAP operating margins, yet the improvement in GAAP operating margins due to this lower expense is not reflective of an improvement in our core business. There are some limitations related to the use of non-GAAP operating income versus operating income calculated in accordance with GAAP. Non-GAAP operating income excludes some costs, namely stock-based compensation, that are recurring and are an important part of our employee's compensation and impacts their performance.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200" w:lineRule="exact"/>
        <w:rPr>
          <w:sz w:val="20"/>
          <w:szCs w:val="20"/>
          <w:color w:val="auto"/>
        </w:rPr>
      </w:pPr>
    </w:p>
    <w:p>
      <w:pPr>
        <w:spacing w:after="0" w:line="397"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Non-GAAP net income and non-GAAP EPS -- We define non-GAAP net income as net income minus the expenses associated with amortization of intangible assets, restructuring charges, amortization of debt fees and stock-based compensation as well as the tax effects of each item. In 2005 we had tax benefits related to restructuring foreign entities and prior year research and development tax credits that we exclude from non-GAAP income as we believe the benefit was not indicative of an improvement in our core business operations. We define non-GAAP EPS as non-GAAP net income divided by the weighted average shares, on a fully diluted basis, outstanding as of the end of each period. We consider these financial measures to be a useful metric for management and investors for the same reasons that we use non-GAAP operating income. The same limitations described above regarding our use of non-GAAP operating income apply to our use of non-GAAP net income and non-GAAP EPS. We compensate for these limitations by providing specific information regarding the GAAP amounts excluded from non-GAAP net income and non-GAAP EPS and evaluating non-GAAP net income and non-GAAP EPS together with GAAP net income and EPS.</w:t>
      </w:r>
    </w:p>
    <w:p>
      <w:pPr>
        <w:spacing w:after="0" w:line="395"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Adjusted EBITDA -- We define Adjusted EBITDA as net income minus interest income, plus interest expense, tax expense and depreciation, amortization expenses and non-cash stock-based compensation. We feel that providing this financial measure is important for management and investors to understand our ability to service our debt and measures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 results. Management compensates for this limitation by providing a reconciliation of this measure to GAAP net income.</w:t>
      </w:r>
    </w:p>
    <w:p>
      <w:pPr>
        <w:spacing w:after="0" w:line="208"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ITRON, INC.</w:t>
      </w:r>
    </w:p>
    <w:p>
      <w:pPr>
        <w:ind w:left="1280"/>
        <w:spacing w:after="0" w:line="238" w:lineRule="auto"/>
        <w:rPr>
          <w:sz w:val="20"/>
          <w:szCs w:val="20"/>
          <w:color w:val="auto"/>
        </w:rPr>
      </w:pPr>
      <w:r>
        <w:rPr>
          <w:rFonts w:ascii="Courier New" w:cs="Courier New" w:eastAsia="Courier New" w:hAnsi="Courier New"/>
          <w:sz w:val="18"/>
          <w:szCs w:val="18"/>
          <w:color w:val="auto"/>
        </w:rPr>
        <w:t>RECONCILIATIONS OF NON-GAAP FINANCIAL MEASURES</w:t>
      </w:r>
    </w:p>
    <w:p>
      <w:pPr>
        <w:ind w:left="960"/>
        <w:spacing w:after="0"/>
        <w:rPr>
          <w:sz w:val="20"/>
          <w:szCs w:val="20"/>
          <w:color w:val="auto"/>
        </w:rPr>
      </w:pPr>
      <w:r>
        <w:rPr>
          <w:rFonts w:ascii="Courier New" w:cs="Courier New" w:eastAsia="Courier New" w:hAnsi="Courier New"/>
          <w:sz w:val="18"/>
          <w:szCs w:val="18"/>
          <w:color w:val="auto"/>
        </w:rPr>
        <w:t>TO MOST DIRECTLY COMPARABLE GAAP FINANCIAL MEASURES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in thousands, except per share data)</w:t>
      </w:r>
    </w:p>
    <w:p>
      <w:pPr>
        <w:spacing w:after="0" w:line="201" w:lineRule="exact"/>
        <w:rPr>
          <w:sz w:val="20"/>
          <w:szCs w:val="20"/>
          <w:color w:val="auto"/>
        </w:rPr>
      </w:pPr>
    </w:p>
    <w:p>
      <w:pPr>
        <w:ind w:left="3280"/>
        <w:spacing w:after="0"/>
        <w:tabs>
          <w:tab w:leader="none" w:pos="536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Twelve Months Ended</w:t>
      </w:r>
    </w:p>
    <w:p>
      <w:pPr>
        <w:ind w:left="3700"/>
        <w:spacing w:after="0"/>
        <w:tabs>
          <w:tab w:leader="none" w:pos="578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tabs>
          <w:tab w:leader="none" w:pos="4720" w:val="left"/>
          <w:tab w:leader="none" w:pos="5780" w:val="left"/>
          <w:tab w:leader="none" w:pos="684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2005</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Non-GAAP Operating Income:</w:t>
      </w:r>
    </w:p>
    <w:p>
      <w:pPr>
        <w:sectPr>
          <w:pgSz w:w="11900" w:h="16838" w:orient="portrait"/>
          <w:cols w:equalWidth="0" w:num="1">
            <w:col w:w="10219"/>
          </w:cols>
          <w:pgMar w:left="240" w:top="142" w:right="1440" w:bottom="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GAAP operating income</w:t>
      </w:r>
    </w:p>
    <w:p>
      <w:pPr>
        <w:spacing w:after="0" w:line="20" w:lineRule="exact"/>
        <w:rPr>
          <w:sz w:val="20"/>
          <w:szCs w:val="20"/>
          <w:color w:val="auto"/>
        </w:rPr>
      </w:pPr>
      <w:r>
        <w:rPr>
          <w:sz w:val="20"/>
          <w:szCs w:val="20"/>
          <w:color w:val="auto"/>
        </w:rPr>
        <w:br w:type="column"/>
      </w:r>
    </w:p>
    <w:p>
      <w:pPr>
        <w:spacing w:after="0" w:line="238" w:lineRule="auto"/>
        <w:tabs>
          <w:tab w:leader="none" w:pos="280" w:val="left"/>
        </w:tabs>
        <w:rPr>
          <w:sz w:val="20"/>
          <w:szCs w:val="20"/>
          <w:color w:val="auto"/>
        </w:rPr>
      </w:pPr>
      <w:r>
        <w:rPr>
          <w:rFonts w:ascii="Courier New" w:cs="Courier New" w:eastAsia="Courier New" w:hAnsi="Courier New"/>
          <w:sz w:val="18"/>
          <w:szCs w:val="18"/>
          <w:color w:val="auto"/>
        </w:rPr>
        <w:t>$</w:t>
        <w:tab/>
        <w:t>9,219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$ 15,976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$ 61,743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$ 46,238</w:t>
      </w:r>
    </w:p>
    <w:p>
      <w:pPr>
        <w:spacing w:after="0" w:line="21" w:lineRule="exact"/>
        <w:rPr>
          <w:sz w:val="20"/>
          <w:szCs w:val="20"/>
          <w:color w:val="auto"/>
        </w:rPr>
      </w:pPr>
    </w:p>
    <w:p>
      <w:pPr>
        <w:sectPr>
          <w:pgSz w:w="11900" w:h="16838" w:orient="portrait"/>
          <w:cols w:equalWidth="0" w:num="5">
            <w:col w:w="2640" w:space="640"/>
            <w:col w:w="840" w:space="200"/>
            <w:col w:w="840" w:space="220"/>
            <w:col w:w="840" w:space="220"/>
            <w:col w:w="3779"/>
          </w:cols>
          <w:pgMar w:left="240" w:top="14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Amortization of</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860" w:right="120" w:firstLine="105"/>
        <w:spacing w:after="0" w:line="268" w:lineRule="auto"/>
        <w:rPr>
          <w:sz w:val="20"/>
          <w:szCs w:val="20"/>
          <w:color w:val="auto"/>
        </w:rPr>
      </w:pPr>
      <w:r>
        <w:rPr>
          <w:rFonts w:ascii="Courier New" w:cs="Courier New" w:eastAsia="Courier New" w:hAnsi="Courier New"/>
          <w:sz w:val="16"/>
          <w:szCs w:val="16"/>
          <w:color w:val="auto"/>
        </w:rPr>
        <w:t>intangible assets Restructurings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7,916</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9,703</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31,125</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38,846</w:t>
      </w:r>
    </w:p>
    <w:p>
      <w:pPr>
        <w:spacing w:after="0" w:line="16"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390</w:t>
      </w:r>
    </w:p>
    <w:p>
      <w:pPr>
        <w:spacing w:after="0" w:line="4" w:lineRule="exact"/>
        <w:rPr>
          <w:sz w:val="20"/>
          <w:szCs w:val="20"/>
          <w:color w:val="auto"/>
        </w:rPr>
      </w:pPr>
    </w:p>
    <w:p>
      <w:pPr>
        <w:sectPr>
          <w:pgSz w:w="11900" w:h="16838" w:orient="portrait"/>
          <w:cols w:equalWidth="0" w:num="5">
            <w:col w:w="2860" w:space="720"/>
            <w:col w:w="540" w:space="520"/>
            <w:col w:w="520" w:space="440"/>
            <w:col w:w="620" w:space="420"/>
            <w:col w:w="3579"/>
          </w:cols>
          <w:pgMar w:left="240" w:top="14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Non-cash stock based</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compensation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2,702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8,646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5">
            <w:col w:w="3060" w:space="520"/>
            <w:col w:w="760" w:space="720"/>
            <w:col w:w="100" w:space="540"/>
            <w:col w:w="760" w:space="720"/>
            <w:col w:w="3039"/>
          </w:cols>
          <w:pgMar w:left="240" w:top="142"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Non-GAAP operating income</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$ 19,837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$ 25,679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$101,514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$ 85,474</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Non-GAAP Net Income:</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GAAP net income</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$ 16,929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$ 33,759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$ 33,061</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Amortization 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7,916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31,125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38,846</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Amortization of debt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placement fees</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4,377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4,888</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Restructurings</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Non-cash stock based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compensation expense</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Discrete tax benefits</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(14,100)</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 tax effect 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non-GAAP adjustments</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(17,529)</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Non-GAAP net income</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$ 14,671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$ 15,319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$ 62,842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$ 45,556</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Non-GAAP diluted EPS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0.59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1.84</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ind w:left="860"/>
              <w:spacing w:after="0"/>
              <w:rPr>
                <w:sz w:val="20"/>
                <w:szCs w:val="20"/>
                <w:color w:val="auto"/>
              </w:rPr>
            </w:pPr>
            <w:r>
              <w:rPr>
                <w:rFonts w:ascii="Courier New" w:cs="Courier New" w:eastAsia="Courier New" w:hAnsi="Courier New"/>
                <w:sz w:val="18"/>
                <w:szCs w:val="18"/>
                <w:color w:val="auto"/>
                <w:w w:val="98"/>
              </w:rPr>
              <w:t>Shares used in diluted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EPS</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26,378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25,984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26,283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24,777</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Adjusted EBITDA: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GAAP net income</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$ 16,929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$ 33,759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$ 33,061</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Interest income</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5,426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18,944</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(benefit)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18,476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(5,533)</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amortization</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12,787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46,234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51,572</w:t>
            </w:r>
          </w:p>
        </w:tc>
      </w:tr>
      <w:tr>
        <w:trPr>
          <w:trHeight w:val="203"/>
        </w:trPr>
        <w:tc>
          <w:tcPr>
            <w:tcW w:w="3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Non-cash stock based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compensation expense</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Adjusted EBITDA</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$ 23,545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$ 28,675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$115,403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$ 97,742</w:t>
            </w:r>
          </w:p>
        </w:tc>
      </w:tr>
      <w:tr>
        <w:trPr>
          <w:trHeight w:val="203"/>
        </w:trPr>
        <w:tc>
          <w:tcPr>
            <w:tcW w:w="3220" w:type="dxa"/>
            <w:vAlign w:val="bottom"/>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120" w:right="2939" w:hanging="104"/>
        <w:spacing w:after="0" w:line="237" w:lineRule="auto"/>
        <w:rPr>
          <w:sz w:val="20"/>
          <w:szCs w:val="20"/>
          <w:color w:val="auto"/>
        </w:rPr>
      </w:pPr>
      <w:r>
        <w:rPr>
          <w:rFonts w:ascii="Courier New" w:cs="Courier New" w:eastAsia="Courier New" w:hAnsi="Courier New"/>
          <w:sz w:val="18"/>
          <w:szCs w:val="18"/>
          <w:color w:val="auto"/>
        </w:rPr>
        <w:t>See "About non-GAAP Financial Measures" immediately preceding this table for information on these measures, the items excluded from the most directly comparable GAAP measures in arriving at non-GAAP financial measures and the reasons that management uses each measure and excludes the specified amounts in arriving at each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 Inc.</w:t>
      </w:r>
    </w:p>
    <w:p>
      <w:pPr>
        <w:ind w:left="1380"/>
        <w:spacing w:after="0" w:line="238" w:lineRule="auto"/>
        <w:rPr>
          <w:sz w:val="20"/>
          <w:szCs w:val="20"/>
          <w:color w:val="auto"/>
        </w:rPr>
      </w:pPr>
      <w:r>
        <w:rPr>
          <w:rFonts w:ascii="Courier New" w:cs="Courier New" w:eastAsia="Courier New" w:hAnsi="Courier New"/>
          <w:sz w:val="18"/>
          <w:szCs w:val="18"/>
          <w:color w:val="auto"/>
        </w:rPr>
        <w:t>Deloris Duquette, 509-891-3523</w:t>
      </w:r>
    </w:p>
    <w:p>
      <w:pPr>
        <w:ind w:left="1380"/>
        <w:spacing w:after="0"/>
        <w:rPr>
          <w:sz w:val="20"/>
          <w:szCs w:val="20"/>
          <w:color w:val="auto"/>
        </w:rPr>
      </w:pPr>
      <w:r>
        <w:rPr>
          <w:rFonts w:ascii="Courier New" w:cs="Courier New" w:eastAsia="Courier New" w:hAnsi="Courier New"/>
          <w:sz w:val="18"/>
          <w:szCs w:val="18"/>
          <w:color w:val="auto"/>
        </w:rPr>
        <w:t>Vice President, Investor Relations and</w:t>
      </w:r>
    </w:p>
    <w:p>
      <w:pPr>
        <w:ind w:left="1380"/>
        <w:spacing w:after="0" w:line="237" w:lineRule="auto"/>
        <w:rPr>
          <w:sz w:val="20"/>
          <w:szCs w:val="20"/>
          <w:color w:val="auto"/>
        </w:rPr>
      </w:pPr>
      <w:r>
        <w:rPr>
          <w:rFonts w:ascii="Courier New" w:cs="Courier New" w:eastAsia="Courier New" w:hAnsi="Courier New"/>
          <w:sz w:val="18"/>
          <w:szCs w:val="18"/>
          <w:color w:val="auto"/>
        </w:rPr>
        <w:t>Corporate Communications</w:t>
      </w:r>
    </w:p>
    <w:p>
      <w:pPr>
        <w:ind w:left="1380"/>
        <w:spacing w:after="0" w:line="238" w:lineRule="auto"/>
        <w:rPr>
          <w:sz w:val="20"/>
          <w:szCs w:val="20"/>
          <w:color w:val="auto"/>
        </w:rPr>
      </w:pPr>
      <w:r>
        <w:rPr>
          <w:rFonts w:ascii="Courier New" w:cs="Courier New" w:eastAsia="Courier New" w:hAnsi="Courier New"/>
          <w:sz w:val="18"/>
          <w:szCs w:val="18"/>
          <w:color w:val="auto"/>
        </w:rPr>
        <w:t>deloris.duquette@itron.com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509"/>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2019-12-13T15:39:36Z</dcterms:created>
  <dcterms:modified xsi:type="dcterms:W3CDTF">2019-12-13T15:39:36Z</dcterms:modified>
</cp:coreProperties>
</file>