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ITRON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#465741106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Item 4: Delaware</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 575</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583,674</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583,674</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1.442%</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583,674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583,674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1.442%</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580" w:space="120"/>
            <w:col w:w="85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2111 N Molter Road</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Liberty Lake, WA</w:t>
      </w:r>
      <w:r>
        <w:rPr>
          <w:sz w:val="20"/>
          <w:szCs w:val="20"/>
          <w:color w:val="auto"/>
        </w:rPr>
        <w:tab/>
      </w:r>
      <w:r>
        <w:rPr>
          <w:rFonts w:ascii="Courier New" w:cs="Courier New" w:eastAsia="Courier New" w:hAnsi="Courier New"/>
          <w:sz w:val="16"/>
          <w:szCs w:val="16"/>
          <w:color w:val="auto"/>
        </w:rPr>
        <w:t>99019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465741106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583,674</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1.442%</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pacing w:after="0" w:line="20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w:t>
      </w:r>
    </w:p>
    <w:p>
      <w:pPr>
        <w:spacing w:after="0"/>
        <w:tabs>
          <w:tab w:leader="none" w:pos="1680" w:val="left"/>
        </w:tabs>
        <w:rPr>
          <w:sz w:val="20"/>
          <w:szCs w:val="20"/>
          <w:color w:val="auto"/>
        </w:rPr>
      </w:pPr>
      <w:r>
        <w:rPr>
          <w:rFonts w:ascii="Courier New" w:cs="Courier New" w:eastAsia="Courier New" w:hAnsi="Courier New"/>
          <w:sz w:val="18"/>
          <w:szCs w:val="18"/>
          <w:color w:val="auto"/>
        </w:rPr>
        <w:t>the vote:</w:t>
      </w:r>
      <w:r>
        <w:rPr>
          <w:sz w:val="20"/>
          <w:szCs w:val="20"/>
          <w:color w:val="auto"/>
        </w:rPr>
        <w:tab/>
      </w:r>
      <w:r>
        <w:rPr>
          <w:rFonts w:ascii="Courier New" w:cs="Courier New" w:eastAsia="Courier New" w:hAnsi="Courier New"/>
          <w:sz w:val="16"/>
          <w:szCs w:val="16"/>
          <w:color w:val="auto"/>
        </w:rPr>
        <w:t>575</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583,674</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Pursuant to the instructions in Item 7 of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899"/>
        <w:spacing w:after="0" w:line="237" w:lineRule="auto"/>
        <w:rPr>
          <w:sz w:val="20"/>
          <w:szCs w:val="20"/>
          <w:color w:val="auto"/>
        </w:rPr>
      </w:pPr>
      <w:r>
        <w:rPr>
          <w:rFonts w:ascii="Courier New" w:cs="Courier New" w:eastAsia="Courier New" w:hAnsi="Courier New"/>
          <w:sz w:val="18"/>
          <w:szCs w:val="18"/>
          <w:color w:val="auto"/>
        </w:rPr>
        <w:t>Fidelity Management &amp; Research Company ("Fidelity"), 82 Devonshire Street, Boston, Massachusetts 02109, a wholly-owned subsidiary of FMR LLC and an investment adviser registered under Section 203 of the Investment Advisers Act of 1940, is the beneficial owner of 583,039 shares or 1.440% of the Common Stock outstanding of ITRON INC ("the Company") as a result of acting as investment adviser to various investment companies registered under Section 8 of the Investment Company Act of 1940. The number of shares of Common Stock of ITRON INC owned by the investment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companies at December 31, 2010 included 76,739 shares of</w:t>
      </w:r>
    </w:p>
    <w:p>
      <w:pPr>
        <w:spacing w:after="0" w:line="238" w:lineRule="auto"/>
        <w:rPr>
          <w:sz w:val="20"/>
          <w:szCs w:val="20"/>
          <w:color w:val="auto"/>
        </w:rPr>
      </w:pPr>
      <w:r>
        <w:rPr>
          <w:rFonts w:ascii="Courier New" w:cs="Courier New" w:eastAsia="Courier New" w:hAnsi="Courier New"/>
          <w:sz w:val="18"/>
          <w:szCs w:val="18"/>
          <w:color w:val="auto"/>
        </w:rPr>
        <w:t>Common Stock resulting from the assumed conversion of</w:t>
      </w:r>
    </w:p>
    <w:p>
      <w:pPr>
        <w:spacing w:after="0"/>
        <w:rPr>
          <w:sz w:val="20"/>
          <w:szCs w:val="20"/>
          <w:color w:val="auto"/>
        </w:rPr>
      </w:pPr>
      <w:r>
        <w:rPr>
          <w:rFonts w:ascii="Courier New" w:cs="Courier New" w:eastAsia="Courier New" w:hAnsi="Courier New"/>
          <w:sz w:val="18"/>
          <w:szCs w:val="18"/>
          <w:color w:val="auto"/>
        </w:rPr>
        <w:t>$5,000,000 principal amount of ITRON INC CV 2.5% 8/01/26</w:t>
      </w:r>
    </w:p>
    <w:p>
      <w:pPr>
        <w:spacing w:after="0" w:line="237" w:lineRule="auto"/>
        <w:rPr>
          <w:sz w:val="20"/>
          <w:szCs w:val="20"/>
          <w:color w:val="auto"/>
        </w:rPr>
      </w:pPr>
      <w:r>
        <w:rPr>
          <w:rFonts w:ascii="Courier New" w:cs="Courier New" w:eastAsia="Courier New" w:hAnsi="Courier New"/>
          <w:sz w:val="18"/>
          <w:szCs w:val="18"/>
          <w:color w:val="auto"/>
        </w:rPr>
        <w:t>(15.3478 shares of Common Stock for each $1,000 principal</w:t>
      </w:r>
    </w:p>
    <w:p>
      <w:pPr>
        <w:spacing w:after="0" w:line="238" w:lineRule="auto"/>
        <w:rPr>
          <w:sz w:val="20"/>
          <w:szCs w:val="20"/>
          <w:color w:val="auto"/>
        </w:rPr>
      </w:pPr>
      <w:r>
        <w:rPr>
          <w:rFonts w:ascii="Courier New" w:cs="Courier New" w:eastAsia="Courier New" w:hAnsi="Courier New"/>
          <w:sz w:val="18"/>
          <w:szCs w:val="18"/>
          <w:color w:val="auto"/>
        </w:rPr>
        <w:t>amount of debenture).</w:t>
      </w:r>
    </w:p>
    <w:p>
      <w:pPr>
        <w:spacing w:after="0" w:line="20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583,039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75 shares, or 0.000%, of the Common Stock outstanding of ITRON INC, beneficially owned through Strategic Advisers, Inc.</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560 shares or 0.001% of the outstanding Common Stock of the ITRON INC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560 shares and sole power to vote or to direct the voting of 500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11, 2011, agree and consent to the joint filing on their behalf of this Schedule 13G in connection with their beneficial ownership of the Common Stock of ITRON INC at December 31, 2010.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ectPr>
          <w:pgSz w:w="11900" w:h="16838" w:orient="portrait"/>
          <w:cols w:equalWidth="0" w:num="1">
            <w:col w:w="10219"/>
          </w:cols>
          <w:pgMar w:left="240" w:top="142"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2019-12-10T06:56:38Z</dcterms:created>
  <dcterms:modified xsi:type="dcterms:W3CDTF">2019-12-10T06:56:38Z</dcterms:modified>
</cp:coreProperties>
</file>