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May 6,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1574165</wp:posOffset>
            </wp:positionH>
            <wp:positionV relativeFrom="paragraph">
              <wp:posOffset>19685</wp:posOffset>
            </wp:positionV>
            <wp:extent cx="3944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44620" cy="17145"/>
                    </a:xfrm>
                    <a:prstGeom prst="rect">
                      <a:avLst/>
                    </a:prstGeom>
                    <a:noFill/>
                  </pic:spPr>
                </pic:pic>
              </a:graphicData>
            </a:graphic>
          </wp:anchor>
        </w:drawing>
      </w:r>
    </w:p>
    <w:p>
      <w:pPr>
        <w:spacing w:after="0" w:line="20"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0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Washington</w:t>
            </w:r>
          </w:p>
        </w:tc>
        <w:tc>
          <w:tcPr>
            <w:tcW w:w="4380" w:type="dxa"/>
            <w:vAlign w:val="bottom"/>
            <w:gridSpan w:val="3"/>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000-22418</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9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91-1011792</w:t>
            </w:r>
          </w:p>
        </w:tc>
      </w:tr>
      <w:tr>
        <w:trPr>
          <w:trHeight w:val="198"/>
        </w:trPr>
        <w:tc>
          <w:tcPr>
            <w:tcW w:w="310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4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No.)</w:t>
            </w:r>
          </w:p>
        </w:tc>
        <w:tc>
          <w:tcPr>
            <w:tcW w:w="3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tcPr>
          <w:p>
            <w:pPr>
              <w:jc w:val="center"/>
              <w:ind w:right="63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of Incorporation)</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709"/>
        </w:trPr>
        <w:tc>
          <w:tcPr>
            <w:tcW w:w="3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4"/>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2111 N. Molter Road, Liberty Lake, WA 99019</w:t>
            </w:r>
          </w:p>
        </w:tc>
        <w:tc>
          <w:tcPr>
            <w:tcW w:w="2900" w:type="dxa"/>
            <w:vAlign w:val="bottom"/>
            <w:tcBorders>
              <w:bottom w:val="single" w:sz="8" w:color="auto"/>
            </w:tcBorders>
          </w:tcPr>
          <w:p>
            <w:pPr>
              <w:spacing w:after="0"/>
              <w:rPr>
                <w:sz w:val="24"/>
                <w:szCs w:val="24"/>
                <w:color w:val="auto"/>
              </w:rPr>
            </w:pPr>
          </w:p>
        </w:tc>
      </w:tr>
      <w:tr>
        <w:trPr>
          <w:trHeight w:val="234"/>
        </w:trPr>
        <w:tc>
          <w:tcPr>
            <w:tcW w:w="3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78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color w:val="auto"/>
                <w:w w:val="99"/>
              </w:rPr>
              <w:t>(Address of Principal Executive Offices, Zip Code)</w:t>
            </w:r>
          </w:p>
        </w:tc>
        <w:tc>
          <w:tcPr>
            <w:tcW w:w="2900" w:type="dxa"/>
            <w:vAlign w:val="bottom"/>
          </w:tcPr>
          <w:p>
            <w:pPr>
              <w:spacing w:after="0"/>
              <w:rPr>
                <w:sz w:val="20"/>
                <w:szCs w:val="20"/>
                <w:color w:val="auto"/>
              </w:rPr>
            </w:pPr>
          </w:p>
        </w:tc>
      </w:tr>
      <w:tr>
        <w:trPr>
          <w:trHeight w:val="448"/>
        </w:trPr>
        <w:tc>
          <w:tcPr>
            <w:tcW w:w="31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(509) 924-9900</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34"/>
        </w:trPr>
        <w:tc>
          <w:tcPr>
            <w:tcW w:w="3100" w:type="dxa"/>
            <w:vAlign w:val="bottom"/>
          </w:tcPr>
          <w:p>
            <w:pPr>
              <w:spacing w:after="0"/>
              <w:rPr>
                <w:sz w:val="20"/>
                <w:szCs w:val="20"/>
                <w:color w:val="auto"/>
              </w:rPr>
            </w:pPr>
          </w:p>
        </w:tc>
        <w:tc>
          <w:tcPr>
            <w:tcW w:w="542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00" w:type="dxa"/>
            <w:vAlign w:val="bottom"/>
          </w:tcPr>
          <w:p>
            <w:pPr>
              <w:spacing w:after="0"/>
              <w:rPr>
                <w:sz w:val="20"/>
                <w:szCs w:val="20"/>
                <w:color w:val="auto"/>
              </w:rPr>
            </w:pPr>
          </w:p>
        </w:tc>
      </w:tr>
      <w:tr>
        <w:trPr>
          <w:trHeight w:val="448"/>
        </w:trPr>
        <w:tc>
          <w:tcPr>
            <w:tcW w:w="31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5"/>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34"/>
        </w:trPr>
        <w:tc>
          <w:tcPr>
            <w:tcW w:w="3100" w:type="dxa"/>
            <w:vAlign w:val="bottom"/>
          </w:tcPr>
          <w:p>
            <w:pPr>
              <w:spacing w:after="0"/>
              <w:rPr>
                <w:sz w:val="20"/>
                <w:szCs w:val="20"/>
                <w:color w:val="auto"/>
              </w:rPr>
            </w:pPr>
          </w:p>
        </w:tc>
        <w:tc>
          <w:tcPr>
            <w:tcW w:w="54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900" w:type="dxa"/>
            <w:vAlign w:val="bottom"/>
          </w:tcPr>
          <w:p>
            <w:pPr>
              <w:spacing w:after="0"/>
              <w:rPr>
                <w:sz w:val="20"/>
                <w:szCs w:val="20"/>
                <w:color w:val="auto"/>
              </w:rPr>
            </w:pPr>
          </w:p>
        </w:tc>
      </w:tr>
    </w:tbl>
    <w:p>
      <w:pPr>
        <w:spacing w:after="0" w:line="200" w:lineRule="exact"/>
        <w:rPr>
          <w:sz w:val="24"/>
          <w:szCs w:val="24"/>
          <w:color w:val="auto"/>
        </w:rPr>
      </w:pPr>
    </w:p>
    <w:p>
      <w:pPr>
        <w:spacing w:after="0" w:line="25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 ] Written communications pursuant to Rule 425 under Securities Act (17 CFR 230.425)</w:t>
      </w:r>
    </w:p>
    <w:p>
      <w:pPr>
        <w:spacing w:after="0" w:line="27"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 ] Soliciting material pursuant to Rule 14a-12 under the Exchange Act (17 CFR 240.14a-12)</w:t>
      </w:r>
    </w:p>
    <w:p>
      <w:pPr>
        <w:spacing w:after="0" w:line="9" w:lineRule="exact"/>
        <w:rPr>
          <w:sz w:val="24"/>
          <w:szCs w:val="24"/>
          <w:color w:val="auto"/>
        </w:rPr>
      </w:pPr>
    </w:p>
    <w:p>
      <w:pPr>
        <w:ind w:left="360" w:hanging="95"/>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9" w:lineRule="exact"/>
        <w:rPr>
          <w:rFonts w:ascii="Times New Roman" w:cs="Times New Roman" w:eastAsia="Times New Roman" w:hAnsi="Times New Roman"/>
          <w:sz w:val="18"/>
          <w:szCs w:val="18"/>
          <w:color w:val="auto"/>
        </w:rPr>
      </w:pPr>
    </w:p>
    <w:p>
      <w:pPr>
        <w:ind w:left="360" w:hanging="95"/>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6, 2008, Itron, Inc. (the Company) entered into an Underwriting Agreement (the Underwriting Agreement) with Goldman, Sachs &amp; Co. (the Underwriter). The Underwriting Agreement provides for the sale of an aggregate of 3,400,000 shares of the Company's common stock at a public offering price of $91.52 per share. The transaction contemplated by the Underwriting Agreement is expected to close on or around May 12, 2008. The common stock is being offered and sold pursuant to the Company's shelf registration statement on Form S-3 (File No. 333-133026), as amended (the Registration Statement), as supplemented by a prospectus supplement dated May 6, 2008.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720" w:hanging="712"/>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440" w:type="dxa"/>
            <w:vAlign w:val="bottom"/>
          </w:tcPr>
          <w:p>
            <w:pPr>
              <w:spacing w:after="0"/>
              <w:rPr>
                <w:sz w:val="20"/>
                <w:szCs w:val="20"/>
                <w:color w:val="auto"/>
              </w:rPr>
            </w:pPr>
          </w:p>
        </w:tc>
        <w:tc>
          <w:tcPr>
            <w:tcW w:w="9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Agreement between Goldman, Sachs &amp; Co. and Itron, Inc.</w:t>
            </w: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Information relating to Item 14 – Other Expenses of Issuance and Distribution of the Registration Statement</w:t>
            </w:r>
          </w:p>
        </w:tc>
      </w:tr>
      <w:tr>
        <w:trPr>
          <w:trHeight w:val="1388"/>
        </w:trPr>
        <w:tc>
          <w:tcPr>
            <w:tcW w:w="12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ITRON, INC.</w:t>
            </w:r>
          </w:p>
        </w:tc>
        <w:tc>
          <w:tcPr>
            <w:tcW w:w="4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41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2008</w:t>
            </w:r>
          </w:p>
        </w:tc>
        <w:tc>
          <w:tcPr>
            <w:tcW w:w="8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By: /s/ Steven M. Helmbrecht</w:t>
            </w:r>
          </w:p>
        </w:tc>
      </w:tr>
      <w:tr>
        <w:trPr>
          <w:trHeight w:val="21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Steven M. Helmbrecht</w:t>
            </w:r>
          </w:p>
        </w:tc>
        <w:tc>
          <w:tcPr>
            <w:tcW w:w="440" w:type="dxa"/>
            <w:vAlign w:val="bottom"/>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4380" w:type="dxa"/>
            <w:vAlign w:val="bottom"/>
          </w:tcPr>
          <w:p>
            <w:pPr>
              <w:spacing w:after="0"/>
              <w:rPr>
                <w:sz w:val="18"/>
                <w:szCs w:val="18"/>
                <w:color w:val="auto"/>
              </w:rPr>
            </w:pP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Sr. Vice President and Chief Financial Officer</w:t>
            </w:r>
          </w:p>
        </w:tc>
        <w:tc>
          <w:tcPr>
            <w:tcW w:w="4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1145"/>
        </w:trPr>
        <w:tc>
          <w:tcPr>
            <w:tcW w:w="34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c>
          <w:tcPr>
            <w:tcW w:w="4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EXHIBIT INDEX</w:t>
            </w:r>
          </w:p>
        </w:tc>
      </w:tr>
      <w:tr>
        <w:trPr>
          <w:trHeight w:val="709"/>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440" w:type="dxa"/>
            <w:vAlign w:val="bottom"/>
          </w:tcPr>
          <w:p>
            <w:pPr>
              <w:spacing w:after="0"/>
              <w:rPr>
                <w:sz w:val="24"/>
                <w:szCs w:val="24"/>
                <w:color w:val="auto"/>
              </w:rPr>
            </w:pPr>
          </w:p>
        </w:tc>
        <w:tc>
          <w:tcPr>
            <w:tcW w:w="9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Agreement between Goldman, Sachs &amp; Co. and Itron, Inc.</w:t>
            </w: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Information relating to Item 14 – Other Expenses of Issuance and Distribution of the Registration Statement</w:t>
            </w:r>
          </w:p>
        </w:tc>
      </w:tr>
    </w:tbl>
    <w:p>
      <w:pPr>
        <w:sectPr>
          <w:pgSz w:w="11900" w:h="16838" w:orient="portrait"/>
          <w:cols w:equalWidth="0" w:num="1">
            <w:col w:w="11420"/>
          </w:cols>
          <w:pgMar w:left="240" w:top="513"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u w:val="single" w:color="auto"/>
          <w:color w:val="auto"/>
        </w:rPr>
        <w:t>I</w:t>
      </w:r>
      <w:r>
        <w:rPr>
          <w:rFonts w:ascii="Times New Roman" w:cs="Times New Roman" w:eastAsia="Times New Roman" w:hAnsi="Times New Roman"/>
          <w:sz w:val="12"/>
          <w:szCs w:val="12"/>
          <w:b w:val="1"/>
          <w:bCs w:val="1"/>
          <w:u w:val="single" w:color="auto"/>
          <w:color w:val="auto"/>
        </w:rPr>
        <w:t>TRON</w:t>
      </w:r>
      <w:r>
        <w:rPr>
          <w:rFonts w:ascii="Times New Roman" w:cs="Times New Roman" w:eastAsia="Times New Roman" w:hAnsi="Times New Roman"/>
          <w:sz w:val="18"/>
          <w:szCs w:val="18"/>
          <w:b w:val="1"/>
          <w:bCs w:val="1"/>
          <w:u w:val="single" w:color="auto"/>
          <w:color w:val="auto"/>
        </w:rPr>
        <w:t>, I</w:t>
      </w:r>
      <w:r>
        <w:rPr>
          <w:rFonts w:ascii="Times New Roman" w:cs="Times New Roman" w:eastAsia="Times New Roman" w:hAnsi="Times New Roman"/>
          <w:sz w:val="12"/>
          <w:szCs w:val="12"/>
          <w:b w:val="1"/>
          <w:bCs w:val="1"/>
          <w:u w:val="single" w:color="auto"/>
          <w:color w:val="auto"/>
        </w:rPr>
        <w:t>NC</w:t>
      </w:r>
      <w:r>
        <w:rPr>
          <w:rFonts w:ascii="Times New Roman" w:cs="Times New Roman" w:eastAsia="Times New Roman" w:hAnsi="Times New Roman"/>
          <w:sz w:val="18"/>
          <w:szCs w:val="18"/>
          <w:b w:val="1"/>
          <w:bCs w:val="1"/>
          <w:u w:val="single" w:color="auto"/>
          <w:color w:val="auto"/>
        </w:rPr>
        <w:t>.</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3,400,000 Shares</w:t>
      </w:r>
    </w:p>
    <w:p>
      <w:pPr>
        <w:spacing w:after="0" w:line="25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Common Stock</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(no par value)</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U</w:t>
      </w:r>
      <w:r>
        <w:rPr>
          <w:rFonts w:ascii="Times New Roman" w:cs="Times New Roman" w:eastAsia="Times New Roman" w:hAnsi="Times New Roman"/>
          <w:sz w:val="14"/>
          <w:szCs w:val="14"/>
          <w:color w:val="auto"/>
        </w:rPr>
        <w:t>NDERWRITING</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883920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14"/>
          <w:szCs w:val="14"/>
          <w:b w:val="1"/>
          <w:bCs w:val="1"/>
          <w:color w:val="auto"/>
        </w:rPr>
        <w:t>NDERWRITING</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6, 2008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 Broad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Itron, Inc., a Washington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to issue and sell to you (the “</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an aggregate of 3,400,000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no par value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 The Shares are described in the Prospectus which is referred to below. The Shares will have attached thereto share purchase rights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issued pursuant to the Rights Agreement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dated as of December 11, 2002 between the Company and Mellon Investor Services LLC, as rights agent.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prepared and filed, in accordance with the provisions of the Securities Act of 1933, as amended, and the rules and regulations thereunder (collectively,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on Form S-3 (File No. 333-133026) under the Act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including a prospectus, which registration statement incorporates by reference documents which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Such registration statement has become effective under the Act.</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where the context otherwise requires,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 used herein, means the registration statement, as amended at the time of such registration statement’s effectiveness for purposes of Section 11 of the Act, as such section applies to the Underwriter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including (i) all documents filed as a part thereof or incorporated or deemed to be incorporated by reference therein and (ii) any information contained or incorporated by reference in a prospectus filed with the Commission pursuant to Rule 424(b) under the Act, to the extent such information is deemed, pursuant to Rule 430B or Rule 430C under the Act, to be part of the registration statement at the Effective Time.</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where the context otherwise requires, “</w:t>
      </w:r>
      <w:r>
        <w:rPr>
          <w:rFonts w:ascii="Times New Roman" w:cs="Times New Roman" w:eastAsia="Times New Roman" w:hAnsi="Times New Roman"/>
          <w:sz w:val="18"/>
          <w:szCs w:val="18"/>
          <w:u w:val="single" w:color="auto"/>
          <w:color w:val="auto"/>
        </w:rPr>
        <w:t>Basic Prospectus</w:t>
      </w:r>
      <w:r>
        <w:rPr>
          <w:rFonts w:ascii="Times New Roman" w:cs="Times New Roman" w:eastAsia="Times New Roman" w:hAnsi="Times New Roman"/>
          <w:sz w:val="18"/>
          <w:szCs w:val="18"/>
          <w:color w:val="auto"/>
        </w:rPr>
        <w:t>,” as used herein, means the base prospectus included as part of the Registration Statement, in the form in which it has most recently been filed with the Commission prior to the date of this Agreement. Except where the context otherwise requires,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as used herein, means the final prospectus supplement, relating to the Shares, filed by the Company with the Commission pursuant to Rule 424(b) under the Act on or before the second business day after the date hereof (or such earlier time as may be required under the Act), in the form furnished by the Company to you for use by you and by dealers in connection with the offering of the Shares. Except where the context otherwise requires,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as used herein, means the Basic Prospectus as supplemented by the Prospectus Supplement.</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xml:space="preserve">,” as used herein, means the documents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The Underwriter has not offered or sold and will not offer or sell, without the Company’s consent, any Shares by means of any “free writing prospectus” (as defined in Rule 405 under the Act) that is required to be filed by the Underwriter with the Commission pursuant to Rule 433 under the Act, other than a Permitted Free Writing Prospectus.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Package</w:t>
      </w:r>
      <w:r>
        <w:rPr>
          <w:rFonts w:ascii="Times New Roman" w:cs="Times New Roman" w:eastAsia="Times New Roman" w:hAnsi="Times New Roman"/>
          <w:sz w:val="18"/>
          <w:szCs w:val="18"/>
          <w:color w:val="auto"/>
        </w:rPr>
        <w:t xml:space="preserve">,” as used herein, means the Basic Prospectus, together with the Permitted Free Writing Prospectuses, if any, and the information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attached hereto, taken as a whole.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reference herein to the Registration Statement, the Basic Prospectus, the Prospectus Supplement, the Prospectus or any Permitted Free Writing Prospectus shall be deemed to refer to and include the documents, if any, incorporated by reference, or deemed to be incorporated by reference, therein (the “</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including, unless the context otherwise requires, the documents, if any, filed as exhibits to such Incorporated Documents. Any reference herein to the terms “</w:t>
      </w:r>
      <w:r>
        <w:rPr>
          <w:rFonts w:ascii="Times New Roman" w:cs="Times New Roman" w:eastAsia="Times New Roman" w:hAnsi="Times New Roman"/>
          <w:sz w:val="18"/>
          <w:szCs w:val="18"/>
          <w:u w:val="single" w:color="auto"/>
          <w:color w:val="auto"/>
        </w:rPr>
        <w:t>amend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with respect to the Registration Statement, the Basic Prospectus, the Prospectus Supplement, the Prospectus or any Permitted Free Writing Prospectus shall be deemed to refer to and include the filing of any document under the Exchange Act on or after the initial effective date of the Registration Statement, or the date of the Basic Prospectus, the Prospectus Supplement, the Prospectus or such Permitted Free Writing Prospectus, as the case may be, and deemed to be incorporated therein by reference.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used in this Agreement,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 day on which the NASDAQ Stock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is open for trading. The terms “herein,” “hereof,” “hereto,” “hereinafter” and similar terms, as used in this Agreement, shall in each case refer to this Agreement as a whole and not to any particular section, paragraph, sentence or other subdivision of this Agreement. The term “or,” as used herein, is not exclusive.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the Underwriter agree as follows:</w:t>
      </w:r>
    </w:p>
    <w:p>
      <w:pPr>
        <w:spacing w:after="0" w:line="279" w:lineRule="exact"/>
        <w:rPr>
          <w:sz w:val="20"/>
          <w:szCs w:val="20"/>
          <w:color w:val="auto"/>
        </w:rPr>
      </w:pPr>
    </w:p>
    <w:p>
      <w:pPr>
        <w:jc w:val="both"/>
        <w:ind w:left="660" w:hanging="4"/>
        <w:spacing w:after="0" w:line="258" w:lineRule="auto"/>
        <w:tabs>
          <w:tab w:leader="none" w:pos="101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and Purchase</w:t>
      </w:r>
      <w:r>
        <w:rPr>
          <w:rFonts w:ascii="Times New Roman" w:cs="Times New Roman" w:eastAsia="Times New Roman" w:hAnsi="Times New Roman"/>
          <w:sz w:val="18"/>
          <w:szCs w:val="18"/>
          <w:color w:val="auto"/>
        </w:rPr>
        <w:t>. Upon the basis of the representations and warranties and subject to the terms and conditions herein set forth, the Company agrees to issue and sell to the Underwriter and the Underwriter agrees to purchase from the Company, 3,400,000 Shares at a purchase price of $91.52 per Share. The Company is advised by you that you intend (i) to make a public offering of the Shares as soon after the effectiveness of this Agreement as in your judgment is advisable and (ii) initially to offer the Shares upon the terms set forth in the Prospectus. You may from time to time increase or decrease the public offering price after the initial public offering to such extent as you may determine.</w:t>
      </w:r>
    </w:p>
    <w:p>
      <w:pPr>
        <w:spacing w:after="0" w:line="237" w:lineRule="exact"/>
        <w:rPr>
          <w:rFonts w:ascii="Times New Roman" w:cs="Times New Roman" w:eastAsia="Times New Roman" w:hAnsi="Times New Roman"/>
          <w:sz w:val="18"/>
          <w:szCs w:val="18"/>
          <w:color w:val="auto"/>
        </w:rPr>
      </w:pPr>
    </w:p>
    <w:p>
      <w:pPr>
        <w:jc w:val="both"/>
        <w:ind w:left="660" w:hanging="4"/>
        <w:spacing w:after="0" w:line="256" w:lineRule="auto"/>
        <w:tabs>
          <w:tab w:leader="none" w:pos="10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and Delivery</w:t>
      </w:r>
      <w:r>
        <w:rPr>
          <w:rFonts w:ascii="Times New Roman" w:cs="Times New Roman" w:eastAsia="Times New Roman" w:hAnsi="Times New Roman"/>
          <w:sz w:val="18"/>
          <w:szCs w:val="18"/>
          <w:color w:val="auto"/>
        </w:rPr>
        <w:t>. Payment of the purchase price for the Shares shall be made to the Company by Federal Funds wire transfer against delivery of the certificates for the Shares to you through the facilities of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for the account of the Underwriter. Such payment and delivery shall be made at 10:00 A.M., New York City time, on May 12, 2008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(unless another time shall be agreed to by you and the Company). The time at which such payment and delivery are to be made is hereinafter sometimes called the “</w:t>
      </w:r>
      <w:r>
        <w:rPr>
          <w:rFonts w:ascii="Times New Roman" w:cs="Times New Roman" w:eastAsia="Times New Roman" w:hAnsi="Times New Roman"/>
          <w:sz w:val="18"/>
          <w:szCs w:val="18"/>
          <w:u w:val="single" w:color="auto"/>
          <w:color w:val="auto"/>
        </w:rPr>
        <w:t>time of purchase</w:t>
      </w:r>
      <w:r>
        <w:rPr>
          <w:rFonts w:ascii="Times New Roman" w:cs="Times New Roman" w:eastAsia="Times New Roman" w:hAnsi="Times New Roman"/>
          <w:sz w:val="18"/>
          <w:szCs w:val="18"/>
          <w:color w:val="auto"/>
        </w:rPr>
        <w:t>.” Electronic transfer of the Shares shall be made to you at the time of purchase in such names and in such denominations as you shall specify.</w:t>
      </w:r>
    </w:p>
    <w:p>
      <w:pPr>
        <w:spacing w:after="0" w:line="215" w:lineRule="exact"/>
        <w:rPr>
          <w:sz w:val="20"/>
          <w:szCs w:val="20"/>
          <w:color w:val="auto"/>
        </w:rPr>
      </w:pPr>
    </w:p>
    <w:p>
      <w:pPr>
        <w:jc w:val="both"/>
        <w:ind w:left="660" w:firstLine="760"/>
        <w:spacing w:after="0" w:line="266" w:lineRule="auto"/>
        <w:rPr>
          <w:sz w:val="20"/>
          <w:szCs w:val="20"/>
          <w:color w:val="auto"/>
        </w:rPr>
      </w:pPr>
      <w:r>
        <w:rPr>
          <w:rFonts w:ascii="Times New Roman" w:cs="Times New Roman" w:eastAsia="Times New Roman" w:hAnsi="Times New Roman"/>
          <w:sz w:val="18"/>
          <w:szCs w:val="18"/>
          <w:color w:val="auto"/>
        </w:rPr>
        <w:t>Deliveries of the documents described in Section 6 hereof with respect to the purchase of the Shares shall be made at the offices of Skadden, Arps, Slate, Meagher &amp; Flom LLP at 300 South Grand Avenue, Suite 3400, Los Angeles, California 90071, at 9:00 A.M., New York City time, on the date of the closing of the purchase of the Shares.</w:t>
      </w:r>
    </w:p>
    <w:p>
      <w:pPr>
        <w:sectPr>
          <w:pgSz w:w="11900" w:h="16838" w:orient="portrait"/>
          <w:cols w:equalWidth="0" w:num="1">
            <w:col w:w="11420"/>
          </w:cols>
          <w:pgMar w:left="240" w:top="500" w:right="239" w:bottom="0" w:gutter="0" w:footer="0" w:header="0"/>
        </w:sectPr>
      </w:pPr>
    </w:p>
    <w:bookmarkStart w:id="6" w:name="page7"/>
    <w:bookmarkEnd w:id="6"/>
    <w:p>
      <w:pPr>
        <w:ind w:left="344" w:hanging="344"/>
        <w:spacing w:after="0"/>
        <w:tabs>
          <w:tab w:leader="none" w:pos="3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the Underwriter that:</w:t>
      </w:r>
    </w:p>
    <w:p>
      <w:pPr>
        <w:spacing w:after="0" w:line="279" w:lineRule="exact"/>
        <w:rPr>
          <w:rFonts w:ascii="Times New Roman" w:cs="Times New Roman" w:eastAsia="Times New Roman" w:hAnsi="Times New Roman"/>
          <w:sz w:val="18"/>
          <w:szCs w:val="18"/>
          <w:color w:val="auto"/>
        </w:rPr>
      </w:pPr>
    </w:p>
    <w:p>
      <w:pPr>
        <w:jc w:val="both"/>
        <w:ind w:left="4" w:firstLine="1293"/>
        <w:spacing w:after="0" w:line="261" w:lineRule="auto"/>
        <w:tabs>
          <w:tab w:leader="none" w:pos="173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heretofore become effective under the Act; no stop order of the Commission preventing or suspending the use of the Basic Prospectus, the Prospectus Supplement, the Prospectus or any Permitted Free Writing Prospectus, or the effectiveness of the Registration Statement, has been issued, and no proceedings for such purpose have been instituted or, to the Company’s knowledge, are contemplated by the Commission;</w:t>
      </w: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jc w:val="both"/>
        <w:ind w:left="4" w:firstLine="1293"/>
        <w:spacing w:after="0" w:line="251" w:lineRule="auto"/>
        <w:tabs>
          <w:tab w:leader="none" w:pos="176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Registration Statement complied when it became effective, complies as of the date hereof and, as amended or supplemented, at the time of purchase and at all times during which a prospectus is required by the Act to be delivered (whether physically or through compliance with Rule 172 under the Act or any similar rule) in connection with any sale of Shares, will comply, in all material respects, with the requirements of the Act; the conditions to the use of Form S-3 in connection with the offering and sale of the Shares as contemplated hereby have been satisfied; the Registration Statement constitutes an “automatic shelf registration statement” (as defined in Rule 405 under the Act); the Company has not received from the Commission a notice, pursuant to Rule 401(g)(2), of objection to the use of the automatic shelf registration statement form; as of the determination date applicable to the Registration Statement (and any amendment thereof) and the offering contemplated hereby, the Company is a “well-known seasoned issuer” as defined in Rule 405 under the Act; the Registration Statement meets, and the offering and sale of the Shares as contemplated hereby complies with, the requirements of Rule 415 under the Act (including, without limitation, Rule 415(a)(5) under the Act); the Registration Statement did not, as of the Effective Time, contain an untrue statement of a material fact or omit to state a material fact required to be stated therein or necessary to make the statements therein not misleading; the Basic Prospectus complied as of its date and the date it was filed with the Commission, complies as of the date hereof and, at the time of purchase and at all times during which a prospectus is required by the Act to be delivered (whether physically or through compliance with Rule 172 under the Act or any similar rule) in connection with any sale of Shares, will comply, in all material respects, with the requirements of the Act; the Disclosure Package does not include an untrue statement of a material fact or omit to state a material fact necessary in order to make the statements therein, in the light of the circumstances under which they were made, not misleading; each of the Prospectus Supplement and the Prospectus will comply, as of the date that it is filed with the Commission, the date of the Prospectus Supplement, the time of purchase and at all times during which a prospectus is required by the Act to be delivered (whether physically or through compliance with Rule 172 under the Act or any similar rule) in connection with any sale of Shares, in all material respects, with the requirements of the Act (in the case of the Prospectus, including, without limitation, Section 10(a) of the Act); at no time during the period that begins on the earlier of the date of the Prospectus Supplement and the date the Prospectus Supplement is filed with the Commission and ends at the later of the time of purchase and the end of the period during which a prospectus is required by the Act to be delivered (whether physically or through compliance with Rule 172 under the Act or any similar rule) in connection with any sale of Shares did or will any Prospectus Supplement or the Prospectus, as then amended or supplemented, include an untrue statement of a material fact or omit to state a material fact necessary in order to make the statements therein, in the light of the circumstances under which they were made, not misleading; each Permitted Free Writing Prospectus does not conflict with the information contained in the Registration Statement, the Disclosure Package or the Prospectus, and at no time during the period that begins on the date of such Permitted Free Writing Prospectus and ends at the time of purchase did or will any Permitted Free Writing Prospectus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makes no representation or warranty in this Section 3(b) with respect to any statement contained in the Registration Statement, the Prospectus or any Permitted Free Writing Prospectus in reliance upon and in conformity with information concerning the Underwriter and furnished in writing by or on behalf of the Underwriter to the Company expressly for use in the Registration Statement, the Prospectus or such Permitted Free Writing Prospectus; each Incorporated Document, at the time such document was filed with the Commission or at the time such document became effective, as applicable, complied, in all material respects, with the requirements of the Exchange Act and did not include an untrue statement of a material fact or omit to state a material fact necessary in order to make the statements therein, in the light of the circumstances under which they were made, not misleading;</w:t>
      </w: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jc w:val="both"/>
        <w:ind w:left="4" w:firstLine="1293"/>
        <w:spacing w:after="0" w:line="252" w:lineRule="auto"/>
        <w:tabs>
          <w:tab w:leader="none" w:pos="171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execution of this Agreement, the Company has not, directly or indirectly, offered or sold any Shares by means of any “prospectus” (within the meaning of the Act) or used any “prospectus” (within the meaning of the Act) in connection with the offer or sale of the Shares, in each case other than the Basic Prospectus and the Permitted Free Writing Prospectuses, if any; the Company has not, directly or indirectly, prepared, used or referred to any Permitted Free Writing Prospectus except in compliance with Rule 163 or with Rules 164 and 433 under the Act; assuming that such Permitted Free Writing Prospectus is so sent or given after the Registration Statement was filed with the Commission (and after such Permitted Free Writing Prospectus was, if required pursuant to Rule 433(d) under the Act, filed with the Commission), the sending or giving, by the Underwriter, of any Permitted Free Writing Prospectus will satisfy the provisions of Rule 164 and Rule 433 (without reliance on subsections (b), (c) and (d) of Rule 164); the conditions set forth in one or more of subclauses (i) through (iv), inclusive, of Rule 433(b)(1) under the Act are satisfied, and the registration statement relating to the offering of the Shares contemplated hereby, as initially filed with the Commission, includes a prospectus that, other than by reason of Rule 433 or Rule 431 under the Act, satisfies the requirements of Section 10 of the Act; neither the Company nor the Underwriter are disqualified, by reason of subsection (f) or (g) of Rule 164 under the Act, from using, in connection with the offer and sale of the Shares, “free writing prospectuses” (as defined in Rule 405 under the Act) pursuant to Rules 164 and 433 under the Act; the Company is not an “ineligible issuer” (as defined in Rule 405 under the Act) as of the eligibility determination date for purposes of Rules 164 and 433 under the Act with respect to the offering of the Shares contemplated by the Registration Statement;</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jc w:val="both"/>
        <w:ind w:left="4" w:firstLine="1293"/>
        <w:spacing w:after="0" w:line="254" w:lineRule="auto"/>
        <w:tabs>
          <w:tab w:leader="none" w:pos="172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Company has an authorized and outstanding capitalization as set forth under the heading “Actual” in the section of the Prospectus entitled “Capitalization” (and any similar sections or information, if any, contained in any Permitted Free Writing Prospectus), and, as of the time of purchase, the Company shall have an authorized and outstanding capitalization as set forth in the section of the Prospectus entitled “Capitalization” (and any similar sections or information, if any, contained in any Permitted Free Writing Prospectus) (subject, in each case, to the issuance of shares of Common Stock upon exercise of stock options and warrants disclosed as outstanding in the Registration Statement (excluding the exhibits thereto) and the Prospectus and the grant of options under existing stock option plans described in the Registration Statement (excluding the exhibits thereto) and the Prospectus); all of the issued and outstanding shares of capital stock, including the Shares, of the Company have been duly authorized and validly issued and are fully paid and non-assessable, have been issued in compliance with all applicable securities laws and were not issued in violation of any preemptive right, resale right, right of first refusal or similar right; the Shares are duly listed, and admitted and authorized for trading, subject to official notice of issuance, on NASDAQ;</w:t>
      </w:r>
    </w:p>
    <w:p>
      <w:pPr>
        <w:spacing w:after="0" w:line="200" w:lineRule="exact"/>
        <w:rPr>
          <w:rFonts w:ascii="Times New Roman" w:cs="Times New Roman" w:eastAsia="Times New Roman" w:hAnsi="Times New Roman"/>
          <w:sz w:val="18"/>
          <w:szCs w:val="18"/>
          <w:color w:val="auto"/>
        </w:rPr>
      </w:pPr>
    </w:p>
    <w:p>
      <w:pPr>
        <w:spacing w:after="0" w:line="283" w:lineRule="exact"/>
        <w:rPr>
          <w:rFonts w:ascii="Times New Roman" w:cs="Times New Roman" w:eastAsia="Times New Roman" w:hAnsi="Times New Roman"/>
          <w:sz w:val="18"/>
          <w:szCs w:val="18"/>
          <w:color w:val="auto"/>
        </w:rPr>
      </w:pPr>
    </w:p>
    <w:p>
      <w:pPr>
        <w:jc w:val="both"/>
        <w:ind w:left="4" w:firstLine="1293"/>
        <w:spacing w:after="0" w:line="282" w:lineRule="auto"/>
        <w:tabs>
          <w:tab w:leader="none" w:pos="171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and is validly existing as a corporation in good standing under the laws of the State of Washington, with full corporate power and authority to own, lease and operate its properties and conduct its business as described in the</w:t>
      </w:r>
    </w:p>
    <w:p>
      <w:pPr>
        <w:sectPr>
          <w:pgSz w:w="11900" w:h="16838" w:orient="portrait"/>
          <w:cols w:equalWidth="0" w:num="1">
            <w:col w:w="10764"/>
          </w:cols>
          <w:pgMar w:left="896" w:top="148" w:right="239" w:bottom="0" w:gutter="0" w:footer="0" w:header="0"/>
        </w:sectPr>
      </w:pPr>
    </w:p>
    <w:bookmarkStart w:id="7" w:name="page8"/>
    <w:bookmarkEnd w:id="7"/>
    <w:p>
      <w:pPr>
        <w:ind w:left="4"/>
        <w:spacing w:after="0" w:line="282" w:lineRule="auto"/>
        <w:rPr>
          <w:sz w:val="20"/>
          <w:szCs w:val="20"/>
          <w:color w:val="auto"/>
        </w:rPr>
      </w:pPr>
      <w:r>
        <w:rPr>
          <w:rFonts w:ascii="Times New Roman" w:cs="Times New Roman" w:eastAsia="Times New Roman" w:hAnsi="Times New Roman"/>
          <w:sz w:val="18"/>
          <w:szCs w:val="18"/>
          <w:color w:val="auto"/>
        </w:rPr>
        <w:t>Registration Statement, the Prospectus and the Permitted Free Writing Prospectuses, if any, to execute and deliver this Agreement and to issue, sell and deliver the Shares as contemplated herein;</w:t>
      </w:r>
    </w:p>
    <w:p>
      <w:pPr>
        <w:spacing w:after="0" w:line="200" w:lineRule="exact"/>
        <w:rPr>
          <w:sz w:val="20"/>
          <w:szCs w:val="20"/>
          <w:color w:val="auto"/>
        </w:rPr>
      </w:pPr>
    </w:p>
    <w:p>
      <w:pPr>
        <w:spacing w:after="0" w:line="259" w:lineRule="exact"/>
        <w:rPr>
          <w:sz w:val="20"/>
          <w:szCs w:val="20"/>
          <w:color w:val="auto"/>
        </w:rPr>
      </w:pPr>
    </w:p>
    <w:p>
      <w:pPr>
        <w:jc w:val="both"/>
        <w:ind w:left="4" w:firstLine="1293"/>
        <w:spacing w:after="0" w:line="255" w:lineRule="auto"/>
        <w:tabs>
          <w:tab w:leader="none" w:pos="169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individually or in the aggregate, (i) have a material adverse effect on the business, properties, financial condition, results of operations or prospects of the Company and the Subsidiaries (as defined below) taken as a whole, (ii) prevent or materially interfere with consummation of the transactions contemplated hereby or (iii) result in the delisting of shares of Common Stock from NASDAQ (the occurrence of any such effect or any such prevention or interference or any such result described in the foregoing clauses (i), (ii) and (iii) being herein referred to as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jc w:val="both"/>
        <w:ind w:left="4" w:firstLine="1293"/>
        <w:spacing w:after="0" w:line="252" w:lineRule="auto"/>
        <w:tabs>
          <w:tab w:leader="none" w:pos="172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subsidiaries (as defined under the Act) other than those listed on Exhibit 21.1 to the Company’s Annual Report on Form 10-K for the year ended December 31, 2007 (collectively, the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except as disclosed in the Registration Statement, the Prospectus and the Permitted Free Writing Prospectuses, if any, with respect to the PT Mecoindo, the Company owns, directly or indirectly, all of the issued and outstanding capital stock of each of the Subsidiaries; other than the capital stock of the Subsidiaries, the Company does not own, directly or indirectly, any shares of stock or any other equity interests or long-term debt securities of any corporation, firm, partnership, joint venture, association or other entity; complete and correct copies of the charters and the bylaws of the Company and Actaris Metering Systems SA (“</w:t>
      </w:r>
      <w:r>
        <w:rPr>
          <w:rFonts w:ascii="Times New Roman" w:cs="Times New Roman" w:eastAsia="Times New Roman" w:hAnsi="Times New Roman"/>
          <w:sz w:val="18"/>
          <w:szCs w:val="18"/>
          <w:u w:val="single" w:color="auto"/>
          <w:color w:val="auto"/>
        </w:rPr>
        <w:t>Actaris</w:t>
      </w:r>
      <w:r>
        <w:rPr>
          <w:rFonts w:ascii="Times New Roman" w:cs="Times New Roman" w:eastAsia="Times New Roman" w:hAnsi="Times New Roman"/>
          <w:sz w:val="18"/>
          <w:szCs w:val="18"/>
          <w:color w:val="auto"/>
        </w:rPr>
        <w:t>”) and all amendments thereto have been delivered to you, and no changes therein will be made on or after the date hereof through and including the time of purchase; each Subsidiary has been incorporated and is validly existing as a corporation in good standing under the laws of the jurisdiction of its incorporation, with full corporate power and authority to own, lease and operate its properties and to conduct its business as described in the Registration Statement, the Prospectus and the Permitted Free Writing Prospectuses, if any; each Subsidiary is qualified to do business as a foreign corporation and is in good standing in each jurisdiction where the ownership or leasing of its properties or the conduct of its business requires such qualification, except where the failure to be so qualified and in good standing would not, individually or in the aggregate, have a Material Adverse Effect; except as disclosed in the Registration Statement, the Prospectus and the Permitted Free Writing Prospectuses, if any, with respect to the PT Mecoindo, all of the outstanding shares of capital stock of each of the Subsidiaries have been duly authorized and validly issued, are fully paid and non-assessable, have been issued in compliance with all applicable securities laws, were not issued in violation of any preemptive right, resale right, right of first refusal or similar right and are owned by the Company subject to no security interest, other encumbrance or adverse claims; except as disclosed in the Registration Statement, the Prospectus and the Permitted Free Writing Prospectuses, if any, with respect to the PT Mecoindo, no options, warrants or other rights to purchase, agreements or other obligations to issue or other rights to convert any obligation into shares of capital stock or ownership interests in the Subsidiaries are outstanding; the Company has no “significant subsidiary,” as that term is defined in Rule 1-02(w) of Regulation S-X under the Act, other than Actaris;</w:t>
      </w:r>
    </w:p>
    <w:p>
      <w:pPr>
        <w:spacing w:after="0" w:line="200" w:lineRule="exact"/>
        <w:rPr>
          <w:rFonts w:ascii="Times New Roman" w:cs="Times New Roman" w:eastAsia="Times New Roman" w:hAnsi="Times New Roman"/>
          <w:sz w:val="18"/>
          <w:szCs w:val="18"/>
          <w:color w:val="auto"/>
        </w:rPr>
      </w:pPr>
    </w:p>
    <w:p>
      <w:pPr>
        <w:spacing w:after="0" w:line="288" w:lineRule="exact"/>
        <w:rPr>
          <w:rFonts w:ascii="Times New Roman" w:cs="Times New Roman" w:eastAsia="Times New Roman" w:hAnsi="Times New Roman"/>
          <w:sz w:val="18"/>
          <w:szCs w:val="18"/>
          <w:color w:val="auto"/>
        </w:rPr>
      </w:pPr>
    </w:p>
    <w:p>
      <w:pPr>
        <w:jc w:val="both"/>
        <w:ind w:left="4" w:firstLine="1293"/>
        <w:spacing w:after="0" w:line="258" w:lineRule="auto"/>
        <w:tabs>
          <w:tab w:leader="none" w:pos="175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and validly authorized and, when issued and delivered against payment therefor as provided herein, will be duly and validly issued, fully paid and non-assessable and free of statutory and contractual preemptive rights, resale rights, rights of first refusal and similar rights; the Shares, when issued and delivered against payment therefor as provided herein, will be free of any restriction upon the voting or transfer thereof pursuant to the Washington Corporation Law or the Company’s charter or bylaws or any agreement or other instrument to which the Company is a party;</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jc w:val="both"/>
        <w:ind w:left="4" w:firstLine="1293"/>
        <w:spacing w:after="0" w:line="266" w:lineRule="auto"/>
        <w:tabs>
          <w:tab w:leader="none" w:pos="168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stock of the Company, including the Shares, conforms in all material respects to each description thereof, if any, contained or incorporated by reference in the Registration Statement, the Prospectus and the Permitted Free Writing Prospectuses, if any; and the certificates for the Shares are in due and proper form;</w:t>
      </w: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1684" w:hanging="387"/>
        <w:spacing w:after="0"/>
        <w:tabs>
          <w:tab w:leader="none" w:pos="16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4" w:right="20" w:firstLine="1293"/>
        <w:spacing w:after="0" w:line="282" w:lineRule="auto"/>
        <w:tabs>
          <w:tab w:leader="none" w:pos="175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Agreement has been duly authorized, executed and delivered by the Company; the Rights have been duly authorized by the Company and validly issued;</w:t>
      </w:r>
    </w:p>
    <w:p>
      <w:pPr>
        <w:spacing w:after="0" w:line="200" w:lineRule="exact"/>
        <w:rPr>
          <w:rFonts w:ascii="Times New Roman" w:cs="Times New Roman" w:eastAsia="Times New Roman" w:hAnsi="Times New Roman"/>
          <w:sz w:val="18"/>
          <w:szCs w:val="18"/>
          <w:color w:val="auto"/>
        </w:rPr>
      </w:pPr>
    </w:p>
    <w:p>
      <w:pPr>
        <w:spacing w:after="0" w:line="258" w:lineRule="exact"/>
        <w:rPr>
          <w:rFonts w:ascii="Times New Roman" w:cs="Times New Roman" w:eastAsia="Times New Roman" w:hAnsi="Times New Roman"/>
          <w:sz w:val="18"/>
          <w:szCs w:val="18"/>
          <w:color w:val="auto"/>
        </w:rPr>
      </w:pPr>
    </w:p>
    <w:p>
      <w:pPr>
        <w:jc w:val="both"/>
        <w:ind w:left="4" w:firstLine="1293"/>
        <w:spacing w:after="0" w:line="257" w:lineRule="auto"/>
        <w:tabs>
          <w:tab w:leader="none" w:pos="168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Subsidiaries is in breach or violation of or in default under (nor has any event occurred which, with notice, lapse of time or both, would result in any breach or violation of, constitute a default under or give the holder of any indebtedness (or a person acting on such holder’s behalf) the right to require the repurchase, redemption or repayment of all or a part of such indebtedness under)</w:t>
      </w:r>
    </w:p>
    <w:p>
      <w:pPr>
        <w:spacing w:after="0" w:line="1"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31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charter or bylaws, or (B) any indenture, mortgage, deed of trust, bank loan or credit agreement or other evidence of indebtedness, or any license, lease, contract or other agreement or instrument to which it is a party or by which it or any of its properties may be bound or affected, or (C) any federal, state, local or foreign law, regulation or rule, or (D) any rule or regulation of any self-regulatory organization or other non-governmental regulatory authority (including, without limitation, the rules and regulations of NASDAQ), or (E) any decree, judgment or order applicable to it or any of its properties; except, in the cases of clause (B), (C) and (D), where such occurrence would not, individually or in the aggregate, have a Material Adverse Effect;</w:t>
      </w:r>
    </w:p>
    <w:p>
      <w:pPr>
        <w:spacing w:after="0" w:line="200" w:lineRule="exact"/>
        <w:rPr>
          <w:rFonts w:ascii="Times New Roman" w:cs="Times New Roman" w:eastAsia="Times New Roman" w:hAnsi="Times New Roman"/>
          <w:sz w:val="18"/>
          <w:szCs w:val="18"/>
          <w:color w:val="auto"/>
        </w:rPr>
      </w:pPr>
    </w:p>
    <w:p>
      <w:pPr>
        <w:spacing w:after="0" w:line="287" w:lineRule="exact"/>
        <w:rPr>
          <w:rFonts w:ascii="Times New Roman" w:cs="Times New Roman" w:eastAsia="Times New Roman" w:hAnsi="Times New Roman"/>
          <w:sz w:val="18"/>
          <w:szCs w:val="18"/>
          <w:color w:val="auto"/>
        </w:rPr>
      </w:pPr>
    </w:p>
    <w:p>
      <w:pPr>
        <w:jc w:val="both"/>
        <w:ind w:left="4" w:firstLine="1293"/>
        <w:spacing w:after="0" w:line="255" w:lineRule="auto"/>
        <w:tabs>
          <w:tab w:leader="none" w:pos="177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the issuance and sale of the Shares and the consummation of the transactions contemplated hereby will not conflict with, result in any breach or violation of or constitute a default under (nor constitute any event which, with notice, lapse of time or both, would result in any breach or violation of, constitute a default under or give the holder of any indebtedness (or a person acting on such holder’s behalf) the right to require the repurchase, redemption or repayment of all or a part of such indebtedness under) (or result in the creation or imposition of a lien, charge or encumbrance on any property or assets of the Company or any Subsidiary pursuant to) (A) the charter or bylaws of the Company or any of the Subsidiaries, or (B) any indenture, mortgage, deed of trust, bank loan or credit agreement or other evidence of indebtedness, or any license, lease, contract or other agreement or instrument to which the Company or any of the Subsidiaries is a party or by which any of them or any of their respective properties may be bound or affected, or (C) any federal, state, local or foreign law,</w:t>
      </w:r>
    </w:p>
    <w:p>
      <w:pPr>
        <w:sectPr>
          <w:pgSz w:w="11900" w:h="16838" w:orient="portrait"/>
          <w:cols w:equalWidth="0" w:num="1">
            <w:col w:w="10764"/>
          </w:cols>
          <w:pgMar w:left="896" w:top="121" w:right="239" w:bottom="0" w:gutter="0" w:footer="0" w:header="0"/>
        </w:sectPr>
      </w:pPr>
    </w:p>
    <w:bookmarkStart w:id="8" w:name="page9"/>
    <w:bookmarkEnd w:id="8"/>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regulation or rule, or (D) any rule or regulation of any self-regulatory organization or other non-governmental regulatory authority (including, without limitation, the rules and regulations of NASDAQ, or (E) any decree, judgment or order applicable to the Company or any of the Subsidiaries or any of their respective properties; except, in the cases of clause (B), (C) and (D), where such occurrence would not, individually or in the aggregate, have a Material Adverse Effect;</w:t>
      </w:r>
    </w:p>
    <w:p>
      <w:pPr>
        <w:spacing w:after="0" w:line="200" w:lineRule="exact"/>
        <w:rPr>
          <w:sz w:val="20"/>
          <w:szCs w:val="20"/>
          <w:color w:val="auto"/>
        </w:rPr>
      </w:pPr>
    </w:p>
    <w:p>
      <w:pPr>
        <w:spacing w:after="0" w:line="277" w:lineRule="exact"/>
        <w:rPr>
          <w:sz w:val="20"/>
          <w:szCs w:val="20"/>
          <w:color w:val="auto"/>
        </w:rPr>
      </w:pPr>
    </w:p>
    <w:p>
      <w:pPr>
        <w:jc w:val="both"/>
        <w:ind w:firstLine="1293"/>
        <w:spacing w:after="0" w:line="255" w:lineRule="auto"/>
        <w:tabs>
          <w:tab w:leader="none" w:pos="17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approval, authorization, consent or order of or filing with any federal, state, local or foreign governmental or regulatory commission, board, body, authority or agency, or of or with any self-regulatory organization or other non-governmental regulatory authority (including, without limitation, NASDAQ, or approval of the shareholders of the Company, is required in connection with the issuance and sale of the Shares and the related Rights or the consummation by the Company of the transactions contemplated hereby, other than (i) registration of the Shares and the Rights under the Act, which has been effected, (ii) any necessary qualification under the securities or blue sky laws of the various jurisdictions in which the Shares are being offered by the Underwriter or (iii) under the Conduct Rules of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jc w:val="both"/>
        <w:ind w:firstLine="1293"/>
        <w:spacing w:after="0" w:line="255" w:lineRule="auto"/>
        <w:tabs>
          <w:tab w:leader="none" w:pos="17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Registration Statement (excluding the exhibits thereto) and the Prospectus, (i) no person has the right, contractual or otherwise, to cause the Company to issue or sell to it any shares of Common Stock or shares of any other capital stock or other equity interests of the Company, (ii) no person has any preemptive rights, resale rights, rights of first refusal or other rights to purchase any shares of Common Stock or shares of any other capital stock of or other equity interests in the Company and (iii) no person has the right to act as an underwriter or as a financial advisor to the Company in connection with the offer and sale of the Shares; no person has the right, contractual or otherwise, to cause the Company to register under the Act any shares of Common Stock or shares of any other capital stock of or other equity interests or securities in the Company, or to include any such shares or interests or securities in the Registration Statement or the offering contemplated thereby;</w:t>
      </w:r>
    </w:p>
    <w:p>
      <w:pPr>
        <w:spacing w:after="0" w:line="200" w:lineRule="exact"/>
        <w:rPr>
          <w:rFonts w:ascii="Times New Roman" w:cs="Times New Roman" w:eastAsia="Times New Roman" w:hAnsi="Times New Roman"/>
          <w:sz w:val="18"/>
          <w:szCs w:val="18"/>
          <w:color w:val="auto"/>
        </w:rPr>
      </w:pPr>
    </w:p>
    <w:p>
      <w:pPr>
        <w:spacing w:after="0" w:line="282" w:lineRule="exact"/>
        <w:rPr>
          <w:rFonts w:ascii="Times New Roman" w:cs="Times New Roman" w:eastAsia="Times New Roman" w:hAnsi="Times New Roman"/>
          <w:sz w:val="18"/>
          <w:szCs w:val="18"/>
          <w:color w:val="auto"/>
        </w:rPr>
      </w:pPr>
    </w:p>
    <w:p>
      <w:pPr>
        <w:jc w:val="both"/>
        <w:ind w:firstLine="1293"/>
        <w:spacing w:after="0" w:line="255" w:lineRule="auto"/>
        <w:tabs>
          <w:tab w:leader="none" w:pos="17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Subsidiaries has all necessary licenses, authorizations, consents and approvals and has made all necessary filings required under any applicable law, regulation or rule, and has obtained all necessary licenses, authorizations, consents and approvals from other persons, in order to conduct their respective businesses, except where the failure to have or obtain such licenses, authorizations, consents and approvals would not, individually or in the aggregate, have a Material Adverse Effect; neither the Company nor any of the Subsidiaries is in violation of, or in default under, or has received notice of any proceedings relating to revocation or modification of, any such license, authorization, consent or approval or any federal, state, local or foreign law, regulation or rule or any decree, order or judgment applicable to the Company or any of the Subsidiaries, except where such violation, default, revocation or modification would not, individually or in the aggregate, have a Material Adverse Effect;</w:t>
      </w:r>
    </w:p>
    <w:p>
      <w:pPr>
        <w:spacing w:after="0" w:line="200" w:lineRule="exact"/>
        <w:rPr>
          <w:rFonts w:ascii="Times New Roman" w:cs="Times New Roman" w:eastAsia="Times New Roman" w:hAnsi="Times New Roman"/>
          <w:sz w:val="18"/>
          <w:szCs w:val="18"/>
          <w:color w:val="auto"/>
        </w:rPr>
      </w:pPr>
    </w:p>
    <w:p>
      <w:pPr>
        <w:spacing w:after="0" w:line="282" w:lineRule="exact"/>
        <w:rPr>
          <w:rFonts w:ascii="Times New Roman" w:cs="Times New Roman" w:eastAsia="Times New Roman" w:hAnsi="Times New Roman"/>
          <w:sz w:val="18"/>
          <w:szCs w:val="18"/>
          <w:color w:val="auto"/>
        </w:rPr>
      </w:pPr>
    </w:p>
    <w:p>
      <w:pPr>
        <w:jc w:val="both"/>
        <w:ind w:firstLine="1293"/>
        <w:spacing w:after="0" w:line="256" w:lineRule="auto"/>
        <w:tabs>
          <w:tab w:leader="none" w:pos="17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suits, claims, investigations or proceedings pending or, to the Company’s knowledge, threatened or contemplated to which the Company or any of the Subsidiaries or any of their respective directors or officers is or would be a party or of which any of their respective properties is or would be subject at law or in equity, before or by any federal, state, local or foreign governmental or regulatory commission, board, body, authority or agency, or before or by any self-regulatory organization or other non-governmental regulatory authority (including, without limitation, NASDAQ), except any such action, suit, claim, investigation or proceeding which, if resolved adversely to the Company or any Subsidiary, would not, individually or in the aggregate, have a Material Adverse Effect;</w:t>
      </w:r>
    </w:p>
    <w:p>
      <w:pPr>
        <w:spacing w:after="0" w:line="200" w:lineRule="exact"/>
        <w:rPr>
          <w:rFonts w:ascii="Times New Roman" w:cs="Times New Roman" w:eastAsia="Times New Roman" w:hAnsi="Times New Roman"/>
          <w:sz w:val="18"/>
          <w:szCs w:val="18"/>
          <w:color w:val="auto"/>
        </w:rPr>
      </w:pPr>
    </w:p>
    <w:p>
      <w:pPr>
        <w:spacing w:after="0" w:line="285" w:lineRule="exact"/>
        <w:rPr>
          <w:rFonts w:ascii="Times New Roman" w:cs="Times New Roman" w:eastAsia="Times New Roman" w:hAnsi="Times New Roman"/>
          <w:sz w:val="18"/>
          <w:szCs w:val="18"/>
          <w:color w:val="auto"/>
        </w:rPr>
      </w:pPr>
    </w:p>
    <w:p>
      <w:pPr>
        <w:jc w:val="both"/>
        <w:ind w:firstLine="1293"/>
        <w:spacing w:after="0" w:line="261" w:lineRule="auto"/>
        <w:tabs>
          <w:tab w:leader="none" w:pos="17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Deloitte &amp; Touche LLP and Ernst &amp; Young LLP, each of whose report on the consolidated financial statements of the Company and the Subsidiaries is included or incorporated by reference in the Registration Statement and the Prospectus, are each an independent public accounting firm as required by the Act and by the rules of the Public Company Accounting Oversight Board and to the best of our knowledge are each registered as such;</w:t>
      </w: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jc w:val="both"/>
        <w:ind w:firstLine="1293"/>
        <w:spacing w:after="0" w:line="252" w:lineRule="auto"/>
        <w:tabs>
          <w:tab w:leader="none" w:pos="17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included or incorporated by reference in the Registration Statement, the Prospectus and the Permitted Free Writing Prospectuses, if any, together with the related notes and schedules, present fairly the consolidated financial position of the Company and the Subsidiaries as of the dates indicated and of Actaris as of the dates indicated and the consolidated results of operations, cash flows and changes in shareholders’ equity of the Company for the periods specified and of Actaris for the periods specified and have been prepared in compliance with the requirements of the Act and Exchange Act and in conformity with U.S. generally accepted accounting principles applied on a consistent basis during the periods involved; all pro forma financial statements or data included or incorporated by reference in the Registration Statement, the Prospectus and the Permitted Free Writing Prospectuses comply with the requirements of the Act and the Exchange Act, and the assumptions used in the preparation of such pro forma financial statements and data are reasonable, the pro forma adjustments used therein are appropriate to give effect to the transactions or circumstances described therein and the pro forma adjustments have been properly applied to the historical amounts in the compilation of those statements and data; the other financial and statistical data contained or incorporated by reference in the Registration Statement, the Prospectus and the Permitted Free Writing Prospectuses, if any,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and the Subsidiaries do not have any material liabilities or obligations, direct or contingent (including any off-balance sheet obligations), not described in the Registration Statement (excluding the exhibits thereto) and the Prospectus; and all disclosures contained or incorporated by reference in the Registration Statement, the Prospectus and the Permitted Free Writing Prospectuses, if any, regarding “non-GAAP financial measures” (as such term is defined by the rules and regulations of the Commission) comply with Regulation G of the Exchange Act and Item 10 of Regulation S-K under the Act, to the extent applicable;</w:t>
      </w:r>
    </w:p>
    <w:p>
      <w:pPr>
        <w:spacing w:after="0" w:line="200" w:lineRule="exact"/>
        <w:rPr>
          <w:rFonts w:ascii="Times New Roman" w:cs="Times New Roman" w:eastAsia="Times New Roman" w:hAnsi="Times New Roman"/>
          <w:sz w:val="18"/>
          <w:szCs w:val="18"/>
          <w:color w:val="auto"/>
        </w:rPr>
      </w:pPr>
    </w:p>
    <w:p>
      <w:pPr>
        <w:spacing w:after="0" w:line="290" w:lineRule="exact"/>
        <w:rPr>
          <w:rFonts w:ascii="Times New Roman" w:cs="Times New Roman" w:eastAsia="Times New Roman" w:hAnsi="Times New Roman"/>
          <w:sz w:val="18"/>
          <w:szCs w:val="18"/>
          <w:color w:val="auto"/>
        </w:rPr>
      </w:pPr>
    </w:p>
    <w:p>
      <w:pPr>
        <w:jc w:val="both"/>
        <w:ind w:firstLine="1293"/>
        <w:spacing w:after="0" w:line="277" w:lineRule="auto"/>
        <w:tabs>
          <w:tab w:leader="none" w:pos="169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subsequent to the respective dates as of which information is given in the Registration Statement, the Prospectus and the Permitted Free Writing Prospectuses, if any, in each case excluding any amendments or supplements to the foregoing made after the execution of this Agreement, there has not been (i) any material adverse change, or any development involving a prospective material adverse change, in the business, properties, management, financial condition or results of operations of the Company and the Subsidiaries taken as a whole, (ii) any transaction which is material to the Company and the Subsidiaries taken as a whole, (iii) any obligation or liability, direct or contingent (including any off-balance</w:t>
      </w:r>
    </w:p>
    <w:p>
      <w:pPr>
        <w:sectPr>
          <w:pgSz w:w="11900" w:h="16927" w:orient="portrait"/>
          <w:cols w:equalWidth="0" w:num="1">
            <w:col w:w="10760"/>
          </w:cols>
          <w:pgMar w:left="900" w:top="121" w:right="239" w:bottom="0" w:gutter="0" w:footer="0" w:header="0"/>
        </w:sectPr>
      </w:pPr>
    </w:p>
    <w:bookmarkStart w:id="9" w:name="page10"/>
    <w:bookmarkEnd w:id="9"/>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sheet obligations), incurred by the Company or any Subsidiary, which is material to the Company and the Subsidiaries taken as a whole, (iv) any change in the capital stock of the Company, except for the issuance of stock pursuant to the exercise of stock options outstanding, or pursuant to the stock option plans of the Company in effect, in each case, as of the dates as of which information is given in the Registration Statement and the Prospectus and disclosed therein in the section entitled “Capitalization”, or outstanding indebtedness of the Company or any Subsidiaries or (v) any dividend or distribution of any kind declared, paid or made on the capital stock of the Company or any Subsidiary;</w:t>
      </w:r>
    </w:p>
    <w:p>
      <w:pPr>
        <w:spacing w:after="0" w:line="200" w:lineRule="exact"/>
        <w:rPr>
          <w:sz w:val="20"/>
          <w:szCs w:val="20"/>
          <w:color w:val="auto"/>
        </w:rPr>
      </w:pPr>
    </w:p>
    <w:p>
      <w:pPr>
        <w:spacing w:after="0" w:line="281" w:lineRule="exact"/>
        <w:rPr>
          <w:sz w:val="20"/>
          <w:szCs w:val="20"/>
          <w:color w:val="auto"/>
        </w:rPr>
      </w:pPr>
    </w:p>
    <w:p>
      <w:pPr>
        <w:ind w:firstLine="1293"/>
        <w:spacing w:after="0" w:line="282" w:lineRule="auto"/>
        <w:tabs>
          <w:tab w:leader="none" w:pos="17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obtained for the benefit of the Underwriter the agreement (a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in the form set forth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of each of its directors and “officers” (within the meaning of Rule 16a-1(f) under the Exchange Act);</w:t>
      </w:r>
    </w:p>
    <w:p>
      <w:pPr>
        <w:spacing w:after="0" w:line="200" w:lineRule="exact"/>
        <w:rPr>
          <w:rFonts w:ascii="Times New Roman" w:cs="Times New Roman" w:eastAsia="Times New Roman" w:hAnsi="Times New Roman"/>
          <w:sz w:val="18"/>
          <w:szCs w:val="18"/>
          <w:color w:val="auto"/>
        </w:rPr>
      </w:pPr>
    </w:p>
    <w:p>
      <w:pPr>
        <w:spacing w:after="0" w:line="258" w:lineRule="exact"/>
        <w:rPr>
          <w:rFonts w:ascii="Times New Roman" w:cs="Times New Roman" w:eastAsia="Times New Roman" w:hAnsi="Times New Roman"/>
          <w:sz w:val="18"/>
          <w:szCs w:val="18"/>
          <w:color w:val="auto"/>
        </w:rPr>
      </w:pPr>
    </w:p>
    <w:p>
      <w:pPr>
        <w:jc w:val="both"/>
        <w:ind w:firstLine="1293"/>
        <w:spacing w:after="0" w:line="258" w:lineRule="auto"/>
        <w:tabs>
          <w:tab w:leader="none" w:pos="17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is, and at no time during which a prospectus is required by the Act to be delivered (whether physically or through compliance with Rule 172 under the Act or any similar rule) in connection with any sale of Shares will either of them be, and, after giving effect to the offering and sale of the Shares and the application of the proceeds thereof, neither of them will be, an “investment company” or an entity “controlled” by an “investment company,” as such terms are defined in the Investment Company Act of 1940, as amended (the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jc w:val="both"/>
        <w:ind w:firstLine="1293"/>
        <w:spacing w:after="0" w:line="266" w:lineRule="auto"/>
        <w:tabs>
          <w:tab w:leader="none" w:pos="17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is and, after giving effect to the offering and sale of the Shares, neither will be a “holding company” or a “subsidiary company” of a “holding company” or an “affiliate” of a “holding company” or of a “subsidiary company,” as such terms are defined in the Public Utility Holding Company Act of 1935, as amended (the “</w:t>
      </w:r>
      <w:r>
        <w:rPr>
          <w:rFonts w:ascii="Times New Roman" w:cs="Times New Roman" w:eastAsia="Times New Roman" w:hAnsi="Times New Roman"/>
          <w:sz w:val="18"/>
          <w:szCs w:val="18"/>
          <w:u w:val="single" w:color="auto"/>
          <w:color w:val="auto"/>
        </w:rPr>
        <w:t>Public Utility Holding Company Act</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jc w:val="both"/>
        <w:ind w:firstLine="1293"/>
        <w:spacing w:after="0" w:line="255" w:lineRule="auto"/>
        <w:tabs>
          <w:tab w:leader="none" w:pos="17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Subsidiaries have good and marketable title to all property (real and personal) described in the Registration Statement, the Prospectus and the Permitted Free Writing Prospectuses, if any, as being owned by any of them, free and clear of all liens, claims, security interests or other encumbrances, except such as are described in the Registration Statement, the Prospectus and the Permitted Free Writing Prospectuses, if any, or such as do not materially affect the value of such property and do not materially interfere with the use made and proposed to be made of such property by the Company and its Subsidiaries; all the property described in the Registration Statement, the Prospectus and the Permitted Free Writing Prospectuses, if any, as being held under lease by the Company or a Subsidiary is held thereby under valid, subsisting and enforceable leases;</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jc w:val="both"/>
        <w:ind w:firstLine="1293"/>
        <w:spacing w:after="0" w:line="252" w:lineRule="auto"/>
        <w:tabs>
          <w:tab w:leader="none" w:pos="17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own, or have obtained valid and enforceable licenses for, or other rights to use, the inventions, patent applications, patents, trademarks (both registered and unregistered), tradenames, service names, copyrights, trade secrets and other proprietary information described in the Registration Statement, the Prospectus and the Permitted Free Writing Prospectuses, if any, as being owned or licensed by them or which are necessary for the conduct of their respective businesses as currently conducted or as proposed to be conducted, except where the failure to own, license or have such rights would not, individually or in the aggregate, have a Material Adverse Effect (collectively,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except as disclosed in the Registration Statement, the Prospectus and the Permitted Free Writing Prospectuses, if any, with respect to IP Co. LLP, (i) there are no third parties who have or, to the Company’s knowledge, will be able to establish rights to any Intellectual Property, except for, and to the extent of, the ownership rights of the owners of the Intellectual Property which is licensed to the Company; (ii) to the knowledge of the Company, there is no infringement by third parties of any Intellectual Property; (iii) there is no pending or, to the Company’s knowledge, threatened action, suit, proceeding or claim by others challenging the Company’s rights in or to any Intellectual Property, except as would not, individually or in the aggregate, have a Material Adverse Effect, and the Company is unaware of any facts which could form a reasonable basis for any such action, suit, proceeding or claim; (iv) there is no pending or, to the Company’s knowledge, threatened action, suit, proceeding or claim by others challenging the validity, enforceability or scope of any Intellectual Property, and the Company is unaware of any facts which could form a reasonable basis for any such action, suit, proceeding or claim; (v) there is no pending or, to the Company’s knowledge, threatened action, suit, proceeding or claim by others that the Company or any Subsidiary infringes or otherwise violates, any patent, trademark, tradename, service name, copyright, trade secret or other proprietary rights of others, and the Company is unaware of any facts which could form a reasonable basis for any such action, suit, proceeding or claim; (vi) the Company and the Subsidiaries have complied in all material respects with the terms of each agreement pursuant to which Intellectual Property has been licensed to the Company or any Subsidiary, and all such agreements are in full force and effect; (vii) to the knowledge of the Company, there is no patent or patent application that contains claims that interfere with the issued or pending claims of any of the Intellectual Property or that challenges the validity, enforceability or scope of any of the Intellectual Property; and (viii) to the knowledge of the Company, there is no prior art that may render any patent application within the Intellectual Property unpatentable that has not been disclosed to the U.S. Patent and Trademark Office;</w:t>
      </w:r>
    </w:p>
    <w:p>
      <w:pPr>
        <w:spacing w:after="0" w:line="200" w:lineRule="exact"/>
        <w:rPr>
          <w:rFonts w:ascii="Times New Roman" w:cs="Times New Roman" w:eastAsia="Times New Roman" w:hAnsi="Times New Roman"/>
          <w:sz w:val="18"/>
          <w:szCs w:val="18"/>
          <w:color w:val="auto"/>
        </w:rPr>
      </w:pPr>
    </w:p>
    <w:p>
      <w:pPr>
        <w:spacing w:after="0" w:line="285" w:lineRule="exact"/>
        <w:rPr>
          <w:rFonts w:ascii="Times New Roman" w:cs="Times New Roman" w:eastAsia="Times New Roman" w:hAnsi="Times New Roman"/>
          <w:sz w:val="18"/>
          <w:szCs w:val="18"/>
          <w:color w:val="auto"/>
        </w:rPr>
      </w:pPr>
    </w:p>
    <w:p>
      <w:pPr>
        <w:jc w:val="both"/>
        <w:ind w:firstLine="1293"/>
        <w:spacing w:after="0" w:line="253" w:lineRule="auto"/>
        <w:tabs>
          <w:tab w:leader="none" w:pos="17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Subsidiaries is engaged in any unfair labor practice; except for matters which would not, individually or in the aggregate, have a Material Adverse Effect, (i) there is (A) no unfair labor practice complaint pending or, to the Company’s knowledge, threatened against the Company or any of the Subsidiaries before the National Labor Relations Board, and no grievance or arbitration proceeding arising out of or under collective bargaining agreements is pending or, to the Company’s knowledge, threatened, (B) no strike, labor dispute, slowdown or stoppage pending or, to the Company’s knowledge, threatened against the Company or any of the Subsidiaries and (C) no union representation dispute currently existing concerning the employees of the Company or any of the Subsidiaries, (ii) to the Company’s knowledge, no union organizing activities are currently taking place concerning the employees of the Company or any of the Subsidiaries and (iii) there has been no violation of any federal, state, local or foreign law relating to discrimination in the hiring, promotion or pay of employees, any applicable wage or hour laws, any provision of the Worker Adjustment and Retraining Notification Act of 1988, as amended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or the WARN Act’s state, foreign or local equivalent, or any provision of the Employee Retirement Income Security Act of 1974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or the rules and regulations promulgated thereunder concerning the employees of the Company or any of the Subsidiaries;</w:t>
      </w:r>
    </w:p>
    <w:p>
      <w:pPr>
        <w:spacing w:after="0" w:line="200" w:lineRule="exact"/>
        <w:rPr>
          <w:sz w:val="20"/>
          <w:szCs w:val="20"/>
          <w:color w:val="auto"/>
        </w:rPr>
      </w:pPr>
    </w:p>
    <w:p>
      <w:pPr>
        <w:spacing w:after="0" w:line="290" w:lineRule="exact"/>
        <w:rPr>
          <w:sz w:val="20"/>
          <w:szCs w:val="20"/>
          <w:color w:val="auto"/>
        </w:rPr>
      </w:pPr>
    </w:p>
    <w:p>
      <w:pPr>
        <w:jc w:val="both"/>
        <w:ind w:firstLine="1293"/>
        <w:spacing w:after="0" w:line="258" w:lineRule="auto"/>
        <w:tabs>
          <w:tab w:leader="none" w:pos="18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and their respective properties, assets and operations are in compliance with, and the Company and each of the Subsidiaries hold all permits, authorizations and approvals required under, Environmental Laws (as defined below), except to the extent that failure to so comply or to hold such permits, authorizations or approvals would not, individually or in the aggregate, have a Material Adverse Effect or would otherwise require disclosure in the Registration Statement and the Prospectus; there are no past, present or, to the Company’s knowledge, reasonably anticipated future events, conditions, circumstances, activities, practices, actions, omissions or plans that could</w:t>
      </w:r>
    </w:p>
    <w:p>
      <w:pPr>
        <w:sectPr>
          <w:pgSz w:w="11900" w:h="16911" w:orient="portrait"/>
          <w:cols w:equalWidth="0" w:num="1">
            <w:col w:w="10760"/>
          </w:cols>
          <w:pgMar w:left="900" w:top="121" w:right="239" w:bottom="0" w:gutter="0" w:footer="0" w:header="0"/>
        </w:sectPr>
      </w:pPr>
    </w:p>
    <w:bookmarkStart w:id="10" w:name="page11"/>
    <w:bookmarkEnd w:id="10"/>
    <w:p>
      <w:pPr>
        <w:jc w:val="both"/>
        <w:spacing w:after="0" w:line="253" w:lineRule="auto"/>
        <w:rPr>
          <w:sz w:val="20"/>
          <w:szCs w:val="20"/>
          <w:color w:val="auto"/>
        </w:rPr>
      </w:pPr>
      <w:r>
        <w:rPr>
          <w:rFonts w:ascii="Times New Roman" w:cs="Times New Roman" w:eastAsia="Times New Roman" w:hAnsi="Times New Roman"/>
          <w:sz w:val="18"/>
          <w:szCs w:val="18"/>
          <w:color w:val="auto"/>
        </w:rPr>
        <w:t>reasonably be expected to give rise to any material costs or liabilities to the Company or any Subsidiary under, or to interfere with or prevent compliance by the Company or any Subsidiary with, Environmental Laws; except as would not, individually or in the aggregate, have a Material Adverse Effect or would otherwise require disclosure in the Registration Statement and the Prospectus, neither the Company nor any of the Subsidiaries (i) is the subject of any investigation, (ii) has received any notice or claim, (iii) is a party to or affected by any pending or, to the Company’s knowledge, threatened action, suit or proceeding, (iv) is bound by any judgment, decree or order or (v) has entered into any agreement, in each case relating to any alleged violation of any Environmental Law or any actual or alleged release or threatened release or cleanup at any location of any Hazardous Materials (as defined below) (as used herein, “</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federal, state, local or foreign law, statute, ordinance, rule, regulation, order, decree, judgment, injunction, permit, license, authorization or other binding requirement, or common law, relating to health, safety or the protection, cleanup or restoration of the environment or natural resources, including those relating to the distribution, processing, generation, treatment, storage, disposal, transportation, other handling or release or threatened release of Hazardous Materials, and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material (including, without limitation, pollutants, contaminants, hazardous or toxic substances or wastes) that is regulated by or may give rise to liability under any Environmental Law);</w:t>
      </w:r>
    </w:p>
    <w:p>
      <w:pPr>
        <w:spacing w:after="0" w:line="200" w:lineRule="exact"/>
        <w:rPr>
          <w:sz w:val="20"/>
          <w:szCs w:val="20"/>
          <w:color w:val="auto"/>
        </w:rPr>
      </w:pPr>
    </w:p>
    <w:p>
      <w:pPr>
        <w:spacing w:after="0" w:line="288" w:lineRule="exact"/>
        <w:rPr>
          <w:sz w:val="20"/>
          <w:szCs w:val="20"/>
          <w:color w:val="auto"/>
        </w:rPr>
      </w:pPr>
    </w:p>
    <w:p>
      <w:pPr>
        <w:jc w:val="both"/>
        <w:ind w:firstLine="1293"/>
        <w:spacing w:after="0" w:line="261" w:lineRule="auto"/>
        <w:tabs>
          <w:tab w:leader="none" w:pos="181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ordinary course of their business, the Company and each of the Subsidiaries conduct periodic reviews of the effect of the Environmental Laws on their respective businesses, operations and properties, in the course of which they identify and evaluate associated costs and liabilities (including, without limitation, any capital or operating expenditures required for cleanup, closure of properties or compliance with the Environmental Laws or any permit, license or approval, any related constraints on operating activities and any potential liabilities to third parties);</w:t>
      </w: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jc w:val="both"/>
        <w:ind w:firstLine="1293"/>
        <w:spacing w:after="0" w:line="261" w:lineRule="auto"/>
        <w:tabs>
          <w:tab w:leader="none" w:pos="17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required to be filed by the Company or any of the Subsidiaries have been timely filed, and all taxes and other assessments of a similar nature (whether imposed directly or through withholding) including any interest, additions to tax or penalties applicable thereto due or claimed to be due from such entities have been timely paid, other than those being contested in good faith and for which adequate reserves have been provided;</w:t>
      </w: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jc w:val="both"/>
        <w:ind w:firstLine="1293"/>
        <w:spacing w:after="0" w:line="258" w:lineRule="auto"/>
        <w:tabs>
          <w:tab w:leader="none" w:pos="18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Subsidiaries maintain insurance covering their respective properties, operations, personnel and businesses as the Company reasonably deems adequate; such insurance insures against such losses and risks to an extent which is adequate in accordance with customary industry practice to protect the Company and the Subsidiaries and their respective businesses; all such insurance is fully in force on the date hereof and will be fully in force at the time of purchase; neither the Company nor any Subsidiary has reason to believe that it will not be able to renew any such insurance as and when such insurance expires;</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jc w:val="both"/>
        <w:ind w:firstLine="1293"/>
        <w:spacing w:after="0" w:line="258" w:lineRule="auto"/>
        <w:tabs>
          <w:tab w:leader="none" w:pos="17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has sent or received any communication regarding termination of, or intent not to renew, any of the contracts or agreements referred to or described in the Prospectus or any Permitted Free Writing Prospectus, or referred to or described in, or filed as an exhibit to, the Registration Statement or any Incorporated Document, and no such termination or non-renewal has been threatened by the Company or any Subsidiary or, to the Company’s knowledge, any other party to any such contract or agreement, except for such terminations or non-renewals which would not, individually or in the aggregate, have a Material Adverse Effect;</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jc w:val="both"/>
        <w:ind w:firstLine="1293"/>
        <w:spacing w:after="0" w:line="258" w:lineRule="auto"/>
        <w:tabs>
          <w:tab w:leader="none" w:pos="174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Subsidiaries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jc w:val="both"/>
        <w:ind w:firstLine="1293"/>
        <w:spacing w:after="0" w:line="252" w:lineRule="auto"/>
        <w:tabs>
          <w:tab w:leader="none" w:pos="181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maintains and evaluates “disclosure controls and procedures” (as such term is defined in Rule 13a-15 and 15d-15 under the Exchange Act) and “internal control over financial reporting” (as such term is defined in Rule 13a-15 and 15d-15 under the Exchange Act); such disclosure controls and procedures are designed to ensure that material information relating to the Company, including its consolidated subsidiaries, is made known to the Company’s Chief Executive Officer and its Chief Financial Officer by others within those entities, and such disclosure controls and procedures are effective to perform the functions for which they were established; the Company’s independent auditors and the Audit Committee of the Board of Directors of the Company have been advised of: (i) all significant deficiencies, if any, in the design or operation of internal controls which could adversely affect the Company’s ability to record, process, summarize and report financial data; and (ii) all fraud, if any, whether or not material, that involves management or other employees who have a role in the Company’s internal controls; all material weaknesses, if any, in internal controls have been identified to the Company’s independent auditors; since the date of the most recent evaluation of such disclosure controls and procedures and internal controls, there have been no significant changes in internal controls or in other factors that could significantly affect internal controls, including any corrective actions with regard to significant deficiencies and material weaknesses; the principal executive officers (or their equivalents) and principal financial officers (or their equivalents) of the Company have made all certifications required by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and any related rules and regulations promulgated by the Commission, and the statements contained in each such certification are complete and correct; the Company, the Subsidiaries and the Company’s directors and officers are each in compliance in all material respects with all applicable effective provisions of the Sarbanes-Oxley Act and the rules and regulations of the Commission and NASDAQ promulgated thereunder;</w:t>
      </w:r>
    </w:p>
    <w:p>
      <w:pPr>
        <w:spacing w:after="0" w:line="200" w:lineRule="exact"/>
        <w:rPr>
          <w:rFonts w:ascii="Times New Roman" w:cs="Times New Roman" w:eastAsia="Times New Roman" w:hAnsi="Times New Roman"/>
          <w:sz w:val="18"/>
          <w:szCs w:val="18"/>
          <w:color w:val="auto"/>
        </w:rPr>
      </w:pPr>
    </w:p>
    <w:p>
      <w:pPr>
        <w:spacing w:after="0" w:line="293" w:lineRule="exact"/>
        <w:rPr>
          <w:rFonts w:ascii="Times New Roman" w:cs="Times New Roman" w:eastAsia="Times New Roman" w:hAnsi="Times New Roman"/>
          <w:sz w:val="18"/>
          <w:szCs w:val="18"/>
          <w:color w:val="auto"/>
        </w:rPr>
      </w:pPr>
    </w:p>
    <w:p>
      <w:pPr>
        <w:jc w:val="both"/>
        <w:ind w:firstLine="1293"/>
        <w:spacing w:after="0" w:line="266" w:lineRule="auto"/>
        <w:tabs>
          <w:tab w:leader="none" w:pos="18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“forward-looking statement” (within the meaning of Section 27A of the Act or Section 21E of the Exchange Act) contained or incorporated by reference in the Registration Statement, the Prospectus and the Permitted Free Writing Prospectuses, if any, has been made or reaffirmed with a reasonable basis and in good faith;</w:t>
      </w: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jc w:val="both"/>
        <w:ind w:firstLine="1293"/>
        <w:spacing w:after="0" w:line="266" w:lineRule="auto"/>
        <w:tabs>
          <w:tab w:leader="none" w:pos="173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statistical or market-related data included or incorporated by reference in the Registration Statement, the Prospectus and the Permitted Free Writing Prospectuses, if any, are based on or derived from sources that the Company reasonably believes to be reliable and accurate, and the Company has obtained the written consent to the use of such data from such sources to the extent required;</w:t>
      </w:r>
    </w:p>
    <w:p>
      <w:pPr>
        <w:sectPr>
          <w:pgSz w:w="11900" w:h="16838" w:orient="portrait"/>
          <w:cols w:equalWidth="0" w:num="1">
            <w:col w:w="10760"/>
          </w:cols>
          <w:pgMar w:left="900" w:top="121" w:right="239" w:bottom="0" w:gutter="0" w:footer="0" w:header="0"/>
        </w:sectPr>
      </w:pPr>
    </w:p>
    <w:bookmarkStart w:id="11" w:name="page12"/>
    <w:bookmarkEnd w:id="11"/>
    <w:p>
      <w:pPr>
        <w:jc w:val="both"/>
        <w:ind w:left="4" w:firstLine="1293"/>
        <w:spacing w:after="0" w:line="258" w:lineRule="auto"/>
        <w:tabs>
          <w:tab w:leader="none" w:pos="176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Subsidiaries nor, to the knowledge of the Company, any director, officer, agent, employee or affiliate of the Company or any of the Subsidiaries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u w:val="single" w:color="auto"/>
          <w:color w:val="auto"/>
        </w:rPr>
        <w:t>Foreign Corrupt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Practices Act</w:t>
      </w:r>
      <w:r>
        <w:rPr>
          <w:rFonts w:ascii="Times New Roman" w:cs="Times New Roman" w:eastAsia="Times New Roman" w:hAnsi="Times New Roman"/>
          <w:sz w:val="18"/>
          <w:szCs w:val="18"/>
          <w:color w:val="auto"/>
        </w:rPr>
        <w:t>”); and the Company, the Subsidiaries and, to the knowledge of the Company, its affiliates have instituted and maintain policies and procedures designed to ensure continued compliance therewith;</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jc w:val="both"/>
        <w:ind w:left="4" w:firstLine="1293"/>
        <w:spacing w:after="0" w:line="256" w:lineRule="auto"/>
        <w:tabs>
          <w:tab w:leader="none" w:pos="18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the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or non-governmental authority involving the Company or any of the Subsidiaries with respect to the Money Laundering Laws is pending or, to the Company’s knowledge, threatened;</w:t>
      </w:r>
    </w:p>
    <w:p>
      <w:pPr>
        <w:spacing w:after="0" w:line="200" w:lineRule="exact"/>
        <w:rPr>
          <w:rFonts w:ascii="Times New Roman" w:cs="Times New Roman" w:eastAsia="Times New Roman" w:hAnsi="Times New Roman"/>
          <w:sz w:val="18"/>
          <w:szCs w:val="18"/>
          <w:color w:val="auto"/>
        </w:rPr>
      </w:pPr>
    </w:p>
    <w:p>
      <w:pPr>
        <w:spacing w:after="0" w:line="285" w:lineRule="exact"/>
        <w:rPr>
          <w:rFonts w:ascii="Times New Roman" w:cs="Times New Roman" w:eastAsia="Times New Roman" w:hAnsi="Times New Roman"/>
          <w:sz w:val="18"/>
          <w:szCs w:val="18"/>
          <w:color w:val="auto"/>
        </w:rPr>
      </w:pPr>
    </w:p>
    <w:p>
      <w:pPr>
        <w:jc w:val="both"/>
        <w:ind w:left="4" w:firstLine="1293"/>
        <w:spacing w:after="0" w:line="258" w:lineRule="auto"/>
        <w:tabs>
          <w:tab w:leader="none" w:pos="176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Subsidiaries nor, to the knowledge of the Company, any director, officer, agent, employee or affiliate of the Company or any of the Subsidiaries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and the Company will not directly or indirectly use the proceeds of the offering of the Shares contemplated hereby,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jc w:val="both"/>
        <w:ind w:left="4" w:firstLine="1293"/>
        <w:spacing w:after="0" w:line="261" w:lineRule="auto"/>
        <w:tabs>
          <w:tab w:leader="none" w:pos="19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the Registration Statement (excluding the exhibits thereto) and the Prospectus;</w:t>
      </w: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jc w:val="both"/>
        <w:ind w:left="4" w:firstLine="1293"/>
        <w:spacing w:after="0" w:line="266" w:lineRule="auto"/>
        <w:tabs>
          <w:tab w:leader="none" w:pos="184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the Shares as contemplated hereby will not cause any holder of any shares of capital stock, securities convertible into or exchangeable or exercisable for capital stock or options, warrants or other rights to purchase capital stock or any other securities of the Company to have any right to acquire any shares of preferred stock of the Company;</w:t>
      </w: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1804" w:hanging="507"/>
        <w:spacing w:after="0"/>
        <w:tabs>
          <w:tab w:leader="none" w:pos="18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any notice from NASDAQ regarding the delisting of the Common Stock from NASDAQ;</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jc w:val="both"/>
        <w:ind w:left="4" w:firstLine="1293"/>
        <w:spacing w:after="0" w:line="266" w:lineRule="auto"/>
        <w:tabs>
          <w:tab w:leader="none" w:pos="18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this Agreement, neither the Company nor any of the Subsidiaries has incurred any liability for any finder’s or broker’s fee or agent’s commission in connection with the execution and delivery of this Agreement or the consummation of the transactions contemplated hereby or by the Registration Statement;</w:t>
      </w: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jc w:val="both"/>
        <w:ind w:left="4" w:firstLine="1293"/>
        <w:spacing w:after="0" w:line="261" w:lineRule="auto"/>
        <w:tabs>
          <w:tab w:leader="none" w:pos="18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Subsidiaries nor any of their respective directors, officers or, to the knowledge of the Company, any of their affiliates or controlling persons has taken, directly or indirectly, any action designed, or which has constituted or might reasonably be expected to cause or result in the stabilization or manipulation of the price of any security of the Company to facilitate the sale or resale of the Shares;</w:t>
      </w: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jc w:val="both"/>
        <w:ind w:left="4" w:firstLine="1293"/>
        <w:spacing w:after="0" w:line="261" w:lineRule="auto"/>
        <w:tabs>
          <w:tab w:leader="none" w:pos="17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are no affiliations or associations between (i) any member of FINRA and (ii) the Company or any of the Company’s officers, directors or 5% or greater security holders or any beneficial owner of the Company’s unregistered equity securities that were acquired at any time on or after the 180th day immediately preceding the date the Registration Statement was initially filed with the Commission, except as disclosed in the Registration Statement (excluding the exhibits thereto) and the Prospectus; and</w:t>
      </w: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jc w:val="both"/>
        <w:ind w:left="4" w:firstLine="1293"/>
        <w:spacing w:after="0" w:line="254" w:lineRule="auto"/>
        <w:tabs>
          <w:tab w:leader="none" w:pos="18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in the Registration Statement and the Prospectus under the heading “United States Federal Income Tax Consequences to Non-U.S. Holders”, in the Company’s Form 8-A registration statement for the Common Stock filed on September 18, 1993 and in the Company’s Form 8-A registration statement for the Rights filed on December 12, 2002; in the Company’s Annual Report on Form 10-K for the year ended December 31, 2007 under Part I—Item I—“Business—Other Business Considerations,” under Part I—Item 1A—“Risk Factors— Changes in environmental regulations, violations of the regulations or future environmental liabilities could cause us to incur significant costs and adversely affect our operations,” and under Part I—Item 3—“Legal Proceedings”; and in the Company’s Quarterly Report on Form 10-Q for the quarter ended March 31, 2008 under Part II—Item I—“Legal Proceedings”; in each case insofar as such statements constitute summaries of documents or legal proceedings or refer to matters of law or legal conclusions, are accurate and complete in all material respects and present fairly the information purported to be shown.</w:t>
      </w:r>
    </w:p>
    <w:p>
      <w:pPr>
        <w:spacing w:after="0" w:line="216" w:lineRule="exact"/>
        <w:rPr>
          <w:sz w:val="20"/>
          <w:szCs w:val="20"/>
          <w:color w:val="auto"/>
        </w:rPr>
      </w:pPr>
    </w:p>
    <w:p>
      <w:pPr>
        <w:jc w:val="both"/>
        <w:ind w:left="4" w:firstLine="670"/>
        <w:spacing w:after="0" w:line="266" w:lineRule="auto"/>
        <w:rPr>
          <w:sz w:val="20"/>
          <w:szCs w:val="20"/>
          <w:color w:val="auto"/>
        </w:rPr>
      </w:pPr>
      <w:r>
        <w:rPr>
          <w:rFonts w:ascii="Times New Roman" w:cs="Times New Roman" w:eastAsia="Times New Roman" w:hAnsi="Times New Roman"/>
          <w:sz w:val="18"/>
          <w:szCs w:val="18"/>
          <w:color w:val="auto"/>
        </w:rPr>
        <w:t>In addition, any certificate signed by any officer of the Company or any of the Subsidiaries and delivered to the Underwriter or counsel for the Underwriter in connection with the offering of the Shares shall be deemed to be a representation and warranty by the Company, as to matters covered thereby, to the Underwriter.</w:t>
      </w:r>
    </w:p>
    <w:p>
      <w:pPr>
        <w:spacing w:after="0" w:line="230" w:lineRule="exact"/>
        <w:rPr>
          <w:sz w:val="20"/>
          <w:szCs w:val="20"/>
          <w:color w:val="auto"/>
        </w:rPr>
      </w:pPr>
    </w:p>
    <w:p>
      <w:pPr>
        <w:ind w:left="344" w:hanging="344"/>
        <w:spacing w:after="0"/>
        <w:tabs>
          <w:tab w:leader="none" w:pos="3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Covenants of the Company</w:t>
      </w:r>
      <w:r>
        <w:rPr>
          <w:rFonts w:ascii="Times New Roman" w:cs="Times New Roman" w:eastAsia="Times New Roman" w:hAnsi="Times New Roman"/>
          <w:sz w:val="18"/>
          <w:szCs w:val="18"/>
          <w:color w:val="auto"/>
        </w:rPr>
        <w:t>. The Company hereby agrees:</w:t>
      </w:r>
    </w:p>
    <w:p>
      <w:pPr>
        <w:sectPr>
          <w:pgSz w:w="11900" w:h="16838" w:orient="portrait"/>
          <w:cols w:equalWidth="0" w:num="1">
            <w:col w:w="10764"/>
          </w:cols>
          <w:pgMar w:left="896" w:top="634" w:right="239" w:bottom="144" w:gutter="0" w:footer="0" w:header="0"/>
        </w:sectPr>
      </w:pPr>
    </w:p>
    <w:bookmarkStart w:id="12" w:name="page13"/>
    <w:bookmarkEnd w:id="12"/>
    <w:p>
      <w:pPr>
        <w:jc w:val="both"/>
        <w:ind w:left="-540" w:firstLine="1293"/>
        <w:spacing w:after="0" w:line="256" w:lineRule="auto"/>
        <w:tabs>
          <w:tab w:leader="none" w:pos="119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furnish such information as may be required and otherwise to cooperate in qualifying the Shares and the Rights for offering and sale under the securities or blue sky laws of such states or other jurisdictions as you may designate and to maintain such qualifications in effect so long as you may request for the distribution of the Shares and the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qualify as a foreign corporation or to consent to the service of process under the laws of any such jurisdiction (except service of process with respect to the offering and sale of the Shares); and to promptly advise you of the receipt by the Company of any notification with respect to the suspension of the qualification of the Shares for offer or sale in any jurisdiction or the initiation or threatening of any proceeding for such purpose;</w:t>
      </w:r>
    </w:p>
    <w:p>
      <w:pPr>
        <w:spacing w:after="0" w:line="200" w:lineRule="exact"/>
        <w:rPr>
          <w:rFonts w:ascii="Times New Roman" w:cs="Times New Roman" w:eastAsia="Times New Roman" w:hAnsi="Times New Roman"/>
          <w:sz w:val="18"/>
          <w:szCs w:val="18"/>
          <w:color w:val="auto"/>
        </w:rPr>
      </w:pPr>
    </w:p>
    <w:p>
      <w:pPr>
        <w:spacing w:after="0" w:line="285" w:lineRule="exact"/>
        <w:rPr>
          <w:rFonts w:ascii="Times New Roman" w:cs="Times New Roman" w:eastAsia="Times New Roman" w:hAnsi="Times New Roman"/>
          <w:sz w:val="18"/>
          <w:szCs w:val="18"/>
          <w:color w:val="auto"/>
        </w:rPr>
      </w:pPr>
    </w:p>
    <w:p>
      <w:pPr>
        <w:jc w:val="both"/>
        <w:ind w:left="-540" w:firstLine="1293"/>
        <w:spacing w:after="0" w:line="254" w:lineRule="auto"/>
        <w:tabs>
          <w:tab w:leader="none" w:pos="11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available to the Underwriter in New York City, as soon as practicable after this Agreement becomes effective, and thereafter from time to time to furnish to the Underwriter, as many copies of the Prospectus (or of the Prospectus as amended or supplemented if the Company shall have made any amendments or supplements thereto after the Effective Time) as the Underwriter may reasonably request for the purposes contemplated by the Act; in case the Underwriter is required to deliver (whether physically or through compliance with Rule 172 under the Act or any similar rule), in connection with the sale of the Shares, a prospectus after the nine-month period referred to in Section 10(a)(3) of the Act, or after the time a post-effective amendment to the Registration Statement is required pursuant to Item 512(a) of Regulation S-K under the Act, the Company will prepare, at its expense, promptly upon request such amendment or amendments to the Registration Statement and the Prospectus as may be necessary to permit compliance with the requirements of Section 10(a)(3) of the Act or Item 512(a) of Regulation S-K under the Act, as the case may be;</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jc w:val="both"/>
        <w:ind w:left="-540" w:firstLine="1293"/>
        <w:spacing w:after="0" w:line="256" w:lineRule="auto"/>
        <w:tabs>
          <w:tab w:leader="none" w:pos="11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this Agreement is executed and delivered, it is necessary or appropriate for a post-effective amendment to the Registration Statement to be filed with the Commission and become effective before the Shares may be sold, the Company will use its best efforts to cause such post-effective amendment to be filed and become effective; and the Company will advise you promptly and, if requested by you, will confirm such advice in writing, (i) when such post-effective amendment has become effective, and (ii) if Rule 430A under the Act is used, when the Prospectus is filed with the Commission pursuant to Rule 424(b) under the Act (which the Company agrees to file in a timely manner in accordance with such Rules);</w:t>
      </w:r>
    </w:p>
    <w:p>
      <w:pPr>
        <w:spacing w:after="0" w:line="200" w:lineRule="exact"/>
        <w:rPr>
          <w:rFonts w:ascii="Times New Roman" w:cs="Times New Roman" w:eastAsia="Times New Roman" w:hAnsi="Times New Roman"/>
          <w:sz w:val="18"/>
          <w:szCs w:val="18"/>
          <w:color w:val="auto"/>
        </w:rPr>
      </w:pPr>
    </w:p>
    <w:p>
      <w:pPr>
        <w:spacing w:after="0" w:line="285" w:lineRule="exact"/>
        <w:rPr>
          <w:rFonts w:ascii="Times New Roman" w:cs="Times New Roman" w:eastAsia="Times New Roman" w:hAnsi="Times New Roman"/>
          <w:sz w:val="18"/>
          <w:szCs w:val="18"/>
          <w:color w:val="auto"/>
        </w:rPr>
      </w:pPr>
    </w:p>
    <w:p>
      <w:pPr>
        <w:jc w:val="both"/>
        <w:ind w:left="-540" w:firstLine="1293"/>
        <w:spacing w:after="0" w:line="253" w:lineRule="auto"/>
        <w:tabs>
          <w:tab w:leader="none" w:pos="11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period when a prospectus is required by the Act to be delivered (whether physically or through compliance with Rule 172 under the Act or any similar rule) in connection with any sale of Shares, the Registration Statement shall cease to comply with the requirements of the Act with respect to eligibility for the use of the form on which the Registration Statement was filed with the Commission or the Registration Statement shall cease to be an “automatic shelf registration statement” (as defined in Rule 405 under the Act) or the Company shall have received, from the Commission, a notice, pursuant to Rule 401(g)(2), of objection to the use of the form on which the Registration Statement was filed with the Commission, to (i) promptly notify you, (ii) promptly file with the Commission a new registration statement under the Act, relating to the Shares, or a post-effective amendment to the Registration Statement, which new registration statement or post-effective amendment shall comply with the requirements of the Act and shall be in a form satisfactory to you, (iii) use its best efforts to cause such new registration statement or post-effective amendment to become effective under the Act as soon as practicable, (iv) promptly notify you of such effectiveness and (v) take all other action necessary or appropriate to permit the public offering and sale of the Shares to continue as contemplated in the Prospectus; all references herein to the Registration Statement shall be deemed to include each such new registration statement or post-effective amendment, if any;</w:t>
      </w:r>
    </w:p>
    <w:p>
      <w:pPr>
        <w:spacing w:after="0" w:line="200" w:lineRule="exact"/>
        <w:rPr>
          <w:rFonts w:ascii="Times New Roman" w:cs="Times New Roman" w:eastAsia="Times New Roman" w:hAnsi="Times New Roman"/>
          <w:sz w:val="18"/>
          <w:szCs w:val="18"/>
          <w:color w:val="auto"/>
        </w:rPr>
      </w:pPr>
    </w:p>
    <w:p>
      <w:pPr>
        <w:spacing w:after="0" w:line="287" w:lineRule="exact"/>
        <w:rPr>
          <w:rFonts w:ascii="Times New Roman" w:cs="Times New Roman" w:eastAsia="Times New Roman" w:hAnsi="Times New Roman"/>
          <w:sz w:val="18"/>
          <w:szCs w:val="18"/>
          <w:color w:val="auto"/>
        </w:rPr>
      </w:pPr>
    </w:p>
    <w:p>
      <w:pPr>
        <w:jc w:val="both"/>
        <w:ind w:left="-540" w:firstLine="1293"/>
        <w:spacing w:after="0" w:line="253" w:lineRule="auto"/>
        <w:tabs>
          <w:tab w:leader="none" w:pos="11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third anniversary of the initial effective date of the Registration Statement (within the meaning of Rule 415(a)(5) under the Act) shall occur at any time during the period when a prospectus is required by the Act to be delivered (whether physically or through compliance with Rule 172 under the Act or any similar rule) in connection with any sale of Shares, to file with the Commission, prior to such third anniversary, a new registration statement under the Act relating to the Shares, which new registration statement shall comply with the requirements of the Act (including, without limitation, Rule 415(a)(6) under the Act) and shall be in a form satisfactory to you; such new registration statement shall constitute an “automatic shelf registration statement” (as defined in Rule 405 under the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Company is not then eligible to file an “automatic shelf registration statement” (as defined in Rule 405 under the Act), then such new registration statement need not constitute an “automatic shelf registration statement” (as defined in Rule 405 under the Act), but the Company shall use its best efforts to cause such new registration statement to become effective under the Act as soon as practicable, but in any event within 180 days after such third anniversary and promptly notify you of such effectiveness; the Company shall take all other action necessary or appropriate to permit the public offering and sale of the Shares to continue as contemplated in the Prospectus; all references herein to the Registration Statement shall be deemed to include each such new registration statement, if any;</w:t>
      </w:r>
    </w:p>
    <w:p>
      <w:pPr>
        <w:spacing w:after="0" w:line="200" w:lineRule="exact"/>
        <w:rPr>
          <w:rFonts w:ascii="Times New Roman" w:cs="Times New Roman" w:eastAsia="Times New Roman" w:hAnsi="Times New Roman"/>
          <w:sz w:val="18"/>
          <w:szCs w:val="18"/>
          <w:color w:val="auto"/>
        </w:rPr>
      </w:pPr>
    </w:p>
    <w:p>
      <w:pPr>
        <w:spacing w:after="0" w:line="287" w:lineRule="exact"/>
        <w:rPr>
          <w:rFonts w:ascii="Times New Roman" w:cs="Times New Roman" w:eastAsia="Times New Roman" w:hAnsi="Times New Roman"/>
          <w:sz w:val="18"/>
          <w:szCs w:val="18"/>
          <w:color w:val="auto"/>
        </w:rPr>
      </w:pPr>
    </w:p>
    <w:p>
      <w:pPr>
        <w:jc w:val="both"/>
        <w:ind w:left="-540" w:firstLine="1293"/>
        <w:spacing w:after="0" w:line="255" w:lineRule="auto"/>
        <w:tabs>
          <w:tab w:leader="none" w:pos="11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advise you promptly, confirming such advice in writing, of any request by the Commission for amendments or supplements to the Registration Statement, the Prospectus or any Permitted Free Writing Prospectus or for 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reasonable best efforts to obtain the lifting or removal of such order as soon as possible; to advise you promptly of any proposal to amend or supplement the Registration Statement or the Prospectus, and to provide you and Underwriter’s counsel copies of any such documents for review and comment a reasonable amount of time prior to any proposed filing and to file no such amendment or supplement to which you shall object in writing;</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jc w:val="both"/>
        <w:ind w:left="-540" w:firstLine="1293"/>
        <w:spacing w:after="0" w:line="255" w:lineRule="auto"/>
        <w:tabs>
          <w:tab w:leader="none" w:pos="12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w:t>
      </w:r>
      <w:r>
        <w:rPr>
          <w:rFonts w:ascii="Times New Roman" w:cs="Times New Roman" w:eastAsia="Times New Roman" w:hAnsi="Times New Roman"/>
          <w:sz w:val="18"/>
          <w:szCs w:val="18"/>
          <w:u w:val="single" w:color="auto"/>
          <w:color w:val="0000EE"/>
        </w:rPr>
        <w:t>4(f)</w:t>
      </w:r>
      <w:r>
        <w:rPr>
          <w:rFonts w:ascii="Times New Roman" w:cs="Times New Roman" w:eastAsia="Times New Roman" w:hAnsi="Times New Roman"/>
          <w:sz w:val="18"/>
          <w:szCs w:val="18"/>
          <w:color w:val="auto"/>
        </w:rPr>
        <w:t xml:space="preserve"> hereof, to file promptly all reports and documents and any preliminary or definitive proxy or information statement required to be filed by the Company with the Commission in order to comply with the Exchange Act for so long as a prospectus is required by the Act to be delivered (whether physically or through compliance with Rule 172 under the Act or any similar rule) in connection with any sale of Shares; and to provide you, for your review and comment, with a copy of such reports and statements and other documents to be filed by the Company pursuant to Section 13, 14 or 15(d) of the Exchange Act during such period a reasonable amount of time prior to any proposed filing, and to file no such report, statement or document to which you shall have objected in writing; and to promptly notify you of such filing;</w:t>
      </w:r>
    </w:p>
    <w:p>
      <w:pPr>
        <w:sectPr>
          <w:pgSz w:w="11900" w:h="16838" w:orient="portrait"/>
          <w:cols w:equalWidth="0" w:num="1">
            <w:col w:w="10220"/>
          </w:cols>
          <w:pgMar w:left="1440" w:top="148" w:right="239" w:bottom="270" w:gutter="0" w:footer="0" w:header="0"/>
        </w:sectPr>
      </w:pPr>
    </w:p>
    <w:bookmarkStart w:id="13" w:name="page14"/>
    <w:bookmarkEnd w:id="13"/>
    <w:p>
      <w:pPr>
        <w:jc w:val="both"/>
        <w:ind w:firstLine="1293"/>
        <w:spacing w:after="0" w:line="266" w:lineRule="auto"/>
        <w:tabs>
          <w:tab w:leader="none" w:pos="172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fees applicable to the Registration Statement in connection with the offering of the Shares within the time required by Rule 456(b)(1)(i) under the Act (without reliance on the proviso to Rule 456(b)(1)(i) under the Act) and in compliance with Rule 456(b) and Rule 457(r) under the Act;</w:t>
      </w: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jc w:val="both"/>
        <w:ind w:firstLine="1293"/>
        <w:spacing w:after="0" w:line="255" w:lineRule="auto"/>
        <w:tabs>
          <w:tab w:leader="none" w:pos="16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advise the Underwriter promptly of the happening of any event within the period during which a prospectus is required by the Act to be delivered (whether physically or through compliance with Rule 172 under the Act or any similar rule) in connection with any sale of Shares, which event could require the making of any change in the Prospectus then being used so that the Prospectus would not include an untrue statement of a material fact or omit to state a material fact necessary in order to make the statements therein, in the light of the circumstances under which they are made, not misleading, and to advise the Underwriter promptly if, during such period, it shall become necessary to amend or supplement the Prospectus to cause the Prospectus to comply with the requirements of the Act, and, in each case, during such time, subject to Section </w:t>
      </w:r>
      <w:r>
        <w:rPr>
          <w:rFonts w:ascii="Times New Roman" w:cs="Times New Roman" w:eastAsia="Times New Roman" w:hAnsi="Times New Roman"/>
          <w:sz w:val="18"/>
          <w:szCs w:val="18"/>
          <w:u w:val="single" w:color="auto"/>
          <w:color w:val="0000EE"/>
        </w:rPr>
        <w:t>4(f)</w:t>
      </w:r>
      <w:r>
        <w:rPr>
          <w:rFonts w:ascii="Times New Roman" w:cs="Times New Roman" w:eastAsia="Times New Roman" w:hAnsi="Times New Roman"/>
          <w:sz w:val="18"/>
          <w:szCs w:val="18"/>
          <w:color w:val="auto"/>
        </w:rPr>
        <w:t xml:space="preserve"> hereof, to prepare and furnish, at the Company’s expense, to the Underwriter promptly such amendments or supplements to such Prospectus as may be necessary to reflect any such change or to effect such compliance;</w:t>
      </w:r>
    </w:p>
    <w:p>
      <w:pPr>
        <w:spacing w:after="0" w:line="200" w:lineRule="exact"/>
        <w:rPr>
          <w:rFonts w:ascii="Times New Roman" w:cs="Times New Roman" w:eastAsia="Times New Roman" w:hAnsi="Times New Roman"/>
          <w:sz w:val="18"/>
          <w:szCs w:val="18"/>
          <w:color w:val="auto"/>
        </w:rPr>
      </w:pPr>
    </w:p>
    <w:p>
      <w:pPr>
        <w:spacing w:after="0" w:line="282" w:lineRule="exact"/>
        <w:rPr>
          <w:rFonts w:ascii="Times New Roman" w:cs="Times New Roman" w:eastAsia="Times New Roman" w:hAnsi="Times New Roman"/>
          <w:sz w:val="18"/>
          <w:szCs w:val="18"/>
          <w:color w:val="auto"/>
        </w:rPr>
      </w:pPr>
    </w:p>
    <w:p>
      <w:pPr>
        <w:jc w:val="both"/>
        <w:ind w:firstLine="1293"/>
        <w:spacing w:after="0" w:line="261" w:lineRule="auto"/>
        <w:tabs>
          <w:tab w:leader="none" w:pos="16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its security holders, and to deliver to you, an earnings statement of the Company (which will satisfy the provisions of Section 11(a) of the Act) covering a period of twelve months beginning after the effective date of the Registration Statement (as defined in Rule 158(c) under the Act) as soon as is reasonably practicable after the termination of such twelve-month period but in any case not later than August 10, 2009;</w:t>
      </w: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ind w:firstLine="1293"/>
        <w:spacing w:after="0" w:line="282" w:lineRule="auto"/>
        <w:tabs>
          <w:tab w:leader="none" w:pos="17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you two copies of the Registration Statement, as initially filed with the Commission, and of all amendments thereto (including all exhibits thereto and documents incorporated by reference therein);</w:t>
      </w:r>
    </w:p>
    <w:p>
      <w:pPr>
        <w:spacing w:after="0" w:line="200" w:lineRule="exact"/>
        <w:rPr>
          <w:rFonts w:ascii="Times New Roman" w:cs="Times New Roman" w:eastAsia="Times New Roman" w:hAnsi="Times New Roman"/>
          <w:sz w:val="18"/>
          <w:szCs w:val="18"/>
          <w:color w:val="auto"/>
        </w:rPr>
      </w:pPr>
    </w:p>
    <w:p>
      <w:pPr>
        <w:spacing w:after="0" w:line="258" w:lineRule="exact"/>
        <w:rPr>
          <w:rFonts w:ascii="Times New Roman" w:cs="Times New Roman" w:eastAsia="Times New Roman" w:hAnsi="Times New Roman"/>
          <w:sz w:val="18"/>
          <w:szCs w:val="18"/>
          <w:color w:val="auto"/>
        </w:rPr>
      </w:pPr>
    </w:p>
    <w:p>
      <w:pPr>
        <w:jc w:val="both"/>
        <w:ind w:firstLine="1293"/>
        <w:spacing w:after="0" w:line="289" w:lineRule="auto"/>
        <w:tabs>
          <w:tab w:leader="none" w:pos="168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furnish to you as early as practicable prior to the time of purchase, but not later than two business days prior thereto, a copy of the latest available unaudited interim and monthly consolidated financial statements, if any, of the Company and the Subsidiaries which have been read by the Company’s independent registered public accountants, as stated in their letter to be furnished pursuant to Sections 6(d) and (e) hereof;</w:t>
      </w: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1780" w:hanging="487"/>
        <w:spacing w:after="0"/>
        <w:tabs>
          <w:tab w:leader="none" w:pos="1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apply the net proceeds from the sale of the Shares in the manner set forth under the caption “Use of proceeds”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Prospectus Supplement;</w:t>
      </w:r>
    </w:p>
    <w:p>
      <w:pPr>
        <w:spacing w:after="0" w:line="200" w:lineRule="exact"/>
        <w:rPr>
          <w:rFonts w:ascii="Times New Roman" w:cs="Times New Roman" w:eastAsia="Times New Roman" w:hAnsi="Times New Roman"/>
          <w:sz w:val="18"/>
          <w:szCs w:val="18"/>
          <w:color w:val="auto"/>
        </w:rPr>
      </w:pPr>
    </w:p>
    <w:p>
      <w:pPr>
        <w:spacing w:after="0" w:line="303" w:lineRule="exact"/>
        <w:rPr>
          <w:rFonts w:ascii="Times New Roman" w:cs="Times New Roman" w:eastAsia="Times New Roman" w:hAnsi="Times New Roman"/>
          <w:sz w:val="18"/>
          <w:szCs w:val="18"/>
          <w:color w:val="auto"/>
        </w:rPr>
      </w:pPr>
    </w:p>
    <w:p>
      <w:pPr>
        <w:jc w:val="both"/>
        <w:ind w:firstLine="1293"/>
        <w:spacing w:after="0" w:line="252" w:lineRule="auto"/>
        <w:tabs>
          <w:tab w:leader="none" w:pos="172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pay all costs, expenses, fees and taxes in connection with (i) the preparation and filing of the Registration Statement, each Basic Prospectus, the Prospectus Supplement, the Prospectus, each Permitted Free Writing Prospectus and any amendments or supplements thereto, and the printing and furnishing of copies of each thereof to the Underwriter and to dealers (including costs of mailing and shipment), (ii) the registration, issue, sale and delivery of the Shares including any stock or transfer taxes and stamp or similar duties payable upon the sale, issuance or delivery of the Shares to the Underwriter, (iii) the producing, word processing and/or printing of this Agreement, any Agreement Among Underwriters, any dealer agreements, any Powers of Attorney and any closing documents (including compilations thereof) and the reproduction and/or printing and furnishing of copies of each thereof to the Underwriter and (except closing documents) to dealers (including costs of mailing and shipment), (iv) the qualification of the Shares for offering and sale under state or foreign laws and the determination of their eligibility for investment under state or foreign law (including the legal fees and filing fees and other disbursements of counsel for the Underwriter) and the printing and furnishing of copies of any blue sky surveys or legal investment surveys to the Underwriter and to dealers, (v) any listing of the Shares on any securities exchange or qualification of the Shares for quotation on NASDAQ, (vi) any filing for review of the public offering of the Shares by FINRA, including the legal fees and filing fees and other disbursements of counsel to the Underwriter relating to FINRA matters, (vii) the fees and disbursements of any transfer agent or registrar for the Shares, (viii) the costs and expenses of the Company relating to presentations or meetings undertaken in connection with the marketing of the offering and sale of the Shares to prospective investors and the Underwriter’s sales forces, including, without limitation, expenses associated with the production of road show slides and graphics, fees and expenses of any consultants engaged in connection with the road show presentations, travel, lodging and other expenses incurred by the officers of the Company and any such consultants, and the cost of any aircraft chartered in connection with the road show, and (ix) the performance of the Company’s other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Company be required to pay the legal fees for counsel to the Underwriter, except as provided herein;</w:t>
      </w: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1720" w:hanging="427"/>
        <w:spacing w:after="0"/>
        <w:tabs>
          <w:tab w:leader="none" w:pos="1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Rule 433(d) under the Act (without reliance on Rule 164(b) under the Act) and with Rule 433(g) under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w:t>
      </w:r>
    </w:p>
    <w:p>
      <w:pPr>
        <w:spacing w:after="0" w:line="200" w:lineRule="exact"/>
        <w:rPr>
          <w:rFonts w:ascii="Times New Roman" w:cs="Times New Roman" w:eastAsia="Times New Roman" w:hAnsi="Times New Roman"/>
          <w:sz w:val="18"/>
          <w:szCs w:val="18"/>
          <w:color w:val="auto"/>
        </w:rPr>
      </w:pPr>
    </w:p>
    <w:p>
      <w:pPr>
        <w:spacing w:after="0" w:line="303" w:lineRule="exact"/>
        <w:rPr>
          <w:rFonts w:ascii="Times New Roman" w:cs="Times New Roman" w:eastAsia="Times New Roman" w:hAnsi="Times New Roman"/>
          <w:sz w:val="18"/>
          <w:szCs w:val="18"/>
          <w:color w:val="auto"/>
        </w:rPr>
      </w:pPr>
    </w:p>
    <w:p>
      <w:pPr>
        <w:jc w:val="both"/>
        <w:ind w:firstLine="1293"/>
        <w:spacing w:after="0" w:line="252" w:lineRule="auto"/>
        <w:tabs>
          <w:tab w:leader="none" w:pos="17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the date hereof and ending on, and including, the date that is 60 days after the date of the Prospectus Supplement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without the prior written consent of the Underwriter, not to (i) issue,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Common Stock, or any other securities of the Company that are substantially similar to Common Stock, or any securities convertible into or exchangeable or exercisable for, or any warrants or other rights to purchase, the foregoing, (ii) file or cause to become effective a registration statement under the Act relating to the offer and sale of any Common Stock, or any other securities of the Company that are substantially similar to Common Stock, or any securities convertible into or exchangeable or exercisable for, or any warrants or other rights to purchase, the foregoing, (iii) enter into any swap or other arrangement that transfers to another, in whole or in part, any of the economic consequences of ownership of Common Stock, or any other securities of the Company that are substantially similar to Common Stock, or any securities convertible into or exchangeable or exercisable for, or any warrants or other rights to purchase, the foregoing, whether any such transaction is to be settled by delivery of Common Stock or such other securities, in cash or otherwise or (iv) publicly announce an intention to effect any transaction specified in clause (i), (ii) or (iii), except, in each case, for (A) the registration of the offer and sale of the Shares as contemplated by this Agreement, (B) issuances of Common Stock upon the exercise of options or warrants disclosed as outstanding in</w:t>
      </w:r>
    </w:p>
    <w:p>
      <w:pPr>
        <w:sectPr>
          <w:pgSz w:w="11900" w:h="16838" w:orient="portrait"/>
          <w:cols w:equalWidth="0" w:num="1">
            <w:col w:w="10760"/>
          </w:cols>
          <w:pgMar w:left="900" w:top="148" w:right="239" w:bottom="0" w:gutter="0" w:footer="0" w:header="0"/>
        </w:sectPr>
      </w:pPr>
    </w:p>
    <w:bookmarkStart w:id="14" w:name="page15"/>
    <w:bookmarkEnd w:id="14"/>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 xml:space="preserve">the Registration Statement (excluding the exhibits thereto) and the Prospectus, and (C) the issuance of employee stock options not exercisable (other than pursuant to provisions for automatic acceleration of exercisability in connection with a change in control of the Company) during the Lock-Up Period pursuant to stock option plans described in the Registration Statement (excluding the exhibits thereto) and the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during the period that begins on the date that is fifteen (15) calendar days plus three (3) business days before the last day of the Lock-Up Period and ends on the last day of the Lock-Up Period, the Company issues an earnings release or material news or a material event relating to the Company occurs; or (b) prior to the expiration of the Lock-Up Period, the Company announces that it will release earnings results during the sixteen</w:t>
      </w:r>
    </w:p>
    <w:p>
      <w:pPr>
        <w:jc w:val="both"/>
        <w:ind w:left="4" w:hanging="4"/>
        <w:spacing w:after="0" w:line="239" w:lineRule="auto"/>
        <w:tabs>
          <w:tab w:leader="none" w:pos="3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 period beginning on the last day of the Lock-Up Period, then the restrictions imposed by this Section </w:t>
      </w:r>
      <w:r>
        <w:rPr>
          <w:rFonts w:ascii="Times New Roman" w:cs="Times New Roman" w:eastAsia="Times New Roman" w:hAnsi="Times New Roman"/>
          <w:sz w:val="18"/>
          <w:szCs w:val="18"/>
          <w:u w:val="single" w:color="auto"/>
          <w:color w:val="0000EE"/>
        </w:rPr>
        <w:t>4(p)</w:t>
      </w:r>
      <w:r>
        <w:rPr>
          <w:rFonts w:ascii="Times New Roman" w:cs="Times New Roman" w:eastAsia="Times New Roman" w:hAnsi="Times New Roman"/>
          <w:sz w:val="18"/>
          <w:szCs w:val="18"/>
          <w:color w:val="auto"/>
        </w:rPr>
        <w:t xml:space="preserve"> shall continue to apply until the expiration of the date that is fifteen (15) calendar days plus three (3) business days after the date on which the issuance of the earnings release or the material news or material event occurs;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immediately preceding proviso shall not apply if (i) the safe harbor provided by Rule 139 under the Act is available in the manner contemplated by Rule 2711(f)(4) of FINRA and (ii) within the 3 business days preceding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calendar day before the last day of the Lock-Up Period, the Company delivers (in accordance with Section 9) to the Underwriter a certificate, signed by the Chief Financial Officer or Chief Executive Officer of the Company, certifying on behalf of the Company that the Company’s shares of Common Stock are “actively traded securities,” within the meaning of Rule 2711(f)(4) of FINRA;</w:t>
      </w: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jc w:val="both"/>
        <w:ind w:left="4" w:firstLine="1293"/>
        <w:spacing w:after="0" w:line="266" w:lineRule="auto"/>
        <w:tabs>
          <w:tab w:leader="none" w:pos="175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time of purchase to issue no press release or other communication directly or indirectly and hold no press conferences with respect to the Company or any Subsidiary, the financial condition, results of operations, business, properties, assets, or liabilities of the Company or any Subsidiary, or the offering of the Shares, without your prior consent;</w:t>
      </w: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jc w:val="both"/>
        <w:ind w:left="4" w:firstLine="1293"/>
        <w:spacing w:after="0" w:line="266" w:lineRule="auto"/>
        <w:tabs>
          <w:tab w:leader="none" w:pos="169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at any time at or after the execution of this Agreement, to, directly or indirectly, offer or sell any Shares by means of any “prospectus” (within the meaning of the Act), or use any “prospectus” (within the meaning of the Act) in connection with the offer or sale of the Shares, in each case other than the Prospectus;</w:t>
      </w: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jc w:val="both"/>
        <w:ind w:left="4" w:firstLine="1293"/>
        <w:spacing w:after="0" w:line="266" w:lineRule="auto"/>
        <w:tabs>
          <w:tab w:leader="none" w:pos="170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and to cause the Subsidiaries not to, take, directly or indirectly, any action designed, or which will constitute, or has constituted, or might reasonably be expected to cause or result in the stabilization or manipulation of the price of any security of the Company to facilitate the sale or resale of the Shares;</w:t>
      </w: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 w:right="20" w:firstLine="1293"/>
        <w:spacing w:after="0" w:line="282" w:lineRule="auto"/>
        <w:tabs>
          <w:tab w:leader="none" w:pos="1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its best efforts to cause the Shares to be listed on NASDAQ and to maintain the listing of the Common Stock for quotation on NASDAQ;</w:t>
      </w:r>
    </w:p>
    <w:p>
      <w:pPr>
        <w:spacing w:after="0" w:line="200" w:lineRule="exact"/>
        <w:rPr>
          <w:rFonts w:ascii="Times New Roman" w:cs="Times New Roman" w:eastAsia="Times New Roman" w:hAnsi="Times New Roman"/>
          <w:sz w:val="18"/>
          <w:szCs w:val="18"/>
          <w:color w:val="auto"/>
        </w:rPr>
      </w:pPr>
    </w:p>
    <w:p>
      <w:pPr>
        <w:spacing w:after="0" w:line="258" w:lineRule="exact"/>
        <w:rPr>
          <w:rFonts w:ascii="Times New Roman" w:cs="Times New Roman" w:eastAsia="Times New Roman" w:hAnsi="Times New Roman"/>
          <w:sz w:val="18"/>
          <w:szCs w:val="18"/>
          <w:color w:val="auto"/>
        </w:rPr>
      </w:pPr>
    </w:p>
    <w:p>
      <w:pPr>
        <w:ind w:left="1744" w:hanging="447"/>
        <w:spacing w:after="0"/>
        <w:tabs>
          <w:tab w:leader="none" w:pos="17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a transfer agent and, if necessary under the jurisdiction of incorporation of the Company, a registrar for the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00" w:lineRule="exact"/>
        <w:rPr>
          <w:rFonts w:ascii="Times New Roman" w:cs="Times New Roman" w:eastAsia="Times New Roman" w:hAnsi="Times New Roman"/>
          <w:sz w:val="18"/>
          <w:szCs w:val="18"/>
          <w:color w:val="auto"/>
        </w:rPr>
      </w:pPr>
    </w:p>
    <w:p>
      <w:pPr>
        <w:spacing w:after="0" w:line="303" w:lineRule="exact"/>
        <w:rPr>
          <w:rFonts w:ascii="Times New Roman" w:cs="Times New Roman" w:eastAsia="Times New Roman" w:hAnsi="Times New Roman"/>
          <w:sz w:val="18"/>
          <w:szCs w:val="18"/>
          <w:color w:val="auto"/>
        </w:rPr>
      </w:pPr>
    </w:p>
    <w:p>
      <w:pPr>
        <w:ind w:left="4" w:firstLine="1293"/>
        <w:spacing w:after="0" w:line="282" w:lineRule="auto"/>
        <w:tabs>
          <w:tab w:leader="none" w:pos="172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the net proceeds received by it from the sale of the Shares pursuant to this Agreement in the manner specified in the Prospectus under the caption “Use of proceeds”; and</w:t>
      </w:r>
    </w:p>
    <w:p>
      <w:pPr>
        <w:spacing w:after="0" w:line="200" w:lineRule="exact"/>
        <w:rPr>
          <w:rFonts w:ascii="Times New Roman" w:cs="Times New Roman" w:eastAsia="Times New Roman" w:hAnsi="Times New Roman"/>
          <w:sz w:val="18"/>
          <w:szCs w:val="18"/>
          <w:color w:val="auto"/>
        </w:rPr>
      </w:pPr>
    </w:p>
    <w:p>
      <w:pPr>
        <w:spacing w:after="0" w:line="258" w:lineRule="exact"/>
        <w:rPr>
          <w:rFonts w:ascii="Times New Roman" w:cs="Times New Roman" w:eastAsia="Times New Roman" w:hAnsi="Times New Roman"/>
          <w:sz w:val="18"/>
          <w:szCs w:val="18"/>
          <w:color w:val="auto"/>
        </w:rPr>
      </w:pPr>
    </w:p>
    <w:p>
      <w:pPr>
        <w:jc w:val="both"/>
        <w:ind w:left="4" w:firstLine="1293"/>
        <w:spacing w:after="0" w:line="254" w:lineRule="auto"/>
        <w:tabs>
          <w:tab w:leader="none" w:pos="176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with out the prior consent of the Underwriter, it has not made and will not make any offer relating to the Shares that would constitute a “free writing prospectus” (as defined in Rule 405 under the Act); the Company has complied and will comply with the requirements of Rule 433 under the Act applicable to any Permitted Free Writing Prospectus, including timely filing with the Commission or retention where required and legending; and the Company agrees that if at any time following issuance of any Permitted Free Writing Prospectus any event occurred or occurs as a result of which such Permitted Free Writing Prospectus would conflict with the information in the Registration Statement, the Disclosure Package or the Prospectus or would include an untrue statement of a material fact or omit to state any material fact necessary in order to make the statements therein, in the light of the circumstances under which they are made, not misleading, the Company will give prompt notice thereof to the Underwriter and, if requested by the Underwriter, will prepare and furnish without charge to the Underwriter a Permitted Free Writing Prospectus or other document which will correct such conflict, statement or omission.</w:t>
      </w:r>
    </w:p>
    <w:p>
      <w:pPr>
        <w:spacing w:after="0" w:line="243" w:lineRule="exact"/>
        <w:rPr>
          <w:sz w:val="20"/>
          <w:szCs w:val="20"/>
          <w:color w:val="auto"/>
        </w:rPr>
      </w:pPr>
    </w:p>
    <w:p>
      <w:pPr>
        <w:jc w:val="both"/>
        <w:ind w:left="4" w:hanging="4"/>
        <w:spacing w:after="0" w:line="266" w:lineRule="auto"/>
        <w:tabs>
          <w:tab w:leader="none" w:pos="3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of the Underwriter’s Expenses</w:t>
      </w:r>
      <w:r>
        <w:rPr>
          <w:rFonts w:ascii="Times New Roman" w:cs="Times New Roman" w:eastAsia="Times New Roman" w:hAnsi="Times New Roman"/>
          <w:sz w:val="18"/>
          <w:szCs w:val="18"/>
          <w:color w:val="auto"/>
        </w:rPr>
        <w:t>. If the Shares are not delivered for any reason other than the default of the Underwriter in its obligations hereunder, the Company shall, in addition to paying the amounts described in Section 4(n) hereof, reimburse the Underwriter for all of its out-of-pocket expenses, including the fees and disbursements of its counsel.</w:t>
      </w:r>
    </w:p>
    <w:p>
      <w:pPr>
        <w:spacing w:after="0" w:line="230"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3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the Underwriter’s Obligations</w:t>
      </w:r>
      <w:r>
        <w:rPr>
          <w:rFonts w:ascii="Times New Roman" w:cs="Times New Roman" w:eastAsia="Times New Roman" w:hAnsi="Times New Roman"/>
          <w:sz w:val="18"/>
          <w:szCs w:val="18"/>
          <w:color w:val="auto"/>
        </w:rPr>
        <w:t>. The obligations of the Underwriter hereunder are subject to the accuracy of the representations and warranties on the part of the Company on the date hereof, at the time of purchase, the performance by the Company of its obligations hereunder and to the following additional conditions precedent:</w:t>
      </w:r>
    </w:p>
    <w:p>
      <w:pPr>
        <w:spacing w:after="0" w:line="230" w:lineRule="exact"/>
        <w:rPr>
          <w:rFonts w:ascii="Times New Roman" w:cs="Times New Roman" w:eastAsia="Times New Roman" w:hAnsi="Times New Roman"/>
          <w:sz w:val="18"/>
          <w:szCs w:val="18"/>
          <w:color w:val="auto"/>
        </w:rPr>
      </w:pPr>
    </w:p>
    <w:p>
      <w:pPr>
        <w:jc w:val="both"/>
        <w:ind w:left="4" w:firstLine="1293"/>
        <w:spacing w:after="0" w:line="266" w:lineRule="auto"/>
        <w:tabs>
          <w:tab w:leader="none" w:pos="174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furnish to you at the time of purchase an opinion of Perkins Coie LLP, counsel for the Company, addressed to the Underwriter, and dated the time of purchase, in form and substance satisfactory to the Underwriter, as to the matters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jc w:val="both"/>
        <w:ind w:left="4" w:firstLine="1293"/>
        <w:spacing w:after="0" w:line="266" w:lineRule="auto"/>
        <w:tabs>
          <w:tab w:leader="none" w:pos="172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furnish to you at the time of purchase an opinion of John W. Holleran, Senior Vice President, General Counsel and Corporate Secretary of the Company, addressed to the Underwriter, and dated the time of purchase, in form and substance satisfactory to the Underwriter, as to the matters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w:t>
      </w: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jc w:val="both"/>
        <w:ind w:left="4" w:firstLine="1293"/>
        <w:spacing w:after="0" w:line="282" w:lineRule="auto"/>
        <w:tabs>
          <w:tab w:leader="none" w:pos="171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to you at the time of purchase an opinion of Arendt &amp; Medernach, Luxembourg counsel for the Company, addressed to the Underwriter, and dated the time of purchase, in form and substance satisfactory to the Underwriter, as to the matters set</w:t>
      </w:r>
    </w:p>
    <w:p>
      <w:pPr>
        <w:sectPr>
          <w:pgSz w:w="11900" w:h="16839" w:orient="portrait"/>
          <w:cols w:equalWidth="0" w:num="1">
            <w:col w:w="10764"/>
          </w:cols>
          <w:pgMar w:left="896" w:top="121" w:right="239" w:bottom="0" w:gutter="0" w:footer="0" w:header="0"/>
        </w:sectPr>
      </w:pPr>
    </w:p>
    <w:bookmarkStart w:id="15" w:name="page16"/>
    <w:bookmarkEnd w:id="15"/>
    <w:p>
      <w:pPr>
        <w:ind w:left="4"/>
        <w:spacing w:after="0"/>
        <w:rPr>
          <w:sz w:val="20"/>
          <w:szCs w:val="20"/>
          <w:color w:val="auto"/>
        </w:rPr>
      </w:pPr>
      <w:r>
        <w:rPr>
          <w:rFonts w:ascii="Times New Roman" w:cs="Times New Roman" w:eastAsia="Times New Roman" w:hAnsi="Times New Roman"/>
          <w:sz w:val="18"/>
          <w:szCs w:val="18"/>
          <w:color w:val="auto"/>
        </w:rPr>
        <w:t xml:space="preserve">forth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w:t>
      </w:r>
    </w:p>
    <w:p>
      <w:pPr>
        <w:spacing w:after="0" w:line="200" w:lineRule="exact"/>
        <w:rPr>
          <w:sz w:val="20"/>
          <w:szCs w:val="20"/>
          <w:color w:val="auto"/>
        </w:rPr>
      </w:pPr>
    </w:p>
    <w:p>
      <w:pPr>
        <w:spacing w:after="0" w:line="322" w:lineRule="exact"/>
        <w:rPr>
          <w:sz w:val="20"/>
          <w:szCs w:val="20"/>
          <w:color w:val="auto"/>
        </w:rPr>
      </w:pPr>
    </w:p>
    <w:p>
      <w:pPr>
        <w:jc w:val="both"/>
        <w:ind w:left="4" w:firstLine="1293"/>
        <w:spacing w:after="0" w:line="266" w:lineRule="auto"/>
        <w:tabs>
          <w:tab w:leader="none" w:pos="17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have received from Deloitte &amp; Touche LLP letters dated, respectively, the date of the Prospectus Supplement and the time of purchase and addressed to the Underwriter in the forms satisfactory to the Underwriter, which letters shall cover, without limitation, the various financial disclosures contained in the Registration Statement, the Prospectus and the Permitted Free Writing Prospectuses, if any.</w:t>
      </w: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jc w:val="both"/>
        <w:ind w:left="4" w:firstLine="1293"/>
        <w:spacing w:after="0" w:line="266" w:lineRule="auto"/>
        <w:tabs>
          <w:tab w:leader="none" w:pos="17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have received from Ernst &amp; Young LLP letters dated, respectively, the date of the Prospectus Supplement and the time of purchase and addressed to the Underwriter in the forms satisfactory to the Underwriter, which letters shall cover, without limitation, the various financial disclosures contained in the Registration Statement, the Prospectus and the Permitted Free Writing Prospectuses, if any.</w:t>
      </w: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 w:firstLine="1293"/>
        <w:spacing w:after="0" w:line="282" w:lineRule="auto"/>
        <w:tabs>
          <w:tab w:leader="none" w:pos="172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have received at the time of purchase, the favorable opinion of Skadden, Arps, Slate, Meagher &amp; Flom LLP, counsel for the Underwriter, dated the time of purchase, in form and substance reasonably satisfactory to the Underwriter.</w:t>
      </w:r>
    </w:p>
    <w:p>
      <w:pPr>
        <w:spacing w:after="0" w:line="200" w:lineRule="exact"/>
        <w:rPr>
          <w:rFonts w:ascii="Times New Roman" w:cs="Times New Roman" w:eastAsia="Times New Roman" w:hAnsi="Times New Roman"/>
          <w:sz w:val="18"/>
          <w:szCs w:val="18"/>
          <w:color w:val="auto"/>
        </w:rPr>
      </w:pPr>
    </w:p>
    <w:p>
      <w:pPr>
        <w:spacing w:after="0" w:line="258" w:lineRule="exact"/>
        <w:rPr>
          <w:rFonts w:ascii="Times New Roman" w:cs="Times New Roman" w:eastAsia="Times New Roman" w:hAnsi="Times New Roman"/>
          <w:sz w:val="18"/>
          <w:szCs w:val="18"/>
          <w:color w:val="auto"/>
        </w:rPr>
      </w:pPr>
    </w:p>
    <w:p>
      <w:pPr>
        <w:ind w:left="4" w:firstLine="1293"/>
        <w:spacing w:after="0" w:line="282" w:lineRule="auto"/>
        <w:tabs>
          <w:tab w:leader="none" w:pos="17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Prospectus or amendment or supplement to the Registration Statement or the Prospectus shall have been filed to which you shall have objected in writing.</w:t>
      </w:r>
    </w:p>
    <w:p>
      <w:pPr>
        <w:spacing w:after="0" w:line="200" w:lineRule="exact"/>
        <w:rPr>
          <w:rFonts w:ascii="Times New Roman" w:cs="Times New Roman" w:eastAsia="Times New Roman" w:hAnsi="Times New Roman"/>
          <w:sz w:val="18"/>
          <w:szCs w:val="18"/>
          <w:color w:val="auto"/>
        </w:rPr>
      </w:pPr>
    </w:p>
    <w:p>
      <w:pPr>
        <w:spacing w:after="0" w:line="258" w:lineRule="exact"/>
        <w:rPr>
          <w:rFonts w:ascii="Times New Roman" w:cs="Times New Roman" w:eastAsia="Times New Roman" w:hAnsi="Times New Roman"/>
          <w:sz w:val="18"/>
          <w:szCs w:val="18"/>
          <w:color w:val="auto"/>
        </w:rPr>
      </w:pPr>
    </w:p>
    <w:p>
      <w:pPr>
        <w:ind w:left="1724" w:hanging="427"/>
        <w:spacing w:after="0"/>
        <w:tabs>
          <w:tab w:leader="none" w:pos="17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shall have been filed with the Commission pursuant to Rule 424(b) under the Act at or before</w:t>
      </w:r>
    </w:p>
    <w:p>
      <w:pPr>
        <w:spacing w:after="0" w:line="27" w:lineRule="exact"/>
        <w:rPr>
          <w:rFonts w:ascii="Times New Roman" w:cs="Times New Roman" w:eastAsia="Times New Roman" w:hAnsi="Times New Roman"/>
          <w:sz w:val="18"/>
          <w:szCs w:val="18"/>
          <w:color w:val="auto"/>
        </w:rPr>
      </w:pPr>
    </w:p>
    <w:p>
      <w:pPr>
        <w:ind w:left="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5:30 P.M., New York City time, on the second full business day after the date of this Agreement (or such earlier time as may be required under the Act).</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jc w:val="both"/>
        <w:ind w:left="4" w:firstLine="1293"/>
        <w:spacing w:after="0" w:line="254" w:lineRule="auto"/>
        <w:tabs>
          <w:tab w:leader="none" w:pos="16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and at the time of purchase, (i) no stop order with respect to the effectiveness of the Registration Statement shall have been issued under the Act or proceedings initiated under Section 8(d) or 8(e) of the Act; (ii) the Registration Statement and all amendments thereto shall not contain an untrue statement of a material fact or omit to state a material fact required to be stated therein or necessary to make the statements therein not misleading; (iii) neither the Prospectus nor amendment or supplement thereto shall include an untrue statement of a material fact or omit to state a material fact necessary in order to make the statements therein, in the light of the circumstances under which they are made, not misleading; (iv) no Disclosure Package, and no amendment or supplement thereto, shall include an untrue statement of a material fact or omit to state a material fact necessary in order to make the statements therein, in the light of the circumstances under which they are made, not misleading; and (v) none of the Permitted Free Writing Prospectuses, if any, shall include an untrue statement of a material fact or omit to state a material fact necessary in order to make the statements therein, in the light of the circumstances under which they are made, not misleading.</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4" w:firstLine="1293"/>
        <w:spacing w:after="0" w:line="282" w:lineRule="auto"/>
        <w:tabs>
          <w:tab w:leader="none" w:pos="16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at the time of purchase deliver to you a certificate of its Chief Executive Officer and its Chief Financial Officer, dated the time of purchase, in the form attached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w:t>
      </w:r>
    </w:p>
    <w:p>
      <w:pPr>
        <w:spacing w:after="0" w:line="200" w:lineRule="exact"/>
        <w:rPr>
          <w:rFonts w:ascii="Times New Roman" w:cs="Times New Roman" w:eastAsia="Times New Roman" w:hAnsi="Times New Roman"/>
          <w:sz w:val="18"/>
          <w:szCs w:val="18"/>
          <w:color w:val="auto"/>
        </w:rPr>
      </w:pPr>
    </w:p>
    <w:p>
      <w:pPr>
        <w:spacing w:after="0" w:line="258" w:lineRule="exact"/>
        <w:rPr>
          <w:rFonts w:ascii="Times New Roman" w:cs="Times New Roman" w:eastAsia="Times New Roman" w:hAnsi="Times New Roman"/>
          <w:sz w:val="18"/>
          <w:szCs w:val="18"/>
          <w:color w:val="auto"/>
        </w:rPr>
      </w:pPr>
    </w:p>
    <w:p>
      <w:pPr>
        <w:jc w:val="both"/>
        <w:ind w:left="4" w:firstLine="1293"/>
        <w:spacing w:after="0" w:line="266" w:lineRule="auto"/>
        <w:tabs>
          <w:tab w:leader="none" w:pos="17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deliver to you a certificate of its Chief Financial Officer, dated the date of the Prospectus Supplement and the time of purchase, with respect to certain financial information included or incorporated by reference into, the Prospectus Supplement, in form and substance the Underwriter, in the form attached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hereto.</w:t>
      </w: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 w:firstLine="1293"/>
        <w:spacing w:after="0" w:line="282" w:lineRule="auto"/>
        <w:tabs>
          <w:tab w:leader="none" w:pos="16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have received each of the signed Lock-Up Agreements referred to in Section 3(u) hereof, and each such Lock-Up Agreement shall be in full force and effect at the time of purchase.</w:t>
      </w:r>
    </w:p>
    <w:p>
      <w:pPr>
        <w:spacing w:after="0" w:line="200" w:lineRule="exact"/>
        <w:rPr>
          <w:rFonts w:ascii="Times New Roman" w:cs="Times New Roman" w:eastAsia="Times New Roman" w:hAnsi="Times New Roman"/>
          <w:sz w:val="18"/>
          <w:szCs w:val="18"/>
          <w:color w:val="auto"/>
        </w:rPr>
      </w:pPr>
    </w:p>
    <w:p>
      <w:pPr>
        <w:spacing w:after="0" w:line="258" w:lineRule="exact"/>
        <w:rPr>
          <w:rFonts w:ascii="Times New Roman" w:cs="Times New Roman" w:eastAsia="Times New Roman" w:hAnsi="Times New Roman"/>
          <w:sz w:val="18"/>
          <w:szCs w:val="18"/>
          <w:color w:val="auto"/>
        </w:rPr>
      </w:pPr>
    </w:p>
    <w:p>
      <w:pPr>
        <w:jc w:val="both"/>
        <w:ind w:left="4" w:firstLine="1293"/>
        <w:spacing w:after="0" w:line="266" w:lineRule="auto"/>
        <w:tabs>
          <w:tab w:leader="none" w:pos="17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to you such other documents and certificates as to the accuracy and completeness of any statement in the Registration Statement, the Prospectus or any Permitted Free Writing Prospectus as of the time of purchase as you may reasonably request.</w:t>
      </w: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1724" w:hanging="427"/>
        <w:spacing w:after="0"/>
        <w:tabs>
          <w:tab w:leader="none" w:pos="17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have been approved for listing on the NASDAQ, subject only to notice of issuance at or prior to the time of</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w:t>
      </w:r>
    </w:p>
    <w:p>
      <w:pPr>
        <w:spacing w:after="0" w:line="200" w:lineRule="exact"/>
        <w:rPr>
          <w:rFonts w:ascii="Times New Roman" w:cs="Times New Roman" w:eastAsia="Times New Roman" w:hAnsi="Times New Roman"/>
          <w:sz w:val="18"/>
          <w:szCs w:val="18"/>
          <w:color w:val="auto"/>
        </w:rPr>
      </w:pPr>
    </w:p>
    <w:p>
      <w:pPr>
        <w:spacing w:after="0" w:line="303" w:lineRule="exact"/>
        <w:rPr>
          <w:rFonts w:ascii="Times New Roman" w:cs="Times New Roman" w:eastAsia="Times New Roman" w:hAnsi="Times New Roman"/>
          <w:sz w:val="18"/>
          <w:szCs w:val="18"/>
          <w:color w:val="auto"/>
        </w:rPr>
      </w:pPr>
    </w:p>
    <w:p>
      <w:pPr>
        <w:ind w:left="4" w:right="20" w:firstLine="1293"/>
        <w:spacing w:after="0" w:line="282" w:lineRule="auto"/>
        <w:tabs>
          <w:tab w:leader="none" w:pos="175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not have raised any objection with respect to the fairness or reasonableness of the underwriting, or other arrangements of the transactions, contemplated hereby.</w:t>
      </w:r>
    </w:p>
    <w:p>
      <w:pPr>
        <w:spacing w:after="0" w:line="200" w:lineRule="exact"/>
        <w:rPr>
          <w:sz w:val="20"/>
          <w:szCs w:val="20"/>
          <w:color w:val="auto"/>
        </w:rPr>
      </w:pPr>
    </w:p>
    <w:p>
      <w:pPr>
        <w:spacing w:after="0" w:line="259" w:lineRule="exact"/>
        <w:rPr>
          <w:sz w:val="20"/>
          <w:szCs w:val="20"/>
          <w:color w:val="auto"/>
        </w:rPr>
      </w:pPr>
    </w:p>
    <w:p>
      <w:pPr>
        <w:ind w:left="4" w:hanging="4"/>
        <w:spacing w:after="0" w:line="282" w:lineRule="auto"/>
        <w:tabs>
          <w:tab w:leader="none" w:pos="3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of Agreement; Termination</w:t>
      </w:r>
      <w:r>
        <w:rPr>
          <w:rFonts w:ascii="Times New Roman" w:cs="Times New Roman" w:eastAsia="Times New Roman" w:hAnsi="Times New Roman"/>
          <w:sz w:val="18"/>
          <w:szCs w:val="18"/>
          <w:color w:val="auto"/>
        </w:rPr>
        <w:t>. This Agreement shall become effective when the parties hereto have executed and delivered this Agreement.</w:t>
      </w:r>
    </w:p>
    <w:p>
      <w:pPr>
        <w:spacing w:after="0" w:line="189" w:lineRule="exact"/>
        <w:rPr>
          <w:sz w:val="20"/>
          <w:szCs w:val="20"/>
          <w:color w:val="auto"/>
        </w:rPr>
      </w:pPr>
    </w:p>
    <w:p>
      <w:pPr>
        <w:jc w:val="both"/>
        <w:ind w:left="4" w:firstLine="700"/>
        <w:spacing w:after="0" w:line="258" w:lineRule="auto"/>
        <w:rPr>
          <w:sz w:val="20"/>
          <w:szCs w:val="20"/>
          <w:color w:val="auto"/>
        </w:rPr>
      </w:pPr>
      <w:r>
        <w:rPr>
          <w:rFonts w:ascii="Times New Roman" w:cs="Times New Roman" w:eastAsia="Times New Roman" w:hAnsi="Times New Roman"/>
          <w:sz w:val="18"/>
          <w:szCs w:val="18"/>
          <w:color w:val="auto"/>
        </w:rPr>
        <w:t>The obligations of the Underwriter hereunder shall be subject to termination in the absolute discretion of the Underwriter, if (1) since the time of execution of this Agreement or the earlier respective dates as of which information is given in the Registration Statement, the Prospectus and the Permitted Free Writing Prospectuses, if any, there has been any change or any development involving a prospective change in the business, properties, management, financial condition or results of operations of the Company and the Subsidiaries taken as a whole, the effect of which change or development is, in the sole judgment of the Underwriter, so material and adverse as to make it impractical or inadvisable to proceed with</w:t>
      </w:r>
    </w:p>
    <w:p>
      <w:pPr>
        <w:sectPr>
          <w:pgSz w:w="11900" w:h="16838" w:orient="portrait"/>
          <w:cols w:equalWidth="0" w:num="1">
            <w:col w:w="10764"/>
          </w:cols>
          <w:pgMar w:left="896" w:top="121" w:right="239" w:bottom="0" w:gutter="0" w:footer="0" w:header="0"/>
        </w:sectPr>
      </w:pPr>
    </w:p>
    <w:bookmarkStart w:id="16" w:name="page17"/>
    <w:bookmarkEnd w:id="16"/>
    <w:p>
      <w:pPr>
        <w:jc w:val="both"/>
        <w:ind w:left="4"/>
        <w:spacing w:after="0" w:line="253" w:lineRule="auto"/>
        <w:rPr>
          <w:sz w:val="20"/>
          <w:szCs w:val="20"/>
          <w:color w:val="auto"/>
        </w:rPr>
      </w:pPr>
      <w:r>
        <w:rPr>
          <w:rFonts w:ascii="Times New Roman" w:cs="Times New Roman" w:eastAsia="Times New Roman" w:hAnsi="Times New Roman"/>
          <w:sz w:val="18"/>
          <w:szCs w:val="18"/>
          <w:color w:val="auto"/>
        </w:rPr>
        <w:t>the public offering or the delivery of the Shares on the terms and in the manner contemplated in the Registration Statement, the Prospectus and the Permitted Free Writing Prospectuses, if any, or (2) since the time of execution of this Agreement, there shall have occurred: (A) a suspension or material limitation in trading in securities generally on NASDAQ, the New York Stock Exchange or the American Stock Exchange; (B) a suspension or material limitation in trading in the Company’s securities on NASDAQ; (C) a general moratorium on commercial banking activities declared by either federal or New York State authorities or a material disruption in commercial banking or securities settlement or clearance services in the United States; (D) an outbreak or escalation of hostilities or acts of terrorism involving the United States or a declaration by the United States of a national emergency or war; or (E) any other calamity or crisis or any change in financial, political or economic conditions in the United States or elsewhere, if the effect of any such event specified in clause (D) or (E), in the sole judgment of the Underwriter, makes it impractical or inadvisable to proceed with the public offering or the delivery of the Shares on the terms and in the manner contemplated in the Registration Statement, the Prospectus and the Permitted Free Writing Prospectuses, if any, or (3) since the time of execution of this Agreement, there shall have occurred any downgrading, or any notice or announcement shall have been given or made of: (A) any intended or potential downgrading or (B) any watch, review or possible change that does not indicate an affirmation or improvement in the rating accorded any securities of or guaranteed by the Company or any Subsidiary by any “nationally recognized statistical rating organization,” as that term is defined in Rule 436(g)(2) under the Act.</w:t>
      </w:r>
    </w:p>
    <w:p>
      <w:pPr>
        <w:spacing w:after="0" w:line="216"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If the Underwriter elects to terminate this Agreement as provided in this Section 6, the Company shall be notified promptly in writing.</w:t>
      </w:r>
    </w:p>
    <w:p>
      <w:pPr>
        <w:spacing w:after="0" w:line="252" w:lineRule="exact"/>
        <w:rPr>
          <w:sz w:val="20"/>
          <w:szCs w:val="20"/>
          <w:color w:val="auto"/>
        </w:rPr>
      </w:pPr>
    </w:p>
    <w:p>
      <w:pPr>
        <w:jc w:val="both"/>
        <w:ind w:left="4" w:firstLine="743"/>
        <w:spacing w:after="0" w:line="258" w:lineRule="auto"/>
        <w:rPr>
          <w:sz w:val="20"/>
          <w:szCs w:val="20"/>
          <w:color w:val="auto"/>
        </w:rPr>
      </w:pPr>
      <w:r>
        <w:rPr>
          <w:rFonts w:ascii="Times New Roman" w:cs="Times New Roman" w:eastAsia="Times New Roman" w:hAnsi="Times New Roman"/>
          <w:sz w:val="18"/>
          <w:szCs w:val="18"/>
          <w:color w:val="auto"/>
        </w:rPr>
        <w:t>If the sale to the Underwriter of the Shares, as contemplated by this Agreement, is not carried out by the Underwriter for any reason permitted under this Agreement, or if such sale is not carried out because the Company shall be unable to comply with any of the terms of this Agreement, the Company shall not be under any obligation or liability under this Agreement (except to the extent provided in Sections 4(n), 5 and 8 hereof), and the Underwriter shall be under no obligation or liability to the Company under this Agreement (except to the extent provided in Section 8 hereof) or to one another hereunder.</w:t>
      </w:r>
    </w:p>
    <w:p>
      <w:pPr>
        <w:spacing w:after="0" w:line="238" w:lineRule="exact"/>
        <w:rPr>
          <w:sz w:val="20"/>
          <w:szCs w:val="20"/>
          <w:color w:val="auto"/>
        </w:rPr>
      </w:pPr>
    </w:p>
    <w:p>
      <w:pPr>
        <w:ind w:left="344" w:hanging="344"/>
        <w:spacing w:after="0"/>
        <w:tabs>
          <w:tab w:leader="none" w:pos="3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 and Contribution</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jc w:val="both"/>
        <w:ind w:left="4" w:firstLine="1293"/>
        <w:spacing w:after="0" w:line="251" w:lineRule="auto"/>
        <w:tabs>
          <w:tab w:leader="none" w:pos="171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defend and hold harmless the Underwriter, its partners, directors and officers, any person who controls the Underwriter within the meaning of Section 15 of the Act or Section 20 of the Exchange Act, and the successors and assigns of all of the foregoing persons, from and against any loss, damage, expense, liability or claim (including the reasonable cost of investigation) which, jointly or severally, any such Underwriter or any such person may incur under the Act, the Exchange Act, the common law or otherwise, insofar as such loss, damage, expense, liability or claim arises out of or is based upon (i) any untrue statement or alleged untrue statement of a material fact contained in the Registration Statement (or in the Registration Statement as amended by any post-effective amendment thereof by the Company) or arises out of or is based upon any omission or alleged omission to state a material fact required to be stated therein or necessary to make the statements therein not misleading, except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or arises out of or is based upon any omission or alleged omission to state a material fact in the Registration Statement in connection with such information, which material fact was not contained in such information and which material fact was required to be stated in such Registration Statement or was necessary to make such information not misleading or (ii) any untrue statement or alleged untrue statement of a material fact included in any Prospectus (the term Prospectus for the purpose of this Section 8 being deemed to include any Basic Prospectus, the Prospectus Supplement, the Prospectus and any amendments or supplements to the foregoing), in any Permitted Free Writing Prospectus, in any “issuer information” (as defined in Rule 433 under the Act) of the Company or in any Prospectus together with any combination of one or more of the Permitted Free Writing Prospectuses, if any, or arises out of or is based upon any omission or alleged omission to state a material fact necessary in order to make the statements therein, in the light of the circumstances under which they were made, not misleading, except, with respect to such Prospectus or Permitted Free Writing Prospectus,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such Prospectus or Permitted Free Writing Prospectus or arises out of or is based upon any omission or alleged omission to state a material fact in such Prospectus or Permitted Free Writing Prospectus in connection with such information, which material fact was not contained in such information and which material fact was necessary in order to make the statements in such information, in the light of the circumstances under which they were made, not misleading.</w:t>
      </w:r>
    </w:p>
    <w:p>
      <w:pPr>
        <w:spacing w:after="0" w:line="260" w:lineRule="exact"/>
        <w:rPr>
          <w:rFonts w:ascii="Times New Roman" w:cs="Times New Roman" w:eastAsia="Times New Roman" w:hAnsi="Times New Roman"/>
          <w:sz w:val="18"/>
          <w:szCs w:val="18"/>
          <w:color w:val="auto"/>
        </w:rPr>
      </w:pPr>
    </w:p>
    <w:p>
      <w:pPr>
        <w:jc w:val="both"/>
        <w:ind w:left="4" w:firstLine="1293"/>
        <w:spacing w:after="0" w:line="252" w:lineRule="auto"/>
        <w:tabs>
          <w:tab w:leader="none" w:pos="172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 agrees to indemnify, defend and hold harmless the Company, its directors and officers, and any person who controls the Company within the meaning of Section 15 of the Act or Section 20 of the Exchange Act, and the successors and assigns of all of the foregoing persons, from and against any loss, damage, expense, liability or claim (including the reasonable cost of investigation) which, jointly or severally, the Company or any such person may incur under the Act, the Exchange Act, the common law or otherwise, insofar as such loss, damage, expense, liability or claim arises out of or is based upon (i) any untrue statement or alleged untrue statement of a material fact contained in, and in conformity with information concerning the Underwriter furnished in writing by or on behalf of the Underwriter to the Company expressly for use in, the Registration Statement (or in the Registration Statement as amended by any post-effective amendment thereof by the Company), or arises out of or is based upon any omission or alleged omission to state a material fact in such Registration Statement in connection with such information, which material fact was not contained in such information and which material fact was required to be stated in such Registration Statement or was necessary to make such information not misleading or (ii) any untrue statement or alleged untrue statement of a material fact contained in, and in conformity with information concerning the Underwriter furnished in writing by or on behalf of the Underwriter through you to the Company expressly for use in, a Prospectus or a Permitted Free Writing Prospectus, or arises out of or is based upon any omission or alleged omission to state a material fact in such Prospectus or Permitted Free Writing Prospectus in connection with such information, which material fact was not contained in such information and which material fact was necessary in order to make the statements in such information, in the light of the circumstances under which they were made, not misleading.</w:t>
      </w:r>
    </w:p>
    <w:p>
      <w:pPr>
        <w:spacing w:after="0" w:line="251" w:lineRule="exact"/>
        <w:rPr>
          <w:rFonts w:ascii="Times New Roman" w:cs="Times New Roman" w:eastAsia="Times New Roman" w:hAnsi="Times New Roman"/>
          <w:sz w:val="18"/>
          <w:szCs w:val="18"/>
          <w:color w:val="auto"/>
        </w:rPr>
      </w:pPr>
    </w:p>
    <w:p>
      <w:pPr>
        <w:jc w:val="both"/>
        <w:ind w:left="4" w:firstLine="1293"/>
        <w:spacing w:after="0" w:line="254" w:lineRule="auto"/>
        <w:tabs>
          <w:tab w:leader="none" w:pos="173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action, suit or proceeding (each,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is brought against a person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in respect of which indemnity may be sought against the Company or the Underwriter (as applicable,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pursuant to subsection (a) or (b), respectively, of this Section 8, such indemnified party shall promptly notify such indemnifying party in writing of the institution of such Proceeding and such indemnifying party shall assume the defense of such Proceeding, including the employment of counsel reasonably satisfactory to such indemnified party and payment of all fees and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omission to so notify such indemnifying party shall not relieve such indemnifying party from any liability which such indemnifying party may have to any indemnified party or otherwise. The indemnified party or parties shall have the right to employ its or their own counsel in any such case, but the fees and expenses of such counsel shall be at the expense of such indemnified party or parties unless the employment of such counsel shall have been authorized in writing by the indemnifying party in connection with the defense of such Proceeding or the indemnifying party shall not have, within a reasonable period of time in light of the circumstances, employed counsel to defend such Proceeding or such indemnified party or parties shall have reasonably concluded that there may be</w:t>
      </w:r>
    </w:p>
    <w:p>
      <w:pPr>
        <w:sectPr>
          <w:pgSz w:w="11900" w:h="16838" w:orient="portrait"/>
          <w:cols w:equalWidth="0" w:num="1">
            <w:col w:w="10764"/>
          </w:cols>
          <w:pgMar w:left="896" w:top="121" w:right="239" w:bottom="0" w:gutter="0" w:footer="0" w:header="0"/>
        </w:sectPr>
      </w:pPr>
    </w:p>
    <w:bookmarkStart w:id="17" w:name="page18"/>
    <w:bookmarkEnd w:id="17"/>
    <w:p>
      <w:pPr>
        <w:spacing w:after="0" w:line="85"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8"/>
          <w:szCs w:val="18"/>
          <w:color w:val="auto"/>
        </w:rPr>
        <w:t>defenses available to it or them which are different from, additional to or in conflict with those available to such indemnifying party (in which case such indemnifying party shall not have the right to direct the defense of such Proceeding on behalf of the indemnified party or parties), in any of which events such fees and expenses shall be borne by such indemnifying party and paid as incurred (it being understood, however, that such indemnifying party shall not be liable for the expenses of more than one separate counsel (in addition to any local counsel) in any one Proceeding or series of related Proceedings in the same jurisdiction representing the indemnified parties who are parties to such Proceeding). The indemnifying party shall not be liable for any settlement of any Proceeding effected without its written consent, such consent not to be unreasonably withheld, but, if settled with its written consent, such indemnifying party agrees to indemnify and hold harmless the indemnified party or parties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Section 8(c),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fully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or culpability or a failure to act by or on behalf of such indemnified party.</w:t>
      </w:r>
    </w:p>
    <w:p>
      <w:pPr>
        <w:spacing w:after="0" w:line="249" w:lineRule="exact"/>
        <w:rPr>
          <w:sz w:val="20"/>
          <w:szCs w:val="20"/>
          <w:color w:val="auto"/>
        </w:rPr>
      </w:pPr>
    </w:p>
    <w:p>
      <w:pPr>
        <w:jc w:val="both"/>
        <w:ind w:left="4" w:firstLine="1293"/>
        <w:spacing w:after="0" w:line="252" w:lineRule="auto"/>
        <w:tabs>
          <w:tab w:leader="none" w:pos="172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8 is unavailable to an indemnified party under subsections (a) and (b) of this Section 8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 (i) in such proportion as is appropriate to reflect the relative benefits received by the Company on the one hand and the Underwriter on the other hand from the offering of the Shares or (ii) if the allocation provided by clause (i) above is not permitted by applicable law, in such proportion as is appropriate to reflect not only the relative benefits referred to in clause (i) above but also the relative fault of the Company on the one hand and of the Underwriter on the other in connection with the statements or omissions which resulted in such losses, damages, expenses, liabilities or claims, as well as any other relevant equitable considerations. The relative benefits received by the Company on the one hand and the Underwriter on the other shall be deemed to be in the same respective proportions as the total proceeds from the offering (net of underwriting discounts and commissions but before deducting expenses) received by the Company, and the total underwriting discounts and commissions received by the Underwriter, bear to the aggregate public offering price of the Shares. The relative fault of the Company on the one hand and of the Underwriter on the other shall be determined by reference to, among other things, whether the untrue statement or alleged untrue statement of a material fact or omission or alleged omission relates to information supplied by the Company or by the Underwriter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pacing w:after="0" w:line="250" w:lineRule="exact"/>
        <w:rPr>
          <w:rFonts w:ascii="Times New Roman" w:cs="Times New Roman" w:eastAsia="Times New Roman" w:hAnsi="Times New Roman"/>
          <w:sz w:val="18"/>
          <w:szCs w:val="18"/>
          <w:color w:val="auto"/>
        </w:rPr>
      </w:pPr>
    </w:p>
    <w:p>
      <w:pPr>
        <w:jc w:val="both"/>
        <w:ind w:left="4" w:firstLine="1293"/>
        <w:spacing w:after="0" w:line="255" w:lineRule="auto"/>
        <w:tabs>
          <w:tab w:leader="none" w:pos="173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Underwriter agree that it would not be just and equitable if contribution pursuant to this Section 8 were determined by pro rata allocation or by any other method of allocation that does not take account of the equitable considerations referred to in subsection (d) above. Notwithstanding the provisions of this Section 8, the Underwriter shall not be required to contribute any amount in excess of the amount by which the total price at which the Shares underwritten by the Underwriter and distributed to the public were offered to the public exceeds the amount of any damage which the Underwriter has otherwise been required to pay by reason of such untrue statement or alleged untrue statement or omission or alleged omission. No person guilty of fraudulent misrepresentation (within the meaning of Section 11(f) of the Act) shall be entitled to contribution from any person who was not guilty of such fraudulent misrepresentation.</w:t>
      </w:r>
    </w:p>
    <w:p>
      <w:pPr>
        <w:spacing w:after="0" w:line="243" w:lineRule="exact"/>
        <w:rPr>
          <w:rFonts w:ascii="Times New Roman" w:cs="Times New Roman" w:eastAsia="Times New Roman" w:hAnsi="Times New Roman"/>
          <w:sz w:val="18"/>
          <w:szCs w:val="18"/>
          <w:color w:val="auto"/>
        </w:rPr>
      </w:pPr>
    </w:p>
    <w:p>
      <w:pPr>
        <w:jc w:val="both"/>
        <w:ind w:left="4" w:firstLine="1293"/>
        <w:spacing w:after="0" w:line="254" w:lineRule="auto"/>
        <w:tabs>
          <w:tab w:leader="none" w:pos="16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and contribution agreements contained in this Section 8 and the covenants, warranties and representations of the Company contained in this Agreement shall remain in full force and effect regardless of any investigation made by or on behalf of the Underwriter, its partners, directors or officers or any person (including each partner, director or officer of such person) who controls the Underwriter within the meaning of Section 15 of the Act or Section 20 of the Exchange Act, or by or on behalf of the Company, its directors or officers or any person who controls the Company within the meaning of Section 15 of the Act or Section 20 of the Exchange Act, and shall survive any termination of this Agreement or the issuance and delivery of the Shares. The Company and the Underwriter agree promptly to notify each other of the commencement of any Proceeding against it and, in the case of the Company, against any of the Company’s officers or directors in connection with the issuance and sale of the Shares, or in connection with the Registration Statement, any Basic Prospectus, the Prospectus or any Permitted Free Writing Prospectus.</w:t>
      </w:r>
    </w:p>
    <w:p>
      <w:pPr>
        <w:spacing w:after="0" w:line="243" w:lineRule="exact"/>
        <w:rPr>
          <w:rFonts w:ascii="Times New Roman" w:cs="Times New Roman" w:eastAsia="Times New Roman" w:hAnsi="Times New Roman"/>
          <w:sz w:val="18"/>
          <w:szCs w:val="18"/>
          <w:color w:val="auto"/>
        </w:rPr>
      </w:pPr>
    </w:p>
    <w:p>
      <w:pPr>
        <w:jc w:val="both"/>
        <w:ind w:left="4" w:hanging="4"/>
        <w:spacing w:after="0" w:line="239" w:lineRule="auto"/>
        <w:tabs>
          <w:tab w:leader="none" w:pos="3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herein provided, all statements, requests, notices and agreements shall be in writing or by telegram or facsimile and, if to the Underwriter, shall be sufficient in all respects if delivered or sent to Goldman, Sachs &amp; Co., One New York Plaza, 42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8"/>
          <w:szCs w:val="18"/>
          <w:color w:val="auto"/>
        </w:rPr>
        <w:t xml:space="preserve"> Floor, New York, New York 10004, Attention: Registration Department; and if to the Company, shall be sufficient in all respects if delivered or sent to the Company at the offices of the Company at 2111 N. Molter Road, Liberty Lake, Washington 99019, Attention: John W. Holleran, Senior Vice President, General Counsel and Corporate Secretary.</w:t>
      </w:r>
    </w:p>
    <w:p>
      <w:pPr>
        <w:spacing w:after="0" w:line="226"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230" w:lineRule="exact"/>
        <w:rPr>
          <w:sz w:val="20"/>
          <w:szCs w:val="20"/>
          <w:color w:val="auto"/>
        </w:rPr>
      </w:pPr>
    </w:p>
    <w:p>
      <w:pPr>
        <w:jc w:val="both"/>
        <w:ind w:left="4" w:hanging="4"/>
        <w:spacing w:after="0" w:line="266" w:lineRule="auto"/>
        <w:tabs>
          <w:tab w:leader="none" w:pos="4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Construction</w:t>
      </w:r>
      <w:r>
        <w:rPr>
          <w:rFonts w:ascii="Times New Roman" w:cs="Times New Roman" w:eastAsia="Times New Roman" w:hAnsi="Times New Roman"/>
          <w:sz w:val="18"/>
          <w:szCs w:val="18"/>
          <w:color w:val="auto"/>
        </w:rPr>
        <w:t>. This Agreement and any claim, counterclaim or dispute of any kind or nature whatsoever arising out of or in any way relating to this Agreement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directly or indirectly, shall be governed by, and construed in accordance with, the laws of the State of New York. The section headings in this Agreement have been inserted as a matter of convenience of reference and are not a part of this Agreement.</w:t>
      </w:r>
    </w:p>
    <w:p>
      <w:pPr>
        <w:spacing w:after="0" w:line="230"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4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the Company consents to the jurisdiction of such courts and personal service with respect thereto. The Company hereby consents to personal jurisdiction, service and venue in any court in which any Claim arising out of or in any way relating to this Agreement is brought by any third party against the Underwriter or any indemnified party. The Underwriter and the Company (on its behalf and, to the extent permitted by applicable law, on behalf of its shareholders and affiliates) waives all right to trial by jury in any action, proceeding or counterclaim (whether based upon contract, tort or otherwise) in any way arising out of or relating to this Agreement. The Company agrees that a final judgment in any such action, proceeding or counterclaim brought in any such court shall be</w:t>
      </w:r>
    </w:p>
    <w:p>
      <w:pPr>
        <w:sectPr>
          <w:pgSz w:w="11900" w:h="16923" w:orient="portrait"/>
          <w:cols w:equalWidth="0" w:num="1">
            <w:col w:w="10764"/>
          </w:cols>
          <w:pgMar w:left="896" w:top="121" w:right="239" w:bottom="0" w:gutter="0" w:footer="0" w:header="0"/>
        </w:sectPr>
      </w:pPr>
    </w:p>
    <w:bookmarkStart w:id="18" w:name="page19"/>
    <w:bookmarkEnd w:id="18"/>
    <w:p>
      <w:pPr>
        <w:ind w:left="660" w:right="20"/>
        <w:spacing w:after="0" w:line="282" w:lineRule="auto"/>
        <w:rPr>
          <w:sz w:val="20"/>
          <w:szCs w:val="20"/>
          <w:color w:val="auto"/>
        </w:rPr>
      </w:pPr>
      <w:r>
        <w:rPr>
          <w:rFonts w:ascii="Times New Roman" w:cs="Times New Roman" w:eastAsia="Times New Roman" w:hAnsi="Times New Roman"/>
          <w:sz w:val="18"/>
          <w:szCs w:val="18"/>
          <w:color w:val="auto"/>
        </w:rPr>
        <w:t>conclusive and binding upon the Company and may be enforced in any other courts to the jurisdiction of which the Company or is or may be subject, by suit upon such judgment.</w:t>
      </w:r>
    </w:p>
    <w:p>
      <w:pPr>
        <w:spacing w:after="0" w:line="216" w:lineRule="exact"/>
        <w:rPr>
          <w:sz w:val="20"/>
          <w:szCs w:val="20"/>
          <w:color w:val="auto"/>
        </w:rPr>
      </w:pPr>
    </w:p>
    <w:p>
      <w:pPr>
        <w:jc w:val="both"/>
        <w:ind w:left="660" w:hanging="4"/>
        <w:spacing w:after="0" w:line="261" w:lineRule="auto"/>
        <w:tabs>
          <w:tab w:leader="none" w:pos="11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Parties at Interest</w:t>
      </w:r>
      <w:r>
        <w:rPr>
          <w:rFonts w:ascii="Times New Roman" w:cs="Times New Roman" w:eastAsia="Times New Roman" w:hAnsi="Times New Roman"/>
          <w:sz w:val="18"/>
          <w:szCs w:val="18"/>
          <w:color w:val="auto"/>
        </w:rPr>
        <w:t>. The Agreement herein set forth has been and is made solely for the benefit of the Underwriter and the Company and to the extent provided in Section 8 hereof the controlling persons, partners, directors and officers referred to in such Section, and their respective successors, assigns, heirs, personal representatives and executors and administrators. No other person, partnership, association or corporation (including a purchaser, as such purchaser, from the Underwriter) shall acquire or have any right under or by virtue of this Agreement.</w:t>
      </w:r>
    </w:p>
    <w:p>
      <w:pPr>
        <w:spacing w:after="0" w:line="234"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11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Fiduciary Relationship</w:t>
      </w:r>
      <w:r>
        <w:rPr>
          <w:rFonts w:ascii="Times New Roman" w:cs="Times New Roman" w:eastAsia="Times New Roman" w:hAnsi="Times New Roman"/>
          <w:sz w:val="18"/>
          <w:szCs w:val="18"/>
          <w:color w:val="auto"/>
        </w:rPr>
        <w:t>. The Company hereby acknowledges that the Underwriter is acting solely as underwriter in connection with the purchase and sale of the Company’s securities. The Company further acknowledges that the Underwriter are acting pursuant to a contractual relationship created solely by this Agreement entered into on an arm’s length basis, and in no event do the parties intend that the Underwriter act or be responsible as a fiduciary to the Company, its management, shareholders or creditors or any other person in connection with any activity that the Underwriter may undertake or has undertaken in furtherance of the purchase and sale of the Company’s securities, either before or after the date hereof. The Underwriter hereby expressly disclaims any fiduciary or similar obligations to the Company, either in connection with the transactions contemplated by this Agreement or any matters leading up to such transactions, and the Company hereby confirms its understanding and agreement to that effect. The Company and the Underwriter agree that they are each responsible for making their own independent judgments with respect to any such transactions and that any opinions or views expressed by the Underwriter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the Underwriter with respect to any breach or alleged breach of any fiduciary or similar duty to the Company in connection with the transactions contemplated by this Agreement or any matters leading up to such transactions.</w:t>
      </w:r>
    </w:p>
    <w:p>
      <w:pPr>
        <w:spacing w:after="0" w:line="242" w:lineRule="exact"/>
        <w:rPr>
          <w:rFonts w:ascii="Times New Roman" w:cs="Times New Roman" w:eastAsia="Times New Roman" w:hAnsi="Times New Roman"/>
          <w:sz w:val="18"/>
          <w:szCs w:val="18"/>
          <w:color w:val="auto"/>
        </w:rPr>
      </w:pPr>
    </w:p>
    <w:p>
      <w:pPr>
        <w:ind w:left="660" w:hanging="4"/>
        <w:spacing w:after="0" w:line="282" w:lineRule="auto"/>
        <w:tabs>
          <w:tab w:leader="none" w:pos="11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by the parties in one or more counterparts which together shall constitute one and the same agreement among the parties.</w:t>
      </w:r>
    </w:p>
    <w:p>
      <w:pPr>
        <w:spacing w:after="0" w:line="215" w:lineRule="exact"/>
        <w:rPr>
          <w:rFonts w:ascii="Times New Roman" w:cs="Times New Roman" w:eastAsia="Times New Roman" w:hAnsi="Times New Roman"/>
          <w:sz w:val="18"/>
          <w:szCs w:val="18"/>
          <w:color w:val="auto"/>
        </w:rPr>
      </w:pPr>
    </w:p>
    <w:p>
      <w:pPr>
        <w:ind w:left="660" w:hanging="4"/>
        <w:spacing w:after="0" w:line="282" w:lineRule="auto"/>
        <w:tabs>
          <w:tab w:leader="none" w:pos="11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the Underwriter and the Company and their successors and assigns and any successor or assign of any substantial portion of the Company’s and the Underwriter’s respective businesses and/or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Remainder of This Page Intentionally Left Blank; 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the Underwriter, please so indicate in the space provided below for that purpose, whereupon this Agreement and your acceptance shall constitute a binding agreement between the Company and the Underwriter.</w:t>
      </w:r>
    </w:p>
    <w:p>
      <w:pPr>
        <w:spacing w:after="0" w:line="18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TRON</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/s/Steven M. Helmbrecht</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Name: Steven M. Helmbrecht</w:t>
      </w:r>
    </w:p>
    <w:p>
      <w:pPr>
        <w:spacing w:after="0" w:line="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Title: Senior V.P.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569595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513"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auto"/>
        </w:rPr>
        <w:t>Accepted and agreed to as of the date first above written, on behalf of itself</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OLDMAN</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ACHS</w:t>
      </w:r>
      <w:r>
        <w:rPr>
          <w:rFonts w:ascii="Times New Roman" w:cs="Times New Roman" w:eastAsia="Times New Roman" w:hAnsi="Times New Roman"/>
          <w:sz w:val="18"/>
          <w:szCs w:val="18"/>
          <w:color w:val="auto"/>
        </w:rPr>
        <w:t xml:space="preserve"> &amp; C</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right"/>
        <w:ind w:right="7419"/>
        <w:spacing w:after="0"/>
        <w:rPr>
          <w:sz w:val="20"/>
          <w:szCs w:val="20"/>
          <w:color w:val="auto"/>
        </w:rPr>
      </w:pP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u w:val="single" w:color="auto"/>
          <w:color w:val="auto"/>
        </w:rPr>
        <w:t>/s/ Goldman, Sachs &amp; Co.</w:t>
      </w:r>
    </w:p>
    <w:p>
      <w:pPr>
        <w:spacing w:after="0" w:line="39" w:lineRule="exact"/>
        <w:rPr>
          <w:sz w:val="20"/>
          <w:szCs w:val="20"/>
          <w:color w:val="auto"/>
        </w:rPr>
      </w:pPr>
    </w:p>
    <w:p>
      <w:pPr>
        <w:jc w:val="right"/>
        <w:ind w:right="7459"/>
        <w:spacing w:after="0"/>
        <w:rPr>
          <w:sz w:val="20"/>
          <w:szCs w:val="20"/>
          <w:color w:val="auto"/>
        </w:rPr>
      </w:pPr>
      <w:r>
        <w:rPr>
          <w:rFonts w:ascii="Times New Roman" w:cs="Times New Roman" w:eastAsia="Times New Roman" w:hAnsi="Times New Roman"/>
          <w:sz w:val="18"/>
          <w:szCs w:val="18"/>
          <w:color w:val="auto"/>
        </w:rPr>
        <w:t>(Goldman, Sachs &amp; Co.)</w:t>
      </w:r>
    </w:p>
    <w:p>
      <w:pPr>
        <w:sectPr>
          <w:pgSz w:w="11900" w:h="16838" w:orient="portrait"/>
          <w:cols w:equalWidth="0" w:num="1">
            <w:col w:w="9559"/>
          </w:cols>
          <w:pgMar w:left="900" w:top="513" w:right="1440"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Relating to Item 14 – Other Expenses of Issuance and Distribution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expenses to be paid by Itron, Inc. (the Company) in connection with the issuance and distribution of the Company's common stock being offered pursuant to the shelf registration statement, File No. 333-133026 (the Registration Statement), and a prospectus supplement dated May 6, 2008 (the Prospectus Supplement), other than underwriting discounts and commission, are set forth in the following table. All amounts are estimated except the Securities and Exchange Commission registration fee.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Listing fees</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Blue sky fees and expenses</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41"/>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Legal and accounting fees and expenses</w:t>
            </w:r>
          </w:p>
        </w:tc>
        <w:tc>
          <w:tcPr>
            <w:tcW w:w="1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420,271</w:t>
            </w:r>
          </w:p>
        </w:tc>
      </w:tr>
      <w:tr>
        <w:trPr>
          <w:trHeight w:val="216"/>
        </w:trPr>
        <w:tc>
          <w:tcPr>
            <w:tcW w:w="6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1"/>
        </w:trPr>
        <w:tc>
          <w:tcPr>
            <w:tcW w:w="6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Letter"/>
      <w:start w:val="4"/>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3"/>
    </w:lvl>
    <w:lvl w:ilvl="1">
      <w:lvlJc w:val="left"/>
      <w:lvlText w:val="(%2)"/>
      <w:numFmt w:val="lowerLetter"/>
      <w:start w:val="1"/>
    </w:lvl>
  </w:abstractNum>
  <w:abstractNum w:abstractNumId="4">
    <w:nsid w:val="DED7263"/>
    <w:multiLevelType w:val="hybridMultilevel"/>
    <w:lvl w:ilvl="0">
      <w:lvlJc w:val="left"/>
      <w:lvlText w:val="%1"/>
      <w:numFmt w:val="upperLetter"/>
      <w:start w:val="1"/>
    </w:lvl>
    <w:lvl w:ilvl="1">
      <w:lvlJc w:val="left"/>
      <w:lvlText w:val="(%2)"/>
      <w:numFmt w:val="lowerLetter"/>
      <w:start w:val="6"/>
    </w:lvl>
  </w:abstractNum>
  <w:abstractNum w:abstractNumId="5">
    <w:nsid w:val="7FDCC233"/>
    <w:multiLevelType w:val="hybridMultilevel"/>
    <w:lvl w:ilvl="0">
      <w:lvlJc w:val="left"/>
      <w:lvlText w:val="(%1)"/>
      <w:numFmt w:val="upperLetter"/>
      <w:start w:val="1"/>
    </w:lvl>
    <w:lvl w:ilvl="1">
      <w:lvlJc w:val="left"/>
      <w:lvlText w:val="(%2)"/>
      <w:numFmt w:val="lowerLetter"/>
      <w:start w:val="13"/>
    </w:lvl>
  </w:abstractNum>
  <w:abstractNum w:abstractNumId="6">
    <w:nsid w:val="1BEFD79F"/>
    <w:multiLevelType w:val="hybridMultilevel"/>
    <w:lvl w:ilvl="0">
      <w:lvlJc w:val="left"/>
      <w:lvlText w:val="(%1)"/>
      <w:numFmt w:val="lowerLetter"/>
      <w:start w:val="14"/>
    </w:lvl>
  </w:abstractNum>
  <w:abstractNum w:abstractNumId="7">
    <w:nsid w:val="41A7C4C9"/>
    <w:multiLevelType w:val="hybridMultilevel"/>
    <w:lvl w:ilvl="0">
      <w:lvlJc w:val="left"/>
      <w:lvlText w:val="(%1)"/>
      <w:numFmt w:val="lowerLetter"/>
      <w:start w:val="21"/>
    </w:lvl>
  </w:abstractNum>
  <w:abstractNum w:abstractNumId="8">
    <w:nsid w:val="6B68079A"/>
    <w:multiLevelType w:val="hybridMultilevel"/>
    <w:lvl w:ilvl="0">
      <w:lvlJc w:val="left"/>
      <w:lvlText w:val="(%1)"/>
      <w:numFmt w:val="lowerLetter"/>
      <w:start w:val="27"/>
    </w:lvl>
  </w:abstractNum>
  <w:abstractNum w:abstractNumId="9">
    <w:nsid w:val="4E6AFB66"/>
    <w:multiLevelType w:val="hybridMultilevel"/>
    <w:lvl w:ilvl="0">
      <w:lvlJc w:val="left"/>
      <w:lvlText w:val="(%1)"/>
      <w:numFmt w:val="lowerLetter"/>
      <w:start w:val="28"/>
    </w:lvl>
  </w:abstractNum>
  <w:abstractNum w:abstractNumId="10">
    <w:nsid w:val="25E45D32"/>
    <w:multiLevelType w:val="hybridMultilevel"/>
    <w:lvl w:ilvl="0">
      <w:lvlJc w:val="left"/>
      <w:lvlText w:val="(%1)"/>
      <w:numFmt w:val="lowerLetter"/>
      <w:start w:val="36"/>
    </w:lvl>
  </w:abstractNum>
  <w:abstractNum w:abstractNumId="11">
    <w:nsid w:val="519B500D"/>
    <w:multiLevelType w:val="hybridMultilevel"/>
    <w:lvl w:ilvl="0">
      <w:lvlJc w:val="left"/>
      <w:lvlText w:val="%1."/>
      <w:numFmt w:val="decimal"/>
      <w:start w:val="4"/>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lowerLetter"/>
      <w:start w:val="8"/>
    </w:lvl>
  </w:abstractNum>
  <w:abstractNum w:abstractNumId="14">
    <w:nsid w:val="7C83E458"/>
    <w:multiLevelType w:val="hybridMultilevel"/>
    <w:lvl w:ilvl="0">
      <w:lvlJc w:val="left"/>
      <w:lvlText w:val="(%1)"/>
      <w:numFmt w:val="decimal"/>
      <w:start w:val="16"/>
    </w:lvl>
    <w:lvl w:ilvl="1">
      <w:lvlJc w:val="left"/>
      <w:lvlText w:val="(%2)"/>
      <w:numFmt w:val="lowerLetter"/>
      <w:start w:val="17"/>
    </w:lvl>
  </w:abstractNum>
  <w:abstractNum w:abstractNumId="15">
    <w:nsid w:val="257130A3"/>
    <w:multiLevelType w:val="hybridMultilevel"/>
    <w:lvl w:ilvl="0">
      <w:lvlJc w:val="left"/>
      <w:lvlText w:val="%1."/>
      <w:numFmt w:val="decimal"/>
      <w:start w:val="5"/>
    </w:lvl>
    <w:lvl w:ilvl="1">
      <w:lvlJc w:val="left"/>
      <w:lvlText w:val="(%2)"/>
      <w:numFmt w:val="lowerLetter"/>
      <w:start w:val="1"/>
    </w:lvl>
  </w:abstractNum>
  <w:abstractNum w:abstractNumId="16">
    <w:nsid w:val="62BBD95A"/>
    <w:multiLevelType w:val="hybridMultilevel"/>
    <w:lvl w:ilvl="0">
      <w:lvlJc w:val="left"/>
      <w:lvlText w:val="(%1)"/>
      <w:numFmt w:val="lowerLetter"/>
      <w:start w:val="4"/>
    </w:lvl>
  </w:abstractNum>
  <w:abstractNum w:abstractNumId="17">
    <w:nsid w:val="436C6125"/>
    <w:multiLevelType w:val="hybridMultilevel"/>
    <w:lvl w:ilvl="0">
      <w:lvlJc w:val="left"/>
      <w:lvlText w:val="%1."/>
      <w:numFmt w:val="decimal"/>
      <w:start w:val="7"/>
    </w:lvl>
  </w:abstractNum>
  <w:abstractNum w:abstractNumId="18">
    <w:nsid w:val="628C895D"/>
    <w:multiLevelType w:val="hybridMultilevel"/>
    <w:lvl w:ilvl="0">
      <w:lvlJc w:val="left"/>
      <w:lvlText w:val="%1."/>
      <w:numFmt w:val="decimal"/>
      <w:start w:val="8"/>
    </w:lvl>
    <w:lvl w:ilvl="1">
      <w:lvlJc w:val="left"/>
      <w:lvlText w:val="(%2)"/>
      <w:numFmt w:val="lowerLetter"/>
      <w:start w:val="1"/>
    </w:lvl>
  </w:abstractNum>
  <w:abstractNum w:abstractNumId="19">
    <w:nsid w:val="333AB105"/>
    <w:multiLevelType w:val="hybridMultilevel"/>
    <w:lvl w:ilvl="0">
      <w:lvlJc w:val="left"/>
      <w:lvlText w:val="%1"/>
      <w:numFmt w:val="decimal"/>
      <w:start w:val="1"/>
    </w:lvl>
    <w:lvl w:ilvl="1">
      <w:lvlJc w:val="left"/>
      <w:lvlText w:val="(%2)"/>
      <w:numFmt w:val="lowerLetter"/>
      <w:start w:val="4"/>
    </w:lvl>
  </w:abstractNum>
  <w:abstractNum w:abstractNumId="20">
    <w:nsid w:val="721DA317"/>
    <w:multiLevelType w:val="hybridMultilevel"/>
    <w:lvl w:ilvl="0">
      <w:lvlJc w:val="left"/>
      <w:lvlText w:val="%1."/>
      <w:numFmt w:val="decimal"/>
      <w:start w:val="9"/>
    </w:lvl>
    <w:lvl w:ilvl="1">
      <w:lvlJc w:val="left"/>
      <w:lvlText w:val="%2"/>
      <w:numFmt w:val="lowerLetter"/>
      <w:start w:val="1"/>
    </w:lvl>
  </w:abstractNum>
  <w:abstractNum w:abstractNumId="21">
    <w:nsid w:val="2443A858"/>
    <w:multiLevelType w:val="hybridMultilevel"/>
    <w:lvl w:ilvl="0">
      <w:lvlJc w:val="left"/>
      <w:lvlText w:val="%1."/>
      <w:numFmt w:val="decimal"/>
      <w:start w:val="10"/>
    </w:lvl>
  </w:abstractNum>
  <w:abstractNum w:abstractNumId="22">
    <w:nsid w:val="2D1D5AE9"/>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2019-12-13T15:39:50Z</dcterms:created>
  <dcterms:modified xsi:type="dcterms:W3CDTF">2019-12-13T15:39:50Z</dcterms:modified>
</cp:coreProperties>
</file>