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September 19, 2024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-140335</wp:posOffset>
            </wp:positionV>
            <wp:extent cx="2065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1" w:lineRule="exact"/>
        <w:rPr>
          <w:sz w:val="24"/>
          <w:szCs w:val="24"/>
          <w:color w:val="auto"/>
        </w:rPr>
      </w:pPr>
    </w:p>
    <w:tbl>
      <w:tblPr>
        <w:tblLayout w:type="fixed"/>
        <w:tblInd w:w="1280" w:type="dxa"/>
        <w:tblCellMar>
          <w:top w:w="0" w:type="dxa"/>
          <w:left w:w="0" w:type="dxa"/>
          <w:bottom w:w="0" w:type="dxa"/>
          <w:right w:w="0" w:type="dxa"/>
        </w:tblCellMar>
      </w:tblPr>
      <w:tr>
        <w:trPr>
          <w:trHeight w:val="266"/>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000-22418</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190"/>
        </w:trPr>
        <w:tc>
          <w:tcPr>
            <w:tcW w:w="28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ind w:right="421"/>
              <w:spacing w:after="0" w:line="19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File Number)</w:t>
            </w:r>
          </w:p>
        </w:tc>
        <w:tc>
          <w:tcPr>
            <w:tcW w:w="50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8"/>
              </w:rPr>
              <w:t>Identification No.)</w:t>
            </w:r>
          </w:p>
        </w:tc>
      </w:tr>
      <w:tr>
        <w:trPr>
          <w:trHeight w:val="364"/>
        </w:trPr>
        <w:tc>
          <w:tcPr>
            <w:tcW w:w="3040" w:type="dxa"/>
            <w:vAlign w:val="bottom"/>
            <w:gridSpan w:val="2"/>
          </w:tcPr>
          <w:p>
            <w:pPr>
              <w:ind w:left="1220"/>
              <w:spacing w:after="0"/>
              <w:rPr>
                <w:sz w:val="20"/>
                <w:szCs w:val="20"/>
                <w:color w:val="auto"/>
              </w:rPr>
            </w:pPr>
            <w:r>
              <w:rPr>
                <w:rFonts w:ascii="Times New Roman" w:cs="Times New Roman" w:eastAsia="Times New Roman" w:hAnsi="Times New Roman"/>
                <w:sz w:val="20"/>
                <w:szCs w:val="20"/>
                <w:b w:val="1"/>
                <w:bCs w:val="1"/>
                <w:color w:val="auto"/>
              </w:rPr>
              <w:t>2111 N. Molter Road</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20"/>
                <w:szCs w:val="20"/>
                <w:b w:val="1"/>
                <w:bCs w:val="1"/>
                <w:color w:val="auto"/>
              </w:rPr>
              <w:t>Liberty Lake,</w:t>
            </w:r>
          </w:p>
        </w:tc>
        <w:tc>
          <w:tcPr>
            <w:tcW w:w="5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WA</w:t>
            </w:r>
          </w:p>
        </w:tc>
        <w:tc>
          <w:tcPr>
            <w:tcW w:w="2240" w:type="dxa"/>
            <w:vAlign w:val="bottom"/>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5080</wp:posOffset>
            </wp:positionV>
            <wp:extent cx="5023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4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185420</wp:posOffset>
            </wp:positionV>
            <wp:extent cx="5117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35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Securities Act (17 CFR 230.425)</w:t>
      </w:r>
    </w:p>
    <w:p>
      <w:pPr>
        <w:spacing w:after="0" w:line="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153" w:lineRule="exact"/>
        <w:rPr>
          <w:sz w:val="24"/>
          <w:szCs w:val="24"/>
          <w:color w:val="auto"/>
        </w:rPr>
      </w:pPr>
    </w:p>
    <w:p>
      <w:pPr>
        <w:jc w:val="both"/>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ind w:left="1300" w:right="1220" w:hanging="1295"/>
        <w:spacing w:after="0" w:line="313" w:lineRule="auto"/>
        <w:rPr>
          <w:sz w:val="20"/>
          <w:szCs w:val="20"/>
          <w:color w:val="auto"/>
        </w:rPr>
      </w:pPr>
      <w:r>
        <w:rPr>
          <w:rFonts w:ascii="Times New Roman" w:cs="Times New Roman" w:eastAsia="Times New Roman" w:hAnsi="Times New Roman"/>
          <w:sz w:val="20"/>
          <w:szCs w:val="20"/>
          <w:b w:val="1"/>
          <w:bCs w:val="1"/>
          <w:color w:val="auto"/>
        </w:rPr>
        <w:t xml:space="preserve">Item 5.02 </w:t>
      </w:r>
      <w:r>
        <w:rPr>
          <w:rFonts w:ascii="Times New Roman" w:cs="Times New Roman" w:eastAsia="Times New Roman" w:hAnsi="Times New Roman"/>
          <w:sz w:val="21"/>
          <w:szCs w:val="21"/>
          <w:b w:val="1"/>
          <w:bCs w:val="1"/>
          <w:color w:val="auto"/>
        </w:rPr>
        <w:t>Departure of Directors or Certain Officers; Election of Directors; Appointment of Certain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b w:val="1"/>
          <w:bCs w:val="1"/>
          <w:color w:val="auto"/>
        </w:rPr>
        <w:t>Compensatory Arrangements of Certain Officers</w:t>
      </w:r>
      <w:r>
        <w:rPr>
          <w:rFonts w:ascii="Times New Roman" w:cs="Times New Roman" w:eastAsia="Times New Roman" w:hAnsi="Times New Roman"/>
          <w:sz w:val="19"/>
          <w:szCs w:val="19"/>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Appointment of Chief Accounting Officer</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September 19, 2024, the Board of Directors of Itron, Inc. (Itron or the Company) approved the appointment of David M. Wright, 54, as the Company’s Vice President, Corporate Controller &amp; Chief Accounting Officer. Among other duties, Mr. Wright will have the duties and responsibilities of the “principal accounting officer” of the Company for purposes of the Securities Act of 1933 and the Securities Exchange Act of 1934. Until Mr. Wright’s appointment, the duties and responsibilities of the “principal accounting officer” were held by Joan S. Hooper, Itron’s Senior Vice President and Chief Financial Officer.</w:t>
      </w:r>
    </w:p>
    <w:p>
      <w:pPr>
        <w:spacing w:after="0" w:line="2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Mr. Wright rejoined the Company in September 2018 and has served as Vice President and Corporate Controller since May 2019. He is a Certified Public Accountant licensed in the State of Washington.</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There was no new material plan, contract, or arrangement between Mr. Wright and the Company in connection with his appointment as Chief Accounting Officer.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There are no arrangements or understandings between Mr. Wright and any other persons pursuant to which Mr. Wright was appointed to serve as Chief Accounting Officer. There are no family relationships between Mr. Wright and any director or executive officer of the Company, and there are no transactions between Mr. Wright and the Company that would be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Approval of Share Repurchase Program</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Effective September 19, 2024, Itron’s Board of Directors authorized a new share repurchase program of up to $100 million of Itron’s common stock over an 18-month period.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ITRON, INC.</w:t>
            </w:r>
          </w:p>
        </w:tc>
        <w:tc>
          <w:tcPr>
            <w:tcW w:w="6240" w:type="dxa"/>
            <w:vAlign w:val="bottom"/>
          </w:tcPr>
          <w:p>
            <w:pPr>
              <w:spacing w:after="0"/>
              <w:rPr>
                <w:sz w:val="22"/>
                <w:szCs w:val="22"/>
                <w:color w:val="auto"/>
              </w:rPr>
            </w:pPr>
          </w:p>
        </w:tc>
      </w:tr>
      <w:tr>
        <w:trPr>
          <w:trHeight w:val="487"/>
        </w:trPr>
        <w:tc>
          <w:tcPr>
            <w:tcW w:w="494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JOAN S. HOOPER</w:t>
            </w:r>
          </w:p>
        </w:tc>
      </w:tr>
      <w:tr>
        <w:trPr>
          <w:trHeight w:val="24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Dated: September 23, 2024</w:t>
            </w: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Joan S. Hooper</w:t>
            </w:r>
          </w:p>
        </w:tc>
      </w:tr>
      <w:tr>
        <w:trPr>
          <w:trHeight w:val="258"/>
        </w:trPr>
        <w:tc>
          <w:tcPr>
            <w:tcW w:w="4940" w:type="dxa"/>
            <w:vAlign w:val="bottom"/>
          </w:tcPr>
          <w:p>
            <w:pPr>
              <w:spacing w:after="0"/>
              <w:rPr>
                <w:sz w:val="22"/>
                <w:szCs w:val="22"/>
                <w:color w:val="auto"/>
              </w:rPr>
            </w:pPr>
          </w:p>
        </w:tc>
        <w:tc>
          <w:tcPr>
            <w:tcW w:w="6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2024-09-23T15:28:02Z</dcterms:created>
  <dcterms:modified xsi:type="dcterms:W3CDTF">2024-09-23T15:28:02Z</dcterms:modified>
</cp:coreProperties>
</file>