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46990</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15"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53"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13" w:lineRule="exact"/>
        <w:rPr>
          <w:sz w:val="24"/>
          <w:szCs w:val="24"/>
          <w:color w:val="auto"/>
        </w:rPr>
      </w:pPr>
    </w:p>
    <w:tbl>
      <w:tblPr>
        <w:tblLayout w:type="fixed"/>
        <w:tblInd w:w="8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Arial" w:cs="Arial" w:eastAsia="Arial" w:hAnsi="Arial"/>
                <w:sz w:val="14"/>
                <w:szCs w:val="14"/>
                <w:b w:val="1"/>
                <w:bCs w:val="1"/>
                <w:color w:val="auto"/>
                <w:w w:val="91"/>
              </w:rPr>
              <w:t>(Address and telephone number of registrant's principal executive offices)</w:t>
            </w:r>
          </w:p>
        </w:tc>
      </w:tr>
      <w:tr>
        <w:trPr>
          <w:trHeight w:val="458"/>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Arial" w:cs="Arial" w:eastAsia="Arial" w:hAnsi="Arial"/>
                <w:sz w:val="18"/>
                <w:szCs w:val="18"/>
                <w:b w:val="1"/>
                <w:bCs w:val="1"/>
                <w:color w:val="auto"/>
                <w:w w:val="87"/>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1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90"/>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company"</w:t>
            </w:r>
          </w:p>
        </w:tc>
        <w:tc>
          <w:tcPr>
            <w:tcW w:w="480" w:type="dxa"/>
            <w:vAlign w:val="bottom"/>
          </w:tcPr>
          <w:p>
            <w:pPr>
              <w:spacing w:after="0"/>
              <w:rPr>
                <w:sz w:val="20"/>
                <w:szCs w:val="20"/>
                <w:color w:val="auto"/>
              </w:rPr>
            </w:pPr>
            <w:r>
              <w:rPr>
                <w:rFonts w:ascii="Arial" w:cs="Arial" w:eastAsia="Arial" w:hAnsi="Arial"/>
                <w:sz w:val="18"/>
                <w:szCs w:val="18"/>
                <w:color w:val="auto"/>
              </w:rPr>
              <w:t>in</w:t>
            </w:r>
          </w:p>
        </w:tc>
        <w:tc>
          <w:tcPr>
            <w:tcW w:w="1760" w:type="dxa"/>
            <w:vAlign w:val="bottom"/>
          </w:tcPr>
          <w:p>
            <w:pPr>
              <w:ind w:left="820"/>
              <w:spacing w:after="0"/>
              <w:rPr>
                <w:sz w:val="20"/>
                <w:szCs w:val="20"/>
                <w:color w:val="auto"/>
              </w:rPr>
            </w:pPr>
            <w:r>
              <w:rPr>
                <w:rFonts w:ascii="Arial" w:cs="Arial" w:eastAsia="Arial" w:hAnsi="Arial"/>
                <w:sz w:val="18"/>
                <w:szCs w:val="18"/>
                <w:color w:val="auto"/>
              </w:rPr>
              <w:t>Rule</w:t>
            </w:r>
          </w:p>
        </w:tc>
        <w:tc>
          <w:tcPr>
            <w:tcW w:w="1580" w:type="dxa"/>
            <w:vAlign w:val="bottom"/>
          </w:tcPr>
          <w:p>
            <w:pPr>
              <w:ind w:left="580"/>
              <w:spacing w:after="0"/>
              <w:rPr>
                <w:sz w:val="20"/>
                <w:szCs w:val="20"/>
                <w:color w:val="auto"/>
              </w:rPr>
            </w:pPr>
            <w:r>
              <w:rPr>
                <w:rFonts w:ascii="Arial" w:cs="Arial" w:eastAsia="Arial" w:hAnsi="Arial"/>
                <w:sz w:val="18"/>
                <w:szCs w:val="18"/>
                <w:color w:val="auto"/>
              </w:rPr>
              <w:t>12b-2</w:t>
            </w:r>
          </w:p>
        </w:tc>
        <w:tc>
          <w:tcPr>
            <w:tcW w:w="1260" w:type="dxa"/>
            <w:vAlign w:val="bottom"/>
          </w:tcPr>
          <w:p>
            <w:pPr>
              <w:ind w:left="600"/>
              <w:spacing w:after="0"/>
              <w:rPr>
                <w:sz w:val="20"/>
                <w:szCs w:val="20"/>
                <w:color w:val="auto"/>
              </w:rPr>
            </w:pPr>
            <w:r>
              <w:rPr>
                <w:rFonts w:ascii="Arial" w:cs="Arial" w:eastAsia="Arial" w:hAnsi="Arial"/>
                <w:sz w:val="18"/>
                <w:szCs w:val="18"/>
                <w:color w:val="auto"/>
              </w:rPr>
              <w:t>of</w:t>
            </w:r>
          </w:p>
        </w:tc>
        <w:tc>
          <w:tcPr>
            <w:tcW w:w="1880" w:type="dxa"/>
            <w:vAlign w:val="bottom"/>
          </w:tcPr>
          <w:p>
            <w:pPr>
              <w:ind w:left="660"/>
              <w:spacing w:after="0"/>
              <w:rPr>
                <w:sz w:val="20"/>
                <w:szCs w:val="20"/>
                <w:color w:val="auto"/>
              </w:rPr>
            </w:pPr>
            <w:r>
              <w:rPr>
                <w:rFonts w:ascii="Arial" w:cs="Arial" w:eastAsia="Arial" w:hAnsi="Arial"/>
                <w:sz w:val="18"/>
                <w:szCs w:val="18"/>
                <w:color w:val="auto"/>
              </w:rPr>
              <w:t>the</w:t>
            </w:r>
          </w:p>
        </w:tc>
        <w:tc>
          <w:tcPr>
            <w:tcW w:w="1260" w:type="dxa"/>
            <w:vAlign w:val="bottom"/>
          </w:tcPr>
          <w:p>
            <w:pPr>
              <w:ind w:left="160"/>
              <w:spacing w:after="0"/>
              <w:rPr>
                <w:sz w:val="20"/>
                <w:szCs w:val="20"/>
                <w:color w:val="auto"/>
              </w:rPr>
            </w:pPr>
            <w:r>
              <w:rPr>
                <w:rFonts w:ascii="Arial" w:cs="Arial" w:eastAsia="Arial" w:hAnsi="Arial"/>
                <w:sz w:val="18"/>
                <w:szCs w:val="18"/>
                <w:color w:val="auto"/>
              </w:rPr>
              <w:t>Exchange</w:t>
            </w:r>
          </w:p>
        </w:tc>
        <w:tc>
          <w:tcPr>
            <w:tcW w:w="1100" w:type="dxa"/>
            <w:vAlign w:val="bottom"/>
          </w:tcPr>
          <w:p>
            <w:pPr>
              <w:ind w:left="800"/>
              <w:spacing w:after="0"/>
              <w:rPr>
                <w:sz w:val="20"/>
                <w:szCs w:val="20"/>
                <w:color w:val="auto"/>
              </w:rPr>
            </w:pPr>
            <w:r>
              <w:rPr>
                <w:rFonts w:ascii="Arial" w:cs="Arial" w:eastAsia="Arial" w:hAnsi="Arial"/>
                <w:sz w:val="18"/>
                <w:szCs w:val="18"/>
                <w:color w:val="auto"/>
                <w:w w:val="90"/>
              </w:rPr>
              <w:t>Act.</w:t>
            </w:r>
          </w:p>
        </w:tc>
      </w:tr>
      <w:tr>
        <w:trPr>
          <w:trHeight w:val="316"/>
        </w:trPr>
        <w:tc>
          <w:tcPr>
            <w:tcW w:w="2400" w:type="dxa"/>
            <w:vAlign w:val="bottom"/>
            <w:gridSpan w:val="2"/>
          </w:tcPr>
          <w:p>
            <w:pPr>
              <w:ind w:left="400"/>
              <w:spacing w:after="0"/>
              <w:rPr>
                <w:sz w:val="20"/>
                <w:szCs w:val="20"/>
                <w:color w:val="auto"/>
              </w:rPr>
            </w:pPr>
            <w:r>
              <w:rPr>
                <w:rFonts w:ascii="Arial" w:cs="Arial" w:eastAsia="Arial" w:hAnsi="Arial"/>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Arial" w:cs="Arial" w:eastAsia="Arial" w:hAnsi="Arial"/>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Arial" w:cs="Arial" w:eastAsia="Arial" w:hAnsi="Arial"/>
                <w:sz w:val="18"/>
                <w:szCs w:val="18"/>
                <w:color w:val="auto"/>
                <w:w w:val="90"/>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Arial" w:cs="Arial" w:eastAsia="Arial" w:hAnsi="Arial"/>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6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October 31, 2021, there were outstanding 45,272,251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96"/>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980" w:type="dxa"/>
            <w:vAlign w:val="bottom"/>
            <w:gridSpan w:val="5"/>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FF"/>
                </w:rPr>
                <w:t>Financial Statements (Unaudited)</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Operations</w:t>
              </w:r>
            </w:hyperlink>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Comprehensive Income (Loss)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Sheets</w:t>
              </w:r>
            </w:hyperlink>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Equity</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3">
              <w:r>
                <w:rPr>
                  <w:rFonts w:ascii="Arial" w:cs="Arial" w:eastAsia="Arial" w:hAnsi="Arial"/>
                  <w:sz w:val="18"/>
                  <w:szCs w:val="18"/>
                  <w:color w:val="0000FF"/>
                </w:rPr>
                <w:t>Management’s Discussion and Analysis of Financial Condition and Results of Operations</w:t>
              </w:r>
            </w:hyperlink>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3">
              <w:r>
                <w:rPr>
                  <w:rFonts w:ascii="Arial" w:cs="Arial" w:eastAsia="Arial" w:hAnsi="Arial"/>
                  <w:sz w:val="18"/>
                  <w:szCs w:val="18"/>
                  <w:color w:val="0000FF"/>
                </w:rPr>
                <w:t>Quantitative and Qualitative Disclosures About Market Risk</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4">
              <w:r>
                <w:rPr>
                  <w:rFonts w:ascii="Arial" w:cs="Arial" w:eastAsia="Arial" w:hAnsi="Arial"/>
                  <w:sz w:val="18"/>
                  <w:szCs w:val="18"/>
                  <w:color w:val="0000FF"/>
                </w:rPr>
                <w:t>Controls and Procedures</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vMerge w:val="restart"/>
          </w:tcPr>
          <w:p>
            <w:pPr>
              <w:spacing w:after="0"/>
              <w:rPr>
                <w:sz w:val="11"/>
                <w:szCs w:val="11"/>
                <w:color w:val="auto"/>
              </w:rPr>
            </w:pPr>
          </w:p>
        </w:tc>
        <w:tc>
          <w:tcPr>
            <w:tcW w:w="10200" w:type="dxa"/>
            <w:vAlign w:val="bottom"/>
            <w:gridSpan w:val="17"/>
            <w:vMerge w:val="restart"/>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PART II: OTHER INFORMATION</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5">
              <w:r>
                <w:rPr>
                  <w:rFonts w:ascii="Arial" w:cs="Arial" w:eastAsia="Arial" w:hAnsi="Arial"/>
                  <w:sz w:val="18"/>
                  <w:szCs w:val="18"/>
                  <w:color w:val="0000FF"/>
                </w:rPr>
                <w:t>Legal Proceedings</w:t>
              </w:r>
            </w:hyperlink>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5">
              <w:r>
                <w:rPr>
                  <w:rFonts w:ascii="Arial" w:cs="Arial" w:eastAsia="Arial" w:hAnsi="Arial"/>
                  <w:sz w:val="18"/>
                  <w:szCs w:val="18"/>
                  <w:color w:val="0000FF"/>
                </w:rPr>
                <w:t>Risk Factors</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5">
              <w:r>
                <w:rPr>
                  <w:rFonts w:ascii="Arial" w:cs="Arial" w:eastAsia="Arial" w:hAnsi="Arial"/>
                  <w:sz w:val="18"/>
                  <w:szCs w:val="18"/>
                  <w:color w:val="0000FF"/>
                </w:rPr>
                <w:t>Unregistered Sales of Equity Securities and Use of Proceeds</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5">
              <w:r>
                <w:rPr>
                  <w:rFonts w:ascii="Arial" w:cs="Arial" w:eastAsia="Arial" w:hAnsi="Arial"/>
                  <w:sz w:val="18"/>
                  <w:szCs w:val="18"/>
                  <w:color w:val="0000FF"/>
                </w:rPr>
                <w:t>Other Information</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10200" w:type="dxa"/>
            <w:vAlign w:val="bottom"/>
            <w:gridSpan w:val="17"/>
            <w:vMerge w:val="restart"/>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5">
              <w:r>
                <w:rPr>
                  <w:rFonts w:ascii="Arial" w:cs="Arial" w:eastAsia="Arial" w:hAnsi="Arial"/>
                  <w:sz w:val="18"/>
                  <w:szCs w:val="18"/>
                  <w:color w:val="0000FF"/>
                </w:rPr>
                <w:t>Exhibits</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60" w:type="dxa"/>
            <w:vAlign w:val="bottom"/>
            <w:gridSpan w:val="18"/>
            <w:vMerge w:val="restart"/>
          </w:tcPr>
          <w:p>
            <w:pPr>
              <w:ind w:left="60"/>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SIGNATURE</w:t>
              </w:r>
            </w:hyperlink>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9"/>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5"/>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1,437,780</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 revenues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230,465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210,413</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1,648,193</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cost of revenues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1,072,271</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 cost of revenues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135,130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122,588</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1,044,053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1,194,859</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134,963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143,251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451,882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453,334</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215,018</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147,379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148,999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41,531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business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57,295</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496,331</w:t>
            </w: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(42,997)</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(35,020)</w:t>
            </w: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(78,017)</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(78,383)</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Itron,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common share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w w:val="98"/>
              </w:rPr>
              <w:t>Weighted average common shares outstanding - Basic</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45,240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43,983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40,199</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Weighted average common shares outstanding - Diluted</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40,199</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(78,383)</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Foreign currency translation adjustment reclassified to</w:t>
            </w:r>
          </w:p>
        </w:tc>
        <w:tc>
          <w:tcPr>
            <w:tcW w:w="28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52,074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on sale of business</w:t>
            </w:r>
          </w:p>
        </w:tc>
        <w:tc>
          <w:tcPr>
            <w:tcW w:w="28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180"/>
              <w:spacing w:after="0" w:line="176" w:lineRule="exact"/>
              <w:rPr>
                <w:sz w:val="20"/>
                <w:szCs w:val="20"/>
                <w:color w:val="auto"/>
              </w:rPr>
            </w:pPr>
            <w:r>
              <w:rPr>
                <w:rFonts w:ascii="Arial" w:cs="Arial" w:eastAsia="Arial" w:hAnsi="Arial"/>
                <w:sz w:val="18"/>
                <w:szCs w:val="18"/>
                <w:color w:val="auto"/>
              </w:rPr>
              <w:t>Net unrealized gain (loss) on derivative instruments,</w:t>
            </w: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designated as cash flow hedges</w:t>
            </w: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benefit obligation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50,659</w:t>
            </w: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(27,724)</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180"/>
              <w:spacing w:after="0" w:line="176" w:lineRule="exact"/>
              <w:rPr>
                <w:sz w:val="20"/>
                <w:szCs w:val="20"/>
                <w:color w:val="auto"/>
              </w:rPr>
            </w:pPr>
            <w:r>
              <w:rPr>
                <w:rFonts w:ascii="Arial" w:cs="Arial" w:eastAsia="Arial" w:hAnsi="Arial"/>
                <w:sz w:val="18"/>
                <w:szCs w:val="18"/>
                <w:color w:val="auto"/>
                <w:w w:val="99"/>
              </w:rPr>
              <w:t>Comprehensive income attributable to noncontrolling</w:t>
            </w: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Itron,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Arial" w:cs="Arial" w:eastAsia="Arial" w:hAnsi="Arial"/>
                <w:sz w:val="18"/>
                <w:szCs w:val="18"/>
                <w:b w:val="1"/>
                <w:bCs w:val="1"/>
                <w:color w:val="auto"/>
              </w:rPr>
              <w:t>ITRON, INC.</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780" w:type="dxa"/>
            <w:vAlign w:val="bottom"/>
            <w:gridSpan w:val="4"/>
          </w:tcPr>
          <w:p>
            <w:pPr>
              <w:jc w:val="center"/>
              <w:ind w:left="81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2"/>
                <w:szCs w:val="22"/>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c>
          <w:tcPr>
            <w:tcW w:w="0" w:type="dxa"/>
            <w:vAlign w:val="bottom"/>
          </w:tcPr>
          <w:p>
            <w:pPr>
              <w:spacing w:after="0"/>
              <w:rPr>
                <w:sz w:val="1"/>
                <w:szCs w:val="1"/>
                <w:color w:val="auto"/>
              </w:rPr>
            </w:pPr>
          </w:p>
        </w:tc>
      </w:tr>
      <w:tr>
        <w:trPr>
          <w:trHeight w:val="222"/>
        </w:trPr>
        <w:tc>
          <w:tcPr>
            <w:tcW w:w="1280" w:type="dxa"/>
            <w:vAlign w:val="bottom"/>
            <w:tcBorders>
              <w:top w:val="single" w:sz="8" w:color="auto"/>
            </w:tcBorders>
          </w:tcPr>
          <w:p>
            <w:pPr>
              <w:spacing w:after="0"/>
              <w:rPr>
                <w:sz w:val="19"/>
                <w:szCs w:val="19"/>
                <w:color w:val="auto"/>
              </w:rPr>
            </w:pPr>
          </w:p>
        </w:tc>
        <w:tc>
          <w:tcPr>
            <w:tcW w:w="548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b w:val="1"/>
                <w:bCs w:val="1"/>
                <w:color w:val="auto"/>
                <w:w w:val="94"/>
              </w:rPr>
              <w:t>ASSETS</w:t>
            </w:r>
          </w:p>
        </w:tc>
        <w:tc>
          <w:tcPr>
            <w:tcW w:w="2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206,933</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320,994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369,828</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171,124</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930,262</w:t>
            </w:r>
          </w:p>
        </w:tc>
        <w:tc>
          <w:tcPr>
            <w:tcW w:w="0" w:type="dxa"/>
            <w:vAlign w:val="bottom"/>
          </w:tcPr>
          <w:p>
            <w:pPr>
              <w:spacing w:after="0"/>
              <w:rPr>
                <w:sz w:val="1"/>
                <w:szCs w:val="1"/>
                <w:color w:val="auto"/>
              </w:rPr>
            </w:pPr>
          </w:p>
        </w:tc>
      </w:tr>
      <w:tr>
        <w:trPr>
          <w:trHeight w:val="162"/>
        </w:trPr>
        <w:tc>
          <w:tcPr>
            <w:tcW w:w="67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207,816</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101,907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76,142</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51,656</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67,599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76,276</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132,955</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1,115,697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1,131,916</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2,422,767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2,607,023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74,718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72,591</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Wages and benefits payable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13,674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0" w:type="dxa"/>
            <w:vAlign w:val="bottom"/>
          </w:tcPr>
          <w:p>
            <w:pPr>
              <w:spacing w:after="0"/>
              <w:rPr>
                <w:sz w:val="1"/>
                <w:szCs w:val="1"/>
                <w:color w:val="auto"/>
              </w:rPr>
            </w:pPr>
          </w:p>
        </w:tc>
      </w:tr>
      <w:tr>
        <w:trPr>
          <w:trHeight w:val="229"/>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Current portion of warranty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18,089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28,329</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Unearned revenue</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112,928</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495,754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549,899</w:t>
            </w:r>
          </w:p>
        </w:tc>
        <w:tc>
          <w:tcPr>
            <w:tcW w:w="0" w:type="dxa"/>
            <w:vAlign w:val="bottom"/>
          </w:tcPr>
          <w:p>
            <w:pPr>
              <w:spacing w:after="0"/>
              <w:rPr>
                <w:sz w:val="1"/>
                <w:szCs w:val="1"/>
                <w:color w:val="auto"/>
              </w:rPr>
            </w:pPr>
          </w:p>
        </w:tc>
      </w:tr>
      <w:tr>
        <w:trPr>
          <w:trHeight w:val="162"/>
        </w:trPr>
        <w:tc>
          <w:tcPr>
            <w:tcW w:w="676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Long-term debt,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449,629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902,577</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warranty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Pension benefit obligation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114,771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119,457</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59,149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66,823</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113,012</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1,222,941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1,766,750</w:t>
            </w:r>
          </w:p>
        </w:tc>
        <w:tc>
          <w:tcPr>
            <w:tcW w:w="0" w:type="dxa"/>
            <w:vAlign w:val="bottom"/>
          </w:tcPr>
          <w:p>
            <w:pPr>
              <w:spacing w:after="0"/>
              <w:rPr>
                <w:sz w:val="1"/>
                <w:szCs w:val="1"/>
                <w:color w:val="auto"/>
              </w:rPr>
            </w:pPr>
          </w:p>
        </w:tc>
      </w:tr>
      <w:tr>
        <w:trPr>
          <w:trHeight w:val="162"/>
        </w:trPr>
        <w:tc>
          <w:tcPr>
            <w:tcW w:w="676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760" w:type="dxa"/>
            <w:vAlign w:val="bottom"/>
            <w:gridSpan w:val="2"/>
          </w:tcPr>
          <w:p>
            <w:pPr>
              <w:ind w:left="360"/>
              <w:spacing w:after="0" w:line="176" w:lineRule="exact"/>
              <w:rPr>
                <w:sz w:val="20"/>
                <w:szCs w:val="20"/>
                <w:color w:val="auto"/>
              </w:rPr>
            </w:pPr>
            <w:r>
              <w:rPr>
                <w:rFonts w:ascii="Arial" w:cs="Arial" w:eastAsia="Arial" w:hAnsi="Arial"/>
                <w:sz w:val="18"/>
                <w:szCs w:val="18"/>
                <w:color w:val="auto"/>
                <w:w w:val="88"/>
              </w:rPr>
              <w:t>Common stock, no par value, 75,000 shares authorized, 45,260 and 40,444 shares issued</w:t>
            </w:r>
          </w:p>
        </w:tc>
        <w:tc>
          <w:tcPr>
            <w:tcW w:w="22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1,782,060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1,389,419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and outstanding</w:t>
            </w:r>
          </w:p>
        </w:tc>
        <w:tc>
          <w:tcPr>
            <w:tcW w:w="22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(138,526)</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(434,345)</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Itron, Inc. shareholders' 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1,173,587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816,548</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840,273</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2,422,767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2,607,023</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restart"/>
          </w:tcPr>
          <w:p>
            <w:pPr>
              <w:ind w:left="60"/>
              <w:spacing w:after="0" w:line="122"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28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40,444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1,389,419</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(138,526)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816,548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23,725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840,273</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13,580</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(11,783)</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Stock issued related to equity offering</w:t>
            </w:r>
          </w:p>
        </w:tc>
        <w:tc>
          <w:tcPr>
            <w:tcW w:w="820" w:type="dxa"/>
            <w:vAlign w:val="bottom"/>
          </w:tcPr>
          <w:p>
            <w:pPr>
              <w:jc w:val="right"/>
              <w:spacing w:after="0"/>
              <w:rPr>
                <w:sz w:val="20"/>
                <w:szCs w:val="20"/>
                <w:color w:val="auto"/>
              </w:rPr>
            </w:pPr>
            <w:r>
              <w:rPr>
                <w:rFonts w:ascii="Arial" w:cs="Arial" w:eastAsia="Arial" w:hAnsi="Arial"/>
                <w:sz w:val="14"/>
                <w:szCs w:val="14"/>
                <w:color w:val="auto"/>
              </w:rPr>
              <w:t>4,472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389,419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389,419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389,419</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warrants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45,349</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Arial" w:cs="Arial" w:eastAsia="Arial" w:hAnsi="Arial"/>
                <w:sz w:val="14"/>
                <w:szCs w:val="14"/>
                <w:color w:val="auto"/>
                <w:w w:val="95"/>
              </w:rPr>
              <w:t>Purchases of convertible note hedge contracts,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(63,576)</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(63,576)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(63,576)</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Registration fee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Balances at March 31, 2021</w:t>
            </w:r>
          </w:p>
        </w:tc>
        <w:tc>
          <w:tcPr>
            <w:tcW w:w="820" w:type="dxa"/>
            <w:vAlign w:val="bottom"/>
          </w:tcPr>
          <w:p>
            <w:pPr>
              <w:jc w:val="right"/>
              <w:spacing w:after="0"/>
              <w:rPr>
                <w:sz w:val="20"/>
                <w:szCs w:val="20"/>
                <w:color w:val="auto"/>
              </w:rPr>
            </w:pPr>
            <w:r>
              <w:rPr>
                <w:rFonts w:ascii="Arial" w:cs="Arial" w:eastAsia="Arial" w:hAnsi="Arial"/>
                <w:sz w:val="14"/>
                <w:szCs w:val="14"/>
                <w:color w:val="auto"/>
              </w:rPr>
              <w:t>45,122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1,768,517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(150,309)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(421,742)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1,196,466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24,702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1,221,168</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(32,445)</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6,316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Registration fee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Balances at June 30, 2021</w:t>
            </w:r>
          </w:p>
        </w:tc>
        <w:tc>
          <w:tcPr>
            <w:tcW w:w="820" w:type="dxa"/>
            <w:vAlign w:val="bottom"/>
          </w:tcPr>
          <w:p>
            <w:pPr>
              <w:jc w:val="right"/>
              <w:spacing w:after="0"/>
              <w:rPr>
                <w:sz w:val="20"/>
                <w:szCs w:val="20"/>
                <w:color w:val="auto"/>
              </w:rPr>
            </w:pPr>
            <w:r>
              <w:rPr>
                <w:rFonts w:ascii="Arial" w:cs="Arial" w:eastAsia="Arial" w:hAnsi="Arial"/>
                <w:sz w:val="14"/>
                <w:szCs w:val="14"/>
                <w:color w:val="auto"/>
              </w:rPr>
              <w:t>45,150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1,775,315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(145,172)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(454,865)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1,175,278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25,380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1,200,658</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8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5,665</w:t>
            </w:r>
          </w:p>
        </w:tc>
        <w:tc>
          <w:tcPr>
            <w:tcW w:w="0" w:type="dxa"/>
            <w:vAlign w:val="bottom"/>
          </w:tcPr>
          <w:p>
            <w:pPr>
              <w:spacing w:after="0"/>
              <w:rPr>
                <w:sz w:val="1"/>
                <w:szCs w:val="1"/>
                <w:color w:val="auto"/>
              </w:rPr>
            </w:pPr>
          </w:p>
        </w:tc>
      </w:tr>
      <w:tr>
        <w:trPr>
          <w:trHeight w:val="20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1,782,060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(151,739)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(456,734)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1,173,587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1,199,826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0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6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88"/>
        </w:trPr>
        <w:tc>
          <w:tcPr>
            <w:tcW w:w="28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39,941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1,357,600</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(204,672)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(376,390)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776,538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800,815</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9,162</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(25,211)</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8,482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8,482</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Balances at March 31, 2020</w:t>
            </w:r>
          </w:p>
        </w:tc>
        <w:tc>
          <w:tcPr>
            <w:tcW w:w="820" w:type="dxa"/>
            <w:vAlign w:val="bottom"/>
          </w:tcPr>
          <w:p>
            <w:pPr>
              <w:jc w:val="right"/>
              <w:spacing w:after="0"/>
              <w:rPr>
                <w:sz w:val="20"/>
                <w:szCs w:val="20"/>
                <w:color w:val="auto"/>
              </w:rPr>
            </w:pPr>
            <w:r>
              <w:rPr>
                <w:rFonts w:ascii="Arial" w:cs="Arial" w:eastAsia="Arial" w:hAnsi="Arial"/>
                <w:sz w:val="14"/>
                <w:szCs w:val="14"/>
                <w:color w:val="auto"/>
              </w:rPr>
              <w:t>40,176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1,368,329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(229,883)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(367,706)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770,740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24,755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795,495</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(62,487)</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62,056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62,056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62,056</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8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7,099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7,099</w:t>
            </w:r>
          </w:p>
        </w:tc>
        <w:tc>
          <w:tcPr>
            <w:tcW w:w="0" w:type="dxa"/>
            <w:vAlign w:val="bottom"/>
          </w:tcPr>
          <w:p>
            <w:pPr>
              <w:spacing w:after="0"/>
              <w:rPr>
                <w:sz w:val="1"/>
                <w:szCs w:val="1"/>
                <w:color w:val="auto"/>
              </w:rPr>
            </w:pPr>
          </w:p>
        </w:tc>
      </w:tr>
      <w:tr>
        <w:trPr>
          <w:trHeight w:val="186"/>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1,376,134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(430,508)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777,799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802,869</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(25,357)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(25,357)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(25,058)</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13,814</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5,057</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5,057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5,057</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Balances at September 30, 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40,356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1,381,774</w:t>
            </w:r>
          </w:p>
        </w:tc>
        <w:tc>
          <w:tcPr>
            <w:tcW w:w="100" w:type="dxa"/>
            <w:vAlign w:val="bottom"/>
          </w:tcPr>
          <w:p>
            <w:pPr>
              <w:spacing w:after="0"/>
              <w:rPr>
                <w:sz w:val="15"/>
                <w:szCs w:val="15"/>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(154,013)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(455,865)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771,896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25,369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797,265</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81"/>
        </w:trPr>
        <w:tc>
          <w:tcPr>
            <w:tcW w:w="7780" w:type="dxa"/>
            <w:vAlign w:val="bottom"/>
          </w:tcPr>
          <w:p>
            <w:pPr>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(78,383)</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64,252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72,306</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Non-cash operating lease expense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12,962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15,252</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18,251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20,638</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Amortization of prepaid debt fees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17,383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3,029</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Deferred taxes, net</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(9,439)</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Loss on sale of business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28,274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57,295</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Loss on extinguishment of debt</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Restructuring, non-cash</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951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6,518</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adjustments, net</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3,720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Changes in operating assets and liabilities, net of sale of business: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40,624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82,087</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2,150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8,978</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assets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26,072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Other long-term assets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5,058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(2,547)</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 other current liabilities, and taxes payable</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(82,775)</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Wages and benefits payable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14,110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(28,446)</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Unearned revenue</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15,098</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Warranty</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(10,894)</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operating, net</w:t>
            </w: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(31,364)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10,860</w:t>
            </w:r>
          </w:p>
        </w:tc>
      </w:tr>
      <w:tr>
        <w:trPr>
          <w:trHeight w:val="179"/>
        </w:trPr>
        <w:tc>
          <w:tcPr>
            <w:tcW w:w="7780" w:type="dxa"/>
            <w:vAlign w:val="bottom"/>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141,147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70,571</w:t>
            </w:r>
          </w:p>
        </w:tc>
      </w:tr>
      <w:tr>
        <w:trPr>
          <w:trHeight w:val="219"/>
        </w:trPr>
        <w:tc>
          <w:tcPr>
            <w:tcW w:w="7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proceeds (payments) related to the sale of business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Acquisitions of property, plant, and equipment</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(27,781)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(36,297)</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investing, net</w:t>
            </w: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2,820</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3,573</w:t>
            </w:r>
          </w:p>
        </w:tc>
      </w:tr>
      <w:tr>
        <w:trPr>
          <w:trHeight w:val="179"/>
        </w:trPr>
        <w:tc>
          <w:tcPr>
            <w:tcW w:w="7780" w:type="dxa"/>
            <w:vAlign w:val="bottom"/>
          </w:tcPr>
          <w:p>
            <w:pPr>
              <w:ind w:left="66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(21,819)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(33,472)</w:t>
            </w:r>
          </w:p>
        </w:tc>
      </w:tr>
      <w:tr>
        <w:trPr>
          <w:trHeight w:val="219"/>
        </w:trPr>
        <w:tc>
          <w:tcPr>
            <w:tcW w:w="7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borrowings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Payments on debt</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(946,094)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Issuance of common stock</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5,059</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Proceeds from common stock offering</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389,419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warrants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45,349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Purchases of convertible note hedge contracts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(84,139)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debt fees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financing, net</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(2,285)</w:t>
            </w: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cash (used in) provided by financing activities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(136,808)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402,590</w:t>
            </w:r>
          </w:p>
        </w:tc>
      </w:tr>
      <w:tr>
        <w:trPr>
          <w:trHeight w:val="216"/>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(3,426)</w:t>
            </w: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(18,242)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436,263</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206,933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149,904</w:t>
            </w: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188,691</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586,167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6"/>
        </w:trPr>
        <w:tc>
          <w:tcPr>
            <w:tcW w:w="7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paid (received) during the period for:</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780" w:type="dxa"/>
            <w:vAlign w:val="bottom"/>
          </w:tcPr>
          <w:p>
            <w:pPr>
              <w:ind w:left="660"/>
              <w:spacing w:after="0"/>
              <w:rPr>
                <w:sz w:val="20"/>
                <w:szCs w:val="20"/>
                <w:color w:val="auto"/>
              </w:rPr>
            </w:pPr>
            <w:r>
              <w:rPr>
                <w:rFonts w:ascii="Arial" w:cs="Arial" w:eastAsia="Arial" w:hAnsi="Arial"/>
                <w:sz w:val="14"/>
                <w:szCs w:val="14"/>
                <w:color w:val="auto"/>
              </w:rPr>
              <w:t>Income taxes, net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5,989</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192"/>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Interest</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8,655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34,327</w:t>
            </w: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2021 and 2020, Consolidated Statements of Equity for the three months ended September 30, 2021 and 2020, June 30, 2021 and 2020, and March 31, 2021 and 2020, the Consolidated Statements of Cash Flows for the nine months ended September 30, 2021 and 2020, and the Consolidated Balance Sheets as of September 30, 2021 and December 31, 2020, of Itron, Inc. and its subsidiaries. All entries required for the fair presentation of the financial statements are of a normal recurring nature, except as disclosed. The results of operations for the three and nine months ended September 30, 2021 are not necessarily indicative of the results expected for the full year or for any other period.</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2020 filed with the SEC in our Annual Report on Form 10-K on February 24, 2021 (2020 Annual Report). There have been no significant changes in financial statement preparation or significant accounting policies since December 31, 2020.</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and Uncertainties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During portions of the first half of 2020 certain of our European factories were closed due to government actions and local conditions, and any further closures that may be imposed on us could impact our results for 2021. New variants of the virus may cause previously lifted restrictions to be reinstated, which could result in more disruptions. Incremental costs we have incurred related to COVID-19, such as personal protective equipment, increased cleaning and sanitizing of our facilities, and other such items, have not been material to date.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w:t>
      </w:r>
    </w:p>
    <w:p>
      <w:pPr>
        <w:jc w:val="both"/>
        <w:spacing w:after="0" w:line="259" w:lineRule="auto"/>
        <w:rPr>
          <w:sz w:val="20"/>
          <w:szCs w:val="20"/>
          <w:color w:val="auto"/>
        </w:rPr>
      </w:pPr>
      <w:r>
        <w:rPr>
          <w:rFonts w:ascii="Arial" w:cs="Arial" w:eastAsia="Arial" w:hAnsi="Arial"/>
          <w:sz w:val="18"/>
          <w:szCs w:val="18"/>
          <w:color w:val="auto"/>
        </w:rPr>
        <w:t>components has impacted our ability to service recovering customer demand. While the current imbalance in supply and demand is temporal, the timeline to recovery is uncertain. Efforts are ongoing with suppliers to increase supply, including the approval of alternate sources. At this time, we have not identified any significant decrease in long-term customer demand for our products and services. However, certain of our customer projects have experienced delay in deliveries, with originally forecasted 2021 revenue pushed to future periods.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modifies certain provisions of Accounting Standards Codification (ASC) 740,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of accounting for income taxes. ASU 2019-12 was effective for us beginning with our interim financial reports in 2021. The adoption of this standard had no impact to our year-to-date consolidated financial position, results of operations, or cash flows and is not expected to have a material impact on full year 2021 financial results.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 Accounting for Convertible Instruments and Contracts in an Entity's Own Equity </w:t>
      </w:r>
      <w:r>
        <w:rPr>
          <w:rFonts w:ascii="Arial" w:cs="Arial" w:eastAsia="Arial" w:hAnsi="Arial"/>
          <w:sz w:val="18"/>
          <w:szCs w:val="18"/>
          <w:color w:val="auto"/>
        </w:rPr>
        <w:t>(ASU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This amendment simplifies the accounting for certain financial instruments with characteristics of liabilities and equity, including convertible instruments and contracts on an entity’s own equity. We chose to early adopt ASU 2020-06 beginning January 1, 2021, due to the issuance of our convertible debt on March 9, 2021. This amendment had no retrospective changes but impacts how our newly issued convertible debt is both recognized and disclosed. ASU 2020-06 also amends the diluted earnings per share calculation for convertible instruments by requiring the use of the if-converted method. The treasury stock method is no longer available.</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which provides optional expedients and exceptions for applying GAAP to contracts, hedging relationships, and other transactions affected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rate reform. ASU 2020-04 applies to contracts that reference LIBOR or another reference rate expected to be terminated because of reference rate reform. An entity may elect certain optional expedients for hedging relationships that exist as of December 31, 2022 and maintain those optional expedients through the end of the hedging relationship. ASU 2020-04 could be adopted as of March 12, 2020 or thereafter. In January 2021, the FASB issued ASU 2021-01, which further updates the scope of Topic 848. We do not currently have any contracts that have been changed to a new reference rate, but we will continue to evaluate our contracts and the effects of this standard on our consolidated financial position, results of operations, and cash flows prior to adoption.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July 2021, the FASB issued ASU 2021-05, </w:t>
      </w:r>
      <w:r>
        <w:rPr>
          <w:rFonts w:ascii="Arial" w:cs="Arial" w:eastAsia="Arial" w:hAnsi="Arial"/>
          <w:sz w:val="17"/>
          <w:szCs w:val="17"/>
          <w:i w:val="1"/>
          <w:iCs w:val="1"/>
          <w:color w:val="auto"/>
        </w:rPr>
        <w:t>Leases (Topic 842): Lessors-Certain Leases with Variable Lease Payments</w:t>
      </w:r>
      <w:r>
        <w:rPr>
          <w:rFonts w:ascii="Arial" w:cs="Arial" w:eastAsia="Arial" w:hAnsi="Arial"/>
          <w:sz w:val="17"/>
          <w:szCs w:val="17"/>
          <w:color w:val="auto"/>
        </w:rPr>
        <w:t>. The amendments in this update modify the lease classification requirements for lessors to align them with practice under Topic 840, particularly in the area of day-one loss accounting. Lessors should classify and account for a lease with variable lease payments that do not depend on a reference index or a rate as an operating lease if certain criteria are met. The effective date for this amendment is January 1, 2022 and all interim periods thereafter. We have determined under existing leases where we are the lessor, this amendment will not have a material impact on our financial statements.</w:t>
      </w:r>
    </w:p>
    <w:p>
      <w:pPr>
        <w:spacing w:after="0" w:line="19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available to common shareholders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(79,475)</w:t>
            </w:r>
          </w:p>
        </w:tc>
      </w:tr>
      <w:tr>
        <w:trPr>
          <w:trHeight w:val="257"/>
        </w:trPr>
        <w:tc>
          <w:tcPr>
            <w:tcW w:w="4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40,199</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Dilutive effect of stock-based awards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Dilutive effect of convertible notes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45,240</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40,337</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43,983</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40,199</w:t>
            </w: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common share - 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6"/>
                <w:szCs w:val="16"/>
                <w:color w:val="auto"/>
              </w:rPr>
              <w:t>Net loss per common share - Diluted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21"/>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0.4 million and 0.5 million stock-based awards were excluded from the calculation of diluted EPS for the three and nine months ended September 30, 2021 because they were anti-dilutive. Approximately 0.8 million stock-based awards were excluded from the calculation of diluted EPS for the three and nine months ended September 30, 2020 because they were anti-dilutive. These stock-based awards could be dilutive in future periods.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 and Warrants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 of our common stock for the quarter ended September 30, 2021 is used as the basis for determining the dilutive effect on EPS. The average price of our common stock for the quarter ended September 30, 2021 was less than the conversion price of $126.00, and all associated shares were anti-dilutive.</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nine months ended September 30, 2021, the average share price was below the warrant strike price and therefore 3.7 million shares were considered anti-dilutive.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issuance of the Convertible Notes, we entered into privately negotiated call option contracts on our common stock (the Convertible Note Hedge Transactions) with certain commercial banks (the Counterparties). 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ind w:left="240"/>
              <w:spacing w:after="0"/>
              <w:rPr>
                <w:sz w:val="20"/>
                <w:szCs w:val="20"/>
                <w:color w:val="auto"/>
              </w:rPr>
            </w:pPr>
            <w:r>
              <w:rPr>
                <w:rFonts w:ascii="Arial" w:cs="Arial" w:eastAsia="Arial" w:hAnsi="Arial"/>
                <w:sz w:val="16"/>
                <w:szCs w:val="16"/>
                <w:i w:val="1"/>
                <w:iCs w:val="1"/>
                <w:color w:val="auto"/>
              </w:rPr>
              <w:t>Accounts receivable, net</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9"/>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receivables (net of allowance of $2,798 and $1,312)</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274,385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318,269</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46,609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51,559</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320,994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369,828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ind w:left="240"/>
              <w:spacing w:after="0"/>
              <w:rPr>
                <w:sz w:val="20"/>
                <w:szCs w:val="20"/>
                <w:color w:val="auto"/>
              </w:rPr>
            </w:pPr>
            <w:r>
              <w:rPr>
                <w:rFonts w:ascii="Arial" w:cs="Arial" w:eastAsia="Arial" w:hAnsi="Arial"/>
                <w:sz w:val="16"/>
                <w:szCs w:val="16"/>
                <w:i w:val="1"/>
                <w:iCs w:val="1"/>
                <w:color w:val="auto"/>
              </w:rPr>
              <w:t>Allowance for credit losses account activity</w:t>
            </w: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120" w:type="dxa"/>
            <w:vAlign w:val="bottom"/>
            <w:gridSpan w:val="7"/>
          </w:tcPr>
          <w:p>
            <w:pPr>
              <w:jc w:val="right"/>
              <w:ind w:right="399"/>
              <w:spacing w:after="0"/>
              <w:rPr>
                <w:sz w:val="20"/>
                <w:szCs w:val="20"/>
                <w:color w:val="auto"/>
              </w:rPr>
            </w:pPr>
            <w:r>
              <w:rPr>
                <w:rFonts w:ascii="Arial" w:cs="Arial" w:eastAsia="Arial" w:hAnsi="Arial"/>
                <w:sz w:val="16"/>
                <w:szCs w:val="16"/>
                <w:b w:val="1"/>
                <w:bCs w:val="1"/>
                <w:color w:val="auto"/>
                <w:w w:val="99"/>
              </w:rPr>
              <w:t>Nine Months Ended September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9"/>
              </w:rPr>
              <w:t>1,312</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Provision for (release of) doubtful accounts,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2,164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99"/>
              </w:rPr>
              <w:t>2,122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written-off</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9"/>
              </w:rPr>
              <w:t>2,798</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i w:val="1"/>
                <w:iCs w:val="1"/>
                <w:color w:val="auto"/>
              </w:rPr>
              <w:t>Inventories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117,549</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114,058</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8,094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49,344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60,225</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Total inventories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175,432</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182,377</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40"/>
              <w:spacing w:after="0"/>
              <w:rPr>
                <w:sz w:val="20"/>
                <w:szCs w:val="20"/>
                <w:color w:val="auto"/>
              </w:rPr>
            </w:pPr>
            <w:r>
              <w:rPr>
                <w:rFonts w:ascii="Arial" w:cs="Arial" w:eastAsia="Arial" w:hAnsi="Arial"/>
                <w:sz w:val="16"/>
                <w:szCs w:val="16"/>
                <w:i w:val="1"/>
                <w:iCs w:val="1"/>
                <w:color w:val="auto"/>
              </w:rPr>
              <w:t>Property, plant, and equipment, net</w:t>
            </w: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333,584</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334,050</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117,067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115,776</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and improvements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155,676</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Land</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14,303</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including purchased equipment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40,082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31,425</w:t>
            </w:r>
          </w:p>
        </w:tc>
        <w:tc>
          <w:tcPr>
            <w:tcW w:w="0" w:type="dxa"/>
            <w:vAlign w:val="bottom"/>
          </w:tcPr>
          <w:p>
            <w:pPr>
              <w:spacing w:after="0"/>
              <w:rPr>
                <w:sz w:val="1"/>
                <w:szCs w:val="1"/>
                <w:color w:val="auto"/>
              </w:rPr>
            </w:pPr>
          </w:p>
        </w:tc>
      </w:tr>
      <w:tr>
        <w:trPr>
          <w:trHeight w:val="207"/>
        </w:trPr>
        <w:tc>
          <w:tcPr>
            <w:tcW w:w="4380" w:type="dxa"/>
            <w:vAlign w:val="bottom"/>
          </w:tcPr>
          <w:p>
            <w:pPr>
              <w:ind w:left="360"/>
              <w:spacing w:after="0"/>
              <w:rPr>
                <w:sz w:val="20"/>
                <w:szCs w:val="20"/>
                <w:color w:val="auto"/>
              </w:rPr>
            </w:pPr>
            <w:r>
              <w:rPr>
                <w:rFonts w:ascii="Arial" w:cs="Arial" w:eastAsia="Arial" w:hAnsi="Arial"/>
                <w:sz w:val="16"/>
                <w:szCs w:val="16"/>
                <w:color w:val="auto"/>
              </w:rPr>
              <w:t>Total cost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648,761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651,230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depreciation</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(459,013)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(443,414)</w:t>
            </w:r>
          </w:p>
        </w:tc>
        <w:tc>
          <w:tcPr>
            <w:tcW w:w="0" w:type="dxa"/>
            <w:vAlign w:val="bottom"/>
          </w:tcPr>
          <w:p>
            <w:pPr>
              <w:spacing w:after="0"/>
              <w:rPr>
                <w:sz w:val="1"/>
                <w:szCs w:val="1"/>
                <w:color w:val="auto"/>
              </w:rPr>
            </w:pPr>
          </w:p>
        </w:tc>
      </w:tr>
      <w:tr>
        <w:trPr>
          <w:trHeight w:val="213"/>
        </w:trPr>
        <w:tc>
          <w:tcPr>
            <w:tcW w:w="4380" w:type="dxa"/>
            <w:vAlign w:val="bottom"/>
          </w:tcPr>
          <w:p>
            <w:pPr>
              <w:ind w:left="68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189,748</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207,816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380" w:type="dxa"/>
            <w:vAlign w:val="bottom"/>
          </w:tcPr>
          <w:p>
            <w:pPr>
              <w:ind w:left="240"/>
              <w:spacing w:after="0"/>
              <w:rPr>
                <w:sz w:val="20"/>
                <w:szCs w:val="20"/>
                <w:color w:val="auto"/>
              </w:rPr>
            </w:pPr>
            <w:r>
              <w:rPr>
                <w:rFonts w:ascii="Arial" w:cs="Arial" w:eastAsia="Arial" w:hAnsi="Arial"/>
                <w:sz w:val="16"/>
                <w:szCs w:val="16"/>
                <w:i w:val="1"/>
                <w:iCs w:val="1"/>
                <w:color w:val="auto"/>
              </w:rPr>
              <w:t>Depreciation expense</w:t>
            </w:r>
          </w:p>
        </w:tc>
        <w:tc>
          <w:tcPr>
            <w:tcW w:w="260" w:type="dxa"/>
            <w:vAlign w:val="bottom"/>
          </w:tcPr>
          <w:p>
            <w:pPr>
              <w:spacing w:after="0"/>
              <w:rPr>
                <w:sz w:val="24"/>
                <w:szCs w:val="24"/>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24"/>
                <w:szCs w:val="24"/>
                <w:color w:val="auto"/>
              </w:rPr>
            </w:pPr>
          </w:p>
        </w:tc>
        <w:tc>
          <w:tcPr>
            <w:tcW w:w="3120" w:type="dxa"/>
            <w:vAlign w:val="bottom"/>
            <w:gridSpan w:val="7"/>
          </w:tcPr>
          <w:p>
            <w:pPr>
              <w:jc w:val="right"/>
              <w:ind w:right="399"/>
              <w:spacing w:after="0"/>
              <w:rPr>
                <w:sz w:val="20"/>
                <w:szCs w:val="20"/>
                <w:color w:val="auto"/>
              </w:rPr>
            </w:pPr>
            <w:r>
              <w:rPr>
                <w:rFonts w:ascii="Arial" w:cs="Arial" w:eastAsia="Arial" w:hAnsi="Arial"/>
                <w:sz w:val="16"/>
                <w:szCs w:val="16"/>
                <w:b w:val="1"/>
                <w:bCs w:val="1"/>
                <w:color w:val="auto"/>
                <w:w w:val="99"/>
              </w:rPr>
              <w:t>Nine Months Ended September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37,338</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2021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2020</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(Amortization)</w:t>
            </w:r>
          </w:p>
        </w:tc>
        <w:tc>
          <w:tcPr>
            <w:tcW w:w="28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Accretion</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Accretion</w:t>
            </w: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Intangible Assets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Core-developed technology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511,885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26,938</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376,572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(291,783)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84,789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383,245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(280,497)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102,748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38"/>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978,928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(875,165)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(867,082)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132,955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gross beginning balance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1,000,037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979,814</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Intangibles disposed in sale of business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(18,140)</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(21,109)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9,974</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Intangible assets, gross ending balance</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978,928</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971,648</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Intangible liabilities, gross beginning balance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(23,900)</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Intangible liabilities, gross ending balance</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(23,900)</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Assumed intangible liabilities reflect the present value of the projected cash outflows for an existing contract where remaining costs are expected to exceed projected revenues.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disposal of intangible assets was related to the sale of our Latin America business in June 2020. The net book value of these assets was $0.8 million at the disposal date. Refer to Note 17: Sale of Business for additional information on the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6"/>
                <w:szCs w:val="16"/>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Accretion</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Estimated Annual</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Amortization, net</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(amount remaining at September 30, 2021)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w w:val="96"/>
              </w:rPr>
              <w:t>(491)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8,959</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27,393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ind w:left="960"/>
              <w:spacing w:after="0"/>
              <w:rPr>
                <w:sz w:val="20"/>
                <w:szCs w:val="20"/>
                <w:color w:val="auto"/>
              </w:rPr>
            </w:pPr>
            <w:r>
              <w:rPr>
                <w:rFonts w:ascii="Arial" w:cs="Arial" w:eastAsia="Arial" w:hAnsi="Arial"/>
                <w:sz w:val="16"/>
                <w:szCs w:val="16"/>
                <w:color w:val="auto"/>
                <w:w w:val="96"/>
              </w:rPr>
              <w:t>(459)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26,934</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19,811</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15,631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15,631</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14,655</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16,823</w:t>
            </w:r>
          </w:p>
        </w:tc>
        <w:tc>
          <w:tcPr>
            <w:tcW w:w="0" w:type="dxa"/>
            <w:vAlign w:val="bottom"/>
          </w:tcPr>
          <w:p>
            <w:pPr>
              <w:spacing w:after="0"/>
              <w:rPr>
                <w:sz w:val="1"/>
                <w:szCs w:val="1"/>
                <w:color w:val="auto"/>
              </w:rPr>
            </w:pPr>
          </w:p>
        </w:tc>
      </w:tr>
      <w:tr>
        <w:trPr>
          <w:trHeight w:val="234"/>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intangible assets subject to amortization (accretion)</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w w:val="96"/>
              </w:rPr>
              <w:t>(950)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102,813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07"/>
        </w:trPr>
        <w:tc>
          <w:tcPr>
            <w:tcW w:w="34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790"/>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Note 5:  Goodwill</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59"/>
        </w:trPr>
        <w:tc>
          <w:tcPr>
            <w:tcW w:w="9360" w:type="dxa"/>
            <w:vAlign w:val="bottom"/>
            <w:gridSpan w:val="11"/>
          </w:tcPr>
          <w:p>
            <w:pPr>
              <w:spacing w:after="0"/>
              <w:rPr>
                <w:sz w:val="20"/>
                <w:szCs w:val="20"/>
                <w:color w:val="auto"/>
              </w:rPr>
            </w:pPr>
            <w:r>
              <w:rPr>
                <w:rFonts w:ascii="Arial" w:cs="Arial" w:eastAsia="Arial" w:hAnsi="Arial"/>
                <w:sz w:val="18"/>
                <w:szCs w:val="18"/>
                <w:color w:val="auto"/>
                <w:w w:val="98"/>
              </w:rPr>
              <w:t>The following table reflects changes in the carrying amount of goodwill for the nine months ended September 30, 2021:</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0"/>
        </w:trPr>
        <w:tc>
          <w:tcPr>
            <w:tcW w:w="34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Device Solutions</w:t>
            </w:r>
          </w:p>
        </w:tc>
        <w:tc>
          <w:tcPr>
            <w:tcW w:w="16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Networked Solutions</w:t>
            </w:r>
          </w:p>
        </w:tc>
        <w:tc>
          <w:tcPr>
            <w:tcW w:w="340" w:type="dxa"/>
            <w:vAlign w:val="bottom"/>
          </w:tcPr>
          <w:p>
            <w:pPr>
              <w:spacing w:after="0"/>
              <w:rPr>
                <w:sz w:val="20"/>
                <w:szCs w:val="20"/>
                <w:color w:val="auto"/>
              </w:rPr>
            </w:pP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Outcomes</w:t>
            </w:r>
          </w:p>
        </w:tc>
        <w:tc>
          <w:tcPr>
            <w:tcW w:w="260" w:type="dxa"/>
            <w:vAlign w:val="bottom"/>
          </w:tcPr>
          <w:p>
            <w:pPr>
              <w:spacing w:after="0"/>
              <w:rPr>
                <w:sz w:val="20"/>
                <w:szCs w:val="20"/>
                <w:color w:val="auto"/>
              </w:rPr>
            </w:pPr>
          </w:p>
        </w:tc>
        <w:tc>
          <w:tcPr>
            <w:tcW w:w="162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 Company</w:t>
            </w:r>
          </w:p>
        </w:tc>
      </w:tr>
      <w:tr>
        <w:trPr>
          <w:trHeight w:val="213"/>
        </w:trPr>
        <w:tc>
          <w:tcPr>
            <w:tcW w:w="3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balance at January 1, 2021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53,214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933,814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144,888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1,131,916</w:t>
            </w:r>
          </w:p>
        </w:tc>
      </w:tr>
      <w:tr>
        <w:trPr>
          <w:trHeight w:val="213"/>
        </w:trPr>
        <w:tc>
          <w:tcPr>
            <w:tcW w:w="34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Effect of change in exchange rates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w w:val="93"/>
              </w:rPr>
              <w:t>(13,467)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(16,219)</w:t>
            </w:r>
          </w:p>
        </w:tc>
      </w:tr>
      <w:tr>
        <w:trPr>
          <w:trHeight w:val="234"/>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balance at September 30, 2021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52,556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920,347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1,115,697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our borrowings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9"/>
              </w:rPr>
              <w:t>September 30, 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6780" w:type="dxa"/>
            <w:vAlign w:val="bottom"/>
            <w:gridSpan w:val="2"/>
          </w:tcPr>
          <w:p>
            <w:pPr>
              <w:spacing w:after="0"/>
              <w:rPr>
                <w:sz w:val="20"/>
                <w:szCs w:val="20"/>
                <w:color w:val="auto"/>
              </w:rPr>
            </w:pPr>
            <w:r>
              <w:rPr>
                <w:rFonts w:ascii="Arial" w:cs="Arial" w:eastAsia="Arial" w:hAnsi="Arial"/>
                <w:sz w:val="16"/>
                <w:szCs w:val="16"/>
                <w:color w:val="auto"/>
              </w:rPr>
              <w:t>Credit facility</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USD denominated term loan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536,094</w:t>
            </w:r>
          </w:p>
        </w:tc>
      </w:tr>
      <w:tr>
        <w:trPr>
          <w:trHeight w:val="213"/>
        </w:trPr>
        <w:tc>
          <w:tcPr>
            <w:tcW w:w="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6"/>
                <w:szCs w:val="16"/>
                <w:color w:val="auto"/>
              </w:rPr>
              <w:t>Multicurrency revolving line of credit</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2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debt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936,094</w:t>
            </w:r>
          </w:p>
        </w:tc>
      </w:tr>
      <w:tr>
        <w:trPr>
          <w:trHeight w:val="213"/>
        </w:trPr>
        <w:tc>
          <w:tcPr>
            <w:tcW w:w="20" w:type="dxa"/>
            <w:vAlign w:val="bottom"/>
          </w:tcPr>
          <w:p>
            <w:pPr>
              <w:spacing w:after="0"/>
              <w:rPr>
                <w:sz w:val="18"/>
                <w:szCs w:val="18"/>
                <w:color w:val="auto"/>
              </w:rPr>
            </w:pPr>
          </w:p>
        </w:tc>
        <w:tc>
          <w:tcPr>
            <w:tcW w:w="6760" w:type="dxa"/>
            <w:vAlign w:val="bottom"/>
          </w:tcPr>
          <w:p>
            <w:pPr>
              <w:ind w:left="520"/>
              <w:spacing w:after="0"/>
              <w:rPr>
                <w:sz w:val="20"/>
                <w:szCs w:val="20"/>
                <w:color w:val="auto"/>
              </w:rPr>
            </w:pPr>
            <w:r>
              <w:rPr>
                <w:rFonts w:ascii="Arial" w:cs="Arial" w:eastAsia="Arial" w:hAnsi="Arial"/>
                <w:sz w:val="16"/>
                <w:szCs w:val="16"/>
                <w:color w:val="auto"/>
              </w:rPr>
              <w:t>Less: current portion of debt</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18,359</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Less: unamortized prepaid debt fees - term loan</w:t>
            </w:r>
          </w:p>
        </w:tc>
        <w:tc>
          <w:tcPr>
            <w:tcW w:w="2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r>
      <w:tr>
        <w:trPr>
          <w:trHeight w:val="213"/>
        </w:trPr>
        <w:tc>
          <w:tcPr>
            <w:tcW w:w="20" w:type="dxa"/>
            <w:vAlign w:val="bottom"/>
          </w:tcPr>
          <w:p>
            <w:pPr>
              <w:spacing w:after="0"/>
              <w:rPr>
                <w:sz w:val="18"/>
                <w:szCs w:val="18"/>
                <w:color w:val="auto"/>
              </w:rPr>
            </w:pPr>
          </w:p>
        </w:tc>
        <w:tc>
          <w:tcPr>
            <w:tcW w:w="6760" w:type="dxa"/>
            <w:vAlign w:val="bottom"/>
          </w:tcPr>
          <w:p>
            <w:pPr>
              <w:ind w:left="520"/>
              <w:spacing w:after="0"/>
              <w:rPr>
                <w:sz w:val="20"/>
                <w:szCs w:val="20"/>
                <w:color w:val="auto"/>
              </w:rPr>
            </w:pPr>
            <w:r>
              <w:rPr>
                <w:rFonts w:ascii="Arial" w:cs="Arial" w:eastAsia="Arial" w:hAnsi="Arial"/>
                <w:sz w:val="16"/>
                <w:szCs w:val="16"/>
                <w:color w:val="auto"/>
              </w:rPr>
              <w:t>Less: unamortized prepaid debt fees - senior notes</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11,689</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Less: unamortized prepaid debt fees - convertible notes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rPr>
              <w:t>Long-term debt,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449,629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902,577</w:t>
            </w:r>
          </w:p>
        </w:tc>
      </w:tr>
      <w:tr>
        <w:trPr>
          <w:trHeight w:val="2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On October 18, 2019, we amended our credit facility that was initially entered on January 5, 2018 (as amended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Through the third quarter of 2020, amounts not borrowed under the revolver were subject to a commitment fee, which was paid in arrears on the last day of each fiscal quarter, ranging from 0.15% to 0.25% and drawn amounts were subject to a margin ranging from 1.00% to 1.75%.</w:t>
      </w:r>
    </w:p>
    <w:p>
      <w:pPr>
        <w:spacing w:after="0" w:line="21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Debt fees of approximately $1.4 million were incurred for the amendment, as well as other legal and advisory fees.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23"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On March 8, 2021, we entered into a third amendment to our 2018 credit facility, which modified provisions to permit cash settlement upon the conversion of the Convertible Notes, the Convertible Senior Note Hedge Transactions and Warrant Transactions and also to adjust certain settlement provisions for convertible indebtedness. See Note 7: Derivative Financial Instruments for further details of the Convertible Note Hedge Transactions and Warrant Transactions.</w:t>
      </w:r>
    </w:p>
    <w:p>
      <w:pPr>
        <w:spacing w:after="0" w:line="214"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w:t>
      </w:r>
    </w:p>
    <w:p>
      <w:pPr>
        <w:sectPr>
          <w:pgSz w:w="11900" w:h="16838" w:orient="portrait"/>
          <w:cols w:equalWidth="0" w:num="1">
            <w:col w:w="11260"/>
          </w:cols>
          <w:pgMar w:left="300" w:top="10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September 30, 2021.</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firstLine="8"/>
        <w:spacing w:after="0" w:line="253"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On August 12, 2021, the term loan was fully paid. At September 30, 2021, there were no outstanding loan balances under the Credit Facility.</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we drew $400 million in U.S. dollars under the revolving line of credit within the 2018 credit facility to increase our cash position and preserve future financial flexibility, which was fully repaid as of December 31, 2020. At September 30, 2021, there was no amount outstanding under the revolver, and $64.4 million was utilized by outstanding standby letters of credit, resulting in $435.6 million available for additional borrowings or standby letters of credit. At September 30, 2021, $235.6 million was available for additional standby letters of credit under the letter of credit sub-facility, and no amounts were outstanding under the swingline sub-facility.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2017 and January 2018, we issued $300 million and $100 million of aggregate principal amount of 5.00% senior notes maturing January 15, 2026 (Senior Notes). The proceeds were used to refinance existing indebtedness related to the acquisition of Silver Spring Networks, Inc., pay related fees and expenses, and for general corporate purposes. Interest on the Senior Notes was payable semi-annually in arrears on January 15 and July 15. The Senior Notes were fully and unconditionally guaranteed, jointly and severally, on a senior unsecured basis by each of our subsidiaries that guarantee the senior credit facilities.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9, 2021, we submitted a Notice of Redemption to the trustee to redeem all outstanding Senior Notes at a redemption price of 102.50%, in accordance with the indenture governing the Senior Notes, totaling $410.0 million. As of April 8, 2021 the Senior Notes were fully discharged, and no principal or unpaid interest remains outstanding. The 2.5%, or $10.0 million, early redemption premium and write off of $11.1 million prepaid debt fees were recognized upon redemption in the second quarter of 2021.</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Notes for each trading day of the measurement period was less than 98% of the product of the last reported sale price of the common stock and the conversion rate on each such trading day; (3) upon the occurrence of specified corporate events; or</w:t>
      </w:r>
    </w:p>
    <w:p>
      <w:pPr>
        <w:spacing w:after="0" w:line="2" w:lineRule="exact"/>
        <w:rPr>
          <w:sz w:val="20"/>
          <w:szCs w:val="20"/>
          <w:color w:val="auto"/>
        </w:rPr>
      </w:pPr>
    </w:p>
    <w:p>
      <w:pPr>
        <w:ind w:firstLine="8"/>
        <w:spacing w:after="0" w:line="260"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redemption by us. On or after December 15, 2025, until the close of business on the second scheduled trading day immediately preceding March 15, 2026,</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Notes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debt in aggregate over the next five years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210"/>
        </w:trPr>
        <w:tc>
          <w:tcPr>
            <w:tcW w:w="9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(amount remaining at September 30, 2021)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r>
      <w:tr>
        <w:trPr>
          <w:trHeight w:val="238"/>
        </w:trPr>
        <w:tc>
          <w:tcPr>
            <w:tcW w:w="9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risk management strategy, we use derivative instruments to hedge certain foreign currency and interest rate exposures. Refer to Note 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and Note 14: Fair Value of Financial Instruments for additional disclosures on our derivative instruments.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tcBorders>
          </w:tcPr>
          <w:p>
            <w:pPr>
              <w:spacing w:after="0"/>
              <w:rPr>
                <w:sz w:val="18"/>
                <w:szCs w:val="18"/>
                <w:color w:val="auto"/>
              </w:rPr>
            </w:pPr>
          </w:p>
        </w:tc>
      </w:tr>
      <w:tr>
        <w:trPr>
          <w:trHeight w:val="21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Assets</w:t>
            </w:r>
          </w:p>
        </w:tc>
        <w:tc>
          <w:tcPr>
            <w:tcW w:w="344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rPr>
              <w:t>Balance Sheet Location</w:t>
            </w: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September 30, 2021</w:t>
            </w: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1"/>
              </w:rPr>
              <w:t>December 31, 2020</w:t>
            </w:r>
          </w:p>
        </w:tc>
      </w:tr>
      <w:tr>
        <w:trPr>
          <w:trHeight w:val="209"/>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260" w:type="dxa"/>
            <w:vAlign w:val="bottom"/>
          </w:tcPr>
          <w:p>
            <w:pPr>
              <w:spacing w:after="0"/>
              <w:rPr>
                <w:sz w:val="18"/>
                <w:szCs w:val="18"/>
                <w:color w:val="auto"/>
              </w:rPr>
            </w:pPr>
          </w:p>
        </w:tc>
        <w:tc>
          <w:tcPr>
            <w:tcW w:w="244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780" w:type="dxa"/>
            <w:vAlign w:val="bottom"/>
          </w:tcPr>
          <w:p>
            <w:pPr>
              <w:spacing w:after="0"/>
              <w:rPr>
                <w:sz w:val="18"/>
                <w:szCs w:val="18"/>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options</w:t>
            </w:r>
          </w:p>
        </w:tc>
        <w:tc>
          <w:tcPr>
            <w:tcW w:w="34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forward contracts</w:t>
            </w:r>
          </w:p>
        </w:tc>
        <w:tc>
          <w:tcPr>
            <w:tcW w:w="34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7"/>
        </w:trPr>
        <w:tc>
          <w:tcPr>
            <w:tcW w:w="3320" w:type="dxa"/>
            <w:vAlign w:val="bottom"/>
          </w:tcPr>
          <w:p>
            <w:pPr>
              <w:ind w:left="400"/>
              <w:spacing w:after="0"/>
              <w:rPr>
                <w:sz w:val="20"/>
                <w:szCs w:val="20"/>
                <w:color w:val="auto"/>
              </w:rPr>
            </w:pPr>
            <w:r>
              <w:rPr>
                <w:rFonts w:ascii="Arial" w:cs="Arial" w:eastAsia="Arial" w:hAnsi="Arial"/>
                <w:sz w:val="16"/>
                <w:szCs w:val="16"/>
                <w:b w:val="1"/>
                <w:bCs w:val="1"/>
                <w:color w:val="auto"/>
              </w:rPr>
              <w:t>Total asset derivatives</w:t>
            </w:r>
          </w:p>
        </w:tc>
        <w:tc>
          <w:tcPr>
            <w:tcW w:w="34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6"/>
        </w:trPr>
        <w:tc>
          <w:tcPr>
            <w:tcW w:w="33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Liabilities</w:t>
            </w:r>
          </w:p>
        </w:tc>
        <w:tc>
          <w:tcPr>
            <w:tcW w:w="34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r>
      <w:tr>
        <w:trPr>
          <w:trHeight w:val="212"/>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Interest rate swap contracts</w:t>
            </w:r>
          </w:p>
        </w:tc>
        <w:tc>
          <w:tcPr>
            <w:tcW w:w="3440" w:type="dxa"/>
            <w:vAlign w:val="bottom"/>
          </w:tcPr>
          <w:p>
            <w:pPr>
              <w:ind w:left="84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1,025</w:t>
            </w: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 contracts</w:t>
            </w:r>
          </w:p>
        </w:tc>
        <w:tc>
          <w:tcPr>
            <w:tcW w:w="34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Other long-term obligations</w:t>
            </w:r>
          </w:p>
        </w:tc>
        <w:tc>
          <w:tcPr>
            <w:tcW w:w="2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Cross currency swap contract</w:t>
            </w:r>
          </w:p>
        </w:tc>
        <w:tc>
          <w:tcPr>
            <w:tcW w:w="3440" w:type="dxa"/>
            <w:vAlign w:val="bottom"/>
          </w:tcPr>
          <w:p>
            <w:pPr>
              <w:ind w:left="84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1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exchange forward contracts</w:t>
            </w:r>
          </w:p>
        </w:tc>
        <w:tc>
          <w:tcPr>
            <w:tcW w:w="344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35"/>
        </w:trPr>
        <w:tc>
          <w:tcPr>
            <w:tcW w:w="3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Total liability derivatives</w:t>
            </w:r>
          </w:p>
        </w:tc>
        <w:tc>
          <w:tcPr>
            <w:tcW w:w="3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designated as hedging instruments, net of tax, were as follows:</w:t>
      </w:r>
    </w:p>
    <w:tbl>
      <w:tblPr>
        <w:tblLayout w:type="fixed"/>
        <w:tblInd w:w="0" w:type="dxa"/>
        <w:tblCellMar>
          <w:top w:w="0" w:type="dxa"/>
          <w:left w:w="0" w:type="dxa"/>
          <w:bottom w:w="0" w:type="dxa"/>
          <w:right w:w="0" w:type="dxa"/>
        </w:tblCellMar>
      </w:tblP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loss on hedging instruments at January 1,</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(15,103)</w:t>
            </w:r>
          </w:p>
        </w:tc>
      </w:tr>
      <w:tr>
        <w:trPr>
          <w:trHeight w:val="213"/>
        </w:trPr>
        <w:tc>
          <w:tcPr>
            <w:tcW w:w="6760" w:type="dxa"/>
            <w:vAlign w:val="bottom"/>
          </w:tcPr>
          <w:p>
            <w:pPr>
              <w:ind w:left="140"/>
              <w:spacing w:after="0"/>
              <w:rPr>
                <w:sz w:val="20"/>
                <w:szCs w:val="20"/>
                <w:color w:val="auto"/>
              </w:rPr>
            </w:pPr>
            <w:r>
              <w:rPr>
                <w:rFonts w:ascii="Arial" w:cs="Arial" w:eastAsia="Arial" w:hAnsi="Arial"/>
                <w:sz w:val="16"/>
                <w:szCs w:val="16"/>
                <w:color w:val="auto"/>
              </w:rPr>
              <w:t>Unrealized gain (loss) on derivative instruments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(4,727)</w:t>
            </w:r>
          </w:p>
        </w:tc>
      </w:tr>
      <w:tr>
        <w:trPr>
          <w:trHeight w:val="219"/>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Realized (gains) losses reclassified into net income (loss)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2,570</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Net unrealized loss on hedging instruments at September 30,</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(14,183)</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(17,260)</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Included in the net unrealized gain (loss) on hedging instruments at September 30, 2021 and 2020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Gross Amounts of</w:t>
            </w:r>
          </w:p>
        </w:tc>
        <w:tc>
          <w:tcPr>
            <w:tcW w:w="100" w:type="dxa"/>
            <w:vAlign w:val="bottom"/>
          </w:tcPr>
          <w:p>
            <w:pPr>
              <w:spacing w:after="0"/>
              <w:rPr>
                <w:sz w:val="16"/>
                <w:szCs w:val="16"/>
                <w:color w:val="auto"/>
              </w:rPr>
            </w:pPr>
          </w:p>
        </w:tc>
        <w:tc>
          <w:tcPr>
            <w:tcW w:w="40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Offsetting of Derivative Assets</w:t>
            </w: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Recognized Assets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spacing w:after="0"/>
              <w:rPr>
                <w:sz w:val="20"/>
                <w:szCs w:val="20"/>
                <w:color w:val="auto"/>
              </w:rPr>
            </w:pPr>
            <w:r>
              <w:rPr>
                <w:rFonts w:ascii="Arial" w:cs="Arial" w:eastAsia="Arial" w:hAnsi="Arial"/>
                <w:sz w:val="16"/>
                <w:szCs w:val="16"/>
                <w:b w:val="1"/>
                <w:bCs w:val="1"/>
                <w:color w:val="auto"/>
                <w:w w:val="96"/>
              </w:rPr>
              <w:t>Cash Collateral Received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3"/>
        </w:trPr>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Gross Amounts of</w:t>
            </w:r>
          </w:p>
        </w:tc>
        <w:tc>
          <w:tcPr>
            <w:tcW w:w="100" w:type="dxa"/>
            <w:vAlign w:val="bottom"/>
          </w:tcPr>
          <w:p>
            <w:pPr>
              <w:spacing w:after="0"/>
              <w:rPr>
                <w:sz w:val="24"/>
                <w:szCs w:val="24"/>
                <w:color w:val="auto"/>
              </w:rPr>
            </w:pPr>
          </w:p>
        </w:tc>
        <w:tc>
          <w:tcPr>
            <w:tcW w:w="40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Offsetting of Derivative Liabilities</w:t>
            </w: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Recognized Liabilities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8"/>
              </w:rPr>
              <w:t>Cash Collateral Pledged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derivative assets and liabilities subject to netting arrangements include foreign exchange forward and interest rate contracts with four counterparties at September 30, 2021 and six counterparties at December 31, 2020. No derivative asset or liability balance with any of our counterparties was individually significant at September 30, 2021 or December 31, 2020. Our derivative contracts with each of these counterparties exist under agreements that provide for the net settlement of all contracts through a single payment in a single currency in the event of default. We have no pledges of cash collateral against our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obligations, and we have not received pledges of cash collateral from our counterparties under the associated derivative contracts.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our floating rate debt under our current credit facility, we are exposed to variability in our cash flows from changes in the applicable interest rate index. We enter into interest rate caps and swaps to reduce the variability of cash flows from increases in the LIBOR-based borrowing rates on our floating rate credit facility. These instruments do not protect us from changes to the applicable margin under our credit facility. On August 12, 2021, the term loan under the credit facility was fully repaid. At September 30, 2021, we have no LIBOR-based debt.</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2015, we entered into one interest rate swap, which was effective from August 31, 2016 and expired on June 23, 2020, to convert $214 million of our LIBOR-based debt from a floating LIBOR interest rate to a fixed interest rate of 1.42% (excluding the applicable margin on the debt). The notional balance amortized to maturity at the same rate as required minimum payments on the outstanding term loan. This cash flow hedge was expected to be highly effective in achieving offsetting cash flows attributable to the hedged risk through the term of the hedge. Consequently, effective changes in the fair value of the interest rate swap were recognized as a component of other comprehensive income (loss) (OCI) and recognized in earnings when the hedged item affected earnings. The amounts paid or received on the hedge were recognized as adjustment to interest expense.</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we entered into one interest rate swap, which was effective from June 30, 2020 to June 30, 2023, and converted $240 million of our LIBOR-based debt from a floating LIBOR interest rate to a fixed interest rate of 0.617% (excluding the applicable margin). The notional balance amortized to maturity at the same rate of originally required amortizations on our outstanding term loan. Changes in the fair value of the interest rate swap were recognized as a component of OCI and recognized in earnings when the hedged item affected earnings. The amounts paid or received on the hedge was recognized as an adjustment to interest expense along with the earnings effect of the hedged item. On March 17, 2021 following the paydown of the term loan within the 2018 credit facility, we terminated the interest rate swap, and paid a fee of $1.7 million to settle it, since the likelihood of LIBOR-based interest payments was no longer probable of occurring.</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April 2018, we entered into one cross-currency swap, which converted $56.0 million of floating LIBOR-based U.S. dollar- denominated debt into 1.38% fixed rate euro-denominated debt. This cross-currency swap matured on April 30, 2021 and mitigated the risk associated with fluctuations in currency rates impacting cash flows related to U.S. dollar-denominated debt in a euro functional currency entity. Changes in the fair value of the cross-currency swap were recognized as a component of OCI and were recognized in earnings when the hedged item affected earnings. The amounts paid or received on the hedge were recognized as an adjustment to interest expense along with the earnings effect of the hedged item.</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forecasted inventory purchases in a non-functional currency, we are exposed to foreign exchange risk. We hedge portions of these purchases. During February 2021, we entered into foreign exchange option contracts for a total notional amount of $77 million at a cost of $1.1 million. The contracts mature ratably through the year with final maturity in October 2021. Changes in the fair values of the option contracts are recognized as a component of OCI and are recognized in product cost of revenues when the hedged item affects earnings.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before-tax effects of our accounting for derivative instruments designated as hedges on AOCI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vMerge w:val="restart"/>
          </w:tcPr>
          <w:p>
            <w:pPr>
              <w:jc w:val="center"/>
              <w:ind w:left="199"/>
              <w:spacing w:after="0"/>
              <w:rPr>
                <w:sz w:val="20"/>
                <w:szCs w:val="20"/>
                <w:color w:val="auto"/>
              </w:rPr>
            </w:pPr>
            <w:r>
              <w:rPr>
                <w:rFonts w:ascii="Arial" w:cs="Arial" w:eastAsia="Arial" w:hAnsi="Arial"/>
                <w:sz w:val="16"/>
                <w:szCs w:val="16"/>
                <w:b w:val="1"/>
                <w:bCs w:val="1"/>
                <w:color w:val="auto"/>
                <w:w w:val="93"/>
              </w:rPr>
              <w:t>Derivatives in ASC 815-20</w:t>
            </w:r>
          </w:p>
        </w:tc>
        <w:tc>
          <w:tcPr>
            <w:tcW w:w="2600" w:type="dxa"/>
            <w:vAlign w:val="bottom"/>
            <w:gridSpan w:val="4"/>
            <w:vMerge w:val="restart"/>
          </w:tcPr>
          <w:p>
            <w:pPr>
              <w:jc w:val="center"/>
              <w:ind w:left="699"/>
              <w:spacing w:after="0"/>
              <w:rPr>
                <w:sz w:val="20"/>
                <w:szCs w:val="20"/>
                <w:color w:val="auto"/>
              </w:rPr>
            </w:pPr>
            <w:r>
              <w:rPr>
                <w:rFonts w:ascii="Arial" w:cs="Arial" w:eastAsia="Arial" w:hAnsi="Arial"/>
                <w:sz w:val="16"/>
                <w:szCs w:val="16"/>
                <w:b w:val="1"/>
                <w:bCs w:val="1"/>
                <w:color w:val="auto"/>
                <w:w w:val="91"/>
              </w:rPr>
              <w:t>Amount of Gain (Loss)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5"/>
          </w:tcPr>
          <w:p>
            <w:pPr>
              <w:ind w:left="1540"/>
              <w:spacing w:after="0"/>
              <w:rPr>
                <w:sz w:val="20"/>
                <w:szCs w:val="20"/>
                <w:color w:val="auto"/>
              </w:rPr>
            </w:pPr>
            <w:r>
              <w:rPr>
                <w:rFonts w:ascii="Arial" w:cs="Arial" w:eastAsia="Arial" w:hAnsi="Arial"/>
                <w:sz w:val="16"/>
                <w:szCs w:val="16"/>
                <w:b w:val="1"/>
                <w:bCs w:val="1"/>
                <w:color w:val="auto"/>
              </w:rPr>
              <w:t>Gain (Loss) Reclassified from</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840" w:type="dxa"/>
            <w:vAlign w:val="bottom"/>
            <w:vMerge w:val="continue"/>
          </w:tcPr>
          <w:p>
            <w:pPr>
              <w:spacing w:after="0"/>
              <w:rPr>
                <w:sz w:val="8"/>
                <w:szCs w:val="8"/>
                <w:color w:val="auto"/>
              </w:rPr>
            </w:pPr>
          </w:p>
        </w:tc>
        <w:tc>
          <w:tcPr>
            <w:tcW w:w="2600" w:type="dxa"/>
            <w:vAlign w:val="bottom"/>
            <w:gridSpan w:val="4"/>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20" w:type="dxa"/>
            <w:vAlign w:val="bottom"/>
            <w:gridSpan w:val="5"/>
            <w:vMerge w:val="restart"/>
          </w:tcPr>
          <w:p>
            <w:pPr>
              <w:ind w:left="1940"/>
              <w:spacing w:after="0"/>
              <w:rPr>
                <w:sz w:val="20"/>
                <w:szCs w:val="20"/>
                <w:color w:val="auto"/>
              </w:rPr>
            </w:pPr>
            <w:r>
              <w:rPr>
                <w:rFonts w:ascii="Arial" w:cs="Arial" w:eastAsia="Arial" w:hAnsi="Arial"/>
                <w:sz w:val="16"/>
                <w:szCs w:val="16"/>
                <w:b w:val="1"/>
                <w:bCs w:val="1"/>
                <w:color w:val="auto"/>
              </w:rPr>
              <w:t>AOCI into Income</w:t>
            </w: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840" w:type="dxa"/>
            <w:vAlign w:val="bottom"/>
            <w:vMerge w:val="restart"/>
          </w:tcPr>
          <w:p>
            <w:pPr>
              <w:jc w:val="center"/>
              <w:ind w:left="199"/>
              <w:spacing w:after="0" w:line="162" w:lineRule="exact"/>
              <w:rPr>
                <w:sz w:val="20"/>
                <w:szCs w:val="20"/>
                <w:color w:val="auto"/>
              </w:rPr>
            </w:pPr>
            <w:r>
              <w:rPr>
                <w:rFonts w:ascii="Arial" w:cs="Arial" w:eastAsia="Arial" w:hAnsi="Arial"/>
                <w:sz w:val="16"/>
                <w:szCs w:val="16"/>
                <w:b w:val="1"/>
                <w:bCs w:val="1"/>
                <w:color w:val="auto"/>
                <w:w w:val="89"/>
              </w:rPr>
              <w:t>Cash Flow</w:t>
            </w:r>
          </w:p>
        </w:tc>
        <w:tc>
          <w:tcPr>
            <w:tcW w:w="2600" w:type="dxa"/>
            <w:vAlign w:val="bottom"/>
            <w:gridSpan w:val="4"/>
            <w:vMerge w:val="restart"/>
          </w:tcPr>
          <w:p>
            <w:pPr>
              <w:jc w:val="center"/>
              <w:ind w:left="699"/>
              <w:spacing w:after="0" w:line="162" w:lineRule="exact"/>
              <w:rPr>
                <w:sz w:val="20"/>
                <w:szCs w:val="20"/>
                <w:color w:val="auto"/>
              </w:rPr>
            </w:pPr>
            <w:r>
              <w:rPr>
                <w:rFonts w:ascii="Arial" w:cs="Arial" w:eastAsia="Arial" w:hAnsi="Arial"/>
                <w:sz w:val="16"/>
                <w:szCs w:val="16"/>
                <w:b w:val="1"/>
                <w:bCs w:val="1"/>
                <w:color w:val="auto"/>
                <w:w w:val="93"/>
              </w:rPr>
              <w:t>Recognized in OCI on</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20" w:type="dxa"/>
            <w:vAlign w:val="bottom"/>
            <w:tcBorders>
              <w:bottom w:val="single" w:sz="8" w:color="auto"/>
            </w:tcBorders>
            <w:gridSpan w:val="5"/>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840" w:type="dxa"/>
            <w:vAlign w:val="bottom"/>
            <w:vMerge w:val="continue"/>
          </w:tcPr>
          <w:p>
            <w:pPr>
              <w:spacing w:after="0"/>
              <w:rPr>
                <w:sz w:val="2"/>
                <w:szCs w:val="2"/>
                <w:color w:val="auto"/>
              </w:rPr>
            </w:pPr>
          </w:p>
        </w:tc>
        <w:tc>
          <w:tcPr>
            <w:tcW w:w="2600" w:type="dxa"/>
            <w:vAlign w:val="bottom"/>
            <w:gridSpan w:val="4"/>
            <w:vMerge w:val="continue"/>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gridSpan w:val="2"/>
            <w:vMerge w:val="restart"/>
          </w:tcPr>
          <w:p>
            <w:pPr>
              <w:ind w:left="820"/>
              <w:spacing w:after="0"/>
              <w:rPr>
                <w:sz w:val="20"/>
                <w:szCs w:val="20"/>
                <w:color w:val="auto"/>
              </w:rPr>
            </w:pPr>
            <w:r>
              <w:rPr>
                <w:rFonts w:ascii="Arial" w:cs="Arial" w:eastAsia="Arial" w:hAnsi="Arial"/>
                <w:sz w:val="16"/>
                <w:szCs w:val="16"/>
                <w:b w:val="1"/>
                <w:bCs w:val="1"/>
                <w:color w:val="auto"/>
              </w:rPr>
              <w:t>Location</w:t>
            </w:r>
          </w:p>
        </w:tc>
        <w:tc>
          <w:tcPr>
            <w:tcW w:w="840" w:type="dxa"/>
            <w:vAlign w:val="bottom"/>
          </w:tcPr>
          <w:p>
            <w:pPr>
              <w:spacing w:after="0"/>
              <w:rPr>
                <w:sz w:val="2"/>
                <w:szCs w:val="2"/>
                <w:color w:val="auto"/>
              </w:rPr>
            </w:pPr>
          </w:p>
        </w:tc>
        <w:tc>
          <w:tcPr>
            <w:tcW w:w="98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840" w:type="dxa"/>
            <w:vAlign w:val="bottom"/>
          </w:tcPr>
          <w:p>
            <w:pPr>
              <w:jc w:val="center"/>
              <w:ind w:left="199"/>
              <w:spacing w:after="0"/>
              <w:rPr>
                <w:sz w:val="20"/>
                <w:szCs w:val="20"/>
                <w:color w:val="auto"/>
              </w:rPr>
            </w:pPr>
            <w:r>
              <w:rPr>
                <w:rFonts w:ascii="Arial" w:cs="Arial" w:eastAsia="Arial" w:hAnsi="Arial"/>
                <w:sz w:val="16"/>
                <w:szCs w:val="16"/>
                <w:b w:val="1"/>
                <w:bCs w:val="1"/>
                <w:color w:val="auto"/>
                <w:w w:val="89"/>
              </w:rPr>
              <w:t>Hedging Relationships</w:t>
            </w:r>
          </w:p>
        </w:tc>
        <w:tc>
          <w:tcPr>
            <w:tcW w:w="1220" w:type="dxa"/>
            <w:vAlign w:val="bottom"/>
          </w:tcPr>
          <w:p>
            <w:pPr>
              <w:spacing w:after="0"/>
              <w:rPr>
                <w:sz w:val="18"/>
                <w:szCs w:val="18"/>
                <w:color w:val="auto"/>
              </w:rPr>
            </w:pPr>
          </w:p>
        </w:tc>
        <w:tc>
          <w:tcPr>
            <w:tcW w:w="13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w w:val="94"/>
              </w:rPr>
              <w:t>Derivative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rate swap contracts</w:t>
            </w:r>
          </w:p>
        </w:tc>
        <w:tc>
          <w:tcPr>
            <w:tcW w:w="122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2840" w:type="dxa"/>
            <w:vAlign w:val="bottom"/>
          </w:tcPr>
          <w:p>
            <w:pPr>
              <w:ind w:left="360"/>
              <w:spacing w:after="0"/>
              <w:rPr>
                <w:sz w:val="20"/>
                <w:szCs w:val="20"/>
                <w:color w:val="auto"/>
              </w:rPr>
            </w:pPr>
            <w:r>
              <w:rPr>
                <w:rFonts w:ascii="Arial" w:cs="Arial" w:eastAsia="Arial" w:hAnsi="Arial"/>
                <w:sz w:val="16"/>
                <w:szCs w:val="16"/>
                <w:color w:val="auto"/>
              </w:rPr>
              <w:t>Foreign exchange options</w:t>
            </w: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Product cost of revenues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Cross currency swap contract</w:t>
            </w:r>
          </w:p>
        </w:tc>
        <w:tc>
          <w:tcPr>
            <w:tcW w:w="1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(2,326)</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9"/>
        </w:trPr>
        <w:tc>
          <w:tcPr>
            <w:tcW w:w="2840" w:type="dxa"/>
            <w:vAlign w:val="bottom"/>
          </w:tcPr>
          <w:p>
            <w:pPr>
              <w:ind w:left="360"/>
              <w:spacing w:after="0"/>
              <w:rPr>
                <w:sz w:val="20"/>
                <w:szCs w:val="20"/>
                <w:color w:val="auto"/>
              </w:rPr>
            </w:pPr>
            <w:r>
              <w:rPr>
                <w:rFonts w:ascii="Arial" w:cs="Arial" w:eastAsia="Arial" w:hAnsi="Arial"/>
                <w:sz w:val="16"/>
                <w:szCs w:val="16"/>
                <w:color w:val="auto"/>
              </w:rPr>
              <w:t>Cross currency swap contract</w:t>
            </w:r>
          </w:p>
        </w:tc>
        <w:tc>
          <w:tcPr>
            <w:tcW w:w="12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Other income (expense), net</w:t>
            </w:r>
          </w:p>
        </w:tc>
        <w:tc>
          <w:tcPr>
            <w:tcW w:w="8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rate swap contract</w:t>
            </w:r>
          </w:p>
        </w:tc>
        <w:tc>
          <w:tcPr>
            <w:tcW w:w="122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(2,818)</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3"/>
        </w:trPr>
        <w:tc>
          <w:tcPr>
            <w:tcW w:w="2840" w:type="dxa"/>
            <w:vAlign w:val="bottom"/>
          </w:tcPr>
          <w:p>
            <w:pPr>
              <w:ind w:left="360"/>
              <w:spacing w:after="0"/>
              <w:rPr>
                <w:sz w:val="20"/>
                <w:szCs w:val="20"/>
                <w:color w:val="auto"/>
              </w:rPr>
            </w:pPr>
            <w:r>
              <w:rPr>
                <w:rFonts w:ascii="Arial" w:cs="Arial" w:eastAsia="Arial" w:hAnsi="Arial"/>
                <w:sz w:val="16"/>
                <w:szCs w:val="16"/>
                <w:color w:val="auto"/>
              </w:rPr>
              <w:t>Interest rate swap contract</w:t>
            </w:r>
          </w:p>
        </w:tc>
        <w:tc>
          <w:tcPr>
            <w:tcW w:w="12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Other income (expense), net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(1,681)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rate cap contracts</w:t>
            </w:r>
          </w:p>
        </w:tc>
        <w:tc>
          <w:tcPr>
            <w:tcW w:w="1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3"/>
        </w:trPr>
        <w:tc>
          <w:tcPr>
            <w:tcW w:w="2840" w:type="dxa"/>
            <w:vAlign w:val="bottom"/>
          </w:tcPr>
          <w:p>
            <w:pPr>
              <w:ind w:left="360"/>
              <w:spacing w:after="0"/>
              <w:rPr>
                <w:sz w:val="20"/>
                <w:szCs w:val="20"/>
                <w:color w:val="auto"/>
              </w:rPr>
            </w:pPr>
            <w:r>
              <w:rPr>
                <w:rFonts w:ascii="Arial" w:cs="Arial" w:eastAsia="Arial" w:hAnsi="Arial"/>
                <w:sz w:val="16"/>
                <w:szCs w:val="16"/>
                <w:color w:val="auto"/>
              </w:rPr>
              <w:t>Foreign exchange options</w:t>
            </w: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(1,221)</w:t>
            </w:r>
          </w:p>
        </w:tc>
        <w:tc>
          <w:tcPr>
            <w:tcW w:w="1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Product cost of revenues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Cross currency swap contract</w:t>
            </w: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(1,969)</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30"/>
        </w:trPr>
        <w:tc>
          <w:tcPr>
            <w:tcW w:w="2840" w:type="dxa"/>
            <w:vAlign w:val="bottom"/>
          </w:tcPr>
          <w:p>
            <w:pPr>
              <w:ind w:left="360"/>
              <w:spacing w:after="0"/>
              <w:rPr>
                <w:sz w:val="20"/>
                <w:szCs w:val="20"/>
                <w:color w:val="auto"/>
              </w:rPr>
            </w:pPr>
            <w:r>
              <w:rPr>
                <w:rFonts w:ascii="Arial" w:cs="Arial" w:eastAsia="Arial" w:hAnsi="Arial"/>
                <w:sz w:val="16"/>
                <w:szCs w:val="16"/>
                <w:color w:val="auto"/>
              </w:rPr>
              <w:t>Cross currency swap contract</w:t>
            </w:r>
          </w:p>
        </w:tc>
        <w:tc>
          <w:tcPr>
            <w:tcW w:w="122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40"/>
              <w:spacing w:after="0"/>
              <w:rPr>
                <w:sz w:val="20"/>
                <w:szCs w:val="20"/>
                <w:color w:val="auto"/>
              </w:rPr>
            </w:pPr>
            <w:r>
              <w:rPr>
                <w:rFonts w:ascii="Arial" w:cs="Arial" w:eastAsia="Arial" w:hAnsi="Arial"/>
                <w:sz w:val="16"/>
                <w:szCs w:val="16"/>
                <w:color w:val="auto"/>
              </w:rPr>
              <w:t>Other income (expense), net</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(2,438)</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2021, a total of 37 contracts were offsetting our exposures from the euro, pound sterling, Indonesian rupiah, Canadian dollar, Australian dollar and various other currencies, with notional amounts ranging from $150,000 to $56.4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ind w:left="120"/>
              <w:spacing w:after="0"/>
              <w:rPr>
                <w:sz w:val="20"/>
                <w:szCs w:val="20"/>
                <w:color w:val="auto"/>
              </w:rPr>
            </w:pPr>
            <w:r>
              <w:rPr>
                <w:rFonts w:ascii="Arial" w:cs="Arial" w:eastAsia="Arial" w:hAnsi="Arial"/>
                <w:sz w:val="16"/>
                <w:szCs w:val="16"/>
                <w:b w:val="1"/>
                <w:bCs w:val="1"/>
                <w:color w:val="auto"/>
                <w:w w:val="92"/>
              </w:rPr>
              <w:t>Derivatives Not Designated as Hedging Instrument under</w:t>
            </w:r>
          </w:p>
        </w:tc>
        <w:tc>
          <w:tcPr>
            <w:tcW w:w="262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Location</w:t>
            </w:r>
          </w:p>
        </w:tc>
        <w:tc>
          <w:tcPr>
            <w:tcW w:w="200" w:type="dxa"/>
            <w:vAlign w:val="bottom"/>
          </w:tcPr>
          <w:p>
            <w:pPr>
              <w:spacing w:after="0"/>
              <w:rPr>
                <w:sz w:val="16"/>
                <w:szCs w:val="16"/>
                <w:color w:val="auto"/>
              </w:rPr>
            </w:pPr>
          </w:p>
        </w:tc>
        <w:tc>
          <w:tcPr>
            <w:tcW w:w="426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w w:val="93"/>
              </w:rPr>
              <w:t>Gain (Loss) Recognized on Derivatives in Other Income</w:t>
            </w:r>
          </w:p>
        </w:tc>
        <w:tc>
          <w:tcPr>
            <w:tcW w:w="0" w:type="dxa"/>
            <w:vAlign w:val="bottom"/>
          </w:tcPr>
          <w:p>
            <w:pPr>
              <w:spacing w:after="0"/>
              <w:rPr>
                <w:sz w:val="1"/>
                <w:szCs w:val="1"/>
                <w:color w:val="auto"/>
              </w:rPr>
            </w:pPr>
          </w:p>
        </w:tc>
      </w:tr>
      <w:tr>
        <w:trPr>
          <w:trHeight w:val="213"/>
        </w:trPr>
        <w:tc>
          <w:tcPr>
            <w:tcW w:w="4160" w:type="dxa"/>
            <w:vAlign w:val="bottom"/>
          </w:tcPr>
          <w:p>
            <w:pPr>
              <w:ind w:left="1700"/>
              <w:spacing w:after="0"/>
              <w:rPr>
                <w:sz w:val="20"/>
                <w:szCs w:val="20"/>
                <w:color w:val="auto"/>
              </w:rPr>
            </w:pPr>
            <w:r>
              <w:rPr>
                <w:rFonts w:ascii="Arial" w:cs="Arial" w:eastAsia="Arial" w:hAnsi="Arial"/>
                <w:sz w:val="16"/>
                <w:szCs w:val="16"/>
                <w:b w:val="1"/>
                <w:bCs w:val="1"/>
                <w:color w:val="auto"/>
              </w:rPr>
              <w:t>ASC 815-20</w:t>
            </w:r>
          </w:p>
        </w:tc>
        <w:tc>
          <w:tcPr>
            <w:tcW w:w="2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(Expense)</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5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673</w:t>
            </w:r>
          </w:p>
        </w:tc>
        <w:tc>
          <w:tcPr>
            <w:tcW w:w="6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429"/>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6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the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those Convertible Note Hedge Transactions. The Convertible Note Hedge Transactions meet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criteria in ASC 815-40 to be classified within Stockholders' Equity, and therefore the transactions are not revalued after their issuance.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Warrants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therefore the warrants are not revalued after issuance.</w:t>
      </w:r>
    </w:p>
    <w:p>
      <w:pPr>
        <w:spacing w:after="0" w:line="20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2"/>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3,822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3,069</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portion of pension benefit obligation</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119,457</w:t>
            </w:r>
          </w:p>
        </w:tc>
      </w:tr>
      <w:tr>
        <w:trPr>
          <w:trHeight w:val="206"/>
        </w:trPr>
        <w:tc>
          <w:tcPr>
            <w:tcW w:w="6760" w:type="dxa"/>
            <w:vAlign w:val="bottom"/>
          </w:tcPr>
          <w:p>
            <w:pPr>
              <w:ind w:left="20"/>
              <w:spacing w:after="0"/>
              <w:rPr>
                <w:sz w:val="20"/>
                <w:szCs w:val="20"/>
                <w:color w:val="auto"/>
              </w:rPr>
            </w:pPr>
            <w:r>
              <w:rPr>
                <w:rFonts w:ascii="Arial" w:cs="Arial" w:eastAsia="Arial" w:hAnsi="Arial"/>
                <w:sz w:val="16"/>
                <w:szCs w:val="16"/>
                <w:color w:val="auto"/>
              </w:rPr>
              <w:t>Pension benefit obligation,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118,593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122,526</w:t>
            </w:r>
          </w:p>
        </w:tc>
      </w:tr>
      <w:tr>
        <w:trPr>
          <w:trHeight w:val="24"/>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asset investment strategy focuses on maintaining a portfolio using primarily insurance funds, which are accounted for as investments and measured at fair value, in order to achieve our long-term investment objectives on a risk-adjusted basis. Our general funding policy for these qualified pension plans is to contribute amounts sufficient to satisfy regulatory funding standards of the respective countries for each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 for our plans include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1,007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3,000</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1,364</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Amortization of prior service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net loss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1,390</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1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37"/>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periodic benefit cost</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5,724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grant stock-based compensation awards, including stock options, restricted stock units, phantom stock, and unrestricted stock units, under the Second Amended and Restated 2010 Stock Incentive Plan (Stock Incentive Plan). In the Stock Incentive Plan, we have 12,623,538 shares of common stock reserved and authorized for issuance subject to stock splits, dividends, and other similar events. At September 30, 2021, 5,346,245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maintain the Employee Stock Purchase Plan (ESPP), for which 151,221 shares of common stock were available for future issuance at September 30,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ESPP activity and stock-based grants other than stock options and restricted stock units were not significant for the three and nine months ended September 30, 2021 and 2020.</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5,104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4,399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18,575</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Unrestricted stock awards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Phantom stock units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w:t>
            </w:r>
          </w:p>
        </w:tc>
      </w:tr>
      <w:tr>
        <w:trPr>
          <w:trHeight w:val="238"/>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stock-based compensation</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6,184</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5,639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22,713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tax benefit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6"/>
                <w:szCs w:val="16"/>
                <w:color w:val="auto"/>
              </w:rPr>
            </w:pPr>
          </w:p>
        </w:tc>
        <w:tc>
          <w:tcPr>
            <w:tcW w:w="168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88"/>
              </w:rPr>
              <w:t>Aggregate</w:t>
            </w: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960" w:type="dxa"/>
            <w:vAlign w:val="bottom"/>
            <w:vMerge w:val="restart"/>
          </w:tcPr>
          <w:p>
            <w:pPr>
              <w:jc w:val="center"/>
              <w:ind w:left="279"/>
              <w:spacing w:after="0"/>
              <w:rPr>
                <w:sz w:val="20"/>
                <w:szCs w:val="20"/>
                <w:color w:val="auto"/>
              </w:rPr>
            </w:pPr>
            <w:r>
              <w:rPr>
                <w:rFonts w:ascii="Arial" w:cs="Arial" w:eastAsia="Arial" w:hAnsi="Arial"/>
                <w:sz w:val="16"/>
                <w:szCs w:val="16"/>
                <w:b w:val="1"/>
                <w:bCs w:val="1"/>
                <w:color w:val="auto"/>
                <w:w w:val="89"/>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8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Intrinsic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color w:val="auto"/>
                <w:w w:val="90"/>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(years)</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6"/>
                <w:szCs w:val="16"/>
                <w:color w:val="auto"/>
                <w:w w:val="92"/>
              </w:rPr>
              <w:t>(in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3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84.38</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Exercised</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Forfeited</w:t>
            </w: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83.80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30, 2020</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January 1, 2021</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Exercised</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Forfeited</w:t>
            </w: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83.33</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30, 2021</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Exercisable, September 30, 2021</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56.51</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2021, total unrecognized stock-based compensation expense related to nonvested stock options was $1.4 million, which is expected to be recognized over a weighted average period of approximately 1.3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estimate the fair value of stock options granted and the resulting weighted average fair value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1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259"/>
              <w:spacing w:after="0"/>
              <w:rPr>
                <w:sz w:val="20"/>
                <w:szCs w:val="20"/>
                <w:color w:val="auto"/>
              </w:rPr>
            </w:pPr>
            <w:r>
              <w:rPr>
                <w:rFonts w:ascii="Arial" w:cs="Arial" w:eastAsia="Arial" w:hAnsi="Arial"/>
                <w:sz w:val="16"/>
                <w:szCs w:val="16"/>
                <w:color w:val="auto"/>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41.5 %</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32.1 %</w:t>
            </w: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1840" w:type="dxa"/>
            <w:vAlign w:val="bottom"/>
            <w:gridSpan w:val="3"/>
          </w:tcPr>
          <w:p>
            <w:pPr>
              <w:jc w:val="right"/>
              <w:ind w:right="1259"/>
              <w:spacing w:after="0"/>
              <w:rPr>
                <w:sz w:val="20"/>
                <w:szCs w:val="20"/>
                <w:color w:val="auto"/>
              </w:rPr>
            </w:pPr>
            <w:r>
              <w:rPr>
                <w:rFonts w:ascii="Arial" w:cs="Arial" w:eastAsia="Arial" w:hAnsi="Arial"/>
                <w:sz w:val="16"/>
                <w:szCs w:val="16"/>
                <w:color w:val="auto"/>
              </w:rPr>
              <w:t>— %</w:t>
            </w:r>
          </w:p>
        </w:tc>
        <w:tc>
          <w:tcPr>
            <w:tcW w:w="50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70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840" w:type="dxa"/>
            <w:vAlign w:val="bottom"/>
            <w:gridSpan w:val="3"/>
            <w:shd w:val="clear" w:color="auto" w:fill="CCEEFF"/>
          </w:tcPr>
          <w:p>
            <w:pPr>
              <w:jc w:val="right"/>
              <w:ind w:right="1259"/>
              <w:spacing w:after="0"/>
              <w:rPr>
                <w:sz w:val="20"/>
                <w:szCs w:val="20"/>
                <w:color w:val="auto"/>
              </w:rPr>
            </w:pPr>
            <w:r>
              <w:rPr>
                <w:rFonts w:ascii="Arial" w:cs="Arial" w:eastAsia="Arial" w:hAnsi="Arial"/>
                <w:sz w:val="16"/>
                <w:szCs w:val="16"/>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employee stock options granted for the three and nine months ended September 30, 2021.</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 fair value</w:t>
            </w:r>
          </w:p>
        </w:tc>
        <w:tc>
          <w:tcPr>
            <w:tcW w:w="2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00" w:type="dxa"/>
            <w:vAlign w:val="bottom"/>
            <w:vMerge w:val="continue"/>
          </w:tcPr>
          <w:p>
            <w:pPr>
              <w:spacing w:after="0"/>
              <w:rPr>
                <w:sz w:val="18"/>
                <w:szCs w:val="18"/>
                <w:color w:val="auto"/>
              </w:rPr>
            </w:pPr>
          </w:p>
        </w:tc>
        <w:tc>
          <w:tcPr>
            <w:tcW w:w="2200" w:type="dxa"/>
            <w:vAlign w:val="bottom"/>
          </w:tcPr>
          <w:p>
            <w:pPr>
              <w:jc w:val="right"/>
              <w:ind w:right="239"/>
              <w:spacing w:after="0"/>
              <w:rPr>
                <w:sz w:val="20"/>
                <w:szCs w:val="20"/>
                <w:color w:val="auto"/>
              </w:rPr>
            </w:pPr>
            <w:r>
              <w:rPr>
                <w:rFonts w:ascii="Arial" w:cs="Arial" w:eastAsia="Arial" w:hAnsi="Arial"/>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2"/>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Granted</w:t>
            </w:r>
          </w:p>
        </w:tc>
        <w:tc>
          <w:tcPr>
            <w:tcW w:w="2200" w:type="dxa"/>
            <w:vAlign w:val="bottom"/>
          </w:tcPr>
          <w:p>
            <w:pPr>
              <w:jc w:val="right"/>
              <w:spacing w:after="0"/>
              <w:rPr>
                <w:sz w:val="20"/>
                <w:szCs w:val="20"/>
                <w:color w:val="auto"/>
              </w:rPr>
            </w:pPr>
            <w:r>
              <w:rPr>
                <w:rFonts w:ascii="Arial" w:cs="Arial" w:eastAsia="Arial" w:hAnsi="Arial"/>
                <w:sz w:val="16"/>
                <w:szCs w:val="16"/>
                <w:color w:val="auto"/>
              </w:rPr>
              <w:t>209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83.34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21,947</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30, 2020</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Granted</w:t>
            </w:r>
          </w:p>
        </w:tc>
        <w:tc>
          <w:tcPr>
            <w:tcW w:w="22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97.96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28,494</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30, 2021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but not released, September 30, 2021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360" w:hanging="352"/>
        <w:spacing w:after="0"/>
        <w:tabs>
          <w:tab w:leader="none" w:pos="36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Shares released is presented as gross shares and does not reflect shares withheld by us for employee payroll tax obligations.</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September 30, 2021, total unrecognized compensation expense on restricted stock units was $30.9 million, which is expected to be recognized over a weighted average period of approximately 1.8 years.</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weighted average assumptions used to estimate the fair value of performance-based restricted stock units granted with a service and market condition and the resulting weighted average fair value are as follows:</w:t>
      </w: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3600" w:type="dxa"/>
            <w:vAlign w:val="bottom"/>
            <w:gridSpan w:val="6"/>
          </w:tcPr>
          <w:p>
            <w:pPr>
              <w:ind w:left="50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2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10"/>
        </w:trPr>
        <w:tc>
          <w:tcPr>
            <w:tcW w:w="41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2"/>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38.2 %</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16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6"/>
                <w:szCs w:val="16"/>
                <w:color w:val="auto"/>
              </w:rPr>
              <w:t>— %</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57"/>
        </w:trPr>
        <w:tc>
          <w:tcPr>
            <w:tcW w:w="4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113.75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93.05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performance-based restricted stock units granted for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tax rate for the three and nine months ended September 30, 2021 of 902% and (39)%, respectively, differed from the federal statutory rate of 21% due to losses in jurisdictions for which no benefit is recognized because of valuation allowances on deferred tax assets, the forecasted mix of earnings in domestic and international jurisdictions, a benefit related to stock-based compensation, uncertain tax positions, and reserves recognized on deferred purchase price receivables.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tax rate for the three and nine months ended September 30, 2020 of 32% and 0%, respectively, differed from the federal statutory rate of 21% primarily due to a significant loss recognized in the second quarter for the divestiture of the majority of our Latin American business activities. This loss was recognized for tax as a discrete item and resulted in no tax benefit. A discrete tax benefit was recognized in the third quarter for $10.1 million related to the release of a valuation allowance on U.S. foreign tax credit deferred tax assets. This release was triggered by the carryforward of tax attributes due to the filing of amended tax returns in the third quarter. Other rate drivers included losses in jurisdictions for which no benefit is recognized because of valuation allowances on deferred tax assets as well as the forecasted mix of earnings in domestic and international jurisdictions, a benefit related to stock-based compensation, and uncertain tax positions.</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penalties expense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2"/>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30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w:t>
            </w: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Accrued penalties</w:t>
            </w:r>
          </w:p>
        </w:tc>
        <w:tc>
          <w:tcPr>
            <w:tcW w:w="30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1,645</w:t>
            </w:r>
          </w:p>
        </w:tc>
      </w:tr>
    </w:tbl>
    <w:p>
      <w:pPr>
        <w:spacing w:after="0" w:line="31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tbl>
      <w:tblPr>
        <w:tblLayout w:type="fixed"/>
        <w:tblInd w:w="0" w:type="dxa"/>
        <w:tblCellMar>
          <w:top w:w="0" w:type="dxa"/>
          <w:left w:w="0" w:type="dxa"/>
          <w:bottom w:w="0" w:type="dxa"/>
          <w:right w:w="0" w:type="dxa"/>
        </w:tblCellMar>
      </w:tblPr>
      <w:tr>
        <w:trPr>
          <w:trHeight w:val="213"/>
        </w:trPr>
        <w:tc>
          <w:tcPr>
            <w:tcW w:w="64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related to uncertain tax positions</w:t>
            </w:r>
          </w:p>
        </w:tc>
        <w:tc>
          <w:tcPr>
            <w:tcW w:w="5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134,110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135,910</w:t>
            </w: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w w:val="96"/>
              </w:rPr>
              <w:t>The amount of unrecognized tax benefits that, if recognized, would affect our effective tax rate</w:t>
            </w:r>
          </w:p>
        </w:tc>
        <w:tc>
          <w:tcPr>
            <w:tcW w:w="5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132,992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134,473</w:t>
            </w: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file income tax returns in various jurisdictions. The material jurisdictions where we are subject to examination include, among others, the United States, France, Germany, Italy, Indonesia, and the United Kingdom.</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U.S. Federal government passed the Coronavirus Aid, Relief, and Economic Security (CARES) Act to provide economic relief from COVID-19. The CARES Act contains significant business tax provisions, which the Company has evaluated and determined will not have a material impact on the Company's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CARES Act also provides employer payroll tax credits for wages paid to employees who are unable to work during the COVID-19 outbreak and options to defer payroll tax payments. The Company has elected to defer remittances of payroll and other taxes into the future as provided for under the Act.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8, 2021 the G20/OECD Inclusive Framework on Base Erosion and Profit Shifting ("BEPS") published a statement on the components of global tax reform agreed to by most member countries. The key components would allocate a portion of profits of the largest businesses amongst their markets, curtail new digital services taxes, and introduce a new global minimum tax of 15%. These components do not result in any financial impact until enacted, which is not currently expected until 2023. The Company is monitoring developments and additional details as they are released to determine the impacts these new components will have on our business.</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2020</w:t>
            </w:r>
          </w:p>
        </w:tc>
      </w:tr>
      <w:tr>
        <w:trPr>
          <w:trHeight w:val="209"/>
        </w:trPr>
        <w:tc>
          <w:tcPr>
            <w:tcW w:w="67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Standby LOCs issued and outstanding</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(64,948)</w:t>
            </w:r>
          </w:p>
        </w:tc>
      </w:tr>
      <w:tr>
        <w:trPr>
          <w:trHeight w:val="235"/>
        </w:trPr>
        <w:tc>
          <w:tcPr>
            <w:tcW w:w="6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435,552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435,052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available for additional standby LOCs under sub-facility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235,052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Multicurrency revolving lines of credit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97,113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99,201</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Standby LOCs issued and outstanding</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(24,966)</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Short-term borrowings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available for additional borrowings and LOCs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64,104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Unsecured surety bonds in force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169,293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162,912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as of November 4, 2021, we do not believe any outstanding standby LOCs or bonds will be called.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53,242</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New product warranties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2,855</w:t>
            </w: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adjustments and expirations,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5,436</w:t>
            </w:r>
          </w:p>
        </w:tc>
      </w:tr>
      <w:tr>
        <w:trPr>
          <w:trHeight w:val="213"/>
        </w:trPr>
        <w:tc>
          <w:tcPr>
            <w:tcW w:w="4380" w:type="dxa"/>
            <w:vAlign w:val="bottom"/>
          </w:tcPr>
          <w:p>
            <w:pPr>
              <w:ind w:left="360"/>
              <w:spacing w:after="0"/>
              <w:rPr>
                <w:sz w:val="20"/>
                <w:szCs w:val="20"/>
                <w:color w:val="auto"/>
              </w:rPr>
            </w:pPr>
            <w:r>
              <w:rPr>
                <w:rFonts w:ascii="Arial" w:cs="Arial" w:eastAsia="Arial" w:hAnsi="Arial"/>
                <w:sz w:val="16"/>
                <w:szCs w:val="16"/>
                <w:color w:val="auto"/>
              </w:rPr>
              <w:t>Claims activity</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(19,349)</w:t>
            </w:r>
          </w:p>
        </w:tc>
      </w:tr>
      <w:tr>
        <w:trPr>
          <w:trHeight w:val="219"/>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r>
      <w:tr>
        <w:trPr>
          <w:trHeight w:val="206"/>
        </w:trPr>
        <w:tc>
          <w:tcPr>
            <w:tcW w:w="438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34,687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43,087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34,687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43,087</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warranty</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32,118</w:t>
            </w:r>
          </w:p>
        </w:tc>
      </w:tr>
      <w:tr>
        <w:trPr>
          <w:trHeight w:val="212"/>
        </w:trPr>
        <w:tc>
          <w:tcPr>
            <w:tcW w:w="4380" w:type="dxa"/>
            <w:vAlign w:val="bottom"/>
          </w:tcPr>
          <w:p>
            <w:pPr>
              <w:ind w:left="360"/>
              <w:spacing w:after="0"/>
              <w:rPr>
                <w:sz w:val="20"/>
                <w:szCs w:val="20"/>
                <w:color w:val="auto"/>
              </w:rPr>
            </w:pPr>
            <w:r>
              <w:rPr>
                <w:rFonts w:ascii="Arial" w:cs="Arial" w:eastAsia="Arial" w:hAnsi="Arial"/>
                <w:sz w:val="16"/>
                <w:szCs w:val="16"/>
                <w:color w:val="auto"/>
              </w:rPr>
              <w:t>Long-term warranty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10,969</w:t>
            </w:r>
          </w:p>
        </w:tc>
      </w:tr>
      <w:tr>
        <w:trPr>
          <w:trHeight w:val="21"/>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warranty expense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2,428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8,321</w:t>
            </w: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Warranty expense decreased during the nine months ended September 30, 2021 compared with the same period in 2020. The lower costs in 2021 are primarily the result of incremental specific reserves recognized in 2020, including $1.7 million for electric and gas products in Europe, Middle East, and Africa (EMEA) Device Solutions and $1.1 million for electric and water products in North America (NAM) Networked Solutions.</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2020 Projects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2022.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21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third quarter of 2021, expected remaining costs to be recognized were reduced by $13.0 million due to the removal of a previously planned non-cash cumulative translation adjustment charge, resulting from our recent reassessment of the legal entity and its related operations.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2020 Projects were as follows:</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Total Expected Costs at</w:t>
            </w:r>
          </w:p>
        </w:tc>
        <w:tc>
          <w:tcPr>
            <w:tcW w:w="20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4"/>
                <w:szCs w:val="14"/>
                <w:color w:val="auto"/>
              </w:rPr>
            </w:pPr>
          </w:p>
        </w:tc>
        <w:tc>
          <w:tcPr>
            <w:tcW w:w="198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89"/>
              </w:rPr>
              <w:t>Costs Recognized During</w:t>
            </w:r>
          </w:p>
        </w:tc>
        <w:tc>
          <w:tcPr>
            <w:tcW w:w="198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w w:val="90"/>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the Nine Months Ended</w:t>
            </w:r>
          </w:p>
        </w:tc>
        <w:tc>
          <w:tcPr>
            <w:tcW w:w="200" w:type="dxa"/>
            <w:vAlign w:val="bottom"/>
          </w:tcPr>
          <w:p>
            <w:pPr>
              <w:spacing w:after="0"/>
              <w:rPr>
                <w:sz w:val="14"/>
                <w:szCs w:val="14"/>
                <w:color w:val="auto"/>
              </w:rPr>
            </w:pPr>
          </w:p>
        </w:tc>
        <w:tc>
          <w:tcPr>
            <w:tcW w:w="178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to be Recognized at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September 30, 2021</w:t>
            </w:r>
          </w:p>
        </w:tc>
        <w:tc>
          <w:tcPr>
            <w:tcW w:w="40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September 30, 2021</w:t>
            </w:r>
          </w:p>
        </w:tc>
        <w:tc>
          <w:tcPr>
            <w:tcW w:w="20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September 30, 2021</w:t>
            </w:r>
          </w:p>
        </w:tc>
        <w:tc>
          <w:tcPr>
            <w:tcW w:w="0" w:type="dxa"/>
            <w:vAlign w:val="bottom"/>
          </w:tcPr>
          <w:p>
            <w:pPr>
              <w:spacing w:after="0"/>
              <w:rPr>
                <w:sz w:val="1"/>
                <w:szCs w:val="1"/>
                <w:color w:val="auto"/>
              </w:rPr>
            </w:pPr>
          </w:p>
        </w:tc>
      </w:tr>
      <w:tr>
        <w:trPr>
          <w:trHeight w:val="212"/>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32,583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w w:val="96"/>
              </w:rPr>
              <w:t>Asset impairments &amp; net loss (gain) on sale</w:t>
            </w:r>
          </w:p>
        </w:tc>
        <w:tc>
          <w:tcPr>
            <w:tcW w:w="1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6,893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6,944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or disposal</w:t>
            </w: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w:t>
            </w:r>
          </w:p>
        </w:tc>
        <w:tc>
          <w:tcPr>
            <w:tcW w:w="0" w:type="dxa"/>
            <w:vAlign w:val="bottom"/>
          </w:tcPr>
          <w:p>
            <w:pPr>
              <w:spacing w:after="0"/>
              <w:rPr>
                <w:sz w:val="1"/>
                <w:szCs w:val="1"/>
                <w:color w:val="auto"/>
              </w:rPr>
            </w:pPr>
          </w:p>
        </w:tc>
      </w:tr>
      <w:tr>
        <w:trPr>
          <w:trHeight w:val="213"/>
        </w:trPr>
        <w:tc>
          <w:tcPr>
            <w:tcW w:w="3000" w:type="dxa"/>
            <w:vAlign w:val="bottom"/>
          </w:tcPr>
          <w:p>
            <w:pPr>
              <w:ind w:left="5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44,022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43,232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our Board of Directors approved a restructuring plan (the 2018 Projects) to continue our efforts to optimize our global supply chain and manufacturing operations, research and development, and sales and marketing organizations. Actions under the 2018 Projects were substantially completed as of the end of 2020.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we incurred additional legal costs related to a facility closure, partially offset by reduced severance costs.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2018 Projects were as follows:</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Total Expected Costs at</w:t>
            </w:r>
          </w:p>
        </w:tc>
        <w:tc>
          <w:tcPr>
            <w:tcW w:w="20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4"/>
                <w:szCs w:val="14"/>
                <w:color w:val="auto"/>
              </w:rPr>
            </w:pPr>
          </w:p>
        </w:tc>
        <w:tc>
          <w:tcPr>
            <w:tcW w:w="198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89"/>
              </w:rPr>
              <w:t>Costs Recognized During</w:t>
            </w:r>
          </w:p>
        </w:tc>
        <w:tc>
          <w:tcPr>
            <w:tcW w:w="198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w w:val="90"/>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the Nine Months Ended</w:t>
            </w:r>
          </w:p>
        </w:tc>
        <w:tc>
          <w:tcPr>
            <w:tcW w:w="200" w:type="dxa"/>
            <w:vAlign w:val="bottom"/>
          </w:tcPr>
          <w:p>
            <w:pPr>
              <w:spacing w:after="0"/>
              <w:rPr>
                <w:sz w:val="14"/>
                <w:szCs w:val="14"/>
                <w:color w:val="auto"/>
              </w:rPr>
            </w:pPr>
          </w:p>
        </w:tc>
        <w:tc>
          <w:tcPr>
            <w:tcW w:w="178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to be Recognized at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September 30, 2021</w:t>
            </w:r>
          </w:p>
        </w:tc>
        <w:tc>
          <w:tcPr>
            <w:tcW w:w="40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September 30, 2021</w:t>
            </w:r>
          </w:p>
        </w:tc>
        <w:tc>
          <w:tcPr>
            <w:tcW w:w="20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September 30, 2021</w:t>
            </w:r>
          </w:p>
        </w:tc>
        <w:tc>
          <w:tcPr>
            <w:tcW w:w="0" w:type="dxa"/>
            <w:vAlign w:val="bottom"/>
          </w:tcPr>
          <w:p>
            <w:pPr>
              <w:spacing w:after="0"/>
              <w:rPr>
                <w:sz w:val="1"/>
                <w:szCs w:val="1"/>
                <w:color w:val="auto"/>
              </w:rPr>
            </w:pPr>
          </w:p>
        </w:tc>
      </w:tr>
      <w:tr>
        <w:trPr>
          <w:trHeight w:val="212"/>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59,229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w w:val="96"/>
              </w:rPr>
              <w:t>Asset impairments &amp; net loss (gain) on sale</w:t>
            </w:r>
          </w:p>
        </w:tc>
        <w:tc>
          <w:tcPr>
            <w:tcW w:w="1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3,788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2,786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color w:val="auto"/>
              </w:rPr>
              <w:t>1,002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or disposal</w:t>
            </w: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12"/>
        </w:trPr>
        <w:tc>
          <w:tcPr>
            <w:tcW w:w="3000" w:type="dxa"/>
            <w:vAlign w:val="bottom"/>
          </w:tcPr>
          <w:p>
            <w:pPr>
              <w:ind w:left="5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82,769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following table summarizes the activity within the restructuring-related balance sheet accounts for the 2020 Projects and 2018 Projects during the nine months ended September 30, 2021:</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Accrued Employee</w:t>
            </w:r>
          </w:p>
        </w:tc>
        <w:tc>
          <w:tcPr>
            <w:tcW w:w="100" w:type="dxa"/>
            <w:vAlign w:val="bottom"/>
          </w:tcPr>
          <w:p>
            <w:pPr>
              <w:spacing w:after="0"/>
              <w:rPr>
                <w:sz w:val="14"/>
                <w:szCs w:val="14"/>
                <w:color w:val="auto"/>
              </w:rPr>
            </w:pPr>
          </w:p>
        </w:tc>
        <w:tc>
          <w:tcPr>
            <w:tcW w:w="198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92"/>
              </w:rPr>
              <w:t>Asset Impairments &amp; Net</w:t>
            </w: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Loss (Gain) on Sale or</w:t>
            </w:r>
          </w:p>
        </w:tc>
        <w:tc>
          <w:tcPr>
            <w:tcW w:w="180" w:type="dxa"/>
            <w:vAlign w:val="bottom"/>
          </w:tcPr>
          <w:p>
            <w:pPr>
              <w:spacing w:after="0"/>
              <w:rPr>
                <w:sz w:val="14"/>
                <w:szCs w:val="14"/>
                <w:color w:val="auto"/>
              </w:rPr>
            </w:pPr>
          </w:p>
        </w:tc>
        <w:tc>
          <w:tcPr>
            <w:tcW w:w="18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4"/>
              </w:rPr>
              <w:t>Other Accrued Costs</w:t>
            </w:r>
          </w:p>
        </w:tc>
        <w:tc>
          <w:tcPr>
            <w:tcW w:w="12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vMerge w:val="restart"/>
          </w:tcPr>
          <w:p>
            <w:pPr>
              <w:jc w:val="right"/>
              <w:ind w:right="7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Severance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72,626</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Arial" w:cs="Arial" w:eastAsia="Arial" w:hAnsi="Arial"/>
                <w:sz w:val="16"/>
                <w:szCs w:val="16"/>
                <w:color w:val="auto"/>
              </w:rPr>
              <w:t>Costs charged to expense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(7,586)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5,805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(21,156)</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Arial" w:cs="Arial" w:eastAsia="Arial" w:hAnsi="Arial"/>
                <w:sz w:val="16"/>
                <w:szCs w:val="16"/>
                <w:color w:val="auto"/>
              </w:rPr>
              <w:t>Cash receipts</w:t>
            </w:r>
          </w:p>
        </w:tc>
        <w:tc>
          <w:tcPr>
            <w:tcW w:w="2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assets disposed and impaired</w:t>
            </w: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Effect of change in exchange rates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 September 30,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47,265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portions of restructuring liabilities were $28.7 million and $31.7 million as of September 30, 2021 and December 31, 2020 and are classified within other current liabilities on the Consolidated Balance Sheets. The long-term portions of restructuring liabilities were $18.6 million and $40.9 million as of September 30, 2021 and December 31, 2020. The long-term portions of restructuring liabilities are classified within other long-term obligations on the Consolidated Balance Sheet and includes severance accruals and facility exit costs.</w:t>
      </w: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September 30, 2021 or December 31,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Common Stock</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March 12, 2021, we closed the sale of 4,472,222 shares of our common stock in a public offering, resulting in net proceeds to us of approximately $389.4 million, after deducting underwriters’ discounts of the offering.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the price per share of our common stock, as measured under the terms of the Convertible Note Hedge Transactions, is greater than the strike price of the Convertible Note Hedge Transactions. The Convertible Note Hedge Transactions meet the criteria in ASC 815-40 to be classified within Stockholders' Equity, therefore the Convertible Note Hedge Transactions are not revalued after their issuance.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concurrently with entering into the Convertible Note Hedge Transactions, we separately entered into privately-negotiated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1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w w:val="91"/>
              </w:rPr>
              <w:t>Comprehensive</w:t>
            </w:r>
          </w:p>
        </w:tc>
        <w:tc>
          <w:tcPr>
            <w:tcW w:w="0" w:type="dxa"/>
            <w:vAlign w:val="bottom"/>
          </w:tcPr>
          <w:p>
            <w:pPr>
              <w:spacing w:after="0"/>
              <w:rPr>
                <w:sz w:val="1"/>
                <w:szCs w:val="1"/>
                <w:color w:val="auto"/>
              </w:rPr>
            </w:pPr>
          </w:p>
        </w:tc>
      </w:tr>
      <w:tr>
        <w:trPr>
          <w:trHeight w:val="213"/>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Income (Loss)</w:t>
            </w:r>
          </w:p>
        </w:tc>
        <w:tc>
          <w:tcPr>
            <w:tcW w:w="0" w:type="dxa"/>
            <w:vAlign w:val="bottom"/>
          </w:tcPr>
          <w:p>
            <w:pPr>
              <w:spacing w:after="0"/>
              <w:rPr>
                <w:sz w:val="1"/>
                <w:szCs w:val="1"/>
                <w:color w:val="auto"/>
              </w:rPr>
            </w:pPr>
          </w:p>
        </w:tc>
      </w:tr>
      <w:tr>
        <w:trPr>
          <w:trHeight w:val="212"/>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(204,672)</w:t>
            </w:r>
          </w:p>
        </w:tc>
        <w:tc>
          <w:tcPr>
            <w:tcW w:w="0" w:type="dxa"/>
            <w:vAlign w:val="bottom"/>
          </w:tcPr>
          <w:p>
            <w:pPr>
              <w:spacing w:after="0"/>
              <w:rPr>
                <w:sz w:val="1"/>
                <w:szCs w:val="1"/>
                <w:color w:val="auto"/>
              </w:rPr>
            </w:pPr>
          </w:p>
        </w:tc>
      </w:tr>
      <w:tr>
        <w:trPr>
          <w:trHeight w:val="206"/>
        </w:trPr>
        <w:tc>
          <w:tcPr>
            <w:tcW w:w="362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(6,025)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56,684</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51,927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50,659</w:t>
            </w:r>
          </w:p>
        </w:tc>
        <w:tc>
          <w:tcPr>
            <w:tcW w:w="0" w:type="dxa"/>
            <w:vAlign w:val="bottom"/>
          </w:tcPr>
          <w:p>
            <w:pPr>
              <w:spacing w:after="0"/>
              <w:rPr>
                <w:sz w:val="1"/>
                <w:szCs w:val="1"/>
                <w:color w:val="auto"/>
              </w:rPr>
            </w:pPr>
          </w:p>
        </w:tc>
      </w:tr>
      <w:tr>
        <w:trPr>
          <w:trHeight w:val="23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September 30,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(154,013)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January 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(37,682)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(138,526)</w:t>
            </w:r>
          </w:p>
        </w:tc>
        <w:tc>
          <w:tcPr>
            <w:tcW w:w="0" w:type="dxa"/>
            <w:vAlign w:val="bottom"/>
          </w:tcPr>
          <w:p>
            <w:pPr>
              <w:spacing w:after="0"/>
              <w:rPr>
                <w:sz w:val="1"/>
                <w:szCs w:val="1"/>
                <w:color w:val="auto"/>
              </w:rPr>
            </w:pPr>
          </w:p>
        </w:tc>
      </w:tr>
      <w:tr>
        <w:trPr>
          <w:trHeight w:val="206"/>
        </w:trPr>
        <w:tc>
          <w:tcPr>
            <w:tcW w:w="362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(16,033)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(13,213)</w:t>
            </w:r>
          </w:p>
        </w:tc>
        <w:tc>
          <w:tcPr>
            <w:tcW w:w="0" w:type="dxa"/>
            <w:vAlign w:val="bottom"/>
          </w:tcPr>
          <w:p>
            <w:pPr>
              <w:spacing w:after="0"/>
              <w:rPr>
                <w:sz w:val="1"/>
                <w:szCs w:val="1"/>
                <w:color w:val="auto"/>
              </w:rPr>
            </w:pPr>
          </w:p>
        </w:tc>
      </w:tr>
      <w:tr>
        <w:trPr>
          <w:trHeight w:val="237"/>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September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(151,739)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income tax (provision) benefit, and net-of-tax amounts related to each component of OCI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Before-tax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rPr>
              <w:t>Foreign currency translation adjustment reclassified to net</w:t>
            </w:r>
          </w:p>
        </w:tc>
        <w:tc>
          <w:tcPr>
            <w:tcW w:w="26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52,074</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Arial" w:cs="Arial" w:eastAsia="Arial" w:hAnsi="Arial"/>
                <w:sz w:val="16"/>
                <w:szCs w:val="16"/>
                <w:color w:val="auto"/>
              </w:rPr>
              <w:t>income (loss) on sale of business</w:t>
            </w:r>
          </w:p>
        </w:tc>
        <w:tc>
          <w:tcPr>
            <w:tcW w:w="2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2"/>
              </w:rPr>
              <w:t>Net unrealized gain (loss) on derivative instruments, designated</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(5,228)</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 cash flow hedges</w:t>
            </w:r>
          </w:p>
        </w:tc>
        <w:tc>
          <w:tcPr>
            <w:tcW w:w="2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Net hedging (gain) loss reclassified to net income (loss)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2,588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(loss)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49,674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Tax (provision) benefit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(1,533)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Foreign currency translation adjustment reclassified to net</w:t>
            </w:r>
          </w:p>
        </w:tc>
        <w:tc>
          <w:tcPr>
            <w:tcW w:w="2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on sale of business</w:t>
            </w:r>
          </w:p>
        </w:tc>
        <w:tc>
          <w:tcPr>
            <w:tcW w:w="2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w w:val="92"/>
              </w:rPr>
              <w:t>Net unrealized gain (loss) on derivative instruments, designated</w:t>
            </w:r>
          </w:p>
        </w:tc>
        <w:tc>
          <w:tcPr>
            <w:tcW w:w="26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Arial" w:cs="Arial" w:eastAsia="Arial" w:hAnsi="Arial"/>
                <w:sz w:val="16"/>
                <w:szCs w:val="16"/>
                <w:color w:val="auto"/>
              </w:rPr>
              <w:t>as cash flow hedges</w:t>
            </w:r>
          </w:p>
        </w:tc>
        <w:tc>
          <w:tcPr>
            <w:tcW w:w="2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hedging (gain) loss reclassified to net income (loss)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8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Total other comprehensive income (loss) tax (provision)</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194"/>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benefit</w:t>
            </w:r>
          </w:p>
        </w:tc>
        <w:tc>
          <w:tcPr>
            <w:tcW w:w="2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Net-of-tax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rPr>
              <w:t>Foreign currency translation adjustment reclassified to net</w:t>
            </w:r>
          </w:p>
        </w:tc>
        <w:tc>
          <w:tcPr>
            <w:tcW w:w="26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52,074</w:t>
            </w:r>
          </w:p>
        </w:tc>
        <w:tc>
          <w:tcPr>
            <w:tcW w:w="0" w:type="dxa"/>
            <w:vAlign w:val="bottom"/>
          </w:tcPr>
          <w:p>
            <w:pPr>
              <w:spacing w:after="0"/>
              <w:rPr>
                <w:sz w:val="1"/>
                <w:szCs w:val="1"/>
                <w:color w:val="auto"/>
              </w:rPr>
            </w:pPr>
          </w:p>
        </w:tc>
      </w:tr>
      <w:tr>
        <w:trPr>
          <w:trHeight w:val="209"/>
        </w:trPr>
        <w:tc>
          <w:tcPr>
            <w:tcW w:w="4380" w:type="dxa"/>
            <w:vAlign w:val="bottom"/>
          </w:tcPr>
          <w:p>
            <w:pPr>
              <w:ind w:left="360"/>
              <w:spacing w:after="0"/>
              <w:rPr>
                <w:sz w:val="20"/>
                <w:szCs w:val="20"/>
                <w:color w:val="auto"/>
              </w:rPr>
            </w:pPr>
            <w:r>
              <w:rPr>
                <w:rFonts w:ascii="Arial" w:cs="Arial" w:eastAsia="Arial" w:hAnsi="Arial"/>
                <w:sz w:val="16"/>
                <w:szCs w:val="16"/>
                <w:color w:val="auto"/>
              </w:rPr>
              <w:t>income (loss) on sale of business</w:t>
            </w:r>
          </w:p>
        </w:tc>
        <w:tc>
          <w:tcPr>
            <w:tcW w:w="2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2"/>
              </w:rPr>
              <w:t>Net unrealized gain (loss) on derivative instruments, designated</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(4,727)</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 cash flow hedges</w:t>
            </w:r>
          </w:p>
        </w:tc>
        <w:tc>
          <w:tcPr>
            <w:tcW w:w="2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Net hedging (gain) loss reclassified to net income (loss)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2,570</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r>
        <w:trPr>
          <w:trHeight w:val="166"/>
        </w:trPr>
        <w:tc>
          <w:tcPr>
            <w:tcW w:w="4380" w:type="dxa"/>
            <w:vAlign w:val="bottom"/>
          </w:tcPr>
          <w:p>
            <w:pPr>
              <w:ind w:left="180"/>
              <w:spacing w:after="0" w:line="166"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2,087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(loss)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50,659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The fair values at September 30, 2021 and December 31, 2020 do not reflect subsequent changes in the economy, interest rates, tax rates, and other variables that may affect the determination of fair value.</w:t>
      </w: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2060" w:type="dxa"/>
            <w:vAlign w:val="bottom"/>
          </w:tcPr>
          <w:p>
            <w:pPr>
              <w:jc w:val="right"/>
              <w:ind w:right="1139"/>
              <w:spacing w:after="0" w:line="158" w:lineRule="exact"/>
              <w:rPr>
                <w:sz w:val="20"/>
                <w:szCs w:val="20"/>
                <w:color w:val="auto"/>
              </w:rPr>
            </w:pPr>
            <w:r>
              <w:rPr>
                <w:rFonts w:ascii="Arial" w:cs="Arial" w:eastAsia="Arial" w:hAnsi="Arial"/>
                <w:sz w:val="16"/>
                <w:szCs w:val="16"/>
                <w:b w:val="1"/>
                <w:bCs w:val="1"/>
                <w:color w:val="auto"/>
              </w:rPr>
              <w:t>Carrying</w:t>
            </w:r>
          </w:p>
        </w:tc>
        <w:tc>
          <w:tcPr>
            <w:tcW w:w="1020" w:type="dxa"/>
            <w:vAlign w:val="bottom"/>
          </w:tcPr>
          <w:p>
            <w:pPr>
              <w:jc w:val="center"/>
              <w:ind w:right="539"/>
              <w:spacing w:after="0" w:line="158" w:lineRule="exact"/>
              <w:rPr>
                <w:sz w:val="20"/>
                <w:szCs w:val="20"/>
                <w:color w:val="auto"/>
              </w:rPr>
            </w:pPr>
            <w:r>
              <w:rPr>
                <w:rFonts w:ascii="Arial" w:cs="Arial" w:eastAsia="Arial" w:hAnsi="Arial"/>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439"/>
              <w:spacing w:after="0" w:line="158" w:lineRule="exact"/>
              <w:rPr>
                <w:sz w:val="20"/>
                <w:szCs w:val="20"/>
                <w:color w:val="auto"/>
              </w:rPr>
            </w:pPr>
            <w:r>
              <w:rPr>
                <w:rFonts w:ascii="Arial" w:cs="Arial" w:eastAsia="Arial" w:hAnsi="Arial"/>
                <w:sz w:val="16"/>
                <w:szCs w:val="16"/>
                <w:b w:val="1"/>
                <w:bCs w:val="1"/>
                <w:color w:val="auto"/>
              </w:rPr>
              <w:t>Carrying</w:t>
            </w:r>
          </w:p>
        </w:tc>
        <w:tc>
          <w:tcPr>
            <w:tcW w:w="700" w:type="dxa"/>
            <w:vAlign w:val="bottom"/>
          </w:tcPr>
          <w:p>
            <w:pPr>
              <w:spacing w:after="0"/>
              <w:rPr>
                <w:sz w:val="13"/>
                <w:szCs w:val="13"/>
                <w:color w:val="auto"/>
              </w:rPr>
            </w:pPr>
          </w:p>
        </w:tc>
        <w:tc>
          <w:tcPr>
            <w:tcW w:w="1020" w:type="dxa"/>
            <w:vAlign w:val="bottom"/>
          </w:tcPr>
          <w:p>
            <w:pPr>
              <w:jc w:val="right"/>
              <w:ind w:right="579"/>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jc w:val="right"/>
              <w:ind w:right="1179"/>
              <w:spacing w:after="0"/>
              <w:rPr>
                <w:sz w:val="20"/>
                <w:szCs w:val="20"/>
                <w:color w:val="auto"/>
              </w:rPr>
            </w:pPr>
            <w:r>
              <w:rPr>
                <w:rFonts w:ascii="Arial" w:cs="Arial" w:eastAsia="Arial" w:hAnsi="Arial"/>
                <w:sz w:val="16"/>
                <w:szCs w:val="16"/>
                <w:b w:val="1"/>
                <w:bCs w:val="1"/>
                <w:color w:val="auto"/>
              </w:rPr>
              <w:t>Amount</w:t>
            </w:r>
          </w:p>
        </w:tc>
        <w:tc>
          <w:tcPr>
            <w:tcW w:w="142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93"/>
              </w:rPr>
              <w:t>Value</w:t>
            </w: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700" w:type="dxa"/>
            <w:vAlign w:val="bottom"/>
          </w:tcPr>
          <w:p>
            <w:pPr>
              <w:spacing w:after="0"/>
              <w:rPr>
                <w:sz w:val="18"/>
                <w:szCs w:val="18"/>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USD denominated term loan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   $</w:t>
            </w:r>
          </w:p>
        </w:tc>
        <w:tc>
          <w:tcPr>
            <w:tcW w:w="142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532,625</w:t>
            </w: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520,347</w:t>
            </w:r>
          </w:p>
        </w:tc>
        <w:tc>
          <w:tcPr>
            <w:tcW w:w="0" w:type="dxa"/>
            <w:vAlign w:val="bottom"/>
          </w:tcPr>
          <w:p>
            <w:pPr>
              <w:spacing w:after="0"/>
              <w:rPr>
                <w:sz w:val="1"/>
                <w:szCs w:val="1"/>
                <w:color w:val="auto"/>
              </w:rPr>
            </w:pPr>
          </w:p>
        </w:tc>
      </w:tr>
      <w:tr>
        <w:trPr>
          <w:trHeight w:val="213"/>
        </w:trPr>
        <w:tc>
          <w:tcPr>
            <w:tcW w:w="4340" w:type="dxa"/>
            <w:vAlign w:val="bottom"/>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18"/>
                <w:szCs w:val="18"/>
                <w:color w:val="auto"/>
              </w:rPr>
            </w:pPr>
          </w:p>
        </w:tc>
        <w:tc>
          <w:tcPr>
            <w:tcW w:w="206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388,311</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410,000</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300" w:type="dxa"/>
            <w:vAlign w:val="bottom"/>
          </w:tcPr>
          <w:p>
            <w:pPr>
              <w:spacing w:after="0"/>
              <w:rPr>
                <w:sz w:val="18"/>
                <w:szCs w:val="18"/>
                <w:color w:val="auto"/>
              </w:rPr>
            </w:pPr>
          </w:p>
        </w:tc>
        <w:tc>
          <w:tcPr>
            <w:tcW w:w="2060" w:type="dxa"/>
            <w:vAlign w:val="bottom"/>
          </w:tcPr>
          <w:p>
            <w:pPr>
              <w:jc w:val="right"/>
              <w:ind w:right="719"/>
              <w:spacing w:after="0"/>
              <w:rPr>
                <w:sz w:val="20"/>
                <w:szCs w:val="20"/>
                <w:color w:val="auto"/>
              </w:rPr>
            </w:pPr>
            <w:r>
              <w:rPr>
                <w:rFonts w:ascii="Arial" w:cs="Arial" w:eastAsia="Arial" w:hAnsi="Arial"/>
                <w:sz w:val="16"/>
                <w:szCs w:val="16"/>
                <w:color w:val="auto"/>
              </w:rPr>
              <w:t>449,629</w:t>
            </w:r>
          </w:p>
        </w:tc>
        <w:tc>
          <w:tcPr>
            <w:tcW w:w="1020" w:type="dxa"/>
            <w:vAlign w:val="bottom"/>
          </w:tcPr>
          <w:p>
            <w:pPr>
              <w:jc w:val="right"/>
              <w:spacing w:after="0"/>
              <w:rPr>
                <w:sz w:val="20"/>
                <w:szCs w:val="20"/>
                <w:color w:val="auto"/>
              </w:rPr>
            </w:pPr>
            <w:r>
              <w:rPr>
                <w:rFonts w:ascii="Arial" w:cs="Arial" w:eastAsia="Arial" w:hAnsi="Arial"/>
                <w:sz w:val="16"/>
                <w:szCs w:val="16"/>
                <w:color w:val="auto"/>
              </w:rPr>
              <w:t>434,130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the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Senior Notes and Convertible Notes: </w:t>
      </w:r>
      <w:r>
        <w:rPr>
          <w:rFonts w:ascii="Arial" w:cs="Arial" w:eastAsia="Arial" w:hAnsi="Arial"/>
          <w:sz w:val="18"/>
          <w:szCs w:val="18"/>
          <w:color w:val="auto"/>
        </w:rPr>
        <w:t>The Senior Notes and Convertible Notes are not registered securities nor listed on any securities exchange but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actively traded by qualified institutional buyers. The fair value is estimated using Level 1 inputs, as it is based on quoted prices for these instruments in active markets.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Derivative Financial Instruments for a description of our methods and assumptions in determining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which were determined using Level 2 inputs. Each derivative asset and liability has a carrying value equal to fair value.</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Device Solutions, Networked Solutions, and Outcomes.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 This segment primarily includes a combination of communicating devices (e.g., smart meters, modules, endpoints, and sensors),</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Solutions portfolio include: communicating measurement, control, or sensing endpoints such as our Itron® OpenWay® Centron and Riva meters, Itron traditional ERT® technology, Intelis smart gas meters, 500G gas communication modules, 500W water communication modules; GenX networking infrastructure products and network interface cards (NICs); Smart City control and management software; Distribution Automation bridge devices, and specific network control and management software applications. The Industrial Internet of Things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of these industry and smart city applications to be run and managed on a single, multi-purpose network.</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Outcomes </w:t>
      </w:r>
      <w:r>
        <w:rPr>
          <w:rFonts w:ascii="Arial" w:cs="Arial" w:eastAsia="Arial" w:hAnsi="Arial"/>
          <w:sz w:val="16"/>
          <w:szCs w:val="16"/>
          <w:color w:val="auto"/>
        </w:rPr>
        <w:t>– This segment primarily includes our value-added, enhanced software and services in which we manage, organize, analyze, and interpret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operating segments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480,808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501,157</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242,527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282,677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736,397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898,465</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38,158</w:t>
            </w:r>
          </w:p>
        </w:tc>
      </w:tr>
      <w:tr>
        <w:trPr>
          <w:trHeight w:val="207"/>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410,947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470,658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1,265,470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1,437,780</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7"/>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Service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6,415</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31,971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23,982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91,473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73,519</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130,479</w:t>
            </w:r>
          </w:p>
        </w:tc>
      </w:tr>
      <w:tr>
        <w:trPr>
          <w:trHeight w:val="207"/>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69,526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230,465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210,413</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7"/>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507,572</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274,498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306,659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827,870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971,984</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180,083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168,637</w:t>
            </w:r>
          </w:p>
        </w:tc>
      </w:tr>
      <w:tr>
        <w:trPr>
          <w:trHeight w:val="206"/>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486,949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540,184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1,495,935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1,648,193</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7"/>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64,843</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89,915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102,295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298,627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332,368</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56,123</w:t>
            </w:r>
          </w:p>
        </w:tc>
      </w:tr>
      <w:tr>
        <w:trPr>
          <w:trHeight w:val="206"/>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134,963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143,251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451,882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453,334</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7"/>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28,095</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61,150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71,404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205,071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237,466</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29,468</w:t>
            </w:r>
          </w:p>
        </w:tc>
      </w:tr>
      <w:tr>
        <w:trPr>
          <w:trHeight w:val="213"/>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Corporate unallocated</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(80,856)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(118,445)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(265,331)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(338,026)</w:t>
            </w:r>
          </w:p>
        </w:tc>
      </w:tr>
      <w:tr>
        <w:trPr>
          <w:trHeight w:val="213"/>
        </w:trPr>
        <w:tc>
          <w:tcPr>
            <w:tcW w:w="43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Company</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(42,997)</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income (expense)</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(35,020)</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(37,043)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(78,017)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2021 and the three months ended September 30, 2020, no customer represented more than 10% of total company revenue. During the nine months ended September 30, 2020, one customer represented 11% of total company revenues.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957,993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1,110,028</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Europe, Middle East, and Africa</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126,548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156,810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437,768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431,593</w:t>
            </w:r>
          </w:p>
        </w:tc>
      </w:tr>
      <w:tr>
        <w:trPr>
          <w:trHeight w:val="219"/>
        </w:trPr>
        <w:tc>
          <w:tcPr>
            <w:tcW w:w="4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Asia Pacific and Latin America</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100,174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106,572</w:t>
            </w:r>
          </w:p>
        </w:tc>
      </w:tr>
      <w:tr>
        <w:trPr>
          <w:trHeight w:val="207"/>
        </w:trPr>
        <w:tc>
          <w:tcPr>
            <w:tcW w:w="436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486,949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540,184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1,495,935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1,648,193</w:t>
            </w:r>
          </w:p>
        </w:tc>
      </w:tr>
      <w:tr>
        <w:trPr>
          <w:trHeight w:val="23"/>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5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On June 25, 2020, we sold our Latin American operations. We continue to sell into the region through an exclusive distributor.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is allocated to the operating segments based upon each segment's use of the assets. All amortization expense is recognized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unallocated. Depreciation and amortization of intangible assets expense associated with our operating segments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18,423</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12,447</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37,304</w:t>
            </w:r>
          </w:p>
        </w:tc>
      </w:tr>
      <w:tr>
        <w:trPr>
          <w:trHeight w:val="234"/>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21,333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72,306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Contract Liabilities, Less</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Contract Assets</w:t>
            </w:r>
          </w:p>
        </w:tc>
        <w:tc>
          <w:tcPr>
            <w:tcW w:w="0" w:type="dxa"/>
            <w:vAlign w:val="bottom"/>
          </w:tcPr>
          <w:p>
            <w:pPr>
              <w:spacing w:after="0"/>
              <w:rPr>
                <w:sz w:val="1"/>
                <w:szCs w:val="1"/>
                <w:color w:val="auto"/>
              </w:rPr>
            </w:pPr>
          </w:p>
        </w:tc>
      </w:tr>
      <w:tr>
        <w:trPr>
          <w:trHeight w:val="212"/>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98,388</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Revenues recognized from beginning contract liability</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(95,096)</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16,722</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Increases due to amounts collected or due</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215,549</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(136,122)</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3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September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98,533</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2021, total contract assets were $49.8 million and total contract liabilities were $148.2 million. On September 30, 2021, total contract assets were $35.3 million and total contract liabilities were $133.8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transaction price allocated to remaining performance obligations related to contracts is approximately $1.3 billion for the next twelve months and approximately $1.5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which revenue is recognized over the warranty period, and hardware, which is recognized as units are delivered. The estimate of when remaining performance obligations will be recognized requires significant judgment.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Sale of Business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Latin America Divestiture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pays a royalty on certain products manufactured by Accell using licensed Company intellectual property. In addition, Accell serves as the exclusive distributor for our Device Solutions, Networked Solutions, and Outcomes product and service offerings in Latin America.</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sales price of $35.0 million included deferred payments of $21.1 million for working capital, which was to be paid in full by December 31, 2020, as evidenced by a promissory note, and the remainder in cash ($4.5 million) and other deferred consideration.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2021, we agreed to extend the payment terms on the remaining outstanding working capital balance of $18.4 million. Accell had agreed to make monthly payments, including interest, through September 2022, under which we received full payments for January through March and partial payments in April and May (totaling $3.8 million including $0.7 million in interest). In July 2021, we received a revised payment plan for the remaining working capital note receivable, as well as the other deferred transaction receivables. Based on Accell's failure to make timely payments, continued requests to defer payments significantly beyond the original maturity of the working capital note, and the unfavorable impact of the COVID-19 pandemic on the Latin American markets, we determined to fully reserve the working capital and other deferred receivables, recognizing an additional loss on sale of business of $24.7 million during the second quarter of 2021.</w:t>
      </w:r>
    </w:p>
    <w:p>
      <w:pPr>
        <w:spacing w:after="0" w:line="2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Acquisition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Subsequent to September 30, 2021, we completed the acquisition of 100% of the shares of SELC Group Limited (SELC), a private limited company incorporated in Ireland, on October 12, 2021. SELC was previously a technology supplier to Itron. The acquisition provides value to Itron through the leverage of SELC’s streetlight controls technology coupled with Itron’s Smart Cities network and software platform. The acquisition will increase the pace of Smart City growth and innovation within Itron’s Networked Solutions business for the benefit of our customers. The purchase was funded through cash on hand and resulted in immaterial additions of intangible assets and goodwill.</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 of Business</w:t>
      </w:r>
    </w:p>
    <w:p>
      <w:pPr>
        <w:spacing w:after="0" w:line="1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November 2, 2021, Itron entered into a definitive securities and asset purchase agreement to sell certain of its Gas device manufacturing and business operations in Europe and North America to Dresser Utility Solutions (Dresser). The sale includes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 The sale of these assets and operations is part of Itron’s continued strategy to improve profitability and focus on growing its higher value businesses throughout the world.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Based on the sales price and the net assets of the businesses sold, Itron concluded on November 2, 2021 that it will recognize a pre-tax loss with a range of $30-40 million upon closure of the sale, which is expected in the first half of 2022. The impairment is driven primarily by the required recognition of $58-62 million in foreign currency translation losses accumulated since the acquisition of the German subsidiary in 2007. The base sale price of this divestiture is $75 million, with adjustments for (1) pension liabilities assumed by Dresser for the active employees estimated at $12-13 million and (2) the final working capital balance, which will be determined as of the close date, and, if the balance is outside the targeted amount, the difference will be settled shortly thereafter. Net assets of the businesses, including allocated goodwill, are $35-40 million. Cash proceeds from the sale are currently estimated at $62-63 million.</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Plan Associated with Sale of Business</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October 29, 2021, the Board of Directors of Itron approved a restructuring plan (the 2021 Projects). The 2021 Projects include activities, in conjunction with the announcement of the sale of certain of our Gas device manufacturing operations, which drive reductions in certain locations and functional support areas. These projects are to be substantially complete by the end of 2024. Itron estimates pre-tax restructuring charges of $65-75 million. Of the total estimated charge, approximately $60-65 million will result in cash expenditures, and the remainder to non-cash impairment charges. The majority of the expense will be recognized during the fourth quarter of 2021. Once the 2021 Projects are substantially completed, Itron estimates $15-20 million in 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Approval of Share Repurchase Program</w:t>
      </w:r>
    </w:p>
    <w:p>
      <w:pPr>
        <w:spacing w:after="0" w:line="1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Effective November 1, 2021, the Board of Directors of Itron authorized a new share repurchase program of up to $100 million of Itron’s common stock over a 18-month period.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21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2020 filed with the Securities and Exchange Commission (SEC) in our Annual Report on Form 10-K on February 24, 2021 (2020 Annual Report).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that the analysis will enhance a reader’s understanding of our financial condition, cash flows, and other changes in financial condition and results of operations.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Documents we provide to the SEC are available free of charge under the Investors section of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as soon as practicable after they are filed with or furnished to the SEC. In addition, these documents are available at the SEC's website (http://</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222222"/>
        </w:rPr>
        <w:t>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2020 Annual Report and other reports on file with the SEC. We undertake no obligation to update or revise any forward-looking statement, whether written or oral.</w:t>
      </w:r>
    </w:p>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222222"/>
        </w:rPr>
        <w:t>The impact caused by the ongoing COVID-19 pandemic includes uncertainty as to the duration, spread, severity, and any resurgence of the COVID-19 pandemic including other factors contributing to infection rates, such as reinfection or mutation of the virus, the effectiveness or widespread availability and application of vaccines, the duration and scope of related government orders and restrictions, impact on overall demand, impact on our customers’ businesses and workforce levels, disruptions of our business and operations, including the impact on our employees, limitations on, or closures of, our facilities, or the business and operations of our customers or suppliers. Our estimates and statements regarding the impact of COVID-19 are made in good faith to provide insight to our current and future operating and financial environment and any of these may materially change due to factors outside our control. For more information on risks associated with the COVID-19 pandemic, please see our risk in Part I, Item 1A: Risk Factors in our 2020 Annual Report.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The product and operating definitions of the three segments are as follows: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Networked Solutions </w:t>
      </w:r>
      <w:r>
        <w:rPr>
          <w:rFonts w:ascii="Arial" w:cs="Arial" w:eastAsia="Arial" w:hAnsi="Arial"/>
          <w:sz w:val="16"/>
          <w:szCs w:val="16"/>
          <w:color w:val="auto"/>
        </w:rPr>
        <w:t>– This segment primarily includes a combination of communicating devices (e.g., smart meters, modules, endpoints, and sensors),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OpenWay® Centron and Riva meters, Itron traditional ERT® technology, Intelis smart gas meters, 500G gas communication modules, 500W water communication modules; GenX networking infrastructure products and network interface cards (NICs); Smart City control and management software; Distribution Automation bridge devices, and specific network control and management software applications. The Industrial Internet of Things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of these industry and smart city applications to be run and managed on a single, multi-purpose network.</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Outcomes </w:t>
      </w:r>
      <w:r>
        <w:rPr>
          <w:rFonts w:ascii="Arial" w:cs="Arial" w:eastAsia="Arial" w:hAnsi="Arial"/>
          <w:sz w:val="18"/>
          <w:szCs w:val="18"/>
          <w:color w:val="auto"/>
        </w:rPr>
        <w:t>– This segment primarily includes our value-added, enhanced software and services in which we manage, organize, analyze, and interpret data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decision making, maximize operational profitability, drive resource efficiency,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49-51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222222"/>
        </w:rPr>
        <w:t xml:space="preserve">Highlights and significant developments for the </w:t>
      </w:r>
      <w:r>
        <w:rPr>
          <w:rFonts w:ascii="Arial" w:cs="Arial" w:eastAsia="Arial" w:hAnsi="Arial"/>
          <w:sz w:val="16"/>
          <w:szCs w:val="16"/>
          <w:i w:val="1"/>
          <w:iCs w:val="1"/>
          <w:color w:val="000000"/>
        </w:rPr>
        <w:t>three months ended September 30, 2021 compared with the three months ended September 30, 2020</w:t>
      </w:r>
    </w:p>
    <w:p>
      <w:pPr>
        <w:spacing w:after="0" w:line="86" w:lineRule="exact"/>
        <w:rPr>
          <w:sz w:val="20"/>
          <w:szCs w:val="20"/>
          <w:color w:val="auto"/>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Revenues were $486.9 million compared with $540.2 million in 2020, a decrease of $53.2 million, or 10%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27.7%</w:t>
      </w:r>
      <w:r>
        <w:rPr>
          <w:rFonts w:ascii="Arial" w:cs="Arial" w:eastAsia="Arial" w:hAnsi="Arial"/>
          <w:sz w:val="18"/>
          <w:szCs w:val="18"/>
          <w:color w:val="222222"/>
        </w:rPr>
        <w:t>, compared with 26.5%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Operating expenses decreased $36.4 million, or 22%, compared with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Net loss attributable to Itron, Inc. was $1.9 million compared with net loss of $25.4 million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 xml:space="preserve">GAAP diluted EPS increased by </w:t>
      </w:r>
      <w:r>
        <w:rPr>
          <w:rFonts w:ascii="Arial" w:cs="Arial" w:eastAsia="Arial" w:hAnsi="Arial"/>
          <w:sz w:val="18"/>
          <w:szCs w:val="18"/>
          <w:color w:val="000000"/>
        </w:rPr>
        <w:t>$0.59</w:t>
      </w:r>
      <w:r>
        <w:rPr>
          <w:rFonts w:ascii="Arial" w:cs="Arial" w:eastAsia="Arial" w:hAnsi="Arial"/>
          <w:sz w:val="18"/>
          <w:szCs w:val="18"/>
          <w:color w:val="222222"/>
        </w:rPr>
        <w:t xml:space="preserve"> to a diluted loss per share of $0.04 in 2021</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$9.5 million compared with $24.6 million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Non-GAAP diluted EPS was $0.21, a decrease of $0.40 compared with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Adjusted EBITDA was $26.1 million compared with $39.7 million in 2020</w:t>
      </w:r>
    </w:p>
    <w:p>
      <w:pPr>
        <w:spacing w:after="0" w:line="63" w:lineRule="exact"/>
        <w:rPr>
          <w:rFonts w:ascii="Arial" w:cs="Arial" w:eastAsia="Arial" w:hAnsi="Arial"/>
          <w:sz w:val="18"/>
          <w:szCs w:val="18"/>
          <w:color w:val="222222"/>
        </w:rPr>
      </w:pPr>
    </w:p>
    <w:p>
      <w:pPr>
        <w:ind w:left="260" w:right="20" w:hanging="171"/>
        <w:spacing w:after="0" w:line="277" w:lineRule="auto"/>
        <w:tabs>
          <w:tab w:leader="none" w:pos="255"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 xml:space="preserve">Total backlog was $3.4 billion and twelve-month backlog was $1.4 billion at </w:t>
      </w:r>
      <w:r>
        <w:rPr>
          <w:rFonts w:ascii="Arial" w:cs="Arial" w:eastAsia="Arial" w:hAnsi="Arial"/>
          <w:sz w:val="18"/>
          <w:szCs w:val="18"/>
          <w:color w:val="000000"/>
        </w:rPr>
        <w:t>September 30, 2021, compared with $2.8 billion and $1.1 billion at</w:t>
      </w:r>
      <w:r>
        <w:rPr>
          <w:rFonts w:ascii="Arial" w:cs="Arial" w:eastAsia="Arial" w:hAnsi="Arial"/>
          <w:sz w:val="18"/>
          <w:szCs w:val="18"/>
          <w:color w:val="222222"/>
        </w:rPr>
        <w:t xml:space="preserve"> </w:t>
      </w:r>
      <w:r>
        <w:rPr>
          <w:rFonts w:ascii="Arial" w:cs="Arial" w:eastAsia="Arial" w:hAnsi="Arial"/>
          <w:sz w:val="18"/>
          <w:szCs w:val="18"/>
          <w:color w:val="000000"/>
        </w:rPr>
        <w:t>September 30,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 xml:space="preserve">Highlights and significant developments for the nine months ended </w:t>
      </w:r>
      <w:r>
        <w:rPr>
          <w:rFonts w:ascii="Arial" w:cs="Arial" w:eastAsia="Arial" w:hAnsi="Arial"/>
          <w:sz w:val="17"/>
          <w:szCs w:val="17"/>
          <w:i w:val="1"/>
          <w:iCs w:val="1"/>
          <w:color w:val="000000"/>
        </w:rPr>
        <w:t>September 30, 2021 compared with the</w:t>
      </w:r>
      <w:r>
        <w:rPr>
          <w:rFonts w:ascii="Arial" w:cs="Arial" w:eastAsia="Arial" w:hAnsi="Arial"/>
          <w:sz w:val="17"/>
          <w:szCs w:val="17"/>
          <w:i w:val="1"/>
          <w:iCs w:val="1"/>
          <w:color w:val="222222"/>
        </w:rPr>
        <w:t xml:space="preserve"> nine months ended </w:t>
      </w:r>
      <w:r>
        <w:rPr>
          <w:rFonts w:ascii="Arial" w:cs="Arial" w:eastAsia="Arial" w:hAnsi="Arial"/>
          <w:sz w:val="17"/>
          <w:szCs w:val="17"/>
          <w:i w:val="1"/>
          <w:iCs w:val="1"/>
          <w:color w:val="000000"/>
        </w:rPr>
        <w:t>September 30, 2020</w:t>
      </w:r>
    </w:p>
    <w:p>
      <w:pPr>
        <w:spacing w:after="0" w:line="75" w:lineRule="exact"/>
        <w:rPr>
          <w:sz w:val="20"/>
          <w:szCs w:val="20"/>
          <w:color w:val="auto"/>
        </w:rPr>
      </w:pPr>
    </w:p>
    <w:p>
      <w:pPr>
        <w:ind w:left="240" w:hanging="151"/>
        <w:spacing w:after="0"/>
        <w:tabs>
          <w:tab w:leader="none" w:pos="24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Revenues were $1.5 billion compared with $1.6 billion in 2020, a decrease of $152.3 million, or 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Gross margin was 30.2% compared with 27.5%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8"/>
        </w:numPr>
        <w:rPr>
          <w:rFonts w:ascii="Arial" w:cs="Arial" w:eastAsia="Arial" w:hAnsi="Arial"/>
          <w:sz w:val="18"/>
          <w:szCs w:val="18"/>
          <w:i w:val="1"/>
          <w:iCs w:val="1"/>
          <w:color w:val="222222"/>
        </w:rPr>
      </w:pPr>
      <w:r>
        <w:rPr>
          <w:rFonts w:ascii="Arial" w:cs="Arial" w:eastAsia="Arial" w:hAnsi="Arial"/>
          <w:sz w:val="18"/>
          <w:szCs w:val="18"/>
          <w:color w:val="222222"/>
        </w:rPr>
        <w:t>Operating expenses decreased $72.6 million, or 15%, compared with 2020</w:t>
      </w:r>
    </w:p>
    <w:p>
      <w:pPr>
        <w:spacing w:after="0" w:line="63" w:lineRule="exact"/>
        <w:rPr>
          <w:rFonts w:ascii="Arial" w:cs="Arial" w:eastAsia="Arial" w:hAnsi="Arial"/>
          <w:sz w:val="18"/>
          <w:szCs w:val="18"/>
          <w:i w:val="1"/>
          <w:iCs w:val="1"/>
          <w:color w:val="222222"/>
        </w:rPr>
      </w:pPr>
    </w:p>
    <w:p>
      <w:pPr>
        <w:ind w:left="240" w:hanging="151"/>
        <w:spacing w:after="0"/>
        <w:tabs>
          <w:tab w:leader="none" w:pos="24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Net loss attributable to Itron, Inc. was $22.4 million, compared with net loss of $79.5 million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GAAP diluted EPS increased by $1.47 to a diluted loss per share of $0.51 in 2021</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$44.0 million compared with $48.9 million in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Non-GAAP diluted EPS was $0.99, a decrease of $0.22 compared with 2020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Adjusted EBITDA was $112.0 million compared with $122.9 million in 2020</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Credit Facility</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August 12, 2021, we fully paid the remaining balance of $31.1 million on the term loan. At September 30, 2021, there were no outstanding loan balances under the 2018 Credit Facility.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Acquisition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Subsequent to September 30, 2021, Itron, through its subsidiary Itron Management Services Ireland, Limited, completed the acquisition of 100% of the shares of SELC Group Limited (SELC), a private limited company incorporated in Ireland since 2014, from Sensus Metering Systems (LUXCO3) S.ár.l on October 12, 2021. SELC was previously a technology supplier to Itron. The acquisition provides value to Itron through the leverage of SELC’s streetlight controls technology coupled with Itron’s Smart Cities network and software platform. The acquisition will increase the pace of Smart City growth and innovation within Itron’s Networked Solutions business for the benefit of our customers. The purchase was funded through cash on hand.</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 of Business</w:t>
      </w:r>
    </w:p>
    <w:p>
      <w:pPr>
        <w:spacing w:after="0" w:line="1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November 2, 2021, Itron entered into a definitive securities and asset purchase agreement to sell certain of its Gas device manufacturing and business operations in Europe and North America to Dresser Utility Solutions (Dresser). The sale includes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 The sale of these assets and operations is part of Itron’s continued strategy to improve profitability and focus on growing its higher value businesses throughout the world.</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Based on the sales price and the net assets of the businesses sold, Itron concluded on November 2, 2021 that it will recognize a pre-tax loss with a range of $30-40 million upon closure of the sale, which is expected in the first half of 2022. The impairment is driven primarily by the required recognition of $58-62 million in foreign currency translation losses accumulated since the acquisition of the German subsidiary in 2007. The base sale price of this divestiture is $75 million, with adjustments for (1) pension liabilities assumed by Dresser for the active employees estimated at $12-13 million and (2) the final working capital balance, which will be determined as of the close date, and, if the balance is outside the targeted amount, the difference will be settled shortly thereafter. Net assets of the businesses, including allocated goodwill, are $35-40 million. Cash proceeds from the sale are currently estimated at $62-63 million.</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Plan Associated with Sale of Business</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October 29, 2021, the Board of Directors of Itron approved a restructuring plan (the 2021 Projects). The 2021 Projects include activities, in conjunction with the announcement of the sale of certain of our Gas device manufacturing operations, which drive reductions in certain locations and functional support areas. These projects are to be substantially complete by the end of 2024. Itron estimates pre-tax restructuring charges of $65-75 million. Of the total estimated charge, approximately $60-65 million will result in cash expenditures, and the remainder to non-cash impairment charges. The majority of the expense will be recognized during the fourth quarter of 2021. Once the 2021 Projects are substantially completed, Itron estimates $15-20 million in 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Approval of Share Repurchase Program</w:t>
      </w:r>
    </w:p>
    <w:p>
      <w:pPr>
        <w:spacing w:after="0" w:line="1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Effective November 1, 2021, the Board of Directors of Itron authorized a new share repurchase program of up to $100 million of Itron’s common stock over an 18-month period. Repurchases will be made in the open market and pursuant to the terms of any Rule 10b5-1 plans that Itron may enter into, and in accordance with applicable securities laws. The repurchase program is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intended to comply with Rule 10b-18 promulgated under the Securities Exchange Act of 1934, as amended. Depending on market conditions and other factors, these repurchases may be commenced or suspended from time to time without prior notice.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COVID-19 and Supply Chain Challenges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During portions of the first half of 2020 certain of our European factories were closed due to government actions and local conditions, and any further closures that may be imposed on us could impact our results for 2021. New variants of the virus may cause previously lifted restrictions to be reinstated, which could result in more disruptions. Incremental costs we have incurred related to COVID-19, such as personal protective equipment, increased cleaning and sanitizing of our facilities, and other such items, have not been material to date.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w:t>
      </w:r>
    </w:p>
    <w:p>
      <w:pPr>
        <w:jc w:val="both"/>
        <w:spacing w:after="0" w:line="275" w:lineRule="auto"/>
        <w:rPr>
          <w:sz w:val="20"/>
          <w:szCs w:val="20"/>
          <w:color w:val="auto"/>
        </w:rPr>
      </w:pPr>
      <w:r>
        <w:rPr>
          <w:rFonts w:ascii="Arial" w:cs="Arial" w:eastAsia="Arial" w:hAnsi="Arial"/>
          <w:sz w:val="17"/>
          <w:szCs w:val="17"/>
          <w:color w:val="auto"/>
        </w:rPr>
        <w:t>components has impacted our ability to service recovering customer demand. While the current imbalance in supply and demand is temporal, the timeline to recovery is uncertain. Efforts are ongoing with suppliers to increase supply, including the approval of alternate sources. At this time, we have not identified any significant decrease in long-term customer demand for our products and services. However, certain of our customer projects have experienced delay in deliveries, with originally forecasted 2021 revenue pushed to future periods. For more information on risks associated with the COVID-19 pandemic, please see our risk in Part I, Item 1A, Risk Factors in our 2020 Annual Report.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remains a rapidly evolving situation with varying impacts on the locations in which we do business.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or the municipalities in which we operate, including employer payroll tax credits for wages paid to employees who are unable to work during the COVID-19 pandemic. Other benefits, including options to defer payroll tax payments and additional deductions, resulted in reduced cash costs in 2020, but will increase cash outlays during the fourth quarter of 2021 and into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7"/>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600" w:type="dxa"/>
            <w:vAlign w:val="bottom"/>
            <w:gridSpan w:val="6"/>
          </w:tcPr>
          <w:p>
            <w:pPr>
              <w:ind w:left="460"/>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172"/>
        </w:trPr>
        <w:tc>
          <w:tcPr>
            <w:tcW w:w="20" w:type="dxa"/>
            <w:vAlign w:val="bottom"/>
          </w:tcPr>
          <w:p>
            <w:pPr>
              <w:spacing w:after="0"/>
              <w:rPr>
                <w:sz w:val="14"/>
                <w:szCs w:val="14"/>
                <w:color w:val="auto"/>
              </w:rPr>
            </w:pPr>
          </w:p>
        </w:tc>
        <w:tc>
          <w:tcPr>
            <w:tcW w:w="3600" w:type="dxa"/>
            <w:vAlign w:val="bottom"/>
            <w:gridSpan w:val="5"/>
          </w:tcPr>
          <w:p>
            <w:pPr>
              <w:spacing w:after="0" w:line="172" w:lineRule="exact"/>
              <w:rPr>
                <w:sz w:val="20"/>
                <w:szCs w:val="20"/>
                <w:color w:val="auto"/>
              </w:rPr>
            </w:pPr>
            <w:r>
              <w:rPr>
                <w:rFonts w:ascii="Arial" w:cs="Arial" w:eastAsia="Arial" w:hAnsi="Arial"/>
                <w:sz w:val="16"/>
                <w:szCs w:val="16"/>
                <w:b w:val="1"/>
                <w:bCs w:val="1"/>
                <w:color w:val="auto"/>
              </w:rPr>
              <w:t>GAAP</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Product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410,947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470,658</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1,265,470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1,437,780</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(12)%</w:t>
            </w:r>
          </w:p>
        </w:tc>
      </w:tr>
      <w:tr>
        <w:trPr>
          <w:trHeight w:val="213"/>
        </w:trPr>
        <w:tc>
          <w:tcPr>
            <w:tcW w:w="2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gridSpan w:val="5"/>
          </w:tcPr>
          <w:p>
            <w:pPr>
              <w:ind w:left="200"/>
              <w:spacing w:after="0"/>
              <w:rPr>
                <w:sz w:val="20"/>
                <w:szCs w:val="20"/>
                <w:color w:val="auto"/>
              </w:rPr>
            </w:pPr>
            <w:r>
              <w:rPr>
                <w:rFonts w:ascii="Arial" w:cs="Arial" w:eastAsia="Arial" w:hAnsi="Arial"/>
                <w:sz w:val="16"/>
                <w:szCs w:val="16"/>
                <w:color w:val="auto"/>
              </w:rPr>
              <w:t>Service revenues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76,002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69,526</w:t>
            </w:r>
          </w:p>
        </w:tc>
        <w:tc>
          <w:tcPr>
            <w:tcW w:w="11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230,465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210,413</w:t>
            </w:r>
          </w:p>
        </w:tc>
        <w:tc>
          <w:tcPr>
            <w:tcW w:w="118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7"/>
              </w:rPr>
              <w:t>10%</w:t>
            </w:r>
          </w:p>
        </w:tc>
      </w:tr>
      <w:tr>
        <w:trPr>
          <w:trHeight w:val="213"/>
        </w:trPr>
        <w:tc>
          <w:tcPr>
            <w:tcW w:w="2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486,949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540,184</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1,495,935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1,648,193</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(9)%</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134,963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143,251</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451,882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453,334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w:t>
            </w: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130,800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167,231</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423,711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496,331</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(15)%</w:t>
            </w: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(23,980)</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NM</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(42,997)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(4,037)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(13,063)</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(42,465)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(35,020)</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21%</w:t>
            </w: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11,985</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NM</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Net loss attributable to Itron, Inc.</w:t>
            </w: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(25,357)</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(22,389)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(79,475)</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(72)%</w:t>
            </w: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6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118,609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113,554</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369,721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364,788</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6"/>
              </w:rPr>
              <w:t>1%</w:t>
            </w: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16,354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29,697</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82,161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88,546</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w:t>
            </w: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24,634</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44,043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48,929</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(10)%</w:t>
            </w: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26,123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39,684</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111,982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122,858</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360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GAAP Margins and Earnings Per Share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600" w:type="dxa"/>
            <w:vAlign w:val="bottom"/>
            <w:gridSpan w:val="5"/>
          </w:tcPr>
          <w:p>
            <w:pPr>
              <w:ind w:left="200"/>
              <w:spacing w:after="0"/>
              <w:rPr>
                <w:sz w:val="20"/>
                <w:szCs w:val="20"/>
                <w:color w:val="auto"/>
              </w:rPr>
            </w:pPr>
            <w:r>
              <w:rPr>
                <w:rFonts w:ascii="Arial" w:cs="Arial" w:eastAsia="Arial" w:hAnsi="Arial"/>
                <w:sz w:val="16"/>
                <w:szCs w:val="16"/>
                <w:color w:val="auto"/>
              </w:rPr>
              <w:t>Product 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Service gross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600" w:type="dxa"/>
            <w:vAlign w:val="bottom"/>
            <w:gridSpan w:val="5"/>
          </w:tcPr>
          <w:p>
            <w:pPr>
              <w:ind w:left="460"/>
              <w:spacing w:after="0"/>
              <w:rPr>
                <w:sz w:val="20"/>
                <w:szCs w:val="20"/>
                <w:color w:val="auto"/>
              </w:rPr>
            </w:pPr>
            <w:r>
              <w:rPr>
                <w:rFonts w:ascii="Arial" w:cs="Arial" w:eastAsia="Arial" w:hAnsi="Arial"/>
                <w:sz w:val="16"/>
                <w:szCs w:val="16"/>
                <w:color w:val="auto"/>
              </w:rPr>
              <w:t>Total 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loss per common share - Basic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6"/>
                <w:szCs w:val="16"/>
                <w:color w:val="auto"/>
              </w:rPr>
              <w:t>Net loss per common share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36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 Earnings Per Share</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85" w:lineRule="exact"/>
        <w:rPr>
          <w:sz w:val="20"/>
          <w:szCs w:val="20"/>
          <w:color w:val="auto"/>
        </w:rPr>
      </w:pPr>
    </w:p>
    <w:p>
      <w:pPr>
        <w:ind w:left="340" w:right="20" w:hanging="332"/>
        <w:spacing w:after="0" w:line="22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49-51 for information about these non-GAAP measures and reconciliations to the most comparable GAAP measures.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an Endpoint Under Management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electric, water, and gas meters; streetlights and other types of IIoT sensors and actuators; sensors and other capabilities that the end customer would like Itron to connect and manage on their behalf.</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would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under management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2300" w:type="dxa"/>
            <w:vAlign w:val="bottom"/>
            <w:tcBorders>
              <w:bottom w:val="single" w:sz="8" w:color="auto"/>
            </w:tcBorders>
            <w:gridSpan w:val="3"/>
          </w:tcPr>
          <w:p>
            <w:pPr>
              <w:ind w:left="1200"/>
              <w:spacing w:after="0"/>
              <w:rPr>
                <w:sz w:val="20"/>
                <w:szCs w:val="20"/>
                <w:color w:val="auto"/>
              </w:rPr>
            </w:pPr>
            <w:r>
              <w:rPr>
                <w:rFonts w:ascii="Arial" w:cs="Arial" w:eastAsia="Arial" w:hAnsi="Arial"/>
                <w:sz w:val="16"/>
                <w:szCs w:val="16"/>
                <w:b w:val="1"/>
                <w:bCs w:val="1"/>
                <w:color w:val="auto"/>
                <w:w w:val="98"/>
              </w:rPr>
              <w:t>September 30,</w:t>
            </w:r>
          </w:p>
        </w:tc>
        <w:tc>
          <w:tcPr>
            <w:tcW w:w="1100" w:type="dxa"/>
            <w:vAlign w:val="bottom"/>
            <w:tcBorders>
              <w:bottom w:val="single" w:sz="8" w:color="auto"/>
            </w:tcBorders>
          </w:tcPr>
          <w:p>
            <w:pPr>
              <w:spacing w:after="0"/>
              <w:rPr>
                <w:sz w:val="18"/>
                <w:szCs w:val="18"/>
                <w:color w:val="auto"/>
              </w:rPr>
            </w:pPr>
          </w:p>
        </w:tc>
      </w:tr>
      <w:tr>
        <w:trPr>
          <w:trHeight w:val="21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Units in thousands</w:t>
            </w: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Endpoints under management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78,487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74,652</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486,949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540,184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(53,235)</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134,963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(8,288)</w:t>
            </w:r>
          </w:p>
        </w:tc>
        <w:tc>
          <w:tcPr>
            <w:tcW w:w="0" w:type="dxa"/>
            <w:vAlign w:val="bottom"/>
          </w:tcPr>
          <w:p>
            <w:pPr>
              <w:spacing w:after="0"/>
              <w:rPr>
                <w:sz w:val="1"/>
                <w:szCs w:val="1"/>
                <w:color w:val="auto"/>
              </w:rPr>
            </w:pPr>
          </w:p>
        </w:tc>
      </w:tr>
      <w:tr>
        <w:trPr>
          <w:trHeight w:val="789"/>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1,495,935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1,648,193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(152,258)</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451,882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453,334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2021 vs. Three months ended September 30, 2020</w:t>
      </w:r>
    </w:p>
    <w:p>
      <w:pPr>
        <w:spacing w:after="0" w:line="1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Total revenues decreased $53.2 million, or 10%, compared with the same period in 2020. We have been unfavorably impacted by COVID-19 related global component constraints, which limited our ability to fulfill customer demand. Product revenues decreased by $59.7 million, while service revenues increased $6.5 million. Device Solutions decreased by $23.9 million; Networked Solution decreased by $32.2 million; and Outcomes increased by $2.8 million when compared with the same period last year. Changes in exchange rates favorably impacted total revenues by $4.2 million, of which $2.5 million favorably impacted Device Solutions.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2021 vs. Nine Months Ended September 30, 2020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 xml:space="preserve">Total revenues decreased $152.3 million, or 9%, compared with the same period in </w:t>
      </w:r>
      <w:r>
        <w:rPr>
          <w:rFonts w:ascii="Arial" w:cs="Arial" w:eastAsia="Arial" w:hAnsi="Arial"/>
          <w:sz w:val="18"/>
          <w:szCs w:val="18"/>
          <w:color w:val="000000"/>
        </w:rPr>
        <w:t>2020. We have been unfavorably impacted by the timing of customer</w:t>
      </w:r>
      <w:r>
        <w:rPr>
          <w:rFonts w:ascii="Arial" w:cs="Arial" w:eastAsia="Arial" w:hAnsi="Arial"/>
          <w:sz w:val="18"/>
          <w:szCs w:val="18"/>
          <w:color w:val="222222"/>
        </w:rPr>
        <w:t xml:space="preserve"> </w:t>
      </w:r>
      <w:r>
        <w:rPr>
          <w:rFonts w:ascii="Arial" w:cs="Arial" w:eastAsia="Arial" w:hAnsi="Arial"/>
          <w:sz w:val="18"/>
          <w:szCs w:val="18"/>
          <w:color w:val="000000"/>
        </w:rPr>
        <w:t xml:space="preserve">projects and COVID-19, particularly global component constraints, which limited our ability to fulfill customer demand. Product revenues decreased by $172.3 million, while service revenues increased by $20.1 million. </w:t>
      </w:r>
      <w:r>
        <w:rPr>
          <w:rFonts w:ascii="Arial" w:cs="Arial" w:eastAsia="Arial" w:hAnsi="Arial"/>
          <w:sz w:val="18"/>
          <w:szCs w:val="18"/>
          <w:color w:val="222222"/>
        </w:rPr>
        <w:t>Device Solutions decreased by $19.6 million; Networked Solutions decreased by</w:t>
      </w:r>
      <w:r>
        <w:rPr>
          <w:rFonts w:ascii="Arial" w:cs="Arial" w:eastAsia="Arial" w:hAnsi="Arial"/>
          <w:sz w:val="18"/>
          <w:szCs w:val="18"/>
          <w:color w:val="000000"/>
        </w:rPr>
        <w:t xml:space="preserve"> $144.1 million</w:t>
      </w:r>
      <w:r>
        <w:rPr>
          <w:rFonts w:ascii="Arial" w:cs="Arial" w:eastAsia="Arial" w:hAnsi="Arial"/>
          <w:sz w:val="18"/>
          <w:szCs w:val="18"/>
          <w:color w:val="222222"/>
        </w:rPr>
        <w:t>; and Outcomes increased by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2222"/>
        </w:rPr>
        <w:t>$11.4 million when compared with the same period last year. C</w:t>
      </w:r>
      <w:r>
        <w:rPr>
          <w:rFonts w:ascii="Arial" w:cs="Arial" w:eastAsia="Arial" w:hAnsi="Arial"/>
          <w:sz w:val="18"/>
          <w:szCs w:val="18"/>
          <w:color w:val="000000"/>
        </w:rPr>
        <w:t>hanges in exchange rates favorably impacted total revenues by</w:t>
      </w:r>
      <w:r>
        <w:rPr>
          <w:rFonts w:ascii="Arial" w:cs="Arial" w:eastAsia="Arial" w:hAnsi="Arial"/>
          <w:sz w:val="18"/>
          <w:szCs w:val="18"/>
          <w:color w:val="222222"/>
        </w:rPr>
        <w:t xml:space="preserve"> $37.5 million</w:t>
      </w:r>
      <w:r>
        <w:rPr>
          <w:rFonts w:ascii="Arial" w:cs="Arial" w:eastAsia="Arial" w:hAnsi="Arial"/>
          <w:sz w:val="18"/>
          <w:szCs w:val="18"/>
          <w:color w:val="000000"/>
        </w:rPr>
        <w:t>, of which</w:t>
      </w:r>
      <w:r>
        <w:rPr>
          <w:rFonts w:ascii="Arial" w:cs="Arial" w:eastAsia="Arial" w:hAnsi="Arial"/>
          <w:sz w:val="18"/>
          <w:szCs w:val="18"/>
          <w:color w:val="222222"/>
        </w:rPr>
        <w:t xml:space="preserve"> $25.7 million </w:t>
      </w:r>
      <w:r>
        <w:rPr>
          <w:rFonts w:ascii="Arial" w:cs="Arial" w:eastAsia="Arial" w:hAnsi="Arial"/>
          <w:sz w:val="18"/>
          <w:szCs w:val="18"/>
          <w:color w:val="000000"/>
        </w:rPr>
        <w:t>favorably impacted Device Solutions.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Three months ended September 30, 2021 vs. Three months ended September 30,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Gross margin was 27.7%, compared with 26.5% in </w:t>
      </w:r>
      <w:r>
        <w:rPr>
          <w:rFonts w:ascii="Arial" w:cs="Arial" w:eastAsia="Arial" w:hAnsi="Arial"/>
          <w:sz w:val="18"/>
          <w:szCs w:val="18"/>
          <w:color w:val="000000"/>
        </w:rPr>
        <w:t>2020</w:t>
      </w:r>
      <w:r>
        <w:rPr>
          <w:rFonts w:ascii="Arial" w:cs="Arial" w:eastAsia="Arial" w:hAnsi="Arial"/>
          <w:sz w:val="18"/>
          <w:szCs w:val="18"/>
          <w:color w:val="222222"/>
        </w:rPr>
        <w:t xml:space="preserve">. </w:t>
      </w:r>
      <w:r>
        <w:rPr>
          <w:rFonts w:ascii="Arial" w:cs="Arial" w:eastAsia="Arial" w:hAnsi="Arial"/>
          <w:sz w:val="18"/>
          <w:szCs w:val="18"/>
          <w:color w:val="000000"/>
        </w:rPr>
        <w:t>We were favorably impacted by product and solution mix and manufacturing efficiencies in 2021</w:t>
      </w:r>
      <w:r>
        <w:rPr>
          <w:rFonts w:ascii="Arial" w:cs="Arial" w:eastAsia="Arial" w:hAnsi="Arial"/>
          <w:sz w:val="18"/>
          <w:szCs w:val="18"/>
          <w:color w:val="222222"/>
        </w:rPr>
        <w:t xml:space="preserve"> </w:t>
      </w:r>
      <w:r>
        <w:rPr>
          <w:rFonts w:ascii="Arial" w:cs="Arial" w:eastAsia="Arial" w:hAnsi="Arial"/>
          <w:sz w:val="18"/>
          <w:szCs w:val="18"/>
          <w:color w:val="000000"/>
        </w:rPr>
        <w:t xml:space="preserve">compared with 2020, which was more unfavorably impacted by COVID-19. </w:t>
      </w:r>
      <w:r>
        <w:rPr>
          <w:rFonts w:ascii="Arial" w:cs="Arial" w:eastAsia="Arial" w:hAnsi="Arial"/>
          <w:sz w:val="18"/>
          <w:szCs w:val="18"/>
          <w:color w:val="222222"/>
        </w:rPr>
        <w:t>Product sales gross margin increased to 25.5%, compared with 23.9% in</w:t>
      </w:r>
      <w:r>
        <w:rPr>
          <w:rFonts w:ascii="Arial" w:cs="Arial" w:eastAsia="Arial" w:hAnsi="Arial"/>
          <w:sz w:val="18"/>
          <w:szCs w:val="18"/>
          <w:color w:val="000000"/>
        </w:rPr>
        <w:t xml:space="preserve"> 2020</w:t>
      </w:r>
      <w:r>
        <w:rPr>
          <w:rFonts w:ascii="Arial" w:cs="Arial" w:eastAsia="Arial" w:hAnsi="Arial"/>
          <w:sz w:val="18"/>
          <w:szCs w:val="18"/>
          <w:color w:val="222222"/>
        </w:rPr>
        <w:t>.</w:t>
      </w:r>
      <w:r>
        <w:rPr>
          <w:rFonts w:ascii="Arial" w:cs="Arial" w:eastAsia="Arial" w:hAnsi="Arial"/>
          <w:sz w:val="18"/>
          <w:szCs w:val="18"/>
          <w:color w:val="000000"/>
        </w:rPr>
        <w:t xml:space="preserve"> </w:t>
      </w:r>
      <w:r>
        <w:rPr>
          <w:rFonts w:ascii="Arial" w:cs="Arial" w:eastAsia="Arial" w:hAnsi="Arial"/>
          <w:sz w:val="18"/>
          <w:szCs w:val="18"/>
          <w:color w:val="222222"/>
        </w:rPr>
        <w:t xml:space="preserve">Gross margin on service revenues decreased to 39.7%, compared with 44.4% in </w:t>
      </w:r>
      <w:r>
        <w:rPr>
          <w:rFonts w:ascii="Arial" w:cs="Arial" w:eastAsia="Arial" w:hAnsi="Arial"/>
          <w:sz w:val="18"/>
          <w:szCs w:val="18"/>
          <w:color w:val="000000"/>
        </w:rPr>
        <w:t>2020</w:t>
      </w:r>
      <w:r>
        <w:rPr>
          <w:rFonts w:ascii="Arial" w:cs="Arial" w:eastAsia="Arial" w:hAnsi="Arial"/>
          <w:sz w:val="18"/>
          <w:szCs w:val="18"/>
          <w:color w:val="222222"/>
        </w:rPr>
        <w:t>.</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Nine months ended September 30, 2021 vs. Nine Months Ended September 30,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Gross margin was 30.2%, compared with 27.5% in </w:t>
      </w:r>
      <w:r>
        <w:rPr>
          <w:rFonts w:ascii="Arial" w:cs="Arial" w:eastAsia="Arial" w:hAnsi="Arial"/>
          <w:sz w:val="18"/>
          <w:szCs w:val="18"/>
          <w:color w:val="000000"/>
        </w:rPr>
        <w:t>2020</w:t>
      </w:r>
      <w:r>
        <w:rPr>
          <w:rFonts w:ascii="Arial" w:cs="Arial" w:eastAsia="Arial" w:hAnsi="Arial"/>
          <w:sz w:val="18"/>
          <w:szCs w:val="18"/>
          <w:color w:val="222222"/>
        </w:rPr>
        <w:t xml:space="preserve">. We were favorably impacted by product and solution mix and operating efficiencies in 2021 compared with 2020, which was more </w:t>
      </w:r>
      <w:r>
        <w:rPr>
          <w:rFonts w:ascii="Arial" w:cs="Arial" w:eastAsia="Arial" w:hAnsi="Arial"/>
          <w:sz w:val="18"/>
          <w:szCs w:val="18"/>
          <w:color w:val="000000"/>
        </w:rPr>
        <w:t>unfavorably</w:t>
      </w:r>
      <w:r>
        <w:rPr>
          <w:rFonts w:ascii="Arial" w:cs="Arial" w:eastAsia="Arial" w:hAnsi="Arial"/>
          <w:sz w:val="18"/>
          <w:szCs w:val="18"/>
          <w:color w:val="222222"/>
        </w:rPr>
        <w:t xml:space="preserve"> impacted by COVID-19</w:t>
      </w:r>
      <w:r>
        <w:rPr>
          <w:rFonts w:ascii="Arial" w:cs="Arial" w:eastAsia="Arial" w:hAnsi="Arial"/>
          <w:sz w:val="18"/>
          <w:szCs w:val="18"/>
          <w:color w:val="000000"/>
        </w:rPr>
        <w:t>.</w:t>
      </w:r>
      <w:r>
        <w:rPr>
          <w:rFonts w:ascii="Arial" w:cs="Arial" w:eastAsia="Arial" w:hAnsi="Arial"/>
          <w:sz w:val="18"/>
          <w:szCs w:val="18"/>
          <w:color w:val="222222"/>
        </w:rPr>
        <w:t xml:space="preserve"> Product sales gross margin increased to 28.2%, compared with 25.4% in </w:t>
      </w:r>
      <w:r>
        <w:rPr>
          <w:rFonts w:ascii="Arial" w:cs="Arial" w:eastAsia="Arial" w:hAnsi="Arial"/>
          <w:sz w:val="18"/>
          <w:szCs w:val="18"/>
          <w:color w:val="000000"/>
        </w:rPr>
        <w:t>2020,</w:t>
      </w:r>
      <w:r>
        <w:rPr>
          <w:rFonts w:ascii="Arial" w:cs="Arial" w:eastAsia="Arial" w:hAnsi="Arial"/>
          <w:sz w:val="18"/>
          <w:szCs w:val="18"/>
          <w:color w:val="222222"/>
        </w:rPr>
        <w:t xml:space="preserve"> and gross margin on service revenues decreased to 41.4%, compared with 41.7% in </w:t>
      </w:r>
      <w:r>
        <w:rPr>
          <w:rFonts w:ascii="Arial" w:cs="Arial" w:eastAsia="Arial" w:hAnsi="Arial"/>
          <w:sz w:val="18"/>
          <w:szCs w:val="18"/>
          <w:color w:val="000000"/>
        </w:rPr>
        <w:t>2020</w:t>
      </w:r>
      <w:r>
        <w:rPr>
          <w:rFonts w:ascii="Arial" w:cs="Arial" w:eastAsia="Arial" w:hAnsi="Arial"/>
          <w:sz w:val="18"/>
          <w:szCs w:val="18"/>
          <w:color w:val="222222"/>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Refer to Operating Segment Results section below for further detail on total company 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92"/>
              </w:rPr>
              <w:t>Three Months Ended September 30,</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6,856</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46,889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(43,501)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(43,504)</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sale of business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07"/>
        </w:trPr>
        <w:tc>
          <w:tcPr>
            <w:tcW w:w="306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130,800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167,231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(36,431)</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91"/>
              </w:rPr>
              <w:t>Nine Months Ended September 30,</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147,379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41,531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(42,361)</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sale of business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(29,021)</w:t>
            </w:r>
          </w:p>
        </w:tc>
        <w:tc>
          <w:tcPr>
            <w:tcW w:w="0" w:type="dxa"/>
            <w:vAlign w:val="bottom"/>
          </w:tcPr>
          <w:p>
            <w:pPr>
              <w:spacing w:after="0"/>
              <w:rPr>
                <w:sz w:val="1"/>
                <w:szCs w:val="1"/>
                <w:color w:val="auto"/>
              </w:rPr>
            </w:pPr>
          </w:p>
        </w:tc>
      </w:tr>
      <w:tr>
        <w:trPr>
          <w:trHeight w:val="206"/>
        </w:trPr>
        <w:tc>
          <w:tcPr>
            <w:tcW w:w="306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423,711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496,331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(84,080)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(72,620)</w:t>
            </w: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decreased $36.4 million for the third quarter of 2021 as compared with the same period in 2020. This was primarily the result of a reduction of $43.5 million in restructuring due to a new plan announced in 2020.</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expenses decreased $72.6 million for the nine months ended September 30, 2021 as compared with the same period in 2020. This was primarily the result of $42.4 million in lower restructuring costs due to the new plan announced in 2020 and $29.0 million decrease in the loss on sale of business.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Three Months Ended September 30,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40"/>
              <w:spacing w:after="0"/>
              <w:rPr>
                <w:sz w:val="20"/>
                <w:szCs w:val="20"/>
                <w:color w:val="auto"/>
              </w:rPr>
            </w:pPr>
            <w:r>
              <w:rPr>
                <w:rFonts w:ascii="Arial" w:cs="Arial" w:eastAsia="Arial" w:hAnsi="Arial"/>
                <w:sz w:val="16"/>
                <w:szCs w:val="16"/>
                <w:b w:val="1"/>
                <w:bCs w:val="1"/>
                <w:color w:val="auto"/>
              </w:rPr>
              <w:t>Nine Months Ended September 30,</w:t>
            </w:r>
          </w:p>
        </w:tc>
        <w:tc>
          <w:tcPr>
            <w:tcW w:w="880" w:type="dxa"/>
            <w:vAlign w:val="bottom"/>
          </w:tcPr>
          <w:p>
            <w:pPr>
              <w:spacing w:after="0"/>
              <w:rPr>
                <w:sz w:val="18"/>
                <w:szCs w:val="18"/>
                <w:color w:val="auto"/>
              </w:rPr>
            </w:pPr>
          </w:p>
        </w:tc>
      </w:tr>
      <w:tr>
        <w:trPr>
          <w:trHeight w:val="23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9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(39)%</w:t>
            </w:r>
          </w:p>
        </w:tc>
      </w:tr>
      <w:tr>
        <w:trPr>
          <w:trHeight w:val="207"/>
        </w:trPr>
        <w:tc>
          <w:tcPr>
            <w:tcW w:w="2780" w:type="dxa"/>
            <w:vAlign w:val="bottom"/>
          </w:tcPr>
          <w:p>
            <w:pPr>
              <w:ind w:left="140"/>
              <w:spacing w:after="0"/>
              <w:rPr>
                <w:sz w:val="20"/>
                <w:szCs w:val="20"/>
                <w:color w:val="auto"/>
              </w:rPr>
            </w:pPr>
            <w:r>
              <w:rPr>
                <w:rFonts w:ascii="Arial" w:cs="Arial" w:eastAsia="Arial" w:hAnsi="Arial"/>
                <w:sz w:val="16"/>
                <w:szCs w:val="16"/>
                <w:color w:val="auto"/>
              </w:rPr>
              <w:t>Amortization of prepaid debt fees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(1,016)</w:t>
            </w:r>
          </w:p>
        </w:tc>
        <w:tc>
          <w:tcPr>
            <w:tcW w:w="98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(3,029)</w:t>
            </w:r>
          </w:p>
        </w:tc>
        <w:tc>
          <w:tcPr>
            <w:tcW w:w="1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NM</w:t>
            </w: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(9,794)</w:t>
            </w:r>
          </w:p>
        </w:tc>
        <w:tc>
          <w:tcPr>
            <w:tcW w:w="9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(30,742)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(68)%</w:t>
            </w:r>
          </w:p>
        </w:tc>
      </w:tr>
      <w:tr>
        <w:trPr>
          <w:trHeight w:val="207"/>
        </w:trPr>
        <w:tc>
          <w:tcPr>
            <w:tcW w:w="2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(10,810)</w:t>
            </w:r>
          </w:p>
        </w:tc>
        <w:tc>
          <w:tcPr>
            <w:tcW w:w="98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(33,771)</w:t>
            </w: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(20)%</w:t>
            </w: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9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NM</w:t>
            </w:r>
          </w:p>
        </w:tc>
      </w:tr>
      <w:tr>
        <w:trPr>
          <w:trHeight w:val="209"/>
        </w:trPr>
        <w:tc>
          <w:tcPr>
            <w:tcW w:w="2780" w:type="dxa"/>
            <w:vAlign w:val="bottom"/>
          </w:tcPr>
          <w:p>
            <w:pPr>
              <w:ind w:left="36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(13,063)</w:t>
            </w:r>
          </w:p>
        </w:tc>
        <w:tc>
          <w:tcPr>
            <w:tcW w:w="98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(69)%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(35,020)</w:t>
            </w:r>
          </w:p>
        </w:tc>
        <w:tc>
          <w:tcPr>
            <w:tcW w:w="100" w:type="dxa"/>
            <w:vAlign w:val="bottom"/>
            <w:tcBorders>
              <w:bottom w:val="single" w:sz="8" w:color="auto"/>
            </w:tcBorders>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21%</w:t>
            </w:r>
          </w:p>
        </w:tc>
      </w:tr>
      <w:tr>
        <w:trPr>
          <w:trHeight w:val="21"/>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other income (expense) for the three and nine months ended September 30, 2021 was a net expense of $4.0 million and $42.5 million, compared with net expense of $13.1 million and $35.0 million in the same period in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lower total expense for the three months ended September 30, 2021, as compared with the same period in 2020, was primarily driven by repayment of all interest bearing debt, except $31.1 million of the term loan, prior to the start of the third quarter of 2021.</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higher total expense for the nine months ended September 30, 2021, as compared with the same period in 2020, was primarily driven by a $14.3 million increase related to a write-off of prepaid debt fees in 2021 associated with the repayment of senior subordinated notes and the term loan as well as increased amortization, and a $11.7 million charge related to the 2021 extinguishment of debt that is included in other income (expense). The increase was partially offset by lower interest costs of $9.6 million for the senior subordinated notes, $7.4 million for the term loan, and $3.8 million for the revolving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6181090</wp:posOffset>
            </wp:positionH>
            <wp:positionV relativeFrom="paragraph">
              <wp:posOffset>-488315</wp:posOffset>
            </wp:positionV>
            <wp:extent cx="28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three and nine months ended September 30, 2021, our income tax expense was $1.1 million and $5.6 million, respectively, compared with income tax expense (benefit) of $(12.0) million and $0.4 million for the same period in 2020. Our tax rate for the three and nine months ended September 30, 2021 of 902% and (39)%, differed from the federal statutory rate of 21% due to losses in jurisdictions for which no benefit is recognized because of valuation allowances on deferred tax assets, the forecasted mix of earnings in domestic and international jurisdictions, a benefit related to stock-based compensation, uncertain tax positions, and reserves recognized on deferred purchase price receivables. Our tax rate for the three and nine months ended September 30, 2020 of 32% and 0% differed from the federal statutory rate of 21% primarily due to a significant loss recognized in the second quarter for the divestiture of the majority of our Latin American business activities. This loss was recognized for tax as a discrete item and resulted in no tax benefit. A discrete tax benefit was recognized in the third quarter for $10.1 million related to the release of a valuation allowance on U.S. foreign tax credit deferred tax assets. This release was triggered by the carryforward of tax attributes due to the filing of amended tax returns in the third quarter. Other rate drivers include losses in jurisdictions for which no benefit is recognized because of valuation allowances on deferred tax assets as well as the forecasted mix of earnings in domestic and international jurisdictions, a benefit related to stock-based compensation, and uncertain tax positions.</w:t>
      </w:r>
    </w:p>
    <w:p>
      <w:pPr>
        <w:spacing w:after="0" w:line="1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3"/>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40"/>
              <w:spacing w:after="0" w:line="163" w:lineRule="exact"/>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ind w:left="240"/>
              <w:spacing w:after="0" w:line="163" w:lineRule="exact"/>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46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revenues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487,982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507,572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274,498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827,870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971,984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3"/>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60,217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180,083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3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486,949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1,495,935</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2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6"/>
                <w:szCs w:val="16"/>
                <w:b w:val="1"/>
                <w:bCs w:val="1"/>
                <w:color w:val="auto"/>
                <w:w w:val="91"/>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2021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840" w:type="dxa"/>
            <w:vAlign w:val="bottom"/>
          </w:tcPr>
          <w:p>
            <w:pPr>
              <w:jc w:val="center"/>
              <w:ind w:right="39"/>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20" w:type="dxa"/>
            <w:vAlign w:val="bottom"/>
          </w:tcPr>
          <w:p>
            <w:pPr>
              <w:spacing w:after="0"/>
              <w:rPr>
                <w:sz w:val="14"/>
                <w:szCs w:val="14"/>
                <w:color w:val="auto"/>
              </w:rPr>
            </w:pPr>
          </w:p>
        </w:tc>
        <w:tc>
          <w:tcPr>
            <w:tcW w:w="110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9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4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20" w:type="dxa"/>
            <w:vAlign w:val="bottom"/>
          </w:tcPr>
          <w:p>
            <w:pPr>
              <w:spacing w:after="0"/>
              <w:rPr>
                <w:sz w:val="14"/>
                <w:szCs w:val="14"/>
                <w:color w:val="auto"/>
              </w:rPr>
            </w:pPr>
          </w:p>
        </w:tc>
        <w:tc>
          <w:tcPr>
            <w:tcW w:w="110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860" w:type="dxa"/>
            <w:vAlign w:val="bottom"/>
          </w:tcPr>
          <w:p>
            <w:pPr>
              <w:jc w:val="center"/>
              <w:ind w:right="19"/>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0" w:type="dxa"/>
            <w:vAlign w:val="bottom"/>
          </w:tcPr>
          <w:p>
            <w:pPr>
              <w:spacing w:after="0"/>
              <w:rPr>
                <w:sz w:val="1"/>
                <w:szCs w:val="1"/>
                <w:color w:val="auto"/>
              </w:rPr>
            </w:pPr>
          </w:p>
        </w:tc>
      </w:tr>
      <w:tr>
        <w:trPr>
          <w:trHeight w:val="209"/>
        </w:trPr>
        <w:tc>
          <w:tcPr>
            <w:tcW w:w="2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95"/>
              </w:rPr>
              <w:t>Profit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99"/>
              </w:rPr>
              <w:t>Margin</w:t>
            </w: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i w:val="1"/>
                <w:iCs w:val="1"/>
                <w:color w:val="auto"/>
                <w:w w:val="90"/>
              </w:rPr>
              <w:t>Profit</w:t>
            </w: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95"/>
              </w:rPr>
              <w:t>Margin</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5"/>
              </w:rPr>
              <w:t>Profit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i w:val="1"/>
                <w:iCs w:val="1"/>
                <w:color w:val="auto"/>
                <w:w w:val="95"/>
              </w:rPr>
              <w:t>Margin</w:t>
            </w: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i w:val="1"/>
                <w:iCs w:val="1"/>
                <w:color w:val="auto"/>
                <w:w w:val="90"/>
              </w:rPr>
              <w:t>Profit</w:t>
            </w: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w w:val="99"/>
              </w:rPr>
              <w:t>Segment gross profit and margin</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8"/>
              </w:rPr>
              <w:t>12.8%</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89,915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32.8%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298,627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color w:val="auto"/>
                <w:w w:val="92"/>
              </w:rPr>
              <w:t>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color w:val="auto"/>
                <w:w w:val="88"/>
              </w:rPr>
              <w:t>34.2%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37.5%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35.6%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68,027</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37.8%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8"/>
              </w:rPr>
              <w:t>33.3%</w:t>
            </w:r>
          </w:p>
        </w:tc>
        <w:tc>
          <w:tcPr>
            <w:tcW w:w="0" w:type="dxa"/>
            <w:vAlign w:val="bottom"/>
          </w:tcPr>
          <w:p>
            <w:pPr>
              <w:spacing w:after="0"/>
              <w:rPr>
                <w:sz w:val="1"/>
                <w:szCs w:val="1"/>
                <w:color w:val="auto"/>
              </w:rPr>
            </w:pPr>
          </w:p>
        </w:tc>
      </w:tr>
      <w:tr>
        <w:trPr>
          <w:trHeight w:val="213"/>
        </w:trPr>
        <w:tc>
          <w:tcPr>
            <w:tcW w:w="2540" w:type="dxa"/>
            <w:vAlign w:val="bottom"/>
          </w:tcPr>
          <w:p>
            <w:pPr>
              <w:ind w:left="300"/>
              <w:spacing w:after="0"/>
              <w:rPr>
                <w:sz w:val="20"/>
                <w:szCs w:val="20"/>
                <w:color w:val="auto"/>
              </w:rPr>
            </w:pPr>
            <w:r>
              <w:rPr>
                <w:rFonts w:ascii="Arial" w:cs="Arial" w:eastAsia="Arial" w:hAnsi="Arial"/>
                <w:sz w:val="16"/>
                <w:szCs w:val="16"/>
                <w:color w:val="auto"/>
              </w:rPr>
              <w:t>Total gross profit and margin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27.7%</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26.5%</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451,882</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color w:val="auto"/>
                <w:w w:val="92"/>
              </w:rPr>
              <w:t>30.2%</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color w:val="auto"/>
                <w:w w:val="88"/>
              </w:rPr>
              <w:t>27.5%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6"/>
          </w:tcPr>
          <w:p>
            <w:pPr>
              <w:ind w:left="2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46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4"/>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93,556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94,902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80,856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59"/>
              <w:spacing w:after="0"/>
              <w:rPr>
                <w:sz w:val="20"/>
                <w:szCs w:val="20"/>
                <w:color w:val="auto"/>
              </w:rPr>
            </w:pPr>
            <w:r>
              <w:rPr>
                <w:rFonts w:ascii="Arial" w:cs="Arial" w:eastAsia="Arial" w:hAnsi="Arial"/>
                <w:sz w:val="16"/>
                <w:szCs w:val="16"/>
                <w:color w:val="auto"/>
                <w:w w:val="93"/>
              </w:rPr>
              <w:t>(32)%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59"/>
              <w:spacing w:after="0"/>
              <w:rPr>
                <w:sz w:val="20"/>
                <w:szCs w:val="20"/>
                <w:color w:val="auto"/>
              </w:rPr>
            </w:pPr>
            <w:r>
              <w:rPr>
                <w:rFonts w:ascii="Arial" w:cs="Arial" w:eastAsia="Arial" w:hAnsi="Arial"/>
                <w:sz w:val="16"/>
                <w:szCs w:val="16"/>
                <w:color w:val="auto"/>
                <w:w w:val="93"/>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423,711</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496,331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6"/>
                <w:szCs w:val="16"/>
                <w:b w:val="1"/>
                <w:bCs w:val="1"/>
                <w:color w:val="auto"/>
                <w:w w:val="91"/>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2021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line="162" w:lineRule="exact"/>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4"/>
                <w:szCs w:val="14"/>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6"/>
                <w:szCs w:val="16"/>
                <w:b w:val="1"/>
                <w:bCs w:val="1"/>
                <w:i w:val="1"/>
                <w:iCs w:val="1"/>
                <w:color w:val="auto"/>
                <w:w w:val="89"/>
              </w:rPr>
              <w:t>Operating</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i w:val="1"/>
                <w:iCs w:val="1"/>
                <w:color w:val="auto"/>
                <w:w w:val="87"/>
              </w:rPr>
              <w:t>Operating</w:t>
            </w:r>
          </w:p>
        </w:tc>
        <w:tc>
          <w:tcPr>
            <w:tcW w:w="14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auto"/>
                <w:w w:val="89"/>
              </w:rPr>
              <w:t>Operating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4"/>
                <w:szCs w:val="14"/>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6"/>
                <w:szCs w:val="16"/>
                <w:b w:val="1"/>
                <w:bCs w:val="1"/>
                <w:i w:val="1"/>
                <w:iCs w:val="1"/>
                <w:color w:val="auto"/>
                <w:w w:val="89"/>
              </w:rPr>
              <w:t>Operating</w:t>
            </w:r>
          </w:p>
        </w:tc>
        <w:tc>
          <w:tcPr>
            <w:tcW w:w="860" w:type="dxa"/>
            <w:vAlign w:val="bottom"/>
            <w:vMerge w:val="restart"/>
          </w:tcPr>
          <w:p>
            <w:pPr>
              <w:jc w:val="center"/>
              <w:ind w:right="19"/>
              <w:spacing w:after="0"/>
              <w:rPr>
                <w:sz w:val="20"/>
                <w:szCs w:val="20"/>
                <w:color w:val="auto"/>
              </w:rPr>
            </w:pPr>
            <w:r>
              <w:rPr>
                <w:rFonts w:ascii="Arial" w:cs="Arial" w:eastAsia="Arial" w:hAnsi="Arial"/>
                <w:sz w:val="16"/>
                <w:szCs w:val="16"/>
                <w:b w:val="1"/>
                <w:bCs w:val="1"/>
                <w:i w:val="1"/>
                <w:iCs w:val="1"/>
                <w:color w:val="auto"/>
                <w:w w:val="89"/>
              </w:rPr>
              <w:t>Operating</w:t>
            </w:r>
          </w:p>
        </w:tc>
        <w:tc>
          <w:tcPr>
            <w:tcW w:w="0" w:type="dxa"/>
            <w:vAlign w:val="bottom"/>
          </w:tcPr>
          <w:p>
            <w:pPr>
              <w:spacing w:after="0"/>
              <w:rPr>
                <w:sz w:val="1"/>
                <w:szCs w:val="1"/>
                <w:color w:val="auto"/>
              </w:rPr>
            </w:pPr>
          </w:p>
        </w:tc>
      </w:tr>
      <w:tr>
        <w:trPr>
          <w:trHeight w:val="162"/>
        </w:trPr>
        <w:tc>
          <w:tcPr>
            <w:tcW w:w="2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840" w:type="dxa"/>
            <w:vAlign w:val="bottom"/>
          </w:tcPr>
          <w:p>
            <w:pPr>
              <w:jc w:val="center"/>
              <w:ind w:right="39"/>
              <w:spacing w:after="0" w:line="162" w:lineRule="exact"/>
              <w:rPr>
                <w:sz w:val="20"/>
                <w:szCs w:val="20"/>
                <w:color w:val="auto"/>
              </w:rPr>
            </w:pPr>
            <w:r>
              <w:rPr>
                <w:rFonts w:ascii="Arial" w:cs="Arial" w:eastAsia="Arial" w:hAnsi="Arial"/>
                <w:sz w:val="16"/>
                <w:szCs w:val="16"/>
                <w:b w:val="1"/>
                <w:bCs w:val="1"/>
                <w:i w:val="1"/>
                <w:iCs w:val="1"/>
                <w:color w:val="auto"/>
                <w:w w:val="92"/>
              </w:rPr>
              <w:t>Income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83"/>
              </w:rPr>
              <w:t>(Loss)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99"/>
              </w:rPr>
              <w:t>Margin</w:t>
            </w:r>
          </w:p>
        </w:tc>
        <w:tc>
          <w:tcPr>
            <w:tcW w:w="122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Income (Loss)</w:t>
            </w: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95"/>
              </w:rPr>
              <w:t>Margin</w:t>
            </w:r>
          </w:p>
        </w:tc>
        <w:tc>
          <w:tcPr>
            <w:tcW w:w="1280" w:type="dxa"/>
            <w:vAlign w:val="bottom"/>
            <w:gridSpan w:val="5"/>
          </w:tcPr>
          <w:p>
            <w:pPr>
              <w:ind w:left="40"/>
              <w:spacing w:after="0"/>
              <w:rPr>
                <w:sz w:val="20"/>
                <w:szCs w:val="20"/>
                <w:color w:val="auto"/>
              </w:rPr>
            </w:pPr>
            <w:r>
              <w:rPr>
                <w:rFonts w:ascii="Arial" w:cs="Arial" w:eastAsia="Arial" w:hAnsi="Arial"/>
                <w:sz w:val="16"/>
                <w:szCs w:val="16"/>
                <w:b w:val="1"/>
                <w:bCs w:val="1"/>
                <w:i w:val="1"/>
                <w:iCs w:val="1"/>
                <w:color w:val="auto"/>
              </w:rPr>
              <w:t>Income (Loss)</w:t>
            </w: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i w:val="1"/>
                <w:iCs w:val="1"/>
                <w:color w:val="auto"/>
                <w:w w:val="95"/>
              </w:rPr>
              <w:t>Margin</w:t>
            </w:r>
          </w:p>
        </w:tc>
        <w:tc>
          <w:tcPr>
            <w:tcW w:w="122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Income (Loss)</w:t>
            </w: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162"/>
        </w:trPr>
        <w:tc>
          <w:tcPr>
            <w:tcW w:w="2540" w:type="dxa"/>
            <w:vAlign w:val="bottom"/>
            <w:tcBorders>
              <w:top w:val="single" w:sz="8" w:color="auto"/>
            </w:tcBorders>
          </w:tcPr>
          <w:p>
            <w:pPr>
              <w:ind w:left="20"/>
              <w:spacing w:after="0" w:line="162" w:lineRule="exact"/>
              <w:rPr>
                <w:sz w:val="20"/>
                <w:szCs w:val="20"/>
                <w:color w:val="auto"/>
              </w:rPr>
            </w:pPr>
            <w:r>
              <w:rPr>
                <w:rFonts w:ascii="Arial" w:cs="Arial" w:eastAsia="Arial" w:hAnsi="Arial"/>
                <w:sz w:val="16"/>
                <w:szCs w:val="16"/>
                <w:b w:val="1"/>
                <w:bCs w:val="1"/>
                <w:i w:val="1"/>
                <w:iCs w:val="1"/>
                <w:color w:val="auto"/>
                <w:w w:val="87"/>
              </w:rPr>
              <w:t>Segment operating income (loss) and</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operating margin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3"/>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7"/>
              </w:rPr>
              <w:t>5.5%</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205,071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color w:val="auto"/>
                <w:w w:val="92"/>
              </w:rPr>
              <w:t>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237,466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color w:val="auto"/>
                <w:w w:val="88"/>
              </w:rPr>
              <w:t>24.4%</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8"/>
              </w:rPr>
              <w:t>17.5%</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(80,856)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6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color w:val="auto"/>
                <w:w w:val="93"/>
              </w:rPr>
              <w:t>(265,331)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center"/>
              <w:ind w:right="26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300"/>
              <w:spacing w:after="0" w:line="148" w:lineRule="exact"/>
              <w:rPr>
                <w:sz w:val="20"/>
                <w:szCs w:val="20"/>
                <w:color w:val="auto"/>
              </w:rPr>
            </w:pPr>
            <w:r>
              <w:rPr>
                <w:rFonts w:ascii="Arial" w:cs="Arial" w:eastAsia="Arial" w:hAnsi="Arial"/>
                <w:sz w:val="16"/>
                <w:szCs w:val="16"/>
                <w:color w:val="auto"/>
                <w:w w:val="93"/>
              </w:rPr>
              <w:t>Total operating income (loss)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93"/>
              </w:rPr>
              <w:t>0.9%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(23,980)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7"/>
              </w:rPr>
              <w:t>(4.4)%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28,171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93"/>
              </w:rPr>
              <w:t>1.9%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3"/>
              </w:rPr>
              <w:t>(2.6)%</w:t>
            </w:r>
          </w:p>
        </w:tc>
        <w:tc>
          <w:tcPr>
            <w:tcW w:w="0" w:type="dxa"/>
            <w:vAlign w:val="bottom"/>
          </w:tcPr>
          <w:p>
            <w:pPr>
              <w:spacing w:after="0"/>
              <w:rPr>
                <w:sz w:val="1"/>
                <w:szCs w:val="1"/>
                <w:color w:val="auto"/>
              </w:rPr>
            </w:pPr>
          </w:p>
        </w:tc>
      </w:tr>
      <w:tr>
        <w:trPr>
          <w:trHeight w:val="205"/>
        </w:trPr>
        <w:tc>
          <w:tcPr>
            <w:tcW w:w="2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operating margin</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(23,894)</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22,480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1,952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78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Arial" w:cs="Arial" w:eastAsia="Arial" w:hAnsi="Arial"/>
                <w:sz w:val="16"/>
                <w:szCs w:val="16"/>
                <w:b w:val="1"/>
                <w:bCs w:val="1"/>
                <w:color w:val="auto"/>
                <w:w w:val="99"/>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507,572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(19,590)</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85,228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64,843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20,385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2021 vs. Three months ended September 30,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$23.9 million, or 14%. Changes in foreign currency exchange rates favorably impacted revenues by $2.5 million. Revenue was unfavorably impacted by decreased shipments in Europe, Middle East, and Africa (EMEA) in 2021 compared with 2020 primarily due to global component shortages, which limited our ability to ship all our customer demand.</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2021 vs. Nine months ended September 30, 2020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Revenues decreased $19.6 million, or 4%, compared with 2020. Changes in foreign currency exchange rates favorably impacted revenues by $25.7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first nine months of 2021 were impacted by COVID-19 reduced demand and global component shortages.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2021 vs. Three months ended September 30, 2020</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September 30, 2021, gross margin was 14.8%, compared with 11.7% for the same period in 2020. The 310 basis point improvement over the prior year was primarily due to favorable product mix and reduced manufacturing inefficiencies related to COVID-19.</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2021 vs. Nine months ended September 30, 2020</w:t>
      </w:r>
    </w:p>
    <w:p>
      <w:pPr>
        <w:spacing w:after="0" w:line="23"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For the nine months ended September 30, 2021, gross margin was 17.5%, compared with 12.8% for the same period in 2020. The 470 basis point increase over the prior year was primarily due to favorable product mix and reduced manufacturing inefficiencies as 2020 was impacted by COVID-19.</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2021 vs. Three months ended September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in 2021 compared with the same period in 2020 increased $0.9 million, or 9%, due to higher sales and marketing and research and development expenses.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2021 vs. Nine months ended September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decreased $5.3 million, or 14%, for the first nine months of 2021 compared with the same period in 2020. The decrease was primarily a result of lower research and development costs.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(32,161)</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89,915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102,295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(12,380)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Arial" w:cs="Arial" w:eastAsia="Arial" w:hAnsi="Arial"/>
                <w:sz w:val="16"/>
                <w:szCs w:val="16"/>
                <w:b w:val="1"/>
                <w:bCs w:val="1"/>
                <w:color w:val="auto"/>
                <w:w w:val="99"/>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827,870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971,984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(144,114)</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298,627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332,368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(34,718)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(33,741)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2021 vs. Three months ended September 30,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$32.2 million, or 10%, compared with 2020. The change was primarily due to global component shortages, which limited our ability to ship all our customer demand, partially offset by customer project timing. Lower product revenue of $40.2 million was partially offset by higher maintenance service revenue of $8.0 million.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2021 vs. Nine months ended September 30,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$144.1 million, or 15%, for the first nine months of 2021 compared with the same period in 2020. The change was primarily due to COVID-19 demand impacts and global component shortages, which limited our ability to ship all our customer demand. Lower product revenue of $162.1 million was partially offset by higher maintenance service revenue of $18.0 million.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2021 vs. Three months ended September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decreased to 32.8% for the period ending September 30, 2021, compared with 33.4% in 2020. The 60 basis point decrease was primarily driven by inefficiencies related to component shortages, partially offset by favorable product mix.</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2021 vs. Nine months ended September 30, 2020</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margin increased to 36.1% for the 2021 period, compared with 34.2% in 2020. The 190 basis point increase was primarily driven by favorable product mix and reduced manufacturing inefficiencies related to COVID-19, partially offset by inefficiencies related to component shortages.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2021 vs. Three months ended September 30, 2020</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Operating expenses decreased $2.1 million, or 7%, for the quarter in 2021, compared with the same period in 2020. The decrease was primarily related to reduced research and development expenses.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2021 vs. Nine months ended September 30, 2020</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Operating expenses decreased $1.3 million, or 1%, for the first nine months of 2021, compared with the same period in 2020. The decrease was primarily driven by a decreased investment in research and development.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22,568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Arial" w:cs="Arial" w:eastAsia="Arial" w:hAnsi="Arial"/>
                <w:sz w:val="16"/>
                <w:szCs w:val="16"/>
                <w:b w:val="1"/>
                <w:bCs w:val="1"/>
                <w:color w:val="auto"/>
                <w:w w:val="99"/>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68,027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11,904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2021 vs. Three months ended September 30, 2020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Revenues increased $2.8 million, or 5%, compared with 2020. This increase was driven by an increase in product sales and software licensing.</w:t>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2021 vs. Nine months ended September 30, 2020</w:t>
      </w:r>
    </w:p>
    <w:p>
      <w:pPr>
        <w:spacing w:after="0" w:line="1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Revenues increased $11.4 million, or 7%, for the first nine months of 2021 compared with the same period in 2020. This increase was driven by an increase in software license sales and higher managed and professional services.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2021 vs. Three months ended September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37.5% for the third quarter of 2021, compared with 35.6% for the same period last year. The 190 basis point increase was driven by favorable product and services mix and other cost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2021 vs. Nine months ended September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37.8% for the period ending in 2021, compared with 33.3% for last year. The 450 basis point increase was driven by cost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2021 vs. Three months ended September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for the 2021 period increased $2.4 million, compared with the same period last year. The increase was primarily related to increased research and development investment of $2.0 million and higher product marketing expenses of $0.4 million.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2021 vs. Nine months ended September 30, 2020</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Operating expenses for the first nine months of 2021 increased $6.7 million, or 25%, compared with the same period last year. This increase was primarily related to increased research and development investment of $5.2 million and higher product marketing expenses of $1.5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September 30, 2021 vs. Three months ended September 30,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$37.6 million, or 32%, for the three months ended September 30, 2021 compared with the same period in 2020. This was primarily the result of $43.5 million in reduced restructuring charges related to the plan announced in 2020.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Nine months ended September 30, 2021 vs. Nine months ended September 30, 2020</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For the first nine months of 2021, Corporate unallocated expenses decreased $72.7 million, or 22%, as compared with the same period in 2020. This was primarily the result of decreases of $42.4 million in restructuring related to the plan announced in 2020 and $29.0 million related to the sale of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1: Financial Statements (Unaudited), Note 16: Revenues included in this Quarterly Report on Form 10-Q.</w:t>
      </w:r>
    </w:p>
    <w:tbl>
      <w:tblPr>
        <w:tblLayout w:type="fixed"/>
        <w:tblInd w:w="0" w:type="dxa"/>
        <w:tblCellMar>
          <w:top w:w="0" w:type="dxa"/>
          <w:left w:w="0" w:type="dxa"/>
          <w:bottom w:w="0" w:type="dxa"/>
          <w:right w:w="0" w:type="dxa"/>
        </w:tblCellMar>
      </w:tblPr>
      <w:tr>
        <w:trPr>
          <w:trHeight w:val="167"/>
        </w:trPr>
        <w:tc>
          <w:tcPr>
            <w:tcW w:w="2920" w:type="dxa"/>
            <w:vAlign w:val="bottom"/>
          </w:tcPr>
          <w:p>
            <w:pPr>
              <w:spacing w:after="0"/>
              <w:rPr>
                <w:sz w:val="14"/>
                <w:szCs w:val="14"/>
                <w:color w:val="auto"/>
              </w:rPr>
            </w:pPr>
          </w:p>
        </w:tc>
        <w:tc>
          <w:tcPr>
            <w:tcW w:w="3220" w:type="dxa"/>
            <w:vAlign w:val="bottom"/>
            <w:vMerge w:val="restart"/>
          </w:tcPr>
          <w:p>
            <w:pPr>
              <w:jc w:val="center"/>
              <w:ind w:left="2019"/>
              <w:spacing w:after="0"/>
              <w:rPr>
                <w:sz w:val="20"/>
                <w:szCs w:val="20"/>
                <w:color w:val="auto"/>
              </w:rPr>
            </w:pPr>
            <w:r>
              <w:rPr>
                <w:rFonts w:ascii="Arial" w:cs="Arial" w:eastAsia="Arial" w:hAnsi="Arial"/>
                <w:sz w:val="16"/>
                <w:szCs w:val="16"/>
                <w:b w:val="1"/>
                <w:bCs w:val="1"/>
                <w:color w:val="auto"/>
                <w:w w:val="95"/>
              </w:rPr>
              <w:t>Quarterly</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8" w:lineRule="exact"/>
              <w:rPr>
                <w:sz w:val="20"/>
                <w:szCs w:val="20"/>
                <w:color w:val="auto"/>
              </w:rPr>
            </w:pPr>
            <w:r>
              <w:rPr>
                <w:rFonts w:ascii="Arial" w:cs="Arial" w:eastAsia="Arial" w:hAnsi="Arial"/>
                <w:sz w:val="16"/>
                <w:szCs w:val="16"/>
                <w:b w:val="1"/>
                <w:bCs w:val="1"/>
                <w:color w:val="auto"/>
                <w:w w:val="95"/>
              </w:rPr>
              <w:t>Ending</w:t>
            </w:r>
          </w:p>
        </w:tc>
        <w:tc>
          <w:tcPr>
            <w:tcW w:w="500" w:type="dxa"/>
            <w:vAlign w:val="bottom"/>
          </w:tcPr>
          <w:p>
            <w:pPr>
              <w:spacing w:after="0"/>
              <w:rPr>
                <w:sz w:val="14"/>
                <w:szCs w:val="14"/>
                <w:color w:val="auto"/>
              </w:rPr>
            </w:pPr>
          </w:p>
        </w:tc>
        <w:tc>
          <w:tcPr>
            <w:tcW w:w="1760" w:type="dxa"/>
            <w:vAlign w:val="bottom"/>
          </w:tcPr>
          <w:p>
            <w:pPr>
              <w:jc w:val="center"/>
              <w:ind w:right="339"/>
              <w:spacing w:after="0" w:line="168" w:lineRule="exact"/>
              <w:rPr>
                <w:sz w:val="20"/>
                <w:szCs w:val="20"/>
                <w:color w:val="auto"/>
              </w:rPr>
            </w:pPr>
            <w:r>
              <w:rPr>
                <w:rFonts w:ascii="Arial" w:cs="Arial" w:eastAsia="Arial" w:hAnsi="Arial"/>
                <w:sz w:val="16"/>
                <w:szCs w:val="16"/>
                <w:b w:val="1"/>
                <w:bCs w:val="1"/>
                <w:color w:val="auto"/>
                <w:w w:val="92"/>
              </w:rPr>
              <w:t>Ending</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Quarter Ended</w:t>
            </w:r>
          </w:p>
        </w:tc>
        <w:tc>
          <w:tcPr>
            <w:tcW w:w="32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2" w:lineRule="exact"/>
              <w:rPr>
                <w:sz w:val="20"/>
                <w:szCs w:val="20"/>
                <w:color w:val="auto"/>
              </w:rPr>
            </w:pPr>
            <w:r>
              <w:rPr>
                <w:rFonts w:ascii="Arial" w:cs="Arial" w:eastAsia="Arial" w:hAnsi="Arial"/>
                <w:sz w:val="16"/>
                <w:szCs w:val="16"/>
                <w:b w:val="1"/>
                <w:bCs w:val="1"/>
                <w:color w:val="auto"/>
                <w:w w:val="94"/>
              </w:rPr>
              <w:t>Total</w:t>
            </w:r>
          </w:p>
        </w:tc>
        <w:tc>
          <w:tcPr>
            <w:tcW w:w="500" w:type="dxa"/>
            <w:vAlign w:val="bottom"/>
          </w:tcPr>
          <w:p>
            <w:pPr>
              <w:spacing w:after="0"/>
              <w:rPr>
                <w:sz w:val="14"/>
                <w:szCs w:val="14"/>
                <w:color w:val="auto"/>
              </w:rPr>
            </w:pPr>
          </w:p>
        </w:tc>
        <w:tc>
          <w:tcPr>
            <w:tcW w:w="1760" w:type="dxa"/>
            <w:vAlign w:val="bottom"/>
          </w:tcPr>
          <w:p>
            <w:pPr>
              <w:jc w:val="center"/>
              <w:ind w:right="359"/>
              <w:spacing w:after="0" w:line="162" w:lineRule="exact"/>
              <w:rPr>
                <w:sz w:val="20"/>
                <w:szCs w:val="20"/>
                <w:color w:val="auto"/>
              </w:rPr>
            </w:pPr>
            <w:r>
              <w:rPr>
                <w:rFonts w:ascii="Arial" w:cs="Arial" w:eastAsia="Arial" w:hAnsi="Arial"/>
                <w:sz w:val="16"/>
                <w:szCs w:val="16"/>
                <w:b w:val="1"/>
                <w:bCs w:val="1"/>
                <w:color w:val="auto"/>
                <w:w w:val="95"/>
              </w:rPr>
              <w:t>12-Month</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w w:val="87"/>
              </w:rPr>
              <w:t>Bookings</w:t>
            </w: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w w:val="89"/>
              </w:rPr>
              <w:t>Backlog</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2021</w:t>
            </w:r>
          </w:p>
        </w:tc>
        <w:tc>
          <w:tcPr>
            <w:tcW w:w="3220" w:type="dxa"/>
            <w:vAlign w:val="bottom"/>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3,433</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June 30, 2021</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3,530</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688</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3,421</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973</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3,259</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2,795</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141,147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70,571</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(21,819)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(33,472)</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402,590</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w:t>
            </w:r>
          </w:p>
        </w:tc>
      </w:tr>
      <w:tr>
        <w:trPr>
          <w:trHeight w:val="235"/>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Increase (decrease) in cash and cash equivalents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436,263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were $188.7 million at September 30, 2021, compared with $206.9 million at December 31, 2020. The $18.2 million decrease in cash and cash equivalents in the 2021 period was primarily the result of repayment of the term loan and the senior subordinated notes, purchases of equity classified derivative contract, and the acquisitions of property, plant, and equipment, partially offset by proceeds from the convertible senior note and equity offering in March 2021, along with cash flows from operating activities.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provided by operating activities during the nine months in 2021 was $141.1 million compared with $70.6 million during the same period in 2020. The increase was primarily due to lower variable compensation payouts, net cash inflows for working capital, and lower interest payments.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Cash used in investing activities during the nine months in 2021 was $11.7 million lower than in 2020. This decrease in use of cash was primarily related to $8.5 million less purchases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financing activities during the nine months in 2021 was $136.8 million, compared with net cash provided of $402.6 million for the same period in 2020. In March 2021, we received $389.4 million from issuance of common stock related to the equity offering, after deducting underwriters’ discounts of the offering, purchased $84.1 million of the convertible note hedge contracts, and proceeds of $45.3 million from the sale of warrants. Also in March, we entered into the convertible senior notes with gross proceeds of $460 million, which was used to pay off the outstanding term loan balance. In April, we repaid the senior subordinated notes totaling $410 million (including $10 million early repayment premium) with proceeds from the equity offering and cash on hand. For the nine months ended September 30, 2021, we had net repayments of $486.1 million of debt. Cash payments for prepaid debt fees were $12.0 million.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exchange rates on the cash balances of currencies held in foreign denominations at September 30, 2021 was a decrease of $0.8 million, compared with a decrease of $3.4 million for the same period in 2020. Our foreign currency exposure relates to non-U.S. dollar denominated balances in our international subsidiary operations.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ind w:left="1080"/>
              <w:spacing w:after="0"/>
              <w:rPr>
                <w:sz w:val="20"/>
                <w:szCs w:val="20"/>
                <w:color w:val="auto"/>
              </w:rPr>
            </w:pPr>
            <w:r>
              <w:rPr>
                <w:rFonts w:ascii="Arial" w:cs="Arial" w:eastAsia="Arial" w:hAnsi="Arial"/>
                <w:sz w:val="16"/>
                <w:szCs w:val="16"/>
                <w:color w:val="auto"/>
                <w:w w:val="96"/>
              </w:rPr>
              <w:t>141,147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93"/>
              </w:rPr>
              <w:t>70,571</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Acquisitions of property, plant, and equipment</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w w:val="93"/>
              </w:rPr>
              <w:t>(27,781)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999"/>
              <w:spacing w:after="0"/>
              <w:rPr>
                <w:sz w:val="20"/>
                <w:szCs w:val="20"/>
                <w:color w:val="auto"/>
              </w:rPr>
            </w:pPr>
            <w:r>
              <w:rPr>
                <w:rFonts w:ascii="Arial" w:cs="Arial" w:eastAsia="Arial" w:hAnsi="Arial"/>
                <w:sz w:val="16"/>
                <w:szCs w:val="16"/>
                <w:color w:val="auto"/>
                <w:w w:val="93"/>
              </w:rPr>
              <w:t>(36,297)</w:t>
            </w:r>
          </w:p>
        </w:tc>
      </w:tr>
      <w:tr>
        <w:trPr>
          <w:trHeight w:val="238"/>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w w:val="96"/>
              </w:rPr>
              <w:t>113,366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w w:val="93"/>
              </w:rPr>
              <w:t>34,274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Free cash flow fluctuated primarily as a result of changes in cash provided by operating activities. See the cash flow discussion of operating activities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September 30, 2021 and December 31, 2020 that we believe could reasonably likely have a current or future effect on our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Offering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12, 2021, we closed the sale of 4,472,222 shares of our common stock in a public offering, resulting in net proceeds to us of $389.4 million, after deducting underwriters’ discounts of the offering, as well as the sale of the Convertible Notes in a private placement to qualified institutional buyers, resulting in net proceeds to us of $448.5 million after deducting initial purchasers’ discounts of the offering. Concurrently with the issuance of the Convertible Notes, we entered into the Convertible Note Hedge Transactions and Warrant Transactions. For further description of these transactions, refer to Item 1: Financial Statements (Unaudited), Note 6: Debt and Item 1: Financial Statements (Unaudited), Note 7: Derivative Financial Instruments included in this Quarterly Report on Form 10-Q.</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$300 million standby letter of credit sub-facility and a $50 million swingline sub-facility. The October 18, 2019, amendment extended the maturity date to October 18, 2024 and re-amortized the term loan based on the new balance as of the amendment date.</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Debt fees of approximately $1.4 million were incurred for the amendment, as well as other legal and advisory fees.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8, 2021, we entered into a third amendment to our 2018 credit facility, which modified provisions to permit cash settlement upon the conversion of the Convertible Notes, the Convertible Senior Note Hedge Transactions and Warrant Transactions and also to adjust certain settlement provisions for convertible indebtedness. See Item 1: Financial Statements (Unaudited), Note 7: Derivative Financial Instruments for further details of the Convertible Note Hedge Transactions and Warrant Transactions.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9, 2021, we submitted a Notice of Redemption to the trustee to redeem all outstanding Senior Notes at a redemption price of 102.50%, in accordance with the indenture governing the Senior Notes, totaling $410 million. As of April 8, 2021, the Senior Notes were fully discharged and no principal or unpaid interest remains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further description of our borrowings, refer to Item 1: Financial Statements (Unaudited), Note 6: Debt included in this Quarterly Report on Form 10-Q.</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acquisition of SSNI, we achieved approximately $65 million of annualized savings by the end of the third quarter in 2021. For the nine months ended September 30, 2021, we paid out $1.1 million and we are expecting the remaining cash payment on the integration plan to be paid out in the next 12 months.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September 17, 2020, our Board of Directors approved a restructuring plan (the 2020 Projects). The 2020 Projects include activities that continue our efforts to optimize its global supply chain and manufacturing operations, sales and marketing organizations, and other overhead. These projects are scheduled to be substantially complete by the end of 2022. At the time of the approval, we estimated pre-tax restructuring charges of $55 million to $65 million. Of the total estimated charge, approximately $35 million to $45 million will result in cash expenditures, and the remainder related to non-cash charges. In the third quarter of 2021, expected remaining costs to be recognized were reduced by $13.0 million due to the removal of a previously planned non-cash cumulative translation adjustment charge, resulting from our recent reassessment of the legal entity and its related operations. The adjusted pre-tax restructuring charge expected would be $42 million to $52 million.</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nine months ended September 30, 2021, we paid $21.2 million related to all our restructuring projects. As of September 30, 2021, $47.3 million was accrued for these restructuring projects, of which $28.7 million is expected to be paid within the next 12 months.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October 29, 2021, the Board of Directors of Itron approved a restructuring plan (the 2021 Projects). The 2021 Projects include activities, in conjunction with the announcement of the sale of certain of our Gas device manufacturing operations, which drive reductions in certain locations and functional support areas. These projects are to be substantially complete by the end of 2024. Itron estimates pre-tax restructuring charges of $65-75 million. Of the total estimated charge, approximately $60-65 million will result in cash expenditures, and the remainder to non-cash impairment charges. The majority of the expense will be recognized during the fourth quarter of 2021. Once the 2021 Projects are substantially completed, Itron estimates $15-20 million in 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Reserve of Receivables from Sale of Business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total sales price of $35.0 million included deferred payments of $21.1 million for working capital, which was to be paid in full by December 31, 2020, as evidenced by a promissory note, and the remainder in cash ($4.5 million) and other deferred consideration. In January 2021, we agreed to extend the payment terms on the remaining outstanding working capital balance of $18.4 million. Accell had agreed to make monthly payments, including interest, through September 2022, under which we received full payments for January through March and partial payments in April and May (totaling $3.8 million including $0.7 million in interest). In July 2021, we received a revised payment plan for the remaining working capital note receivable, as well as the other deferred transaction receivables. Based on Accell's failure to make timely payments, continued requests to defer payments significantly beyond the original maturity of the working capital note, and the unfavorable impact of the COVID-19 pandemic on the Latin American markets, we determined to fully reserve the working capital and other deferred consideration in the second quarter of 2021.</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Approval of Share Repurchase Program</w:t>
      </w:r>
    </w:p>
    <w:p>
      <w:pPr>
        <w:spacing w:after="0" w:line="1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Effective November 1, 2021, the Board of Directors of Itron authorized a new share repurchase program of up to $100 million of Itron’s common stock over an 18-month period.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 million in state taxes, and $8 million in local and foreign taxes during 2021. We do not expect to pay any U.S. federal taxes. For a discussion of our tax provision and unrecognized tax benefits, see Item 1: Financial Statements (Unaudited), Note 10: Income Taxes included in this Quarterly Report on Form 10-Q.</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there was $46.8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8, 2021 the G20/OECD Inclusive Framework on BEPS published a statement on the components of global tax reform agreed to by most member countries. The key components would allocate a portion of profits of the largest businesses amongst their markets, curtail new digital services taxes, and introduce a new global minimum tax of 15%. These components do not result in any financial impact until enacted, which is not currently expected until 2023. The Company is monitoring developments and additional details as they are released to determine the impacts these new components will have on our business.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Consolidated Balance Sheets represents the proportional share of the equity of the joint venture entities, which is attributable to the minority shareholders. At September 30, 2021, $18.5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Notwithstanding the expected short to mid-term impacts of the COVID-19 pandemic,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Arial" w:cs="Arial" w:eastAsia="Arial" w:hAnsi="Arial"/>
          <w:sz w:val="18"/>
          <w:szCs w:val="18"/>
          <w:color w:val="222222"/>
        </w:rPr>
        <w:t>our dependence on certain key vendors and components,</w:t>
      </w:r>
      <w:r>
        <w:rPr>
          <w:rFonts w:ascii="Arial" w:cs="Arial" w:eastAsia="Arial" w:hAnsi="Arial"/>
          <w:sz w:val="18"/>
          <w:szCs w:val="18"/>
          <w:color w:val="auto"/>
        </w:rPr>
        <w:t xml:space="preserve"> changes in estimated liabilities for product warranties and/or litigation, duration of the COVID-19 pandemic, future business combinations, capital market fluctuations, international risks, and other factors described under Risk Factors within Item 1A of Part I of our 2020 Annual Report, as well as Quantitative and Qualitative Disclosures About Market Risk within Item 3 of Part I included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 Financial Statements (Unaudited), Note 11: Commitments and Contingencies included in this Quarterly Report on Form 10-Q.</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2020 Annual Report and have not changed materially.</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Non-GAAP operating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operating income </w:t>
      </w:r>
      <w:r>
        <w:rPr>
          <w:rFonts w:ascii="Arial" w:cs="Arial" w:eastAsia="Arial" w:hAnsi="Arial"/>
          <w:sz w:val="16"/>
          <w:szCs w:val="16"/>
          <w:color w:val="auto"/>
        </w:rPr>
        <w:t>– We define non-GAAP operating expenses as operating expenses excluding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related to the amortization of intangible assets, restructuring, loss on sale of business, corporate transition cost, and acquisition and integration. We define non-GAAP operating income as operating income (loss) excluding the expenses related to the amortization of intangible assets, restructuring, loss on sale of business, corporate transition cost,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Non-GAAP net income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diluted EPS </w:t>
      </w:r>
      <w:r>
        <w:rPr>
          <w:rFonts w:ascii="Arial" w:cs="Arial" w:eastAsia="Arial" w:hAnsi="Arial"/>
          <w:sz w:val="16"/>
          <w:szCs w:val="16"/>
          <w:color w:val="auto"/>
        </w:rPr>
        <w:t>– We define non-GAAP net income as net income (loss) attributable to Itron, Inc. excluding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associated with amortization of intangible assets, amortization of debt placement fees, debt extinguishment, restructuring, loss on sale of business, corporate transition cost,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throughout the year and use the most recent AETR anytime it increases or decreases by 200 basis points or more from the prior interim period.</w:t>
      </w:r>
    </w:p>
    <w:p>
      <w:pPr>
        <w:spacing w:after="0" w:line="2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 We define adjusted EBITDA as net income (loss) (a) minus interest income, (b) plus interest expense,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debt extinguishment, restructuring, loss on sale of business, corporate transition cost,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9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Free cash flow </w:t>
      </w:r>
      <w:r>
        <w:rPr>
          <w:rFonts w:ascii="Arial" w:cs="Arial" w:eastAsia="Arial" w:hAnsi="Arial"/>
          <w:sz w:val="17"/>
          <w:szCs w:val="17"/>
          <w:color w:val="auto"/>
        </w:rPr>
        <w:t>– We define free cash flow as net cash provided by operating activities less cash used for acquisitions of property, plant and equipment.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Constant currency </w:t>
      </w:r>
      <w:r>
        <w:rPr>
          <w:rFonts w:ascii="Arial" w:cs="Arial" w:eastAsia="Arial" w:hAnsi="Arial"/>
          <w:sz w:val="17"/>
          <w:szCs w:val="17"/>
          <w:color w:val="auto"/>
        </w:rPr>
        <w:t>– We refer to the impact of foreign currency exchange rate fluctuations in our discussions of financial results, which references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22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NON-GAAP OPERATING EXPENSES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operating expenses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496,331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(33,488)</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(28,274)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(57,295)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 and integration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Non-GAAP operating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369,721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364,788</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GAAP operating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(23,980)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28,171</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(42,997)</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44,462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41,531</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business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Non-GAAP operating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82,161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88,546</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4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&amp; DILUTED EPS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net loss attributable to Itron, Inc.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(79,475)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33,488</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placement fees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Debt extinguishment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28,274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57,295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Acquisition and integration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effect of non-GAAP adjustments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Non-GAAP net income attributable to Itron, Inc.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44,043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48,929</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4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Non-GAAP diluted EPS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4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4580" w:type="dxa"/>
            <w:vAlign w:val="bottom"/>
          </w:tcPr>
          <w:p>
            <w:pPr>
              <w:ind w:left="200"/>
              <w:spacing w:after="0" w:line="166" w:lineRule="exact"/>
              <w:rPr>
                <w:sz w:val="20"/>
                <w:szCs w:val="20"/>
                <w:color w:val="auto"/>
              </w:rPr>
            </w:pPr>
            <w:r>
              <w:rPr>
                <w:rFonts w:ascii="Arial" w:cs="Arial" w:eastAsia="Arial" w:hAnsi="Arial"/>
                <w:sz w:val="16"/>
                <w:szCs w:val="16"/>
                <w:color w:val="auto"/>
              </w:rPr>
              <w:t>Non-GAAP weighted average common shares outstanding -</w:t>
            </w:r>
          </w:p>
        </w:tc>
        <w:tc>
          <w:tcPr>
            <w:tcW w:w="2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45,506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40,559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44,330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40,507</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4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net loss attributable to Itron, Inc.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(79,475)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Income tax provision (benefit)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extinguishment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21,333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64,252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72,306</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28,274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57,295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 and integration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38"/>
        </w:trPr>
        <w:tc>
          <w:tcPr>
            <w:tcW w:w="10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111,982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122,858</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18,467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44,785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141,147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70,571</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113,366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34,274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We may be exposed to interest rate risk through our variable rate debt instruments. On August 12, 2021, the term loan under the credit facility was fully paid. At September 30, 2021, we had no outstanding variable rate debt.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Revenues denominated in functional currencies other than the U.S. dollar were 36% and 38% of total revenues for the three and nine months ended September 30, 2021 compared with 37% and 36% for the same respective periods in 2020.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2021, a total of 37 contracts were offsetting our exposures from the euro, pound sterling, Indonesian rupiah, Canadian dollar, Australian dollar and various other currencies, with notional amounts ranging from $150,000 to $56.4 million. Based on a sensitivity analysis as of September 30, 2021, we estimate that, if foreign currency exchange rates average ten percentage points higher in 2021 for these financial instruments, our financial results in 2021 would not be materially impacted.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2021,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2021 that materially affected, or are reasonably likely to materially affect,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 Financial Statements (Unaudited), Note 11: Commitments and Contingencies included in this Quarterly Report on Form 10-Q.</w:t>
      </w: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list of Risk Factors, refer to Part I, Item 1A: Risk Factors of our Annual Report on Form 10-K for the fiscal year ended December 31, 2020, which was filed with the Securities and Exchange Commission on February 24, 2021.</w:t>
      </w:r>
    </w:p>
    <w:p>
      <w:pPr>
        <w:spacing w:after="0" w:line="200" w:lineRule="exact"/>
        <w:rPr>
          <w:sz w:val="20"/>
          <w:szCs w:val="20"/>
          <w:color w:val="auto"/>
        </w:rPr>
      </w:pPr>
    </w:p>
    <w:p>
      <w:pPr>
        <w:spacing w:after="0" w:line="23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Issuer Repurchase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4"/>
              </w:rPr>
              <w:t>Total Number of</w:t>
            </w: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Average Price Paid</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3"/>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jc w:val="center"/>
              <w:ind w:right="220"/>
              <w:spacing w:after="0" w:line="216" w:lineRule="exact"/>
              <w:rPr>
                <w:sz w:val="20"/>
                <w:szCs w:val="20"/>
                <w:color w:val="auto"/>
              </w:rPr>
            </w:pPr>
            <w:r>
              <w:rPr>
                <w:rFonts w:ascii="Arial" w:cs="Arial" w:eastAsia="Arial" w:hAnsi="Arial"/>
                <w:sz w:val="16"/>
                <w:szCs w:val="16"/>
                <w:b w:val="1"/>
                <w:bCs w:val="1"/>
                <w:color w:val="auto"/>
                <w:w w:val="86"/>
              </w:rPr>
              <w:t xml:space="preserve">Shares Purchased </w:t>
            </w:r>
            <w:r>
              <w:rPr>
                <w:rFonts w:ascii="Arial" w:cs="Arial" w:eastAsia="Arial" w:hAnsi="Arial"/>
                <w:sz w:val="21"/>
                <w:szCs w:val="21"/>
                <w:b w:val="1"/>
                <w:bCs w:val="1"/>
                <w:color w:val="auto"/>
                <w:w w:val="86"/>
                <w:vertAlign w:val="superscript"/>
              </w:rPr>
              <w:t>(1)</w:t>
            </w:r>
          </w:p>
        </w:tc>
        <w:tc>
          <w:tcPr>
            <w:tcW w:w="158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88"/>
              </w:rPr>
              <w:t xml:space="preserve">per Share </w:t>
            </w:r>
            <w:r>
              <w:rPr>
                <w:rFonts w:ascii="Arial" w:cs="Arial" w:eastAsia="Arial" w:hAnsi="Arial"/>
                <w:sz w:val="21"/>
                <w:szCs w:val="21"/>
                <w:b w:val="1"/>
                <w:bCs w:val="1"/>
                <w:color w:val="auto"/>
                <w:w w:val="88"/>
                <w:vertAlign w:val="superscript"/>
              </w:rPr>
              <w:t>(2)</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Plans or Programs</w:t>
            </w:r>
          </w:p>
        </w:tc>
        <w:tc>
          <w:tcPr>
            <w:tcW w:w="0" w:type="dxa"/>
            <w:vAlign w:val="bottom"/>
          </w:tcPr>
          <w:p>
            <w:pPr>
              <w:spacing w:after="0"/>
              <w:rPr>
                <w:sz w:val="1"/>
                <w:szCs w:val="1"/>
                <w:color w:val="auto"/>
              </w:rPr>
            </w:pPr>
          </w:p>
        </w:tc>
      </w:tr>
      <w:tr>
        <w:trPr>
          <w:trHeight w:val="207"/>
        </w:trPr>
        <w:tc>
          <w:tcPr>
            <w:tcW w:w="45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i w:val="1"/>
                <w:iCs w:val="1"/>
                <w:color w:val="auto"/>
                <w:w w:val="91"/>
              </w:rPr>
              <w:t>In thousands</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2021 through July 31, 2021</w:t>
            </w:r>
          </w:p>
        </w:tc>
        <w:tc>
          <w:tcPr>
            <w:tcW w:w="182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August 1, 2021 through August 31, 2021</w:t>
            </w:r>
          </w:p>
        </w:tc>
        <w:tc>
          <w:tcPr>
            <w:tcW w:w="160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77.74</w:t>
            </w:r>
          </w:p>
        </w:tc>
        <w:tc>
          <w:tcPr>
            <w:tcW w:w="10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2021 through September 30, 2021</w:t>
            </w:r>
          </w:p>
        </w:tc>
        <w:tc>
          <w:tcPr>
            <w:tcW w:w="18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right="20" w:hanging="332"/>
        <w:spacing w:after="0" w:line="223"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Shares repurchased represent shares transferred to us by certain employees who vested in restricted stock units and used shares to pay all, or a portion of, the related taxes.</w:t>
      </w:r>
    </w:p>
    <w:p>
      <w:pPr>
        <w:spacing w:after="0" w:line="1"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commissions.</w:t>
      </w:r>
    </w:p>
    <w:p>
      <w:pPr>
        <w:spacing w:after="0" w:line="2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2021 that was not reported.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jc w:val="center"/>
              <w:ind w:right="140"/>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Table of Contents</w:t>
              </w:r>
            </w:hyperlink>
          </w:p>
        </w:tc>
        <w:tc>
          <w:tcPr>
            <w:tcW w:w="52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5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Exhibit</w:t>
            </w:r>
          </w:p>
        </w:tc>
        <w:tc>
          <w:tcPr>
            <w:tcW w:w="9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9"/>
                <w:szCs w:val="19"/>
                <w:color w:val="auto"/>
              </w:rPr>
            </w:pPr>
          </w:p>
        </w:tc>
        <w:tc>
          <w:tcPr>
            <w:tcW w:w="98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9800" w:type="dxa"/>
            <w:vAlign w:val="bottom"/>
            <w:gridSpan w:val="2"/>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9800" w:type="dxa"/>
            <w:vAlign w:val="bottom"/>
            <w:gridSpan w:val="2"/>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24"/>
                <w:szCs w:val="24"/>
                <w:color w:val="auto"/>
              </w:rPr>
            </w:pPr>
          </w:p>
        </w:tc>
        <w:tc>
          <w:tcPr>
            <w:tcW w:w="9800" w:type="dxa"/>
            <w:vAlign w:val="bottom"/>
            <w:gridSpan w:val="2"/>
          </w:tcPr>
          <w:p>
            <w:pPr>
              <w:ind w:left="20"/>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Pursuant to Section 906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440" w:right="20" w:hanging="939"/>
        <w:spacing w:after="0" w:line="232" w:lineRule="auto"/>
        <w:tabs>
          <w:tab w:leader="none" w:pos="1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following financial information from Itron, Inc.'s Quarterly Report on Form 10-Q for the quarter ended September 30, 2021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70" w:lineRule="exact"/>
        <w:rPr>
          <w:sz w:val="20"/>
          <w:szCs w:val="20"/>
          <w:color w:val="auto"/>
        </w:rPr>
      </w:pPr>
    </w:p>
    <w:p>
      <w:pPr>
        <w:ind w:left="1440" w:hanging="939"/>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Arial" w:cs="Arial" w:eastAsia="Arial" w:hAnsi="Arial"/>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November 4, 2021</w:t>
            </w:r>
          </w:p>
        </w:tc>
        <w:tc>
          <w:tcPr>
            <w:tcW w:w="1280" w:type="dxa"/>
            <w:vAlign w:val="bottom"/>
          </w:tcPr>
          <w:p>
            <w:pPr>
              <w:ind w:left="520"/>
              <w:spacing w:after="0"/>
              <w:rPr>
                <w:sz w:val="20"/>
                <w:szCs w:val="20"/>
                <w:color w:val="auto"/>
              </w:rPr>
            </w:pPr>
            <w:r>
              <w:rPr>
                <w:rFonts w:ascii="Arial" w:cs="Arial" w:eastAsia="Arial" w:hAnsi="Arial"/>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18"/>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Arial" w:cs="Arial" w:eastAsia="Arial" w:hAnsi="Arial"/>
                <w:sz w:val="18"/>
                <w:szCs w:val="18"/>
                <w:b w:val="1"/>
                <w:bCs w:val="1"/>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2057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Thomas L. Deitrich</w:t>
      </w:r>
    </w:p>
    <w:p>
      <w:pPr>
        <w:jc w:val="center"/>
        <w:ind w:left="7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Joan S. Hooper</w:t>
      </w:r>
    </w:p>
    <w:p>
      <w:pPr>
        <w:jc w:val="center"/>
        <w:ind w:left="60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2021 (the Report) for the purpose of complying with Rule 13a-14(b) or Rule 15d-14(b) of the Securities Exchange Act of 1934 and Section 1350 of Chapter 63 of Title 18 of the United States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Thomas L. Deitrich,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40" w:hanging="387"/>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right="740" w:hanging="407"/>
        <w:spacing w:after="0" w:line="277" w:lineRule="auto"/>
        <w:tabs>
          <w:tab w:leader="none" w:pos="8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/s/ THOMAS L. DEITRICH</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November 4, 2021</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2"/>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34"/>
        </w:trPr>
        <w:tc>
          <w:tcPr>
            <w:tcW w:w="6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/s/ JOAN S. HOOPER</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November 4, 2021</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35"/>
        </w:trPr>
        <w:tc>
          <w:tcPr>
            <w:tcW w:w="602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91"/>
              </w:rPr>
              <w:t>Senior Vice President and Chief Financial Officer</w:t>
            </w: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6020" w:type="dxa"/>
            <w:vAlign w:val="bottom"/>
            <w:gridSpan w:val="2"/>
            <w:vMerge w:val="continue"/>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2021-11-04T10:02:47Z</dcterms:created>
  <dcterms:modified xsi:type="dcterms:W3CDTF">2021-11-04T10:02:47Z</dcterms:modified>
</cp:coreProperties>
</file>