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February 17, 2026, Itron, Inc. issued a press release announcing its financial results for the three months and full year ended December 31, 2025. A copy of this press release and accompanying financial statements are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17"/>
                <w:szCs w:val="17"/>
                <w:color w:val="auto"/>
              </w:rPr>
            </w:pPr>
          </w:p>
        </w:tc>
        <w:tc>
          <w:tcPr>
            <w:tcW w:w="3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9"/>
              </w:rPr>
              <w:t>Press Release Dated February 17, 2026. *</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r>
    </w:tbl>
    <w:p>
      <w:pPr>
        <w:spacing w:after="0" w:line="9" w:lineRule="exact"/>
        <w:rPr>
          <w:sz w:val="20"/>
          <w:szCs w:val="20"/>
          <w:color w:val="auto"/>
        </w:rPr>
      </w:pPr>
    </w:p>
    <w:p>
      <w:pPr>
        <w:ind w:left="1460" w:hanging="1452"/>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2024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57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7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c>
          <w:tcPr>
            <w:tcW w:w="160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Fourth Quarter and Full Year 2025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LIBERTY LAKE, Wash., Feb. 17, 2026 (GLOBE NEWSWIRE) -- Itron, Inc. (NASDAQ:ITRI), which is innovating new ways for utilities and cities to manage energy and water, announced today financial results for its fourth quarter and full year ended Dec 31, 2025. Key results for the quarter and full year include (compared with the fourth quarter and full year of 2024):</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$572 million and $2.4 billion, decreased 7%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right="540"/>
        <w:spacing w:after="0" w:line="281" w:lineRule="auto"/>
        <w:rPr>
          <w:sz w:val="20"/>
          <w:szCs w:val="20"/>
          <w:color w:val="auto"/>
        </w:rPr>
      </w:pPr>
      <w:r>
        <w:rPr>
          <w:rFonts w:ascii="Times New Roman" w:cs="Times New Roman" w:eastAsia="Times New Roman" w:hAnsi="Times New Roman"/>
          <w:sz w:val="22"/>
          <w:szCs w:val="22"/>
          <w:color w:val="auto"/>
        </w:rPr>
        <w:t>GAAP net income attributable to Itron, Inc. of $102 million and $301 million, increased $44 million and $62 million; GAAP diluted earnings per share of $2.21 and $6.50, increased $0.95 and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-310515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-121920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40"/>
        <w:spacing w:after="0" w:line="295" w:lineRule="auto"/>
        <w:rPr>
          <w:sz w:val="20"/>
          <w:szCs w:val="20"/>
          <w:color w:val="auto"/>
        </w:rPr>
      </w:pPr>
      <w:r>
        <w:rPr>
          <w:rFonts w:ascii="Times New Roman" w:cs="Times New Roman" w:eastAsia="Times New Roman" w:hAnsi="Times New Roman"/>
          <w:sz w:val="21"/>
          <w:szCs w:val="21"/>
          <w:color w:val="auto"/>
        </w:rPr>
        <w:t>Non-GAAP diluted EPS of $2.46 and $7.13, increased $1.11 and $1.51; Adjusted EBITDA of $99 million and $374 million, increased 21% and 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-311785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-123190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Free cash flow of $112 million and $383 million, increased $41 million and $175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“Grid Edge Intelligence platform adoption drove strong financial results in the fourth quarter,” said Tom Deitrich, Itron’s president and CEO. “We achieved numerous financial records, led by Outcomes growth of 23% which is a record level of revenue for that segment. The modern grid cannot operate without real-time intelligence, and Itron is the intelligence layer of the grid.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also announced the acquisition of Urbint and Locusview during the quarter. With these capabilities, Itron will increase our AI enhanced software solutions and recurring revenue through a focus on intelligent, proactive resiliency.”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Fourth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Total fourth quarter revenue of $572 million compared to $613 million in the prior year. The decrease was driven primarily by portfolio optimization and the timing of project deployments.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Device Solutions revenue decreased 3%, or 7% in constant currency, due to lower legacy electricity product sales related to portfolio optimization in EMEA and lower North American project deployments.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Networked Solutions revenue decreased 15%, due to the timing of project deployments.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Outcomes revenue increased 23%, due to increased delivery services and recurring revenue.</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Resiliency Solutions revenue was $3 million which only includes revenue from Urbint since the acquisition closed on November 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Gross Margin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company GAAP gross margin of 40.5% increased 560 basis points from the prior year due to customer and product mix.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Operating Expenses and Operating Income</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GAAP operating expenses of $153 million increased $2 million from the prior year, and Non-GAAP operating expenses of $142 million decreased $1 million from the prior year.</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GAAP operating income of $79 million was $16 million higher than the prior year, and Non-GAAP operating income of $91 million was $20 million higher than the prior year. Both GAAP and Non-GAAP increases were due primarily to higher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 (EPS)</w:t>
      </w:r>
    </w:p>
    <w:p>
      <w:pPr>
        <w:spacing w:after="0" w:line="14"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Net income attributable to Itron, Inc. for the quarter was $102 million, or $2.21 per diluted share, compared with a net income of $58 million, or $1.26 per diluted share in 2024. The increase was driven by higher GAAP operating income and a tax benefit in the fourth quarter of 2025.</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Non-GAAP net income attributable to Itron, Inc., which excludes the expenses associated with amortization of intangible assets, amortization of debt placement fees, restructuring, loss on sale of businesses, strategic initiatives, acquisition and integration, and the tax effect of excluding these expenses, was $113 million, or $2.46 per diluted share, compared with $62 million, or $1.35 per</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diluted share in 2024. The increase was driven by higher non-GAAP operating income and a tax benefit in the fourth quarter of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Net cash provided by operating activities was $119 million in the fourth quarter compared with $80 million in the prior year. Free cash flow was $112 million in the fourth quarter compared with $70 million in the prior year. The increase in free cash flow was primarily due to improved working capital and higher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Total backlog at quarter end was $4.5 billion compared with $4.7 billion in the prior year. Bookings in the quarter totaled $0.7 billion, and bookings for the full year totaled $2.1 billion.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Q1 and Full Year 2026 Current Outlook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quarter 2026 financial outlook:</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$565 and $575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$1.20 and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Full year 2026 financial outlook:</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$2.35 to $2.45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$5.75 to $6.25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Locusview, Ltd. Acquisition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Itron, Inc. announced on November 17, 2025, the signing of a definitive agreement to acquire Locusview, Ltd. and subsidiaries (“Locusview”), a privately held utility-focused software and services company that is based in the United States and Israel. The purchase price for the acquisition was $525 million and was funded through cash on hand. The transaction closed in January of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Itron will host a conference call to discuss the financial results contained in this release at 10 a.m. EST on February 17, 2026. Interested parties may listen to the conference call on a live webcast. The webcast, along with a supplemental presentation, may be accessed from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 xml:space="preserve">. Participants should access the webcast 10 minutes prior to the start of the call. A webcast replay of the conference call will be available through February 25, 2026 and may be accessed on the company's website at </w:t>
      </w:r>
      <w:r>
        <w:rPr>
          <w:rFonts w:ascii="Times New Roman" w:cs="Times New Roman" w:eastAsia="Times New Roman" w:hAnsi="Times New Roman"/>
          <w:sz w:val="22"/>
          <w:szCs w:val="22"/>
          <w:u w:val="single" w:color="auto"/>
          <w:color w:val="auto"/>
        </w:rPr>
        <w:t>http://investors.itron.com/events-presentations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Itron is a proven global leader in energy, water, smart city, IIoT and intelligent infrastructure services. For utilities, cities and society, we build innovative systems, create new efficiencies, connect communities, encourage conservation and increase resourcefulness. By safeguarding our invaluable natural resources today and tomorrow, we improve the quality of life for people around the world. Join us: www.itron.com</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Itron® and the Itron Logo are registered trademarks of Itron, Inc. in the United States and other countries and regions. All third-party trademarks are property of their respective owners, and any usage herein does not suggest or imply any relationship between Itron and the third party unless expressly stated.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w:t>
      </w:r>
    </w:p>
    <w:p>
      <w:pPr>
        <w:sectPr>
          <w:pgSz w:w="11900" w:h="16838" w:orient="portrait"/>
          <w:cols w:equalWidth="0" w:num="1">
            <w:col w:w="11240"/>
          </w:cols>
          <w:pgMar w:left="320" w:top="112" w:right="339" w:bottom="0" w:gutter="0" w:footer="0" w:header="0"/>
        </w:sectPr>
      </w:pPr>
    </w:p>
    <w:bookmarkStart w:id="5" w:name="page6"/>
    <w:bookmarkEnd w:id="5"/>
    <w:p>
      <w:pPr>
        <w:spacing w:after="0" w:line="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2024 and other reports on file with the Securities and Exchange Commission. Itron undertakes no obligation to update or revise any information in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512-560-1172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Means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737-242-8448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Investors@itron.com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https://www.linkedin.com/company/itroninc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X: https://x.com/ItronInc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Newsroom: https://na.itron.com/newsroom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Blog: https://blogs.itron.com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240" w:type="dxa"/>
            <w:vAlign w:val="bottom"/>
          </w:tcPr>
          <w:p>
            <w:pPr>
              <w:spacing w:after="0"/>
              <w:rPr>
                <w:sz w:val="24"/>
                <w:szCs w:val="24"/>
                <w:color w:val="auto"/>
              </w:rPr>
            </w:pPr>
          </w:p>
        </w:tc>
        <w:tc>
          <w:tcPr>
            <w:tcW w:w="256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700" w:type="dxa"/>
            <w:vAlign w:val="bottom"/>
            <w:gridSpan w:val="3"/>
            <w:vMerge w:val="restart"/>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27"/>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vMerge w:val="continue"/>
          </w:tcPr>
          <w:p>
            <w:pPr>
              <w:spacing w:after="0"/>
              <w:rPr>
                <w:sz w:val="19"/>
                <w:szCs w:val="19"/>
                <w:color w:val="auto"/>
              </w:rPr>
            </w:pPr>
          </w:p>
        </w:tc>
        <w:tc>
          <w:tcPr>
            <w:tcW w:w="27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4"/>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2700" w:type="dxa"/>
            <w:vAlign w:val="bottom"/>
            <w:gridSpan w:val="3"/>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7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Revenues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Product revenues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474,328</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532,401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2,008,976</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2,131,379</w:t>
            </w:r>
          </w:p>
        </w:tc>
        <w:tc>
          <w:tcPr>
            <w:tcW w:w="0" w:type="dxa"/>
            <w:vAlign w:val="bottom"/>
          </w:tcPr>
          <w:p>
            <w:pPr>
              <w:spacing w:after="0"/>
              <w:rPr>
                <w:sz w:val="1"/>
                <w:szCs w:val="1"/>
                <w:color w:val="auto"/>
              </w:rPr>
            </w:pPr>
          </w:p>
        </w:tc>
      </w:tr>
      <w:tr>
        <w:trPr>
          <w:trHeight w:val="282"/>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Service revenues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97,329</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80,463</w:t>
            </w:r>
          </w:p>
        </w:tc>
        <w:tc>
          <w:tcPr>
            <w:tcW w:w="10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358,218</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309,458</w:t>
            </w:r>
          </w:p>
        </w:tc>
        <w:tc>
          <w:tcPr>
            <w:tcW w:w="0" w:type="dxa"/>
            <w:vAlign w:val="bottom"/>
          </w:tcPr>
          <w:p>
            <w:pPr>
              <w:spacing w:after="0"/>
              <w:rPr>
                <w:sz w:val="1"/>
                <w:szCs w:val="1"/>
                <w:color w:val="auto"/>
              </w:rPr>
            </w:pPr>
          </w:p>
        </w:tc>
      </w:tr>
      <w:tr>
        <w:trPr>
          <w:trHeight w:val="265"/>
        </w:trPr>
        <w:tc>
          <w:tcPr>
            <w:tcW w:w="5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Total revenues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571,657</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612,864</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2,367,194</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2,440,837</w:t>
            </w:r>
          </w:p>
        </w:tc>
        <w:tc>
          <w:tcPr>
            <w:tcW w:w="0" w:type="dxa"/>
            <w:vAlign w:val="bottom"/>
          </w:tcPr>
          <w:p>
            <w:pPr>
              <w:spacing w:after="0"/>
              <w:rPr>
                <w:sz w:val="1"/>
                <w:szCs w:val="1"/>
                <w:color w:val="auto"/>
              </w:rPr>
            </w:pPr>
          </w:p>
        </w:tc>
      </w:tr>
      <w:tr>
        <w:trPr>
          <w:trHeight w:val="250"/>
        </w:trPr>
        <w:tc>
          <w:tcPr>
            <w:tcW w:w="57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Cost of revenues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Product cost of revenues</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289,255</w:t>
            </w:r>
          </w:p>
        </w:tc>
        <w:tc>
          <w:tcPr>
            <w:tcW w:w="3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353,909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1,292,329</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1,429,942</w:t>
            </w:r>
          </w:p>
        </w:tc>
        <w:tc>
          <w:tcPr>
            <w:tcW w:w="0" w:type="dxa"/>
            <w:vAlign w:val="bottom"/>
          </w:tcPr>
          <w:p>
            <w:pPr>
              <w:spacing w:after="0"/>
              <w:rPr>
                <w:sz w:val="1"/>
                <w:szCs w:val="1"/>
                <w:color w:val="auto"/>
              </w:rPr>
            </w:pPr>
          </w:p>
        </w:tc>
      </w:tr>
      <w:tr>
        <w:trPr>
          <w:trHeight w:val="282"/>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Service cost of revenues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50,666</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45,075</w:t>
            </w:r>
          </w:p>
        </w:tc>
        <w:tc>
          <w:tcPr>
            <w:tcW w:w="10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182,747</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171,578</w:t>
            </w:r>
          </w:p>
        </w:tc>
        <w:tc>
          <w:tcPr>
            <w:tcW w:w="0" w:type="dxa"/>
            <w:vAlign w:val="bottom"/>
          </w:tcPr>
          <w:p>
            <w:pPr>
              <w:spacing w:after="0"/>
              <w:rPr>
                <w:sz w:val="1"/>
                <w:szCs w:val="1"/>
                <w:color w:val="auto"/>
              </w:rPr>
            </w:pPr>
          </w:p>
        </w:tc>
      </w:tr>
      <w:tr>
        <w:trPr>
          <w:trHeight w:val="265"/>
        </w:trPr>
        <w:tc>
          <w:tcPr>
            <w:tcW w:w="5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Total cost of revenues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339,921</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398,984</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1,475,076</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1,601,520</w:t>
            </w:r>
          </w:p>
        </w:tc>
        <w:tc>
          <w:tcPr>
            <w:tcW w:w="0" w:type="dxa"/>
            <w:vAlign w:val="bottom"/>
          </w:tcPr>
          <w:p>
            <w:pPr>
              <w:spacing w:after="0"/>
              <w:rPr>
                <w:sz w:val="1"/>
                <w:szCs w:val="1"/>
                <w:color w:val="auto"/>
              </w:rPr>
            </w:pPr>
          </w:p>
        </w:tc>
      </w:tr>
      <w:tr>
        <w:trPr>
          <w:trHeight w:val="532"/>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231,736</w:t>
            </w:r>
          </w:p>
        </w:tc>
        <w:tc>
          <w:tcPr>
            <w:tcW w:w="3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213,880</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892,118</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839,317</w:t>
            </w:r>
          </w:p>
        </w:tc>
        <w:tc>
          <w:tcPr>
            <w:tcW w:w="0" w:type="dxa"/>
            <w:vAlign w:val="bottom"/>
          </w:tcPr>
          <w:p>
            <w:pPr>
              <w:spacing w:after="0"/>
              <w:rPr>
                <w:sz w:val="1"/>
                <w:szCs w:val="1"/>
                <w:color w:val="auto"/>
              </w:rPr>
            </w:pPr>
          </w:p>
        </w:tc>
      </w:tr>
    </w:tbl>
    <w:p>
      <w:pPr>
        <w:sectPr>
          <w:pgSz w:w="11900" w:h="16889" w:orient="portrait"/>
          <w:cols w:equalWidth="0" w:num="1">
            <w:col w:w="11240"/>
          </w:cols>
          <w:pgMar w:left="320" w:top="111"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Sales, general and administrative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95,300</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85,046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352,965</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339,069</w:t>
            </w: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Research and development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53,109</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58,343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207,041</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215,034</w:t>
            </w: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4,609</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18,034</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17,828</w:t>
            </w: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2,679</w:t>
            </w:r>
          </w:p>
        </w:tc>
      </w:tr>
      <w:tr>
        <w:trPr>
          <w:trHeight w:val="282"/>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597</w:t>
            </w:r>
          </w:p>
        </w:tc>
      </w:tr>
      <w:tr>
        <w:trPr>
          <w:trHeight w:val="265"/>
        </w:trPr>
        <w:tc>
          <w:tcPr>
            <w:tcW w:w="5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153,077</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151,150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579,050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575,207</w:t>
            </w:r>
          </w:p>
        </w:tc>
      </w:tr>
      <w:tr>
        <w:trPr>
          <w:trHeight w:val="520"/>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78,659</w:t>
            </w: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62,730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313,068</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264,110</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10,794</w:t>
            </w: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48,376</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34,577</w:t>
            </w:r>
          </w:p>
        </w:tc>
      </w:tr>
      <w:tr>
        <w:trPr>
          <w:trHeight w:val="270"/>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(5,563)</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(22,451)</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(15,379)</w:t>
            </w:r>
          </w:p>
        </w:tc>
      </w:tr>
      <w:tr>
        <w:trPr>
          <w:trHeight w:val="282"/>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income (expense), net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528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3,274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1,223</w:t>
            </w:r>
          </w:p>
        </w:tc>
      </w:tr>
      <w:tr>
        <w:trPr>
          <w:trHeight w:val="265"/>
        </w:trPr>
        <w:tc>
          <w:tcPr>
            <w:tcW w:w="5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Total other income (expense)</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7,146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7,120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29,199</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20,421</w:t>
            </w:r>
          </w:p>
        </w:tc>
      </w:tr>
      <w:tr>
        <w:trPr>
          <w:trHeight w:val="520"/>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85,805</w:t>
            </w: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69,850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342,267</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284,531</w:t>
            </w:r>
          </w:p>
        </w:tc>
      </w:tr>
      <w:tr>
        <w:trPr>
          <w:trHeight w:val="282"/>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 (provision)</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17,205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(11,283)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(38,932)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(43,407)</w:t>
            </w:r>
          </w:p>
        </w:tc>
      </w:tr>
      <w:tr>
        <w:trPr>
          <w:trHeight w:val="251"/>
        </w:trPr>
        <w:tc>
          <w:tcPr>
            <w:tcW w:w="57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103,010</w:t>
            </w:r>
          </w:p>
        </w:tc>
        <w:tc>
          <w:tcPr>
            <w:tcW w:w="340" w:type="dxa"/>
            <w:vAlign w:val="bottom"/>
          </w:tcPr>
          <w:p>
            <w:pPr>
              <w:spacing w:after="0"/>
              <w:rPr>
                <w:sz w:val="21"/>
                <w:szCs w:val="21"/>
                <w:color w:val="auto"/>
              </w:rPr>
            </w:pPr>
          </w:p>
        </w:tc>
        <w:tc>
          <w:tcPr>
            <w:tcW w:w="10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58,567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303,335</w:t>
            </w:r>
          </w:p>
        </w:tc>
        <w:tc>
          <w:tcPr>
            <w:tcW w:w="34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241,124</w:t>
            </w:r>
          </w:p>
        </w:tc>
      </w:tr>
      <w:tr>
        <w:trPr>
          <w:trHeight w:val="283"/>
        </w:trPr>
        <w:tc>
          <w:tcPr>
            <w:tcW w:w="5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460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2,019</w:t>
            </w:r>
          </w:p>
        </w:tc>
      </w:tr>
      <w:tr>
        <w:trPr>
          <w:trHeight w:val="264"/>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Itron, Inc.</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101,628</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58,107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301,055</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239,105</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3"/>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Basic</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2.25</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6.62</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5.27</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4"/>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common share - Diluted</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5.18</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0"/>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Basic</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45,248</w:t>
            </w: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45,100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45,492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45,368</w:t>
            </w:r>
          </w:p>
        </w:tc>
      </w:tr>
      <w:tr>
        <w:trPr>
          <w:trHeight w:val="282"/>
        </w:trPr>
        <w:tc>
          <w:tcPr>
            <w:tcW w:w="57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Diluted</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46,080</w:t>
            </w: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46,036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46,323</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46,187</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SEGMENT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280" w:type="dxa"/>
            <w:vAlign w:val="bottom"/>
          </w:tcPr>
          <w:p>
            <w:pPr>
              <w:spacing w:after="0"/>
              <w:rPr>
                <w:sz w:val="24"/>
                <w:szCs w:val="24"/>
                <w:color w:val="auto"/>
              </w:rPr>
            </w:pPr>
          </w:p>
        </w:tc>
        <w:tc>
          <w:tcPr>
            <w:tcW w:w="26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40" w:type="dxa"/>
            <w:vAlign w:val="bottom"/>
          </w:tcPr>
          <w:p>
            <w:pPr>
              <w:spacing w:after="0"/>
              <w:rPr>
                <w:sz w:val="24"/>
                <w:szCs w:val="24"/>
                <w:color w:val="auto"/>
              </w:rPr>
            </w:pPr>
          </w:p>
        </w:tc>
        <w:tc>
          <w:tcPr>
            <w:tcW w:w="262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27"/>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4"/>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240" w:type="dxa"/>
            <w:vAlign w:val="bottom"/>
          </w:tcPr>
          <w:p>
            <w:pPr>
              <w:spacing w:after="0"/>
              <w:rPr>
                <w:sz w:val="24"/>
                <w:szCs w:val="24"/>
                <w:color w:val="auto"/>
              </w:rPr>
            </w:pPr>
          </w:p>
        </w:tc>
        <w:tc>
          <w:tcPr>
            <w:tcW w:w="262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64"/>
        </w:trPr>
        <w:tc>
          <w:tcPr>
            <w:tcW w:w="5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Product revenues</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4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Device Solutions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104,175</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107,373</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444,598</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473,329</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Networked Solutions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322,862</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387,421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1,442,243</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1,546,278</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Outcomes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47,291</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37,607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122,135</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111,772</w:t>
            </w:r>
          </w:p>
        </w:tc>
        <w:tc>
          <w:tcPr>
            <w:tcW w:w="0" w:type="dxa"/>
            <w:vAlign w:val="bottom"/>
          </w:tcPr>
          <w:p>
            <w:pPr>
              <w:spacing w:after="0"/>
              <w:rPr>
                <w:sz w:val="1"/>
                <w:szCs w:val="1"/>
                <w:color w:val="auto"/>
              </w:rPr>
            </w:pPr>
          </w:p>
        </w:tc>
      </w:tr>
      <w:tr>
        <w:trPr>
          <w:trHeight w:val="283"/>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Resiliency Solutions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5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Company</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474,328</w:t>
            </w:r>
          </w:p>
        </w:tc>
        <w:tc>
          <w:tcPr>
            <w:tcW w:w="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532,401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2,008,976</w:t>
            </w:r>
          </w:p>
        </w:tc>
        <w:tc>
          <w:tcPr>
            <w:tcW w:w="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2,131,379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Service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Device Solutions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653</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1,164</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2,483</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3,248</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Networked Solutions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29,091</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25,721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115,078</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103,797</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Outcomes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64,536</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53,578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237,608</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202,413</w:t>
            </w:r>
          </w:p>
        </w:tc>
        <w:tc>
          <w:tcPr>
            <w:tcW w:w="0" w:type="dxa"/>
            <w:vAlign w:val="bottom"/>
          </w:tcPr>
          <w:p>
            <w:pPr>
              <w:spacing w:after="0"/>
              <w:rPr>
                <w:sz w:val="1"/>
                <w:szCs w:val="1"/>
                <w:color w:val="auto"/>
              </w:rPr>
            </w:pPr>
          </w:p>
        </w:tc>
      </w:tr>
      <w:tr>
        <w:trPr>
          <w:trHeight w:val="283"/>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Resiliency Solutions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3,049</w:t>
            </w:r>
          </w:p>
        </w:tc>
        <w:tc>
          <w:tcPr>
            <w:tcW w:w="38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3,049</w:t>
            </w:r>
          </w:p>
        </w:tc>
        <w:tc>
          <w:tcPr>
            <w:tcW w:w="34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5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Company</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97,329</w:t>
            </w:r>
          </w:p>
        </w:tc>
        <w:tc>
          <w:tcPr>
            <w:tcW w:w="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80,463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358,218</w:t>
            </w:r>
          </w:p>
        </w:tc>
        <w:tc>
          <w:tcPr>
            <w:tcW w:w="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309,458</w:t>
            </w: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Device Solutions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104,828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108,537</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447,081</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476,577</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Networked Solutions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351,953</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413,142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1,557,321</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1,650,075</w:t>
            </w:r>
          </w:p>
        </w:tc>
        <w:tc>
          <w:tcPr>
            <w:tcW w:w="0" w:type="dxa"/>
            <w:vAlign w:val="bottom"/>
          </w:tcPr>
          <w:p>
            <w:pPr>
              <w:spacing w:after="0"/>
              <w:rPr>
                <w:sz w:val="1"/>
                <w:szCs w:val="1"/>
                <w:color w:val="auto"/>
              </w:rPr>
            </w:pPr>
          </w:p>
        </w:tc>
      </w:tr>
      <w:tr>
        <w:trPr>
          <w:trHeight w:val="270"/>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Outcomes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111,827</w:t>
            </w:r>
          </w:p>
        </w:tc>
        <w:tc>
          <w:tcPr>
            <w:tcW w:w="3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91,185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359,743</w:t>
            </w:r>
          </w:p>
        </w:tc>
        <w:tc>
          <w:tcPr>
            <w:tcW w:w="34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314,185</w:t>
            </w:r>
          </w:p>
        </w:tc>
        <w:tc>
          <w:tcPr>
            <w:tcW w:w="0" w:type="dxa"/>
            <w:vAlign w:val="bottom"/>
          </w:tcPr>
          <w:p>
            <w:pPr>
              <w:spacing w:after="0"/>
              <w:rPr>
                <w:sz w:val="1"/>
                <w:szCs w:val="1"/>
                <w:color w:val="auto"/>
              </w:rPr>
            </w:pPr>
          </w:p>
        </w:tc>
      </w:tr>
      <w:tr>
        <w:trPr>
          <w:trHeight w:val="283"/>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Resiliency Solutions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3,049</w:t>
            </w:r>
          </w:p>
        </w:tc>
        <w:tc>
          <w:tcPr>
            <w:tcW w:w="38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3,049</w:t>
            </w:r>
          </w:p>
        </w:tc>
        <w:tc>
          <w:tcPr>
            <w:tcW w:w="34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5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Company</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571,657</w:t>
            </w:r>
          </w:p>
        </w:tc>
        <w:tc>
          <w:tcPr>
            <w:tcW w:w="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612,864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2,367,194</w:t>
            </w:r>
          </w:p>
        </w:tc>
        <w:tc>
          <w:tcPr>
            <w:tcW w:w="3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2,440,837</w:t>
            </w: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gross profit</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Device Solutions</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36,048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28,827</w:t>
            </w:r>
          </w:p>
        </w:tc>
        <w:tc>
          <w:tcPr>
            <w:tcW w:w="12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139,399</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123,464</w:t>
            </w:r>
          </w:p>
        </w:tc>
        <w:tc>
          <w:tcPr>
            <w:tcW w:w="0" w:type="dxa"/>
            <w:vAlign w:val="bottom"/>
          </w:tcPr>
          <w:p>
            <w:pPr>
              <w:spacing w:after="0"/>
              <w:rPr>
                <w:sz w:val="1"/>
                <w:szCs w:val="1"/>
                <w:color w:val="auto"/>
              </w:rPr>
            </w:pPr>
          </w:p>
        </w:tc>
      </w:tr>
    </w:tbl>
    <w:p>
      <w:pPr>
        <w:sectPr>
          <w:pgSz w:w="11900" w:h="16838" w:orient="portrait"/>
          <w:cols w:equalWidth="0" w:num="1">
            <w:col w:w="11220"/>
          </w:cols>
          <w:pgMar w:left="340" w:top="382" w:right="339" w:bottom="0" w:gutter="0" w:footer="0" w:header="0"/>
        </w:sectPr>
      </w:pPr>
    </w:p>
    <w:bookmarkStart w:id="7" w:name="page8"/>
    <w:bookmarkEnd w:id="7"/>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Networked Solutions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147,858</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144,950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5"/>
              </w:rPr>
              <w:t>608,576</w:t>
            </w: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597,780</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Outcomes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46,591</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5"/>
              </w:rPr>
              <w:t>142,904</w:t>
            </w: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118,073</w:t>
            </w:r>
          </w:p>
        </w:tc>
        <w:tc>
          <w:tcPr>
            <w:tcW w:w="0" w:type="dxa"/>
            <w:vAlign w:val="bottom"/>
          </w:tcPr>
          <w:p>
            <w:pPr>
              <w:spacing w:after="0"/>
              <w:rPr>
                <w:sz w:val="1"/>
                <w:szCs w:val="1"/>
                <w:color w:val="auto"/>
              </w:rPr>
            </w:pPr>
          </w:p>
        </w:tc>
      </w:tr>
      <w:tr>
        <w:trPr>
          <w:trHeight w:val="282"/>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Resiliency Solutions</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2,317</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2,317</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Company</w:t>
            </w:r>
          </w:p>
        </w:tc>
        <w:tc>
          <w:tcPr>
            <w:tcW w:w="54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232,814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213,880</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5"/>
              </w:rPr>
              <w:t>893,196</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839,317</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segment operating income</w:t>
            </w: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Device Solutions</w:t>
            </w:r>
          </w:p>
        </w:tc>
        <w:tc>
          <w:tcPr>
            <w:tcW w:w="86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27,917</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21,609</w:t>
            </w:r>
          </w:p>
        </w:tc>
        <w:tc>
          <w:tcPr>
            <w:tcW w:w="780" w:type="dxa"/>
            <w:vAlign w:val="bottom"/>
            <w:gridSpan w:val="3"/>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5"/>
              </w:rPr>
              <w:t>108,717</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93,522</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Networked Solutions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113,412</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107,309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5"/>
              </w:rPr>
              <w:t>472,400</w:t>
            </w: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456,662</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Outcomes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30,169</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20,802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76,992</w:t>
            </w: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51,730</w:t>
            </w:r>
          </w:p>
        </w:tc>
        <w:tc>
          <w:tcPr>
            <w:tcW w:w="0" w:type="dxa"/>
            <w:vAlign w:val="bottom"/>
          </w:tcPr>
          <w:p>
            <w:pPr>
              <w:spacing w:after="0"/>
              <w:rPr>
                <w:sz w:val="1"/>
                <w:szCs w:val="1"/>
                <w:color w:val="auto"/>
              </w:rPr>
            </w:pPr>
          </w:p>
        </w:tc>
      </w:tr>
      <w:tr>
        <w:trPr>
          <w:trHeight w:val="282"/>
        </w:trPr>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Resiliency Solutions</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(109)</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48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Company</w:t>
            </w:r>
          </w:p>
        </w:tc>
        <w:tc>
          <w:tcPr>
            <w:tcW w:w="54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171,389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149,720</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5"/>
              </w:rPr>
              <w:t>658,000</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601,914</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Gross Margin</w:t>
            </w: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40.5%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0" w:type="dxa"/>
            <w:vAlign w:val="bottom"/>
          </w:tcPr>
          <w:p>
            <w:pPr>
              <w:spacing w:after="0"/>
              <w:rPr>
                <w:sz w:val="1"/>
                <w:szCs w:val="1"/>
                <w:color w:val="auto"/>
              </w:rPr>
            </w:pPr>
          </w:p>
        </w:tc>
      </w:tr>
      <w:tr>
        <w:trPr>
          <w:trHeight w:val="929"/>
        </w:trPr>
        <w:tc>
          <w:tcPr>
            <w:tcW w:w="4860" w:type="dxa"/>
            <w:vAlign w:val="bottom"/>
          </w:tcPr>
          <w:p>
            <w:pPr>
              <w:spacing w:after="0"/>
              <w:rPr>
                <w:sz w:val="24"/>
                <w:szCs w:val="24"/>
                <w:color w:val="auto"/>
              </w:rPr>
            </w:pPr>
          </w:p>
        </w:tc>
        <w:tc>
          <w:tcPr>
            <w:tcW w:w="1880" w:type="dxa"/>
            <w:vAlign w:val="bottom"/>
            <w:gridSpan w:val="3"/>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ITRON, INC.</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00" w:type="dxa"/>
            <w:vAlign w:val="bottom"/>
            <w:gridSpan w:val="6"/>
          </w:tcPr>
          <w:p>
            <w:pPr>
              <w:ind w:left="3740"/>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8"/>
              </w:rPr>
              <w:t>December 31, 2025</w:t>
            </w:r>
          </w:p>
        </w:tc>
        <w:tc>
          <w:tcPr>
            <w:tcW w:w="2340" w:type="dxa"/>
            <w:vAlign w:val="bottom"/>
            <w:gridSpan w:val="3"/>
            <w:vMerge w:val="restart"/>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December 31, 2024</w:t>
            </w:r>
          </w:p>
        </w:tc>
        <w:tc>
          <w:tcPr>
            <w:tcW w:w="0" w:type="dxa"/>
            <w:vAlign w:val="bottom"/>
          </w:tcPr>
          <w:p>
            <w:pPr>
              <w:spacing w:after="0"/>
              <w:rPr>
                <w:sz w:val="1"/>
                <w:szCs w:val="1"/>
                <w:color w:val="auto"/>
              </w:rPr>
            </w:pPr>
          </w:p>
        </w:tc>
      </w:tr>
      <w:tr>
        <w:trPr>
          <w:trHeight w:val="271"/>
        </w:trPr>
        <w:tc>
          <w:tcPr>
            <w:tcW w:w="4860" w:type="dxa"/>
            <w:vAlign w:val="bottom"/>
            <w:vMerge w:val="restart"/>
          </w:tcPr>
          <w:p>
            <w:pPr>
              <w:ind w:left="296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vMerge w:val="continue"/>
          </w:tcPr>
          <w:p>
            <w:pPr>
              <w:spacing w:after="0"/>
              <w:rPr>
                <w:sz w:val="23"/>
                <w:szCs w:val="23"/>
                <w:color w:val="auto"/>
              </w:rPr>
            </w:pPr>
          </w:p>
        </w:tc>
        <w:tc>
          <w:tcPr>
            <w:tcW w:w="2340" w:type="dxa"/>
            <w:vAlign w:val="bottom"/>
            <w:tcBorders>
              <w:bottom w:val="single" w:sz="8" w:color="auto"/>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1,020,397</w:t>
            </w:r>
          </w:p>
        </w:tc>
        <w:tc>
          <w:tcPr>
            <w:tcW w:w="90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1,051,237</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Accounts receivable,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367,794</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350,473</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Inventories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242,886</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270,725</w:t>
            </w:r>
          </w:p>
        </w:tc>
        <w:tc>
          <w:tcPr>
            <w:tcW w:w="0" w:type="dxa"/>
            <w:vAlign w:val="bottom"/>
          </w:tcPr>
          <w:p>
            <w:pPr>
              <w:spacing w:after="0"/>
              <w:rPr>
                <w:sz w:val="1"/>
                <w:szCs w:val="1"/>
                <w:color w:val="auto"/>
              </w:rPr>
            </w:pPr>
          </w:p>
        </w:tc>
      </w:tr>
      <w:tr>
        <w:trPr>
          <w:trHeight w:val="282"/>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current assets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191,241</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143,457</w:t>
            </w:r>
          </w:p>
        </w:tc>
        <w:tc>
          <w:tcPr>
            <w:tcW w:w="0" w:type="dxa"/>
            <w:vAlign w:val="bottom"/>
          </w:tcPr>
          <w:p>
            <w:pPr>
              <w:spacing w:after="0"/>
              <w:rPr>
                <w:sz w:val="1"/>
                <w:szCs w:val="1"/>
                <w:color w:val="auto"/>
              </w:rPr>
            </w:pPr>
          </w:p>
        </w:tc>
      </w:tr>
      <w:tr>
        <w:trPr>
          <w:trHeight w:val="277"/>
        </w:trPr>
        <w:tc>
          <w:tcPr>
            <w:tcW w:w="48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Total current assets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1,822,318</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1,815,892</w:t>
            </w:r>
          </w:p>
        </w:tc>
        <w:tc>
          <w:tcPr>
            <w:tcW w:w="0" w:type="dxa"/>
            <w:vAlign w:val="bottom"/>
          </w:tcPr>
          <w:p>
            <w:pPr>
              <w:spacing w:after="0"/>
              <w:rPr>
                <w:sz w:val="1"/>
                <w:szCs w:val="1"/>
                <w:color w:val="auto"/>
              </w:rPr>
            </w:pPr>
          </w:p>
        </w:tc>
      </w:tr>
      <w:tr>
        <w:trPr>
          <w:trHeight w:val="514"/>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112,193</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115,428</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265,183</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310,280</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assets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63,352</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41,827</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29,341</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28,957</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83,337</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43,109</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1,344,983</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1,052,130</w:t>
            </w:r>
          </w:p>
        </w:tc>
        <w:tc>
          <w:tcPr>
            <w:tcW w:w="0" w:type="dxa"/>
            <w:vAlign w:val="bottom"/>
          </w:tcPr>
          <w:p>
            <w:pPr>
              <w:spacing w:after="0"/>
              <w:rPr>
                <w:sz w:val="1"/>
                <w:szCs w:val="1"/>
                <w:color w:val="auto"/>
              </w:rPr>
            </w:pPr>
          </w:p>
        </w:tc>
      </w:tr>
      <w:tr>
        <w:trPr>
          <w:trHeight w:val="264"/>
        </w:trPr>
        <w:tc>
          <w:tcPr>
            <w:tcW w:w="48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Total assets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3,720,707</w:t>
            </w:r>
          </w:p>
        </w:tc>
        <w:tc>
          <w:tcPr>
            <w:tcW w:w="9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3,407,623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98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Accounts payable</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156,288</w:t>
            </w:r>
          </w:p>
        </w:tc>
        <w:tc>
          <w:tcPr>
            <w:tcW w:w="90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144,929</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58,864</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61,241</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122,245</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137,384</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Taxes payable</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16,618</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19,689</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Current portion of debt,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459,522</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Current portion of warranty</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10,868</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14,302</w:t>
            </w:r>
          </w:p>
        </w:tc>
        <w:tc>
          <w:tcPr>
            <w:tcW w:w="0" w:type="dxa"/>
            <w:vAlign w:val="bottom"/>
          </w:tcPr>
          <w:p>
            <w:pPr>
              <w:spacing w:after="0"/>
              <w:rPr>
                <w:sz w:val="1"/>
                <w:szCs w:val="1"/>
                <w:color w:val="auto"/>
              </w:rPr>
            </w:pPr>
          </w:p>
        </w:tc>
      </w:tr>
      <w:tr>
        <w:trPr>
          <w:trHeight w:val="282"/>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Unearned revenue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187,822</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150,720</w:t>
            </w:r>
          </w:p>
        </w:tc>
        <w:tc>
          <w:tcPr>
            <w:tcW w:w="0" w:type="dxa"/>
            <w:vAlign w:val="bottom"/>
          </w:tcPr>
          <w:p>
            <w:pPr>
              <w:spacing w:after="0"/>
              <w:rPr>
                <w:sz w:val="1"/>
                <w:szCs w:val="1"/>
                <w:color w:val="auto"/>
              </w:rPr>
            </w:pPr>
          </w:p>
        </w:tc>
      </w:tr>
      <w:tr>
        <w:trPr>
          <w:trHeight w:val="277"/>
        </w:trPr>
        <w:tc>
          <w:tcPr>
            <w:tcW w:w="48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1,012,227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528,265</w:t>
            </w:r>
          </w:p>
        </w:tc>
        <w:tc>
          <w:tcPr>
            <w:tcW w:w="0" w:type="dxa"/>
            <w:vAlign w:val="bottom"/>
          </w:tcPr>
          <w:p>
            <w:pPr>
              <w:spacing w:after="0"/>
              <w:rPr>
                <w:sz w:val="1"/>
                <w:szCs w:val="1"/>
                <w:color w:val="auto"/>
              </w:rPr>
            </w:pPr>
          </w:p>
        </w:tc>
      </w:tr>
      <w:tr>
        <w:trPr>
          <w:trHeight w:val="514"/>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Long-term debt, net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788,805</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1,242,424</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Long-term warranty</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7,350</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7,839</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Pension benefit obligation</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61,998</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59,537</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623</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19,623</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25,350</w:t>
            </w:r>
          </w:p>
        </w:tc>
        <w:tc>
          <w:tcPr>
            <w:tcW w:w="0" w:type="dxa"/>
            <w:vAlign w:val="bottom"/>
          </w:tcPr>
          <w:p>
            <w:pPr>
              <w:spacing w:after="0"/>
              <w:rPr>
                <w:sz w:val="1"/>
                <w:szCs w:val="1"/>
                <w:color w:val="auto"/>
              </w:rPr>
            </w:pPr>
          </w:p>
        </w:tc>
      </w:tr>
      <w:tr>
        <w:trPr>
          <w:trHeight w:val="282"/>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obligations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91,885</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132,215</w:t>
            </w:r>
          </w:p>
        </w:tc>
        <w:tc>
          <w:tcPr>
            <w:tcW w:w="0" w:type="dxa"/>
            <w:vAlign w:val="bottom"/>
          </w:tcPr>
          <w:p>
            <w:pPr>
              <w:spacing w:after="0"/>
              <w:rPr>
                <w:sz w:val="1"/>
                <w:szCs w:val="1"/>
                <w:color w:val="auto"/>
              </w:rPr>
            </w:pPr>
          </w:p>
        </w:tc>
      </w:tr>
      <w:tr>
        <w:trPr>
          <w:trHeight w:val="277"/>
        </w:trPr>
        <w:tc>
          <w:tcPr>
            <w:tcW w:w="48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Total liabilities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1,982,511</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1,996,195</w:t>
            </w:r>
          </w:p>
        </w:tc>
        <w:tc>
          <w:tcPr>
            <w:tcW w:w="0" w:type="dxa"/>
            <w:vAlign w:val="bottom"/>
          </w:tcPr>
          <w:p>
            <w:pPr>
              <w:spacing w:after="0"/>
              <w:rPr>
                <w:sz w:val="1"/>
                <w:szCs w:val="1"/>
                <w:color w:val="auto"/>
              </w:rPr>
            </w:pPr>
          </w:p>
        </w:tc>
      </w:tr>
      <w:tr>
        <w:trPr>
          <w:trHeight w:val="514"/>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1,661,350</w:t>
            </w: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1,689,835</w:t>
            </w:r>
          </w:p>
        </w:tc>
        <w:tc>
          <w:tcPr>
            <w:tcW w:w="0" w:type="dxa"/>
            <w:vAlign w:val="bottom"/>
          </w:tcPr>
          <w:p>
            <w:pPr>
              <w:spacing w:after="0"/>
              <w:rPr>
                <w:sz w:val="1"/>
                <w:szCs w:val="1"/>
                <w:color w:val="auto"/>
              </w:rPr>
            </w:pPr>
          </w:p>
        </w:tc>
      </w:tr>
      <w:tr>
        <w:trPr>
          <w:trHeight w:val="270"/>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Accumulated other comprehensive loss, net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gridSpan w:val="4"/>
          </w:tcPr>
          <w:p>
            <w:pPr>
              <w:jc w:val="right"/>
              <w:ind w:right="732"/>
              <w:spacing w:after="0"/>
              <w:rPr>
                <w:sz w:val="20"/>
                <w:szCs w:val="20"/>
                <w:color w:val="auto"/>
              </w:rPr>
            </w:pPr>
            <w:r>
              <w:rPr>
                <w:rFonts w:ascii="Times New Roman" w:cs="Times New Roman" w:eastAsia="Times New Roman" w:hAnsi="Times New Roman"/>
                <w:sz w:val="22"/>
                <w:szCs w:val="22"/>
                <w:color w:val="auto"/>
              </w:rPr>
              <w:t>(56,505)</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(109,931)</w:t>
            </w:r>
          </w:p>
        </w:tc>
        <w:tc>
          <w:tcPr>
            <w:tcW w:w="0" w:type="dxa"/>
            <w:vAlign w:val="bottom"/>
          </w:tcPr>
          <w:p>
            <w:pPr>
              <w:spacing w:after="0"/>
              <w:rPr>
                <w:sz w:val="1"/>
                <w:szCs w:val="1"/>
                <w:color w:val="auto"/>
              </w:rPr>
            </w:pPr>
          </w:p>
        </w:tc>
      </w:tr>
      <w:tr>
        <w:trPr>
          <w:trHeight w:val="282"/>
        </w:trPr>
        <w:tc>
          <w:tcPr>
            <w:tcW w:w="4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Retained earnings (accumulated deficit)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111,751</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(189,304)</w:t>
            </w:r>
          </w:p>
        </w:tc>
        <w:tc>
          <w:tcPr>
            <w:tcW w:w="0" w:type="dxa"/>
            <w:vAlign w:val="bottom"/>
          </w:tcPr>
          <w:p>
            <w:pPr>
              <w:spacing w:after="0"/>
              <w:rPr>
                <w:sz w:val="1"/>
                <w:szCs w:val="1"/>
                <w:color w:val="auto"/>
              </w:rPr>
            </w:pPr>
          </w:p>
        </w:tc>
      </w:tr>
      <w:tr>
        <w:trPr>
          <w:trHeight w:val="277"/>
        </w:trPr>
        <w:tc>
          <w:tcPr>
            <w:tcW w:w="48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Total Itron, Inc. shareholders’ equity</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1,716,596</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1,390,600</w:t>
            </w:r>
          </w:p>
        </w:tc>
        <w:tc>
          <w:tcPr>
            <w:tcW w:w="0" w:type="dxa"/>
            <w:vAlign w:val="bottom"/>
          </w:tcPr>
          <w:p>
            <w:pPr>
              <w:spacing w:after="0"/>
              <w:rPr>
                <w:sz w:val="1"/>
                <w:szCs w:val="1"/>
                <w:color w:val="auto"/>
              </w:rPr>
            </w:pPr>
          </w:p>
        </w:tc>
      </w:tr>
    </w:tbl>
    <w:p>
      <w:pPr>
        <w:sectPr>
          <w:pgSz w:w="11900" w:h="16944" w:orient="portrait"/>
          <w:cols w:equalWidth="0" w:num="1">
            <w:col w:w="11220"/>
          </w:cols>
          <w:pgMar w:left="340" w:top="111" w:right="339" w:bottom="0" w:gutter="0" w:footer="0" w:header="0"/>
        </w:sectPr>
      </w:pPr>
    </w:p>
    <w:bookmarkStart w:id="8" w:name="page9"/>
    <w:bookmarkEnd w:id="8"/>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82"/>
        </w:trPr>
        <w:tc>
          <w:tcPr>
            <w:tcW w:w="6500" w:type="dxa"/>
            <w:vAlign w:val="bottom"/>
          </w:tcPr>
          <w:p>
            <w:pPr>
              <w:spacing w:after="0"/>
              <w:rPr>
                <w:sz w:val="20"/>
                <w:szCs w:val="20"/>
                <w:color w:val="auto"/>
              </w:rPr>
            </w:pPr>
            <w:r>
              <w:rPr>
                <w:rFonts w:ascii="Times New Roman" w:cs="Times New Roman" w:eastAsia="Times New Roman" w:hAnsi="Times New Roman"/>
                <w:sz w:val="22"/>
                <w:szCs w:val="22"/>
                <w:color w:val="auto"/>
              </w:rPr>
              <w:t>Noncontrolling interests</w:t>
            </w: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21,600</w:t>
            </w: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20,828</w:t>
            </w:r>
          </w:p>
        </w:tc>
      </w:tr>
      <w:tr>
        <w:trPr>
          <w:trHeight w:val="265"/>
        </w:trPr>
        <w:tc>
          <w:tcPr>
            <w:tcW w:w="6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Total equity</w:t>
            </w:r>
          </w:p>
        </w:tc>
        <w:tc>
          <w:tcPr>
            <w:tcW w:w="7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1,738,196</w:t>
            </w:r>
          </w:p>
        </w:tc>
        <w:tc>
          <w:tcPr>
            <w:tcW w:w="7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1,411,428</w:t>
            </w:r>
          </w:p>
        </w:tc>
      </w:tr>
      <w:tr>
        <w:trPr>
          <w:trHeight w:val="263"/>
        </w:trPr>
        <w:tc>
          <w:tcPr>
            <w:tcW w:w="6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7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3,720,707</w:t>
            </w:r>
          </w:p>
        </w:tc>
        <w:tc>
          <w:tcPr>
            <w:tcW w:w="7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3,407,623</w:t>
            </w:r>
          </w:p>
        </w:tc>
      </w:tr>
      <w:tr>
        <w:trPr>
          <w:trHeight w:val="21"/>
        </w:trPr>
        <w:tc>
          <w:tcPr>
            <w:tcW w:w="6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ectPr>
          <w:pgSz w:w="11900" w:h="16838" w:orient="portrait"/>
          <w:cols w:equalWidth="0" w:num="1">
            <w:col w:w="11220"/>
          </w:cols>
          <w:pgMar w:left="340" w:top="139" w:right="339" w:bottom="48"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 thousands)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activities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Net income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Adjustments to reconcile net income to net cash provided by operating activities:</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Depreciation and amortization of intangible assets</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Non-cash operating lease expense</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Stock-based compensation</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Amortization of prepaid debt fees</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Deferred taxes, net</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Loss on sale of business</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Restructuring, non-cash</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adjustments, net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Changes in operating assets and liabilities, net of acquisition and sale of business: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Accounts receivable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Inventories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Other current assets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Other long-term assets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Accounts payable, other current liabilities, and taxes payable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Wages and benefits payable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Unearned revenue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Warranty</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Restructuring</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Other operating, net</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Net cash provided by operating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Investing activities</w:t>
      </w:r>
    </w:p>
    <w:p>
      <w:pPr>
        <w:spacing w:after="0" w:line="29" w:lineRule="exact"/>
        <w:rPr>
          <w:sz w:val="20"/>
          <w:szCs w:val="20"/>
          <w:color w:val="auto"/>
        </w:rPr>
      </w:pPr>
    </w:p>
    <w:p>
      <w:pPr>
        <w:ind w:left="240" w:right="2460"/>
        <w:spacing w:after="0" w:line="268" w:lineRule="auto"/>
        <w:rPr>
          <w:sz w:val="20"/>
          <w:szCs w:val="20"/>
          <w:color w:val="auto"/>
        </w:rPr>
      </w:pPr>
      <w:r>
        <w:rPr>
          <w:rFonts w:ascii="Times New Roman" w:cs="Times New Roman" w:eastAsia="Times New Roman" w:hAnsi="Times New Roman"/>
          <w:sz w:val="21"/>
          <w:szCs w:val="21"/>
          <w:color w:val="auto"/>
        </w:rPr>
        <w:t>Net proceeds (payment) related to the sale of business Acquisitions of property, plant, and equipment</w:t>
      </w:r>
    </w:p>
    <w:p>
      <w:pPr>
        <w:spacing w:after="0" w:line="1" w:lineRule="exact"/>
        <w:rPr>
          <w:sz w:val="20"/>
          <w:szCs w:val="20"/>
          <w:color w:val="auto"/>
        </w:rPr>
      </w:pPr>
    </w:p>
    <w:p>
      <w:pPr>
        <w:ind w:left="240" w:right="1600"/>
        <w:spacing w:after="0" w:line="256" w:lineRule="auto"/>
        <w:rPr>
          <w:sz w:val="20"/>
          <w:szCs w:val="20"/>
          <w:color w:val="auto"/>
        </w:rPr>
      </w:pPr>
      <w:r>
        <w:rPr>
          <w:rFonts w:ascii="Times New Roman" w:cs="Times New Roman" w:eastAsia="Times New Roman" w:hAnsi="Times New Roman"/>
          <w:sz w:val="22"/>
          <w:szCs w:val="22"/>
          <w:color w:val="auto"/>
        </w:rPr>
        <w:t>Business acquisitions, net of cash and cash equivalents acquired Other investing, net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Net cash used in investing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Financing activities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Proceeds from borrowings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Issuance of common stock</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Payments on call spread for convertible offering</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Repurchase of common stock</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Prepaid debt fees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Other financing, net</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p>
      <w:pPr>
        <w:spacing w:after="0" w:line="287" w:lineRule="exact"/>
        <w:rPr>
          <w:sz w:val="20"/>
          <w:szCs w:val="20"/>
          <w:color w:val="auto"/>
        </w:rPr>
      </w:pPr>
    </w:p>
    <w:p>
      <w:pPr>
        <w:ind w:right="1380"/>
        <w:spacing w:after="0" w:line="268" w:lineRule="auto"/>
        <w:rPr>
          <w:sz w:val="20"/>
          <w:szCs w:val="20"/>
          <w:color w:val="auto"/>
        </w:rPr>
      </w:pPr>
      <w:r>
        <w:rPr>
          <w:rFonts w:ascii="Times New Roman" w:cs="Times New Roman" w:eastAsia="Times New Roman" w:hAnsi="Times New Roman"/>
          <w:sz w:val="22"/>
          <w:szCs w:val="22"/>
          <w:color w:val="auto"/>
        </w:rPr>
        <w:t>Effect of foreign exchange rate changes on cash and cash equivalents (Decrease) increase in cash and cash equivalents</w:t>
      </w:r>
    </w:p>
    <w:p>
      <w:pPr>
        <w:spacing w:after="0" w:line="1" w:lineRule="exact"/>
        <w:rPr>
          <w:sz w:val="20"/>
          <w:szCs w:val="20"/>
          <w:color w:val="auto"/>
        </w:rPr>
      </w:pPr>
    </w:p>
    <w:p>
      <w:pPr>
        <w:ind w:right="3120"/>
        <w:spacing w:after="0" w:line="336" w:lineRule="auto"/>
        <w:rPr>
          <w:sz w:val="20"/>
          <w:szCs w:val="20"/>
          <w:color w:val="auto"/>
        </w:rPr>
      </w:pPr>
      <w:r>
        <w:rPr>
          <w:rFonts w:ascii="Times New Roman" w:cs="Times New Roman" w:eastAsia="Times New Roman" w:hAnsi="Times New Roman"/>
          <w:sz w:val="21"/>
          <w:szCs w:val="21"/>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Year Ended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532"/>
        </w:trPr>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303,335</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241,124</w:t>
            </w:r>
          </w:p>
        </w:tc>
      </w:tr>
      <w:tr>
        <w:trPr>
          <w:trHeight w:val="528"/>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49,517</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56,277</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11,915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20,597</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62,449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43,874</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64,945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(38,791)</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82"/>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(2,237)</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(895)</w:t>
            </w:r>
          </w:p>
        </w:tc>
      </w:tr>
      <w:tr>
        <w:trPr>
          <w:trHeight w:val="528"/>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(4,215)</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(49,138)</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32,682</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(43,120)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15,165</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(13,125)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(6,789)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(35,388)</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(18,623)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3,784</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28,624</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29,319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(4,436)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(22,427)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(31,011)</w:t>
            </w:r>
          </w:p>
        </w:tc>
      </w:tr>
      <w:tr>
        <w:trPr>
          <w:trHeight w:val="283"/>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(52,739)</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(22,027)</w:t>
            </w:r>
          </w:p>
        </w:tc>
      </w:tr>
      <w:tr>
        <w:trPr>
          <w:trHeight w:val="277"/>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405,952</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238,175</w:t>
            </w:r>
          </w:p>
        </w:tc>
      </w:tr>
      <w:tr>
        <w:trPr>
          <w:trHeight w:val="784"/>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278</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(22,891)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(30,562)</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(325,044)</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(34,105)</w:t>
            </w:r>
          </w:p>
        </w:tc>
      </w:tr>
      <w:tr>
        <w:trPr>
          <w:trHeight w:val="283"/>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(1,995)</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w:t>
            </w:r>
          </w:p>
        </w:tc>
      </w:tr>
      <w:tr>
        <w:trPr>
          <w:trHeight w:val="277"/>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(349,652)</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(63,412)</w:t>
            </w:r>
          </w:p>
        </w:tc>
      </w:tr>
    </w:tbl>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805,000</w:t>
      </w:r>
    </w:p>
    <w:p>
      <w:pPr>
        <w:spacing w:after="0" w:line="29"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22"/>
          <w:szCs w:val="22"/>
          <w:color w:val="auto"/>
        </w:rPr>
        <w:t>7,320</w:t>
      </w:r>
      <w:r>
        <w:rPr>
          <w:sz w:val="20"/>
          <w:szCs w:val="20"/>
          <w:color w:val="auto"/>
        </w:rPr>
        <w:tab/>
      </w:r>
      <w:r>
        <w:rPr>
          <w:rFonts w:ascii="Times New Roman" w:cs="Times New Roman" w:eastAsia="Times New Roman" w:hAnsi="Times New Roman"/>
          <w:sz w:val="22"/>
          <w:szCs w:val="22"/>
          <w:color w:val="auto"/>
        </w:rPr>
        <w:t>8,321</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(108,997)</w:t>
      </w:r>
    </w:p>
    <w:p>
      <w:pPr>
        <w:spacing w:after="0" w:line="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(100,000)</w:t>
      </w:r>
      <w:r>
        <w:rPr>
          <w:rFonts w:ascii="Times New Roman" w:cs="Times New Roman" w:eastAsia="Times New Roman" w:hAnsi="Times New Roman"/>
          <w:sz w:val="21"/>
          <w:szCs w:val="21"/>
          <w:color w:val="auto"/>
        </w:rPr>
        <w:t>(100,000)</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(2,213)</w:t>
      </w:r>
      <w:r>
        <w:rPr>
          <w:rFonts w:ascii="Times New Roman" w:cs="Times New Roman" w:eastAsia="Times New Roman" w:hAnsi="Times New Roman"/>
          <w:sz w:val="21"/>
          <w:szCs w:val="21"/>
          <w:color w:val="auto"/>
        </w:rPr>
        <w:t>(21,872)</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(2,569)</w:t>
      </w:r>
      <w:r>
        <w:rPr>
          <w:rFonts w:ascii="Times New Roman" w:cs="Times New Roman" w:eastAsia="Times New Roman" w:hAnsi="Times New Roman"/>
          <w:sz w:val="21"/>
          <w:szCs w:val="21"/>
          <w:color w:val="auto"/>
        </w:rPr>
        <w:t>(2,879)</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(97,462)</w:t>
      </w:r>
      <w:r>
        <w:rPr>
          <w:rFonts w:ascii="Times New Roman" w:cs="Times New Roman" w:eastAsia="Times New Roman" w:hAnsi="Times New Roman"/>
          <w:sz w:val="21"/>
          <w:szCs w:val="21"/>
          <w:color w:val="auto"/>
        </w:rPr>
        <w:t>579,573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98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67" w:lineRule="exact"/>
        <w:rPr>
          <w:sz w:val="20"/>
          <w:szCs w:val="20"/>
          <w:color w:val="auto"/>
        </w:rPr>
      </w:pPr>
    </w:p>
    <w:p>
      <w:pPr>
        <w:ind w:left="880"/>
        <w:spacing w:after="0"/>
        <w:tabs>
          <w:tab w:leader="none" w:pos="2460" w:val="left"/>
        </w:tabs>
        <w:rPr>
          <w:sz w:val="20"/>
          <w:szCs w:val="20"/>
          <w:color w:val="auto"/>
        </w:rPr>
      </w:pPr>
      <w:r>
        <w:rPr>
          <w:rFonts w:ascii="Times New Roman" w:cs="Times New Roman" w:eastAsia="Times New Roman" w:hAnsi="Times New Roman"/>
          <w:sz w:val="22"/>
          <w:szCs w:val="22"/>
          <w:color w:val="auto"/>
        </w:rPr>
        <w:t>10,322</w:t>
      </w:r>
      <w:r>
        <w:rPr>
          <w:sz w:val="20"/>
          <w:szCs w:val="20"/>
          <w:color w:val="auto"/>
        </w:rPr>
        <w:tab/>
      </w:r>
      <w:r>
        <w:rPr>
          <w:rFonts w:ascii="Times New Roman" w:cs="Times New Roman" w:eastAsia="Times New Roman" w:hAnsi="Times New Roman"/>
          <w:sz w:val="22"/>
          <w:szCs w:val="22"/>
          <w:color w:val="auto"/>
        </w:rPr>
        <w:t>(5,148)</w:t>
      </w:r>
    </w:p>
    <w:p>
      <w:pPr>
        <w:spacing w:after="0" w:line="31" w:lineRule="exact"/>
        <w:rPr>
          <w:sz w:val="20"/>
          <w:szCs w:val="20"/>
          <w:color w:val="auto"/>
        </w:rPr>
      </w:pPr>
    </w:p>
    <w:p>
      <w:pPr>
        <w:ind w:left="800"/>
        <w:spacing w:after="0"/>
        <w:tabs>
          <w:tab w:leader="none" w:pos="2320" w:val="left"/>
        </w:tabs>
        <w:rPr>
          <w:sz w:val="20"/>
          <w:szCs w:val="20"/>
          <w:color w:val="auto"/>
        </w:rPr>
      </w:pPr>
      <w:r>
        <w:rPr>
          <w:rFonts w:ascii="Times New Roman" w:cs="Times New Roman" w:eastAsia="Times New Roman" w:hAnsi="Times New Roman"/>
          <w:sz w:val="22"/>
          <w:szCs w:val="22"/>
          <w:color w:val="auto"/>
        </w:rPr>
        <w:t>(30,840)</w:t>
      </w:r>
      <w:r>
        <w:rPr>
          <w:sz w:val="20"/>
          <w:szCs w:val="20"/>
          <w:color w:val="auto"/>
        </w:rPr>
        <w:tab/>
      </w:r>
      <w:r>
        <w:rPr>
          <w:rFonts w:ascii="Times New Roman" w:cs="Times New Roman" w:eastAsia="Times New Roman" w:hAnsi="Times New Roman"/>
          <w:sz w:val="22"/>
          <w:szCs w:val="22"/>
          <w:color w:val="auto"/>
        </w:rPr>
        <w:t>749,188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988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 w:lineRule="exact"/>
        <w:rPr>
          <w:sz w:val="20"/>
          <w:szCs w:val="20"/>
          <w:color w:val="auto"/>
        </w:rPr>
      </w:pPr>
    </w:p>
    <w:p>
      <w:pPr>
        <w:ind w:left="600"/>
        <w:spacing w:after="0"/>
        <w:tabs>
          <w:tab w:leader="none" w:pos="2320" w:val="left"/>
        </w:tabs>
        <w:rPr>
          <w:sz w:val="20"/>
          <w:szCs w:val="20"/>
          <w:color w:val="auto"/>
        </w:rPr>
      </w:pPr>
      <w:r>
        <w:rPr>
          <w:rFonts w:ascii="Times New Roman" w:cs="Times New Roman" w:eastAsia="Times New Roman" w:hAnsi="Times New Roman"/>
          <w:sz w:val="22"/>
          <w:szCs w:val="22"/>
          <w:color w:val="auto"/>
        </w:rPr>
        <w:t>1,051,237</w:t>
      </w:r>
      <w:r>
        <w:rPr>
          <w:sz w:val="20"/>
          <w:szCs w:val="20"/>
          <w:color w:val="auto"/>
        </w:rPr>
        <w:tab/>
      </w:r>
      <w:r>
        <w:rPr>
          <w:rFonts w:ascii="Times New Roman" w:cs="Times New Roman" w:eastAsia="Times New Roman" w:hAnsi="Times New Roman"/>
          <w:sz w:val="22"/>
          <w:szCs w:val="22"/>
          <w:color w:val="auto"/>
        </w:rPr>
        <w:t>302,049</w:t>
      </w:r>
    </w:p>
    <w:p>
      <w:pPr>
        <w:spacing w:after="0" w:line="18" w:lineRule="exact"/>
        <w:rPr>
          <w:sz w:val="20"/>
          <w:szCs w:val="20"/>
          <w:color w:val="auto"/>
        </w:rPr>
      </w:pPr>
    </w:p>
    <w:p>
      <w:pPr>
        <w:ind w:left="20"/>
        <w:spacing w:after="0"/>
        <w:tabs>
          <w:tab w:leader="none" w:pos="580" w:val="left"/>
          <w:tab w:leader="none" w:pos="21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1,020,397 $</w:t>
      </w:r>
      <w:r>
        <w:rPr>
          <w:sz w:val="20"/>
          <w:szCs w:val="20"/>
          <w:color w:val="auto"/>
        </w:rPr>
        <w:tab/>
      </w:r>
      <w:r>
        <w:rPr>
          <w:rFonts w:ascii="Times New Roman" w:cs="Times New Roman" w:eastAsia="Times New Roman" w:hAnsi="Times New Roman"/>
          <w:sz w:val="22"/>
          <w:szCs w:val="22"/>
          <w:color w:val="auto"/>
        </w:rPr>
        <w:t>1,051,237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8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198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198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52" w:lineRule="exact"/>
        <w:rPr>
          <w:sz w:val="20"/>
          <w:szCs w:val="20"/>
          <w:color w:val="auto"/>
        </w:rPr>
      </w:pPr>
    </w:p>
    <w:p>
      <w:pPr>
        <w:sectPr>
          <w:pgSz w:w="11900" w:h="16838" w:orient="portrait"/>
          <w:cols w:equalWidth="0" w:num="2">
            <w:col w:w="7360" w:space="720"/>
            <w:col w:w="3140"/>
          </w:cols>
          <w:pgMar w:left="340" w:top="139" w:right="339" w:bottom="48" w:gutter="0" w:footer="0" w:header="0"/>
          <w:type w:val="continuous"/>
        </w:sect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About Non-GAAP Financial Measures</w:t>
      </w:r>
    </w:p>
    <w:p>
      <w:pPr>
        <w:sectPr>
          <w:pgSz w:w="11900" w:h="16838" w:orient="portrait"/>
          <w:cols w:equalWidth="0" w:num="1">
            <w:col w:w="11220"/>
          </w:cols>
          <w:pgMar w:left="340" w:top="139" w:right="339" w:bottom="48" w:gutter="0" w:footer="0" w:header="0"/>
          <w:type w:val="continuous"/>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u w:val="single" w:color="auto"/>
          <w:color w:val="auto"/>
        </w:rPr>
        <w:t>Non-GAAP operating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non-GAAP operating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non-GAAP operating expenses as operating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excluding certain 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attributable to Itron,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excluding the expenses 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adjusted EBITDA as net income (a) minus interest income, (b) plus interest expense, depreciation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amortization, 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7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Adjusted gross profit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adjusted gross profit as gross profit excluding the amortization expense of core-developed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technology intangible assets.</w:t>
      </w:r>
    </w:p>
    <w:p>
      <w:pPr>
        <w:sectPr>
          <w:pgSz w:w="11900" w:h="16838" w:orient="portrait"/>
          <w:cols w:equalWidth="0" w:num="1">
            <w:col w:w="11240"/>
          </w:cols>
          <w:pgMar w:left="320" w:top="111" w:right="339" w:bottom="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22"/>
          <w:szCs w:val="22"/>
          <w:i w:val="1"/>
          <w:iCs w:val="1"/>
          <w:u w:val="single" w:color="auto"/>
          <w:color w:val="auto"/>
        </w:rPr>
        <w:t>Adjusted operating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adjusted operating income as operating income excluding the amortization of core-developed technology intangible assets.</w:t>
      </w:r>
    </w:p>
    <w:p>
      <w:pPr>
        <w:spacing w:after="0" w:line="1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860" w:type="dxa"/>
            <w:vAlign w:val="bottom"/>
          </w:tcPr>
          <w:p>
            <w:pPr>
              <w:spacing w:after="0"/>
              <w:rPr>
                <w:sz w:val="24"/>
                <w:szCs w:val="24"/>
                <w:color w:val="auto"/>
              </w:rPr>
            </w:pPr>
          </w:p>
        </w:tc>
        <w:tc>
          <w:tcPr>
            <w:tcW w:w="324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3140" w:type="dxa"/>
            <w:vAlign w:val="bottom"/>
            <w:gridSpan w:val="4"/>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Twelve Months Ended December</w:t>
            </w:r>
          </w:p>
        </w:tc>
        <w:tc>
          <w:tcPr>
            <w:tcW w:w="0" w:type="dxa"/>
            <w:vAlign w:val="bottom"/>
          </w:tcPr>
          <w:p>
            <w:pPr>
              <w:spacing w:after="0"/>
              <w:rPr>
                <w:sz w:val="1"/>
                <w:szCs w:val="1"/>
                <w:color w:val="auto"/>
              </w:rPr>
            </w:pPr>
          </w:p>
        </w:tc>
      </w:tr>
      <w:tr>
        <w:trPr>
          <w:trHeight w:val="28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EXPENSES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4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expenses</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153,077</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151,150</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579,050</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575,207</w:t>
            </w:r>
          </w:p>
        </w:tc>
        <w:tc>
          <w:tcPr>
            <w:tcW w:w="0" w:type="dxa"/>
            <w:vAlign w:val="bottom"/>
          </w:tcPr>
          <w:p>
            <w:pPr>
              <w:spacing w:after="0"/>
              <w:rPr>
                <w:sz w:val="1"/>
                <w:szCs w:val="1"/>
                <w:color w:val="auto"/>
              </w:rPr>
            </w:pPr>
          </w:p>
        </w:tc>
      </w:tr>
      <w:tr>
        <w:trPr>
          <w:trHeight w:val="315"/>
        </w:trPr>
        <w:tc>
          <w:tcPr>
            <w:tcW w:w="4860" w:type="dxa"/>
            <w:vAlign w:val="bottom"/>
          </w:tcPr>
          <w:p>
            <w:pPr>
              <w:ind w:left="380"/>
              <w:spacing w:after="0" w:line="314" w:lineRule="exact"/>
              <w:rPr>
                <w:sz w:val="20"/>
                <w:szCs w:val="20"/>
                <w:color w:val="auto"/>
              </w:rPr>
            </w:pPr>
            <w:r>
              <w:rPr>
                <w:rFonts w:ascii="Times New Roman" w:cs="Times New Roman" w:eastAsia="Times New Roman" w:hAnsi="Times New Roman"/>
                <w:sz w:val="22"/>
                <w:szCs w:val="22"/>
                <w:color w:val="auto"/>
              </w:rPr>
              <w:t xml:space="preserve">Amortization of intangible assets </w:t>
            </w:r>
            <w:r>
              <w:rPr>
                <w:rFonts w:ascii="Times New Roman" w:cs="Times New Roman" w:eastAsia="Times New Roman" w:hAnsi="Times New Roman"/>
                <w:sz w:val="35"/>
                <w:szCs w:val="35"/>
                <w:color w:val="auto"/>
                <w:vertAlign w:val="superscript"/>
              </w:rPr>
              <w:t>(1)</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(4,609)</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(18,034)</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(17,828)</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(2,679)</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(6,063)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(7,433)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0" w:type="dxa"/>
            <w:vAlign w:val="bottom"/>
          </w:tcPr>
          <w:p>
            <w:pPr>
              <w:spacing w:after="0"/>
              <w:rPr>
                <w:sz w:val="1"/>
                <w:szCs w:val="1"/>
                <w:color w:val="auto"/>
              </w:rPr>
            </w:pPr>
          </w:p>
        </w:tc>
      </w:tr>
      <w:tr>
        <w:trPr>
          <w:trHeight w:val="264"/>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142,176</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143,322</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550,837</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553,380</w:t>
            </w:r>
          </w:p>
        </w:tc>
        <w:tc>
          <w:tcPr>
            <w:tcW w:w="0" w:type="dxa"/>
            <w:vAlign w:val="bottom"/>
          </w:tcPr>
          <w:p>
            <w:pPr>
              <w:spacing w:after="0"/>
              <w:rPr>
                <w:sz w:val="1"/>
                <w:szCs w:val="1"/>
                <w:color w:val="auto"/>
              </w:rPr>
            </w:pPr>
          </w:p>
        </w:tc>
      </w:tr>
      <w:tr>
        <w:trPr>
          <w:trHeight w:val="21"/>
        </w:trPr>
        <w:tc>
          <w:tcPr>
            <w:tcW w:w="4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INCOME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income</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78,659</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62,730</w:t>
            </w:r>
          </w:p>
        </w:tc>
        <w:tc>
          <w:tcPr>
            <w:tcW w:w="1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313,068</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264,110</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19,112</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17,828</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2,679</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6,063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7,433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0" w:type="dxa"/>
            <w:vAlign w:val="bottom"/>
          </w:tcPr>
          <w:p>
            <w:pPr>
              <w:spacing w:after="0"/>
              <w:rPr>
                <w:sz w:val="1"/>
                <w:szCs w:val="1"/>
                <w:color w:val="auto"/>
              </w:rPr>
            </w:pPr>
          </w:p>
        </w:tc>
      </w:tr>
      <w:tr>
        <w:trPr>
          <w:trHeight w:val="264"/>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income</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90,638</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70,558</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342,359</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285,937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NET INCOME &amp; DILUTED EPS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101,628</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58,107</w:t>
            </w:r>
          </w:p>
        </w:tc>
        <w:tc>
          <w:tcPr>
            <w:tcW w:w="1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301,055</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239,105</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19,112</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17,828</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debt placement fees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6,928</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5,314</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2,679</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Strategic initiative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6,063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7,433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0" w:type="dxa"/>
            <w:vAlign w:val="bottom"/>
          </w:tcPr>
          <w:p>
            <w:pPr>
              <w:spacing w:after="0"/>
              <w:rPr>
                <w:sz w:val="1"/>
                <w:szCs w:val="1"/>
                <w:color w:val="auto"/>
              </w:rPr>
            </w:pPr>
          </w:p>
        </w:tc>
      </w:tr>
      <w:tr>
        <w:trPr>
          <w:trHeight w:val="283"/>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Income tax effect of non-GAAP adjustments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(1,909)</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(5,555)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(6,883)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(6,446)</w:t>
            </w:r>
          </w:p>
        </w:tc>
        <w:tc>
          <w:tcPr>
            <w:tcW w:w="0" w:type="dxa"/>
            <w:vAlign w:val="bottom"/>
          </w:tcPr>
          <w:p>
            <w:pPr>
              <w:spacing w:after="0"/>
              <w:rPr>
                <w:sz w:val="1"/>
                <w:szCs w:val="1"/>
                <w:color w:val="auto"/>
              </w:rPr>
            </w:pPr>
          </w:p>
        </w:tc>
      </w:tr>
      <w:tr>
        <w:trPr>
          <w:trHeight w:val="264"/>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net income attributable to Itron, Inc.</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113,355</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62,156</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330,391</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259,800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diluted EPS</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100" w:type="dxa"/>
            <w:vAlign w:val="bottom"/>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7.13</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5.62</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GAAP weighted average common shares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outstanding - Diluted</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46,080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46,323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46,187</w:t>
            </w:r>
          </w:p>
        </w:tc>
        <w:tc>
          <w:tcPr>
            <w:tcW w:w="0" w:type="dxa"/>
            <w:vAlign w:val="bottom"/>
          </w:tcPr>
          <w:p>
            <w:pPr>
              <w:spacing w:after="0"/>
              <w:rPr>
                <w:sz w:val="1"/>
                <w:szCs w:val="1"/>
                <w:color w:val="auto"/>
              </w:rPr>
            </w:pPr>
          </w:p>
        </w:tc>
      </w:tr>
      <w:tr>
        <w:trPr>
          <w:trHeight w:val="282"/>
        </w:trPr>
        <w:tc>
          <w:tcPr>
            <w:tcW w:w="4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Effect of call option transaction - 2021 Notes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1"/>
        </w:trPr>
        <w:tc>
          <w:tcPr>
            <w:tcW w:w="486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rPr>
              <w:t>Non-GAAP weighted average common shares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46,080</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46,036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46,315</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46,187</w:t>
            </w:r>
          </w:p>
        </w:tc>
        <w:tc>
          <w:tcPr>
            <w:tcW w:w="0" w:type="dxa"/>
            <w:vAlign w:val="bottom"/>
          </w:tcPr>
          <w:p>
            <w:pPr>
              <w:spacing w:after="0"/>
              <w:rPr>
                <w:sz w:val="1"/>
                <w:szCs w:val="1"/>
                <w:color w:val="auto"/>
              </w:rPr>
            </w:pPr>
          </w:p>
        </w:tc>
      </w:tr>
      <w:tr>
        <w:trPr>
          <w:trHeight w:val="257"/>
        </w:trPr>
        <w:tc>
          <w:tcPr>
            <w:tcW w:w="4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outstanding - Diluted</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 w:right="339" w:bottom="0" w:gutter="0" w:footer="0" w:header="0"/>
        </w:sectPr>
      </w:pPr>
    </w:p>
    <w:p>
      <w:pPr>
        <w:spacing w:after="0" w:line="295" w:lineRule="exact"/>
        <w:rPr>
          <w:sz w:val="20"/>
          <w:szCs w:val="20"/>
          <w:color w:val="auto"/>
        </w:rPr>
      </w:pPr>
    </w:p>
    <w:p>
      <w:pPr>
        <w:ind w:left="520" w:hanging="256"/>
        <w:spacing w:after="0"/>
        <w:tabs>
          <w:tab w:leader="none" w:pos="520" w:val="left"/>
        </w:tabs>
        <w:numPr>
          <w:ilvl w:val="0"/>
          <w:numId w:val="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Excludes amortization of core-developed technology intangible assets.</w:t>
      </w:r>
    </w:p>
    <w:p>
      <w:pPr>
        <w:sectPr>
          <w:pgSz w:w="11900" w:h="16838" w:orient="portrait"/>
          <w:cols w:equalWidth="0" w:num="1">
            <w:col w:w="11240"/>
          </w:cols>
          <w:pgMar w:left="320" w:top="110" w:right="339" w:bottom="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270"/>
        </w:trPr>
        <w:tc>
          <w:tcPr>
            <w:tcW w:w="4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ITRON, INC.</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40" w:type="dxa"/>
            <w:vAlign w:val="bottom"/>
            <w:gridSpan w:val="8"/>
          </w:tcPr>
          <w:p>
            <w:pPr>
              <w:jc w:val="center"/>
              <w:ind w:left="1452"/>
              <w:spacing w:after="0"/>
              <w:rPr>
                <w:sz w:val="20"/>
                <w:szCs w:val="20"/>
                <w:color w:val="auto"/>
              </w:rPr>
            </w:pPr>
            <w:r>
              <w:rPr>
                <w:rFonts w:ascii="Times New Roman" w:cs="Times New Roman" w:eastAsia="Times New Roman" w:hAnsi="Times New Roman"/>
                <w:sz w:val="22"/>
                <w:szCs w:val="22"/>
                <w:b w:val="1"/>
                <w:bCs w:val="1"/>
                <w:color w:val="auto"/>
                <w:w w:val="97"/>
              </w:rPr>
              <w:t>RECONCILIATIONS OF NON-GAAP FINANCIAL MEASURES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40" w:type="dxa"/>
            <w:vAlign w:val="bottom"/>
            <w:gridSpan w:val="8"/>
          </w:tcPr>
          <w:p>
            <w:pPr>
              <w:jc w:val="center"/>
              <w:ind w:left="1452"/>
              <w:spacing w:after="0"/>
              <w:rPr>
                <w:sz w:val="20"/>
                <w:szCs w:val="20"/>
                <w:color w:val="auto"/>
              </w:rPr>
            </w:pPr>
            <w:r>
              <w:rPr>
                <w:rFonts w:ascii="Times New Roman" w:cs="Times New Roman" w:eastAsia="Times New Roman" w:hAnsi="Times New Roman"/>
                <w:sz w:val="22"/>
                <w:szCs w:val="22"/>
                <w:b w:val="1"/>
                <w:bCs w:val="1"/>
                <w:color w:val="auto"/>
                <w:w w:val="97"/>
              </w:rPr>
              <w:t>TO THE MOST DIRECTLY COMPARABLE GAAP FINANCIAL MEASURES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3240" w:type="dxa"/>
            <w:vAlign w:val="bottom"/>
            <w:gridSpan w:val="5"/>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Three Months Ended December</w:t>
            </w:r>
          </w:p>
        </w:tc>
        <w:tc>
          <w:tcPr>
            <w:tcW w:w="3140" w:type="dxa"/>
            <w:vAlign w:val="bottom"/>
            <w:gridSpan w:val="4"/>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Twelve Months Ended December</w:t>
            </w:r>
          </w:p>
        </w:tc>
        <w:tc>
          <w:tcPr>
            <w:tcW w:w="0" w:type="dxa"/>
            <w:vAlign w:val="bottom"/>
          </w:tcPr>
          <w:p>
            <w:pPr>
              <w:spacing w:after="0"/>
              <w:rPr>
                <w:sz w:val="1"/>
                <w:szCs w:val="1"/>
                <w:color w:val="auto"/>
              </w:rPr>
            </w:pPr>
          </w:p>
        </w:tc>
      </w:tr>
      <w:tr>
        <w:trPr>
          <w:trHeight w:val="286"/>
        </w:trPr>
        <w:tc>
          <w:tcPr>
            <w:tcW w:w="4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484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b w:val="1"/>
                <w:bCs w:val="1"/>
                <w:color w:val="auto"/>
              </w:rPr>
              <w:t>ADJUSTED EBITDA</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GAAP net income attributable to Itron, Inc.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101,628</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58,107</w:t>
            </w:r>
          </w:p>
        </w:tc>
        <w:tc>
          <w:tcPr>
            <w:tcW w:w="1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301,055</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239,105</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Interest income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(10,794)</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(48,376)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(34,577)</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Interest expense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5,563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22,451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15,379</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Income tax provision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(17,205)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38,932</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43,407</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13,296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49,517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56,277</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Restructuring</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2,679</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(Gain) loss on sale of business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w:t>
            </w:r>
          </w:p>
        </w:tc>
        <w:tc>
          <w:tcPr>
            <w:tcW w:w="0" w:type="dxa"/>
            <w:vAlign w:val="bottom"/>
          </w:tcPr>
          <w:p>
            <w:pPr>
              <w:spacing w:after="0"/>
              <w:rPr>
                <w:sz w:val="1"/>
                <w:szCs w:val="1"/>
                <w:color w:val="auto"/>
              </w:rPr>
            </w:pPr>
          </w:p>
        </w:tc>
      </w:tr>
      <w:tr>
        <w:trPr>
          <w:trHeight w:val="270"/>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Strategic initiative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1,736</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6,063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7,433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723</w:t>
            </w:r>
          </w:p>
        </w:tc>
        <w:tc>
          <w:tcPr>
            <w:tcW w:w="0" w:type="dxa"/>
            <w:vAlign w:val="bottom"/>
          </w:tcPr>
          <w:p>
            <w:pPr>
              <w:spacing w:after="0"/>
              <w:rPr>
                <w:sz w:val="1"/>
                <w:szCs w:val="1"/>
                <w:color w:val="auto"/>
              </w:rPr>
            </w:pPr>
          </w:p>
        </w:tc>
      </w:tr>
      <w:tr>
        <w:trPr>
          <w:trHeight w:val="264"/>
        </w:trPr>
        <w:tc>
          <w:tcPr>
            <w:tcW w:w="48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98,780</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81,407</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373,758</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323,590</w:t>
            </w:r>
          </w:p>
        </w:tc>
        <w:tc>
          <w:tcPr>
            <w:tcW w:w="0" w:type="dxa"/>
            <w:vAlign w:val="bottom"/>
          </w:tcPr>
          <w:p>
            <w:pPr>
              <w:spacing w:after="0"/>
              <w:rPr>
                <w:sz w:val="1"/>
                <w:szCs w:val="1"/>
                <w:color w:val="auto"/>
              </w:rPr>
            </w:pPr>
          </w:p>
        </w:tc>
      </w:tr>
      <w:tr>
        <w:trPr>
          <w:trHeight w:val="21"/>
        </w:trPr>
        <w:tc>
          <w:tcPr>
            <w:tcW w:w="48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119,321</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79,849</w:t>
            </w:r>
          </w:p>
        </w:tc>
        <w:tc>
          <w:tcPr>
            <w:tcW w:w="1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405,952</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238,175</w:t>
            </w:r>
          </w:p>
        </w:tc>
        <w:tc>
          <w:tcPr>
            <w:tcW w:w="0" w:type="dxa"/>
            <w:vAlign w:val="bottom"/>
          </w:tcPr>
          <w:p>
            <w:pPr>
              <w:spacing w:after="0"/>
              <w:rPr>
                <w:sz w:val="1"/>
                <w:szCs w:val="1"/>
                <w:color w:val="auto"/>
              </w:rPr>
            </w:pPr>
          </w:p>
        </w:tc>
      </w:tr>
      <w:tr>
        <w:trPr>
          <w:trHeight w:val="283"/>
        </w:trPr>
        <w:tc>
          <w:tcPr>
            <w:tcW w:w="4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(7,814)</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(9,684)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(22,891)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(30,562)</w:t>
            </w:r>
          </w:p>
        </w:tc>
        <w:tc>
          <w:tcPr>
            <w:tcW w:w="0" w:type="dxa"/>
            <w:vAlign w:val="bottom"/>
          </w:tcPr>
          <w:p>
            <w:pPr>
              <w:spacing w:after="0"/>
              <w:rPr>
                <w:sz w:val="1"/>
                <w:szCs w:val="1"/>
                <w:color w:val="auto"/>
              </w:rPr>
            </w:pPr>
          </w:p>
        </w:tc>
      </w:tr>
      <w:tr>
        <w:trPr>
          <w:trHeight w:val="264"/>
        </w:trPr>
        <w:tc>
          <w:tcPr>
            <w:tcW w:w="48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111,507</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70,165</w:t>
            </w:r>
          </w:p>
        </w:tc>
        <w:tc>
          <w:tcPr>
            <w:tcW w:w="100" w:type="dxa"/>
            <w:vAlign w:val="bottom"/>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383,061</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207,613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 of adjusted gross profit with the most directly comparable GAAP financial measure.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21"/>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Three Months Ended December 31,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940" w:type="dxa"/>
            <w:vAlign w:val="bottom"/>
            <w:tcBorders>
              <w:bottom w:val="single" w:sz="8" w:color="auto"/>
            </w:tcBorders>
            <w:gridSpan w:val="21"/>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5"/>
          </w:tcPr>
          <w:p>
            <w:pPr>
              <w:jc w:val="center"/>
              <w:ind w:right="36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340" w:type="dxa"/>
            <w:vAlign w:val="bottom"/>
            <w:gridSpan w:val="7"/>
          </w:tcPr>
          <w:p>
            <w:pPr>
              <w:ind w:left="80"/>
              <w:spacing w:after="0" w:line="220" w:lineRule="exact"/>
              <w:rPr>
                <w:sz w:val="20"/>
                <w:szCs w:val="20"/>
                <w:color w:val="auto"/>
              </w:rPr>
            </w:pPr>
            <w:r>
              <w:rPr>
                <w:rFonts w:ascii="Times New Roman" w:cs="Times New Roman" w:eastAsia="Times New Roman" w:hAnsi="Times New Roman"/>
                <w:sz w:val="22"/>
                <w:szCs w:val="22"/>
                <w:b w:val="1"/>
                <w:bCs w:val="1"/>
                <w:color w:val="auto"/>
              </w:rPr>
              <w:t>Networked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6"/>
          </w:tcPr>
          <w:p>
            <w:pPr>
              <w:jc w:val="center"/>
              <w:ind w:right="160"/>
              <w:spacing w:after="0" w:line="220" w:lineRule="exact"/>
              <w:rPr>
                <w:sz w:val="20"/>
                <w:szCs w:val="20"/>
                <w:color w:val="auto"/>
              </w:rPr>
            </w:pPr>
            <w:r>
              <w:rPr>
                <w:rFonts w:ascii="Times New Roman" w:cs="Times New Roman" w:eastAsia="Times New Roman" w:hAnsi="Times New Roman"/>
                <w:sz w:val="22"/>
                <w:szCs w:val="22"/>
                <w:b w:val="1"/>
                <w:bCs w:val="1"/>
                <w:color w:val="auto"/>
                <w:w w:val="98"/>
              </w:rPr>
              <w:t>Resiliency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ind w:right="72"/>
              <w:spacing w:after="0" w:line="220" w:lineRule="exact"/>
              <w:rPr>
                <w:sz w:val="20"/>
                <w:szCs w:val="20"/>
                <w:color w:val="auto"/>
              </w:rPr>
            </w:pPr>
            <w:r>
              <w:rPr>
                <w:rFonts w:ascii="Times New Roman" w:cs="Times New Roman" w:eastAsia="Times New Roman" w:hAnsi="Times New Roman"/>
                <w:sz w:val="22"/>
                <w:szCs w:val="22"/>
                <w:b w:val="1"/>
                <w:bCs w:val="1"/>
                <w:color w:val="auto"/>
                <w:w w:val="96"/>
              </w:rPr>
              <w:t>Segments</w:t>
            </w:r>
          </w:p>
        </w:tc>
        <w:tc>
          <w:tcPr>
            <w:tcW w:w="0" w:type="dxa"/>
            <w:vAlign w:val="bottom"/>
          </w:tcPr>
          <w:p>
            <w:pPr>
              <w:spacing w:after="0"/>
              <w:rPr>
                <w:sz w:val="1"/>
                <w:szCs w:val="1"/>
                <w:color w:val="auto"/>
              </w:rPr>
            </w:pPr>
          </w:p>
        </w:tc>
      </w:tr>
      <w:tr>
        <w:trPr>
          <w:trHeight w:val="286"/>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6"/>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120" w:type="dxa"/>
            <w:vAlign w:val="bottom"/>
          </w:tcPr>
          <w:p>
            <w:pPr>
              <w:spacing w:after="0"/>
              <w:rPr>
                <w:sz w:val="24"/>
                <w:szCs w:val="24"/>
                <w:color w:val="auto"/>
              </w:rPr>
            </w:pPr>
          </w:p>
        </w:tc>
        <w:tc>
          <w:tcPr>
            <w:tcW w:w="122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rPr>
              <w:t>Solutions</w:t>
            </w:r>
          </w:p>
        </w:tc>
        <w:tc>
          <w:tcPr>
            <w:tcW w:w="100" w:type="dxa"/>
            <w:vAlign w:val="bottom"/>
          </w:tcPr>
          <w:p>
            <w:pPr>
              <w:spacing w:after="0"/>
              <w:rPr>
                <w:sz w:val="24"/>
                <w:szCs w:val="24"/>
                <w:color w:val="auto"/>
              </w:rPr>
            </w:pPr>
          </w:p>
        </w:tc>
        <w:tc>
          <w:tcPr>
            <w:tcW w:w="1340" w:type="dxa"/>
            <w:vAlign w:val="bottom"/>
            <w:gridSpan w:val="8"/>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Outcomes</w:t>
            </w:r>
          </w:p>
        </w:tc>
        <w:tc>
          <w:tcPr>
            <w:tcW w:w="1160" w:type="dxa"/>
            <w:vAlign w:val="bottom"/>
            <w:gridSpan w:val="5"/>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Subtotal</w:t>
            </w:r>
          </w:p>
        </w:tc>
        <w:tc>
          <w:tcPr>
            <w:tcW w:w="0" w:type="dxa"/>
            <w:vAlign w:val="bottom"/>
          </w:tcPr>
          <w:p>
            <w:pPr>
              <w:spacing w:after="0"/>
              <w:rPr>
                <w:sz w:val="1"/>
                <w:szCs w:val="1"/>
                <w:color w:val="auto"/>
              </w:rPr>
            </w:pPr>
          </w:p>
        </w:tc>
      </w:tr>
      <w:tr>
        <w:trPr>
          <w:trHeight w:val="251"/>
        </w:trPr>
        <w:tc>
          <w:tcPr>
            <w:tcW w:w="4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16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tcBorders>
            <w:gridSpan w:val="3"/>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rPr>
              <w:t>104,828</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top w:val="single" w:sz="8" w:color="auto"/>
            </w:tcBorders>
            <w:gridSpan w:val="4"/>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rPr>
              <w:t>$  351,953</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gridSpan w:val="3"/>
          </w:tcPr>
          <w:p>
            <w:pPr>
              <w:jc w:val="right"/>
              <w:spacing w:after="0" w:line="251" w:lineRule="exact"/>
              <w:rPr>
                <w:sz w:val="20"/>
                <w:szCs w:val="20"/>
                <w:color w:val="auto"/>
              </w:rPr>
            </w:pPr>
            <w:r>
              <w:rPr>
                <w:rFonts w:ascii="Times New Roman" w:cs="Times New Roman" w:eastAsia="Times New Roman" w:hAnsi="Times New Roman"/>
                <w:sz w:val="22"/>
                <w:szCs w:val="22"/>
                <w:color w:val="auto"/>
              </w:rPr>
              <w:t>111,827</w:t>
            </w: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3,049</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top w:val="single" w:sz="8" w:color="auto"/>
            </w:tcBorders>
            <w:gridSpan w:val="2"/>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571,657</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68,780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4"/>
          </w:tcPr>
          <w:p>
            <w:pPr>
              <w:jc w:val="right"/>
              <w:ind w:right="72"/>
              <w:spacing w:after="0"/>
              <w:rPr>
                <w:sz w:val="20"/>
                <w:szCs w:val="20"/>
                <w:color w:val="auto"/>
              </w:rPr>
            </w:pPr>
            <w:r>
              <w:rPr>
                <w:rFonts w:ascii="Times New Roman" w:cs="Times New Roman" w:eastAsia="Times New Roman" w:hAnsi="Times New Roman"/>
                <w:sz w:val="22"/>
                <w:szCs w:val="22"/>
                <w:color w:val="auto"/>
              </w:rPr>
              <w:t>204,095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65,861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339,921</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36,048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4"/>
          </w:tcPr>
          <w:p>
            <w:pPr>
              <w:jc w:val="right"/>
              <w:ind w:right="72"/>
              <w:spacing w:after="0"/>
              <w:rPr>
                <w:sz w:val="20"/>
                <w:szCs w:val="20"/>
                <w:color w:val="auto"/>
              </w:rPr>
            </w:pPr>
            <w:r>
              <w:rPr>
                <w:rFonts w:ascii="Times New Roman" w:cs="Times New Roman" w:eastAsia="Times New Roman" w:hAnsi="Times New Roman"/>
                <w:sz w:val="22"/>
                <w:szCs w:val="22"/>
                <w:color w:val="auto"/>
              </w:rPr>
              <w:t>147,858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45,966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231,736</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 technology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2"/>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1,078</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36,048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4"/>
          </w:tcPr>
          <w:p>
            <w:pPr>
              <w:jc w:val="right"/>
              <w:ind w:right="72"/>
              <w:spacing w:after="0"/>
              <w:rPr>
                <w:sz w:val="20"/>
                <w:szCs w:val="20"/>
                <w:color w:val="auto"/>
              </w:rPr>
            </w:pPr>
            <w:r>
              <w:rPr>
                <w:rFonts w:ascii="Times New Roman" w:cs="Times New Roman" w:eastAsia="Times New Roman" w:hAnsi="Times New Roman"/>
                <w:sz w:val="22"/>
                <w:szCs w:val="22"/>
                <w:color w:val="auto"/>
              </w:rPr>
              <w:t>147,858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46,591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232,814</w:t>
            </w:r>
          </w:p>
        </w:tc>
        <w:tc>
          <w:tcPr>
            <w:tcW w:w="0" w:type="dxa"/>
            <w:vAlign w:val="bottom"/>
          </w:tcPr>
          <w:p>
            <w:pPr>
              <w:spacing w:after="0"/>
              <w:rPr>
                <w:sz w:val="1"/>
                <w:szCs w:val="1"/>
                <w:color w:val="auto"/>
              </w:rPr>
            </w:pPr>
          </w:p>
        </w:tc>
      </w:tr>
      <w:tr>
        <w:trPr>
          <w:trHeight w:val="282"/>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40.7%</w:t>
            </w:r>
          </w:p>
        </w:tc>
        <w:tc>
          <w:tcPr>
            <w:tcW w:w="0" w:type="dxa"/>
            <w:vAlign w:val="bottom"/>
          </w:tcPr>
          <w:p>
            <w:pPr>
              <w:spacing w:after="0"/>
              <w:rPr>
                <w:sz w:val="1"/>
                <w:szCs w:val="1"/>
                <w:color w:val="auto"/>
              </w:rPr>
            </w:pPr>
          </w:p>
        </w:tc>
      </w:tr>
      <w:tr>
        <w:trPr>
          <w:trHeight w:val="946"/>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5"/>
          </w:tcPr>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Three Months Ended December 31, 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center"/>
              <w:ind w:right="20"/>
              <w:spacing w:after="0" w:line="220" w:lineRule="exact"/>
              <w:rPr>
                <w:sz w:val="20"/>
                <w:szCs w:val="20"/>
                <w:color w:val="auto"/>
              </w:rPr>
            </w:pPr>
            <w:r>
              <w:rPr>
                <w:rFonts w:ascii="Times New Roman" w:cs="Times New Roman" w:eastAsia="Times New Roman" w:hAnsi="Times New Roman"/>
                <w:sz w:val="22"/>
                <w:szCs w:val="22"/>
                <w:b w:val="1"/>
                <w:bCs w:val="1"/>
                <w:color w:val="auto"/>
                <w:w w:val="96"/>
              </w:rPr>
              <w:t>Device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22"/>
                <w:szCs w:val="22"/>
                <w:b w:val="1"/>
                <w:bCs w:val="1"/>
                <w:color w:val="auto"/>
                <w:w w:val="96"/>
              </w:rPr>
              <w:t>Segments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7"/>
              </w:rPr>
              <w:t>Outcomes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Subtotal</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gridSpan w:val="2"/>
          </w:tcPr>
          <w:p>
            <w:pPr>
              <w:ind w:left="80"/>
              <w:spacing w:after="0" w:line="251"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tcPr>
          <w:p>
            <w:pPr>
              <w:jc w:val="right"/>
              <w:ind w:right="60"/>
              <w:spacing w:after="0" w:line="251" w:lineRule="exact"/>
              <w:rPr>
                <w:sz w:val="20"/>
                <w:szCs w:val="20"/>
                <w:color w:val="auto"/>
              </w:rPr>
            </w:pPr>
            <w:r>
              <w:rPr>
                <w:rFonts w:ascii="Times New Roman" w:cs="Times New Roman" w:eastAsia="Times New Roman" w:hAnsi="Times New Roman"/>
                <w:sz w:val="22"/>
                <w:szCs w:val="22"/>
                <w:color w:val="auto"/>
              </w:rPr>
              <w:t>108,537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tcPr>
          <w:p>
            <w:pPr>
              <w:jc w:val="right"/>
              <w:ind w:right="80"/>
              <w:spacing w:after="0" w:line="251" w:lineRule="exact"/>
              <w:rPr>
                <w:sz w:val="20"/>
                <w:szCs w:val="20"/>
                <w:color w:val="auto"/>
              </w:rPr>
            </w:pPr>
            <w:r>
              <w:rPr>
                <w:rFonts w:ascii="Times New Roman" w:cs="Times New Roman" w:eastAsia="Times New Roman" w:hAnsi="Times New Roman"/>
                <w:sz w:val="22"/>
                <w:szCs w:val="22"/>
                <w:color w:val="auto"/>
              </w:rPr>
              <w:t>413,142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4"/>
          </w:tcPr>
          <w:p>
            <w:pPr>
              <w:jc w:val="right"/>
              <w:ind w:right="60"/>
              <w:spacing w:after="0" w:line="251" w:lineRule="exact"/>
              <w:rPr>
                <w:sz w:val="20"/>
                <w:szCs w:val="20"/>
                <w:color w:val="auto"/>
              </w:rPr>
            </w:pPr>
            <w:r>
              <w:rPr>
                <w:rFonts w:ascii="Times New Roman" w:cs="Times New Roman" w:eastAsia="Times New Roman" w:hAnsi="Times New Roman"/>
                <w:sz w:val="22"/>
                <w:szCs w:val="22"/>
                <w:color w:val="auto"/>
              </w:rPr>
              <w:t>91,185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gridSpan w:val="3"/>
          </w:tcPr>
          <w:p>
            <w:pPr>
              <w:jc w:val="right"/>
              <w:ind w:right="40"/>
              <w:spacing w:after="0" w:line="251" w:lineRule="exact"/>
              <w:rPr>
                <w:sz w:val="20"/>
                <w:szCs w:val="20"/>
                <w:color w:val="auto"/>
              </w:rPr>
            </w:pPr>
            <w:r>
              <w:rPr>
                <w:rFonts w:ascii="Times New Roman" w:cs="Times New Roman" w:eastAsia="Times New Roman" w:hAnsi="Times New Roman"/>
                <w:sz w:val="22"/>
                <w:szCs w:val="22"/>
                <w:color w:val="auto"/>
              </w:rPr>
              <w:t>612,864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79,710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268,192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51,082</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398,984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28,827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144,950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40,103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213,880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44.0%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34.9%</w:t>
            </w: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Amortization of core-developed technology intangible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assets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3"/>
                <w:szCs w:val="23"/>
                <w:color w:val="auto"/>
              </w:rPr>
            </w:pPr>
          </w:p>
        </w:tc>
        <w:tc>
          <w:tcPr>
            <w:tcW w:w="440" w:type="dxa"/>
            <w:vAlign w:val="bottom"/>
            <w:gridSpan w:val="5"/>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28,827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144,950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40,103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213,880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26.6%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44.0%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34.9%</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6"/>
        </w:trPr>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8"/>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7"/>
              </w:rPr>
              <w:t>Year Ended December 31, 2025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5"/>
          </w:tcPr>
          <w:p>
            <w:pPr>
              <w:ind w:left="40"/>
              <w:spacing w:after="0" w:line="220" w:lineRule="exact"/>
              <w:rPr>
                <w:sz w:val="20"/>
                <w:szCs w:val="20"/>
                <w:color w:val="auto"/>
              </w:rPr>
            </w:pPr>
            <w:r>
              <w:rPr>
                <w:rFonts w:ascii="Times New Roman" w:cs="Times New Roman" w:eastAsia="Times New Roman" w:hAnsi="Times New Roman"/>
                <w:sz w:val="22"/>
                <w:szCs w:val="22"/>
                <w:b w:val="1"/>
                <w:bCs w:val="1"/>
                <w:color w:val="auto"/>
              </w:rPr>
              <w:t>Device</w:t>
            </w:r>
          </w:p>
        </w:tc>
        <w:tc>
          <w:tcPr>
            <w:tcW w:w="1340" w:type="dxa"/>
            <w:vAlign w:val="bottom"/>
            <w:gridSpan w:val="7"/>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Networked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6"/>
          </w:tcPr>
          <w:p>
            <w:pPr>
              <w:jc w:val="center"/>
              <w:ind w:right="160"/>
              <w:spacing w:after="0" w:line="220" w:lineRule="exact"/>
              <w:rPr>
                <w:sz w:val="20"/>
                <w:szCs w:val="20"/>
                <w:color w:val="auto"/>
              </w:rPr>
            </w:pPr>
            <w:r>
              <w:rPr>
                <w:rFonts w:ascii="Times New Roman" w:cs="Times New Roman" w:eastAsia="Times New Roman" w:hAnsi="Times New Roman"/>
                <w:sz w:val="22"/>
                <w:szCs w:val="22"/>
                <w:b w:val="1"/>
                <w:bCs w:val="1"/>
                <w:color w:val="auto"/>
                <w:w w:val="98"/>
              </w:rPr>
              <w:t>Resiliency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2"/>
              <w:spacing w:after="0" w:line="220" w:lineRule="exact"/>
              <w:rPr>
                <w:sz w:val="20"/>
                <w:szCs w:val="20"/>
                <w:color w:val="auto"/>
              </w:rPr>
            </w:pPr>
            <w:r>
              <w:rPr>
                <w:rFonts w:ascii="Times New Roman" w:cs="Times New Roman" w:eastAsia="Times New Roman" w:hAnsi="Times New Roman"/>
                <w:sz w:val="22"/>
                <w:szCs w:val="22"/>
                <w:b w:val="1"/>
                <w:bCs w:val="1"/>
                <w:color w:val="auto"/>
                <w:w w:val="96"/>
              </w:rPr>
              <w:t>Segments</w:t>
            </w:r>
          </w:p>
        </w:tc>
        <w:tc>
          <w:tcPr>
            <w:tcW w:w="0" w:type="dxa"/>
            <w:vAlign w:val="bottom"/>
          </w:tcPr>
          <w:p>
            <w:pPr>
              <w:spacing w:after="0"/>
              <w:rPr>
                <w:sz w:val="1"/>
                <w:szCs w:val="1"/>
                <w:color w:val="auto"/>
              </w:rPr>
            </w:pPr>
          </w:p>
        </w:tc>
      </w:tr>
      <w:tr>
        <w:trPr>
          <w:trHeight w:val="286"/>
        </w:trPr>
        <w:tc>
          <w:tcPr>
            <w:tcW w:w="47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6"/>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120" w:type="dxa"/>
            <w:vAlign w:val="bottom"/>
          </w:tcPr>
          <w:p>
            <w:pPr>
              <w:spacing w:after="0"/>
              <w:rPr>
                <w:sz w:val="24"/>
                <w:szCs w:val="24"/>
                <w:color w:val="auto"/>
              </w:rPr>
            </w:pPr>
          </w:p>
        </w:tc>
        <w:tc>
          <w:tcPr>
            <w:tcW w:w="122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rPr>
              <w:t>Solutions</w:t>
            </w:r>
          </w:p>
        </w:tc>
        <w:tc>
          <w:tcPr>
            <w:tcW w:w="100" w:type="dxa"/>
            <w:vAlign w:val="bottom"/>
          </w:tcPr>
          <w:p>
            <w:pPr>
              <w:spacing w:after="0"/>
              <w:rPr>
                <w:sz w:val="24"/>
                <w:szCs w:val="24"/>
                <w:color w:val="auto"/>
              </w:rPr>
            </w:pPr>
          </w:p>
        </w:tc>
        <w:tc>
          <w:tcPr>
            <w:tcW w:w="1340" w:type="dxa"/>
            <w:vAlign w:val="bottom"/>
            <w:gridSpan w:val="8"/>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Outcomes</w:t>
            </w: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9"/>
              </w:rPr>
              <w:t>Solutions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Subtotal</w:t>
            </w:r>
          </w:p>
        </w:tc>
        <w:tc>
          <w:tcPr>
            <w:tcW w:w="0" w:type="dxa"/>
            <w:vAlign w:val="bottom"/>
          </w:tcPr>
          <w:p>
            <w:pPr>
              <w:spacing w:after="0"/>
              <w:rPr>
                <w:sz w:val="1"/>
                <w:szCs w:val="1"/>
                <w:color w:val="auto"/>
              </w:rPr>
            </w:pPr>
          </w:p>
        </w:tc>
      </w:tr>
      <w:tr>
        <w:trPr>
          <w:trHeight w:val="277"/>
        </w:trPr>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revenues</w:t>
            </w:r>
          </w:p>
        </w:tc>
        <w:tc>
          <w:tcPr>
            <w:tcW w:w="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447,081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22"/>
                <w:szCs w:val="22"/>
                <w:color w:val="auto"/>
                <w:w w:val="93"/>
              </w:rPr>
              <w:t>$ 1,557,321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359,743</w:t>
            </w:r>
          </w:p>
        </w:tc>
        <w:tc>
          <w:tcPr>
            <w:tcW w:w="180" w:type="dxa"/>
            <w:vAlign w:val="bottom"/>
            <w:tcBorders>
              <w:top w:val="single" w:sz="8" w:color="auto"/>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3,049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top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7"/>
              </w:rPr>
              <w:t>2,367,194</w:t>
            </w: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1460" w:type="dxa"/>
            <w:vAlign w:val="bottom"/>
            <w:gridSpan w:val="3"/>
          </w:tcPr>
          <w:p>
            <w:pPr>
              <w:jc w:val="right"/>
              <w:ind w:right="332"/>
              <w:spacing w:after="0"/>
              <w:rPr>
                <w:sz w:val="20"/>
                <w:szCs w:val="20"/>
                <w:color w:val="auto"/>
              </w:rPr>
            </w:pPr>
            <w:r>
              <w:rPr>
                <w:rFonts w:ascii="Times New Roman" w:cs="Times New Roman" w:eastAsia="Times New Roman" w:hAnsi="Times New Roman"/>
                <w:sz w:val="22"/>
                <w:szCs w:val="22"/>
                <w:color w:val="auto"/>
              </w:rPr>
              <w:t>307,682</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948,745</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217,464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1,185</w:t>
            </w:r>
          </w:p>
        </w:tc>
        <w:tc>
          <w:tcPr>
            <w:tcW w:w="42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w w:val="97"/>
              </w:rPr>
              <w:t>1,475,076</w:t>
            </w: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1460" w:type="dxa"/>
            <w:vAlign w:val="bottom"/>
            <w:gridSpan w:val="3"/>
          </w:tcPr>
          <w:p>
            <w:pPr>
              <w:jc w:val="right"/>
              <w:ind w:right="332"/>
              <w:spacing w:after="0"/>
              <w:rPr>
                <w:sz w:val="20"/>
                <w:szCs w:val="20"/>
                <w:color w:val="auto"/>
              </w:rPr>
            </w:pPr>
            <w:r>
              <w:rPr>
                <w:rFonts w:ascii="Times New Roman" w:cs="Times New Roman" w:eastAsia="Times New Roman" w:hAnsi="Times New Roman"/>
                <w:sz w:val="22"/>
                <w:szCs w:val="22"/>
                <w:color w:val="auto"/>
              </w:rPr>
              <w:t>139,399</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608,576</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142,279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1,864</w:t>
            </w:r>
          </w:p>
        </w:tc>
        <w:tc>
          <w:tcPr>
            <w:tcW w:w="42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892,118</w:t>
            </w: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31.2%</w:t>
            </w:r>
          </w:p>
        </w:tc>
        <w:tc>
          <w:tcPr>
            <w:tcW w:w="120" w:type="dxa"/>
            <w:vAlign w:val="bottom"/>
          </w:tcPr>
          <w:p>
            <w:pPr>
              <w:spacing w:after="0"/>
              <w:rPr>
                <w:sz w:val="23"/>
                <w:szCs w:val="23"/>
                <w:color w:val="auto"/>
              </w:rPr>
            </w:pPr>
          </w:p>
        </w:tc>
        <w:tc>
          <w:tcPr>
            <w:tcW w:w="12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37.7%</w:t>
            </w: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Amortization of core-developed technology</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625</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1,078</w:t>
            </w: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1460" w:type="dxa"/>
            <w:vAlign w:val="bottom"/>
            <w:gridSpan w:val="3"/>
          </w:tcPr>
          <w:p>
            <w:pPr>
              <w:jc w:val="right"/>
              <w:ind w:right="332"/>
              <w:spacing w:after="0"/>
              <w:rPr>
                <w:sz w:val="20"/>
                <w:szCs w:val="20"/>
                <w:color w:val="auto"/>
              </w:rPr>
            </w:pPr>
            <w:r>
              <w:rPr>
                <w:rFonts w:ascii="Times New Roman" w:cs="Times New Roman" w:eastAsia="Times New Roman" w:hAnsi="Times New Roman"/>
                <w:sz w:val="22"/>
                <w:szCs w:val="22"/>
                <w:color w:val="auto"/>
              </w:rPr>
              <w:t>139,399</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608,576</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142,904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2,317</w:t>
            </w:r>
          </w:p>
        </w:tc>
        <w:tc>
          <w:tcPr>
            <w:tcW w:w="42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893,196</w:t>
            </w: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31.2%</w:t>
            </w:r>
          </w:p>
        </w:tc>
        <w:tc>
          <w:tcPr>
            <w:tcW w:w="120" w:type="dxa"/>
            <w:vAlign w:val="bottom"/>
          </w:tcPr>
          <w:p>
            <w:pPr>
              <w:spacing w:after="0"/>
              <w:rPr>
                <w:sz w:val="24"/>
                <w:szCs w:val="24"/>
                <w:color w:val="auto"/>
              </w:rPr>
            </w:pPr>
          </w:p>
        </w:tc>
        <w:tc>
          <w:tcPr>
            <w:tcW w:w="12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37.7%</w:t>
            </w:r>
          </w:p>
        </w:tc>
      </w:tr>
      <w:tr>
        <w:trPr>
          <w:trHeight w:val="946"/>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10"/>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19"/>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Device</w:t>
            </w:r>
          </w:p>
        </w:tc>
        <w:tc>
          <w:tcPr>
            <w:tcW w:w="1320" w:type="dxa"/>
            <w:vAlign w:val="bottom"/>
            <w:gridSpan w:val="3"/>
          </w:tcPr>
          <w:p>
            <w:pPr>
              <w:jc w:val="center"/>
              <w:ind w:right="18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Networked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2"/>
              <w:spacing w:after="0" w:line="220" w:lineRule="exact"/>
              <w:rPr>
                <w:sz w:val="20"/>
                <w:szCs w:val="20"/>
                <w:color w:val="auto"/>
              </w:rPr>
            </w:pPr>
            <w:r>
              <w:rPr>
                <w:rFonts w:ascii="Times New Roman" w:cs="Times New Roman" w:eastAsia="Times New Roman" w:hAnsi="Times New Roman"/>
                <w:sz w:val="22"/>
                <w:szCs w:val="22"/>
                <w:b w:val="1"/>
                <w:bCs w:val="1"/>
                <w:color w:val="auto"/>
              </w:rPr>
              <w:t>Segments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6"/>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(Unaudited, 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6"/>
              </w:rPr>
              <w:t>Solutions</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Outcomes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Subtotal</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1"/>
        </w:trPr>
        <w:tc>
          <w:tcPr>
            <w:tcW w:w="47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revenues</w:t>
            </w:r>
          </w:p>
        </w:tc>
        <w:tc>
          <w:tcPr>
            <w:tcW w:w="40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476,577</w:t>
            </w:r>
          </w:p>
        </w:tc>
        <w:tc>
          <w:tcPr>
            <w:tcW w:w="120" w:type="dxa"/>
            <w:vAlign w:val="bottom"/>
          </w:tcPr>
          <w:p>
            <w:pPr>
              <w:spacing w:after="0"/>
              <w:rPr>
                <w:sz w:val="21"/>
                <w:szCs w:val="21"/>
                <w:color w:val="auto"/>
              </w:rPr>
            </w:pPr>
          </w:p>
        </w:tc>
        <w:tc>
          <w:tcPr>
            <w:tcW w:w="1200" w:type="dxa"/>
            <w:vAlign w:val="bottom"/>
            <w:tcBorders>
              <w:top w:val="single" w:sz="8" w:color="auto"/>
            </w:tcBorders>
            <w:gridSpan w:val="2"/>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w w:val="93"/>
              </w:rPr>
              <w:t>$ 1,650,075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314,185</w:t>
            </w:r>
          </w:p>
        </w:tc>
        <w:tc>
          <w:tcPr>
            <w:tcW w:w="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gridSpan w:val="2"/>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w w:val="95"/>
              </w:rPr>
              <w:t>$ 2,440,837</w:t>
            </w:r>
          </w:p>
        </w:tc>
        <w:tc>
          <w:tcPr>
            <w:tcW w:w="20" w:type="dxa"/>
            <w:vAlign w:val="bottom"/>
            <w:tcBorders>
              <w:top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cost of revenues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353,113</w:t>
            </w:r>
          </w:p>
        </w:tc>
        <w:tc>
          <w:tcPr>
            <w:tcW w:w="120" w:type="dxa"/>
            <w:vAlign w:val="bottom"/>
          </w:tcPr>
          <w:p>
            <w:pPr>
              <w:spacing w:after="0"/>
              <w:rPr>
                <w:sz w:val="23"/>
                <w:szCs w:val="23"/>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1,052,295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196,112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1,601,520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123,464</w:t>
            </w:r>
          </w:p>
        </w:tc>
        <w:tc>
          <w:tcPr>
            <w:tcW w:w="120" w:type="dxa"/>
            <w:vAlign w:val="bottom"/>
          </w:tcPr>
          <w:p>
            <w:pPr>
              <w:spacing w:after="0"/>
              <w:rPr>
                <w:sz w:val="23"/>
                <w:szCs w:val="23"/>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597,780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118,073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839,317</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margin</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c>
          <w:tcPr>
            <w:tcW w:w="1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37.6%</w:t>
            </w: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Amortization of core-developed technology intangible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assets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w w:val="9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0"/>
              </w:rPr>
              <w: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profit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123,464</w:t>
            </w:r>
          </w:p>
        </w:tc>
        <w:tc>
          <w:tcPr>
            <w:tcW w:w="120" w:type="dxa"/>
            <w:vAlign w:val="bottom"/>
          </w:tcPr>
          <w:p>
            <w:pPr>
              <w:spacing w:after="0"/>
              <w:rPr>
                <w:sz w:val="23"/>
                <w:szCs w:val="23"/>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597,780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118,073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839,317</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gross margin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c>
          <w:tcPr>
            <w:tcW w:w="1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37.6%</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emdash "/>
      <w:numFmt w:val="bullet"/>
      <w:start w:val="1"/>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2026-02-17T08:36:18Z</dcterms:created>
  <dcterms:modified xsi:type="dcterms:W3CDTF">2026-02-17T08:36:18Z</dcterms:modified>
</cp:coreProperties>
</file>