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81915</wp:posOffset>
            </wp:positionV>
            <wp:extent cx="1080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May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31115</wp:posOffset>
            </wp:positionV>
            <wp:extent cx="2126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ectPr>
          <w:pgSz w:w="11900" w:h="16838" w:orient="portrait"/>
          <w:cols w:equalWidth="0" w:num="1">
            <w:col w:w="11420"/>
          </w:cols>
          <w:pgMar w:left="240" w:top="693" w:right="239" w:bottom="1440" w:gutter="0" w:footer="0" w:header="0"/>
        </w:sectPr>
      </w:pPr>
    </w:p>
    <w:bookmarkStart w:id="1" w:name="page2"/>
    <w:bookmarkEnd w:id="1"/>
    <w:p>
      <w:pPr>
        <w:jc w:val="both"/>
        <w:ind w:left="106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Itron's Amended and Restated 2010 Stock Incentive Plan</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Inc. (Itron or the Company) held its 2014 Annual Meeting of Shareholders on May 1, 2014 (the Annual Meeting). At the Annual Meeting, the Company's shareholders approved the Itron, Inc. Amended and Restated 2010 Stock Incentive Plan (the 2010 SIP). The 2010 SIP was previously approved and adopted by Itron's Board of Directors on February 21, 2014, subject to shareholder approval.</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information regarding the 2010 SIP is summarized on pages 11 through 19 in the Company's definitive proxy statement on Schedule 14A filed with the Securities and Exchange Commission on March 13, 2014 (the Proxy Statement), under the heading "Proposal Two--Approval of the Itron, Inc. Amended and Restated 2010 Stock Incentive Plan" and is incorporated herein by reference. The summary of the 2010 SIP set forth in the Proxy Statement is qualified in its entirety by the full text of the 2010 SIP, a complete copy of which is set forth as Appendix A to the Proxy Statement and is filed as Exhibit 10.1 to this Current Report on Form 8-K.</w:t>
      </w:r>
    </w:p>
    <w:p>
      <w:pPr>
        <w:spacing w:after="0" w:line="18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 proposals were voted upon at the Annual Meeting. The proposals are described in detail in the Proxy Statement. All of the proposals passed. The final results for the votes regarding each proposal are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Proposal One: The following nominees for Director were elected for three-year terms ending in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NOMINEE</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VOTES FOR</w:t>
            </w:r>
          </w:p>
        </w:tc>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auto"/>
              </w:rPr>
              <w:t>VOTES AGAINST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ABSTENTIONS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NON-VOTES</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Jon E. Eliassen</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30,943,576</w:t>
            </w:r>
          </w:p>
        </w:tc>
        <w:tc>
          <w:tcPr>
            <w:tcW w:w="1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1,398,322</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324,328</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2,700,743</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Gary E. Pruitt</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31,591,892</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749,434</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324,900</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2,700,743</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Michael V. Pulli</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31,629,145</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711,683</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325,398</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2,700,743</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Charles H. Gaylord, Jr.</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31,585,318</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756,108</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324,800</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2,700,743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independent Director serves on at least one committee of the Board of Directors. For further information regarding the composition of such committees, refer to Itron's investor relations website, at http://investors.itron.com/committees.cfm.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Proposal Two: Approval of the Amended and Restated 2010 Stock Incentive Plan.</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FOR</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AGAINST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ABSTENTIONS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jc w:val="right"/>
              <w:ind w:right="390"/>
              <w:spacing w:after="0"/>
              <w:rPr>
                <w:sz w:val="20"/>
                <w:szCs w:val="20"/>
                <w:color w:val="auto"/>
              </w:rPr>
            </w:pPr>
            <w:r>
              <w:rPr>
                <w:rFonts w:ascii="Arial" w:cs="Arial" w:eastAsia="Arial" w:hAnsi="Arial"/>
                <w:sz w:val="18"/>
                <w:szCs w:val="18"/>
                <w:color w:val="auto"/>
              </w:rPr>
              <w:t>24,565,907</w:t>
            </w:r>
          </w:p>
        </w:tc>
        <w:tc>
          <w:tcPr>
            <w:tcW w:w="12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7,769,043</w:t>
            </w:r>
          </w:p>
        </w:tc>
        <w:tc>
          <w:tcPr>
            <w:tcW w:w="10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331,276</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2,700,743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Proposal Three: Approval of the advisory (non-binding) resolution on executive compensation.</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FOR</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AGAINST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ABSTENTIONS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jc w:val="right"/>
              <w:ind w:right="390"/>
              <w:spacing w:after="0"/>
              <w:rPr>
                <w:sz w:val="20"/>
                <w:szCs w:val="20"/>
                <w:color w:val="auto"/>
              </w:rPr>
            </w:pPr>
            <w:r>
              <w:rPr>
                <w:rFonts w:ascii="Arial" w:cs="Arial" w:eastAsia="Arial" w:hAnsi="Arial"/>
                <w:sz w:val="18"/>
                <w:szCs w:val="18"/>
                <w:color w:val="auto"/>
              </w:rPr>
              <w:t>24,732,049</w:t>
            </w:r>
          </w:p>
        </w:tc>
        <w:tc>
          <w:tcPr>
            <w:tcW w:w="12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color w:val="auto"/>
              </w:rPr>
              <w:t>7,447,759</w:t>
            </w:r>
          </w:p>
        </w:tc>
        <w:tc>
          <w:tcPr>
            <w:tcW w:w="10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486,418</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2,700,743</w:t>
            </w: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Proposal Four: Ratification of the appointment of Ernst &amp; Young LLP as the Company's independent registered public accounting firm for the 2014 fiscal year.</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FOR</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AGAINST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ABSTENTIONS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jc w:val="right"/>
              <w:ind w:right="390"/>
              <w:spacing w:after="0"/>
              <w:rPr>
                <w:sz w:val="20"/>
                <w:szCs w:val="20"/>
                <w:color w:val="auto"/>
              </w:rPr>
            </w:pPr>
            <w:r>
              <w:rPr>
                <w:rFonts w:ascii="Arial" w:cs="Arial" w:eastAsia="Arial" w:hAnsi="Arial"/>
                <w:sz w:val="18"/>
                <w:szCs w:val="18"/>
                <w:color w:val="auto"/>
              </w:rPr>
              <w:t>34,805,893</w:t>
            </w:r>
          </w:p>
        </w:tc>
        <w:tc>
          <w:tcPr>
            <w:tcW w:w="120" w:type="dxa"/>
            <w:vAlign w:val="bottom"/>
          </w:tcPr>
          <w:p>
            <w:pPr>
              <w:spacing w:after="0"/>
              <w:rPr>
                <w:sz w:val="20"/>
                <w:szCs w:val="20"/>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222,306</w:t>
            </w:r>
          </w:p>
        </w:tc>
        <w:tc>
          <w:tcPr>
            <w:tcW w:w="10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338,770</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1420"/>
          </w:cols>
          <w:pgMar w:left="240" w:top="1026" w:right="239" w:bottom="1440" w:gutter="0" w:footer="0" w:header="0"/>
        </w:sectPr>
      </w:pPr>
    </w:p>
    <w:bookmarkStart w:id="2" w:name="page3"/>
    <w:bookmarkEnd w:id="2"/>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920" w:type="dxa"/>
            <w:vAlign w:val="bottom"/>
          </w:tcPr>
          <w:p>
            <w:pPr>
              <w:spacing w:after="0"/>
              <w:rPr>
                <w:sz w:val="18"/>
                <w:szCs w:val="18"/>
                <w:color w:val="auto"/>
              </w:rPr>
            </w:pPr>
          </w:p>
        </w:tc>
      </w:tr>
      <w:tr>
        <w:trPr>
          <w:trHeight w:val="230"/>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92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Itron, Inc. Amended and Restated 2010 Stock Incentive Plan (incorporated by reference to Appendix A to Itron, Inc's Definitive Proxy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Statement on Schedule 14A filed with the Securities and Exchange Commission on March 13, 2014.</w:t>
            </w:r>
          </w:p>
        </w:tc>
      </w:tr>
      <w:tr>
        <w:trPr>
          <w:trHeight w:val="45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tcPr>
          <w:p>
            <w:pPr>
              <w:ind w:left="3680"/>
              <w:spacing w:after="0"/>
              <w:rPr>
                <w:sz w:val="20"/>
                <w:szCs w:val="20"/>
                <w:color w:val="auto"/>
              </w:rPr>
            </w:pPr>
            <w:r>
              <w:rPr>
                <w:rFonts w:ascii="Arial" w:cs="Arial" w:eastAsia="Arial" w:hAnsi="Arial"/>
                <w:sz w:val="18"/>
                <w:szCs w:val="18"/>
                <w:b w:val="1"/>
                <w:bCs w:val="1"/>
                <w:color w:val="auto"/>
              </w:rPr>
              <w:t>SIGNATURE</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60" w:type="dxa"/>
            <w:vAlign w:val="bottom"/>
            <w:gridSpan w:val="2"/>
          </w:tcPr>
          <w:p>
            <w:pPr>
              <w:jc w:val="center"/>
              <w:ind w:right="1080"/>
              <w:spacing w:after="0"/>
              <w:rPr>
                <w:sz w:val="20"/>
                <w:szCs w:val="20"/>
                <w:color w:val="auto"/>
              </w:rPr>
            </w:pPr>
            <w:r>
              <w:rPr>
                <w:rFonts w:ascii="Arial" w:cs="Arial" w:eastAsia="Arial" w:hAnsi="Arial"/>
                <w:sz w:val="18"/>
                <w:szCs w:val="18"/>
                <w:color w:val="auto"/>
                <w:w w:val="97"/>
              </w:rPr>
              <w:t>ITRON, INC.</w:t>
            </w:r>
          </w:p>
        </w:tc>
      </w:tr>
      <w:tr>
        <w:trPr>
          <w:trHeight w:val="594"/>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ind w:left="296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6360" w:type="dxa"/>
            <w:vAlign w:val="bottom"/>
            <w:gridSpan w:val="2"/>
          </w:tcPr>
          <w:p>
            <w:pPr>
              <w:jc w:val="center"/>
              <w:ind w:right="1100"/>
              <w:spacing w:after="0"/>
              <w:rPr>
                <w:sz w:val="20"/>
                <w:szCs w:val="20"/>
                <w:color w:val="auto"/>
              </w:rPr>
            </w:pPr>
            <w:r>
              <w:rPr>
                <w:rFonts w:ascii="Arial" w:cs="Arial" w:eastAsia="Arial" w:hAnsi="Arial"/>
                <w:sz w:val="18"/>
                <w:szCs w:val="18"/>
                <w:color w:val="auto"/>
                <w:w w:val="96"/>
              </w:rPr>
              <w:t>/s/ SHANNON M. VOTAVA</w:t>
            </w:r>
          </w:p>
        </w:tc>
      </w:tr>
      <w:tr>
        <w:trPr>
          <w:trHeight w:val="27"/>
        </w:trPr>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Dated: May 1, 2014</w:t>
            </w:r>
          </w:p>
        </w:tc>
        <w:tc>
          <w:tcPr>
            <w:tcW w:w="180" w:type="dxa"/>
            <w:vAlign w:val="bottom"/>
          </w:tcPr>
          <w:p>
            <w:pPr>
              <w:spacing w:after="0"/>
              <w:rPr>
                <w:sz w:val="20"/>
                <w:szCs w:val="20"/>
                <w:color w:val="auto"/>
              </w:rPr>
            </w:pPr>
          </w:p>
        </w:tc>
        <w:tc>
          <w:tcPr>
            <w:tcW w:w="6360" w:type="dxa"/>
            <w:vAlign w:val="bottom"/>
            <w:gridSpan w:val="2"/>
          </w:tcPr>
          <w:p>
            <w:pPr>
              <w:jc w:val="center"/>
              <w:ind w:right="1100"/>
              <w:spacing w:after="0"/>
              <w:rPr>
                <w:sz w:val="20"/>
                <w:szCs w:val="20"/>
                <w:color w:val="auto"/>
              </w:rPr>
            </w:pPr>
            <w:r>
              <w:rPr>
                <w:rFonts w:ascii="Arial" w:cs="Arial" w:eastAsia="Arial" w:hAnsi="Arial"/>
                <w:sz w:val="18"/>
                <w:szCs w:val="18"/>
                <w:color w:val="auto"/>
                <w:w w:val="89"/>
              </w:rPr>
              <w:t>Shannon M. Votava</w:t>
            </w:r>
          </w:p>
        </w:tc>
      </w:tr>
      <w:tr>
        <w:trPr>
          <w:trHeight w:val="270"/>
        </w:trPr>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360" w:type="dxa"/>
            <w:vAlign w:val="bottom"/>
            <w:gridSpan w:val="2"/>
          </w:tcPr>
          <w:p>
            <w:pPr>
              <w:jc w:val="center"/>
              <w:ind w:right="1100"/>
              <w:spacing w:after="0"/>
              <w:rPr>
                <w:sz w:val="20"/>
                <w:szCs w:val="20"/>
                <w:color w:val="auto"/>
              </w:rPr>
            </w:pPr>
            <w:r>
              <w:rPr>
                <w:rFonts w:ascii="Arial" w:cs="Arial" w:eastAsia="Arial" w:hAnsi="Arial"/>
                <w:sz w:val="18"/>
                <w:szCs w:val="18"/>
                <w:color w:val="auto"/>
                <w:w w:val="89"/>
              </w:rPr>
              <w:t>Vice President, General Counsel and Corporate Secretary</w:t>
            </w:r>
          </w:p>
        </w:tc>
      </w:tr>
      <w:tr>
        <w:trPr>
          <w:trHeight w:val="891"/>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540" w:type="dxa"/>
            <w:vAlign w:val="bottom"/>
            <w:gridSpan w:val="3"/>
          </w:tcPr>
          <w:p>
            <w:pPr>
              <w:ind w:left="180"/>
              <w:spacing w:after="0"/>
              <w:rPr>
                <w:sz w:val="20"/>
                <w:szCs w:val="20"/>
                <w:color w:val="auto"/>
              </w:rPr>
            </w:pPr>
            <w:r>
              <w:rPr>
                <w:rFonts w:ascii="Arial" w:cs="Arial" w:eastAsia="Arial" w:hAnsi="Arial"/>
                <w:sz w:val="18"/>
                <w:szCs w:val="18"/>
                <w:color w:val="auto"/>
              </w:rPr>
              <w:t>EXHIBIT INDEX</w:t>
            </w:r>
          </w:p>
        </w:tc>
      </w:tr>
      <w:tr>
        <w:trPr>
          <w:trHeight w:val="580"/>
        </w:trPr>
        <w:tc>
          <w:tcPr>
            <w:tcW w:w="940" w:type="dxa"/>
            <w:vAlign w:val="bottom"/>
          </w:tcPr>
          <w:p>
            <w:pPr>
              <w:ind w:left="40"/>
              <w:spacing w:after="0"/>
              <w:rPr>
                <w:sz w:val="20"/>
                <w:szCs w:val="20"/>
                <w:color w:val="auto"/>
              </w:rPr>
            </w:pPr>
            <w:r>
              <w:rPr>
                <w:rFonts w:ascii="Arial" w:cs="Arial" w:eastAsia="Arial" w:hAnsi="Arial"/>
                <w:sz w:val="18"/>
                <w:szCs w:val="18"/>
                <w:color w:val="auto"/>
              </w:rPr>
              <w:t>Exhibit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940" w:type="dxa"/>
            <w:vAlign w:val="bottom"/>
          </w:tcPr>
          <w:p>
            <w:pPr>
              <w:ind w:left="40"/>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Description</w:t>
            </w:r>
          </w:p>
        </w:tc>
        <w:tc>
          <w:tcPr>
            <w:tcW w:w="1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Borders>
              <w:bottom w:val="single" w:sz="8" w:color="auto"/>
            </w:tcBorders>
            <w:gridSpan w:val="4"/>
          </w:tcPr>
          <w:p>
            <w:pPr>
              <w:spacing w:after="0"/>
              <w:rPr>
                <w:sz w:val="2"/>
                <w:szCs w:val="2"/>
                <w:color w:val="auto"/>
              </w:rPr>
            </w:pPr>
          </w:p>
        </w:tc>
      </w:tr>
      <w:tr>
        <w:trPr>
          <w:trHeight w:val="222"/>
        </w:trPr>
        <w:tc>
          <w:tcPr>
            <w:tcW w:w="94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4"/>
          </w:tcPr>
          <w:p>
            <w:pPr>
              <w:ind w:left="20"/>
              <w:spacing w:after="0"/>
              <w:rPr>
                <w:sz w:val="20"/>
                <w:szCs w:val="20"/>
                <w:color w:val="auto"/>
              </w:rPr>
            </w:pPr>
            <w:r>
              <w:rPr>
                <w:rFonts w:ascii="Arial" w:cs="Arial" w:eastAsia="Arial" w:hAnsi="Arial"/>
                <w:sz w:val="18"/>
                <w:szCs w:val="18"/>
                <w:color w:val="auto"/>
                <w:w w:val="93"/>
              </w:rPr>
              <w:t>Itron, Inc. Amended and Restated 2010 Stock Incentive Plan (incorporated by reference to Appendix A to Itron, Inc's Definitive Proxy</w:t>
            </w:r>
          </w:p>
        </w:tc>
      </w:tr>
      <w:tr>
        <w:trPr>
          <w:trHeight w:val="230"/>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4"/>
          </w:tcPr>
          <w:p>
            <w:pPr>
              <w:ind w:left="20"/>
              <w:spacing w:after="0"/>
              <w:rPr>
                <w:sz w:val="20"/>
                <w:szCs w:val="20"/>
                <w:color w:val="auto"/>
              </w:rPr>
            </w:pPr>
            <w:r>
              <w:rPr>
                <w:rFonts w:ascii="Arial" w:cs="Arial" w:eastAsia="Arial" w:hAnsi="Arial"/>
                <w:sz w:val="18"/>
                <w:szCs w:val="18"/>
                <w:color w:val="auto"/>
              </w:rPr>
              <w:t>Statement on Schedule 14A filed with the Securities and Exchange Commission on March 13, 2014.</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2019-12-05T21:16:14Z</dcterms:created>
  <dcterms:modified xsi:type="dcterms:W3CDTF">2019-12-05T21:16:14Z</dcterms:modified>
</cp:coreProperties>
</file>