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May 8, 2025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-140335</wp:posOffset>
            </wp:positionV>
            <wp:extent cx="2065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1" w:lineRule="exact"/>
        <w:rPr>
          <w:sz w:val="24"/>
          <w:szCs w:val="24"/>
          <w:color w:val="auto"/>
        </w:rPr>
      </w:pPr>
    </w:p>
    <w:tbl>
      <w:tblPr>
        <w:tblLayout w:type="fixed"/>
        <w:tblInd w:w="1280" w:type="dxa"/>
        <w:tblCellMar>
          <w:top w:w="0" w:type="dxa"/>
          <w:left w:w="0" w:type="dxa"/>
          <w:bottom w:w="0" w:type="dxa"/>
          <w:right w:w="0" w:type="dxa"/>
        </w:tblCellMar>
      </w:tblPr>
      <w:tr>
        <w:trPr>
          <w:trHeight w:val="266"/>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000-22418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190"/>
        </w:trPr>
        <w:tc>
          <w:tcPr>
            <w:tcW w:w="28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right="421"/>
              <w:spacing w:after="0" w:line="19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File Number)</w:t>
            </w:r>
          </w:p>
        </w:tc>
        <w:tc>
          <w:tcPr>
            <w:tcW w:w="50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8"/>
              </w:rPr>
              <w:t>Identification No.)</w:t>
            </w:r>
          </w:p>
        </w:tc>
      </w:tr>
      <w:tr>
        <w:trPr>
          <w:trHeight w:val="364"/>
        </w:trPr>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rPr>
              <w:t>2111 N. Molter Road</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rPr>
              <w:t>Liberty Lake,</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WA</w:t>
            </w:r>
          </w:p>
        </w:tc>
        <w:tc>
          <w:tcPr>
            <w:tcW w:w="2240" w:type="dxa"/>
            <w:vAlign w:val="bottom"/>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5080</wp:posOffset>
            </wp:positionV>
            <wp:extent cx="5023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4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185420</wp:posOffset>
            </wp:positionV>
            <wp:extent cx="5117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35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Securities Act (17 CFR 230.425)</w:t>
      </w:r>
    </w:p>
    <w:p>
      <w:pPr>
        <w:spacing w:after="0" w:line="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153" w:lineRule="exact"/>
        <w:rPr>
          <w:sz w:val="24"/>
          <w:szCs w:val="24"/>
          <w:color w:val="auto"/>
        </w:rPr>
      </w:pPr>
    </w:p>
    <w:p>
      <w:pPr>
        <w:jc w:val="both"/>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5.03</w:t>
      </w:r>
      <w:r>
        <w:rPr>
          <w:sz w:val="20"/>
          <w:szCs w:val="20"/>
          <w:color w:val="auto"/>
        </w:rPr>
        <w:tab/>
      </w:r>
      <w:r>
        <w:rPr>
          <w:rFonts w:ascii="Times New Roman" w:cs="Times New Roman" w:eastAsia="Times New Roman" w:hAnsi="Times New Roman"/>
          <w:sz w:val="19"/>
          <w:szCs w:val="19"/>
          <w:b w:val="1"/>
          <w:bCs w:val="1"/>
          <w:color w:val="auto"/>
        </w:rPr>
        <w:t>Amendments to Articles of Incorporation or Bylaws; Change in Fiscal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disclosed in Item 5.07 (below), on May 8, 2025, the shareholders of Itron, Inc. (the Company) approved amendments (the Amendments)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Company's Amended and Restated Articles of Incorporation (the Articles), effective immediately and, as follows:</w:t>
      </w:r>
    </w:p>
    <w:p>
      <w:pPr>
        <w:spacing w:after="0" w:line="234"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the authorized shares of common stock from 75,000,000 to 150,000,000 (Article 2)</w:t>
      </w:r>
    </w:p>
    <w:p>
      <w:pPr>
        <w:spacing w:after="0" w:line="94" w:lineRule="exact"/>
        <w:rPr>
          <w:rFonts w:ascii="Times New Roman" w:cs="Times New Roman" w:eastAsia="Times New Roman" w:hAnsi="Times New Roman"/>
          <w:sz w:val="20"/>
          <w:szCs w:val="20"/>
          <w:color w:val="auto"/>
        </w:rPr>
      </w:pPr>
    </w:p>
    <w:p>
      <w:pPr>
        <w:ind w:left="660" w:right="460" w:hanging="328"/>
        <w:spacing w:after="0" w:line="28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Removing language from the Articles relating to the designation of rights and preferences of Series R Participating Cumulative Preferred Stock, of which no shares are outstanding, and the designation is no longer needed (Article 2)</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the Articles to update the name and address of the registered agent (Article 3)</w:t>
      </w:r>
    </w:p>
    <w:p>
      <w:pPr>
        <w:spacing w:after="0" w:line="9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indemnification provisions providing that the Company will indemnify directors and officers to the fullest extent permitted by law (Article 9)</w:t>
      </w:r>
    </w:p>
    <w:p>
      <w:pPr>
        <w:spacing w:after="0" w:line="268"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auto"/>
        </w:rPr>
        <w:t>The foregoing description of the Amendment is qualified in its entirety by reference to the full text of the Articles, a copy of which is attached as Exhibit 3.1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5" w:right="39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Itron, Inc. (the Company) held its 2025 Annual Meeting of Shareholders (the Annual Meeting) on May 8, 2025. Six proposals were voted upon at the Annual Meeting. The proposals are described in detail in the Company's proxy statement filed with the Securities and Exchange Commission on March 24, 2025. Each of the proposals passed. The final results for the votes regarding each proposal are set forth below.</w:t>
      </w:r>
    </w:p>
    <w:p>
      <w:pPr>
        <w:spacing w:after="0" w:line="19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Proposal One:</w:t>
      </w:r>
      <w:r>
        <w:rPr>
          <w:sz w:val="20"/>
          <w:szCs w:val="20"/>
          <w:color w:val="auto"/>
        </w:rPr>
        <w:tab/>
      </w:r>
      <w:r>
        <w:rPr>
          <w:rFonts w:ascii="Times New Roman" w:cs="Times New Roman" w:eastAsia="Times New Roman" w:hAnsi="Times New Roman"/>
          <w:sz w:val="19"/>
          <w:szCs w:val="19"/>
          <w:color w:val="auto"/>
        </w:rPr>
        <w:t>The following nominee for Director was elected until her successor is duly elected and qualified: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Diana D. Tremblay</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36,052,290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2,208,307</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538,300</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2,496,286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Diana D. Tremblay was elected to hold office in Class 3 for a term of three years until the Company’s 2028 Annual Meeting.</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independent Directors, except for the Board Chair, serve on at least one committee. For further information regarding the composition of such committees, refer to Itron's investor relations website, at https://na.itron.com/leadership.</w:t>
      </w:r>
    </w:p>
    <w:p>
      <w:pPr>
        <w:spacing w:after="0" w:line="17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Proposal Two:</w:t>
      </w:r>
      <w:r>
        <w:rPr>
          <w:sz w:val="20"/>
          <w:szCs w:val="20"/>
          <w:color w:val="auto"/>
        </w:rPr>
        <w:tab/>
      </w:r>
      <w:r>
        <w:rPr>
          <w:rFonts w:ascii="Times New Roman" w:cs="Times New Roman" w:eastAsia="Times New Roman" w:hAnsi="Times New Roman"/>
          <w:sz w:val="19"/>
          <w:szCs w:val="19"/>
          <w:color w:val="auto"/>
        </w:rPr>
        <w:t>Approval of the advisory (non-binding) resolution relating to executive compensation.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37,490,452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1,044,373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2,496,286</w:t>
            </w:r>
          </w:p>
        </w:tc>
      </w:tr>
    </w:tbl>
    <w:p>
      <w:pPr>
        <w:spacing w:after="0" w:line="315" w:lineRule="exact"/>
        <w:rPr>
          <w:sz w:val="20"/>
          <w:szCs w:val="20"/>
          <w:color w:val="auto"/>
        </w:rPr>
      </w:pPr>
    </w:p>
    <w:p>
      <w:pPr>
        <w:jc w:val="both"/>
        <w:ind w:left="1300" w:right="20" w:hanging="1295"/>
        <w:spacing w:after="0" w:line="267" w:lineRule="auto"/>
        <w:tabs>
          <w:tab w:leader="none" w:pos="1280" w:val="left"/>
        </w:tabs>
        <w:rPr>
          <w:sz w:val="20"/>
          <w:szCs w:val="20"/>
          <w:color w:val="auto"/>
        </w:rPr>
      </w:pPr>
      <w:r>
        <w:rPr>
          <w:rFonts w:ascii="Times New Roman" w:cs="Times New Roman" w:eastAsia="Times New Roman" w:hAnsi="Times New Roman"/>
          <w:sz w:val="20"/>
          <w:szCs w:val="20"/>
          <w:color w:val="auto"/>
        </w:rPr>
        <w:t>Proposal Three:</w:t>
        <w:tab/>
        <w:t>Approval of an amendment to the Company's Amended and Restated Articles of Incorporation to increase the number of authorized shares of common stock.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40,916,569</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364,977</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w:t>
            </w:r>
          </w:p>
        </w:tc>
      </w:tr>
    </w:tbl>
    <w:p>
      <w:pPr>
        <w:spacing w:after="0" w:line="315" w:lineRule="exact"/>
        <w:rPr>
          <w:sz w:val="20"/>
          <w:szCs w:val="20"/>
          <w:color w:val="auto"/>
        </w:rPr>
      </w:pPr>
    </w:p>
    <w:p>
      <w:pPr>
        <w:jc w:val="both"/>
        <w:ind w:left="1300" w:hanging="1295"/>
        <w:spacing w:after="0" w:line="267" w:lineRule="auto"/>
        <w:tabs>
          <w:tab w:leader="none" w:pos="1280" w:val="left"/>
        </w:tabs>
        <w:rPr>
          <w:sz w:val="20"/>
          <w:szCs w:val="20"/>
          <w:color w:val="auto"/>
        </w:rPr>
      </w:pPr>
      <w:r>
        <w:rPr>
          <w:rFonts w:ascii="Times New Roman" w:cs="Times New Roman" w:eastAsia="Times New Roman" w:hAnsi="Times New Roman"/>
          <w:sz w:val="20"/>
          <w:szCs w:val="20"/>
          <w:color w:val="auto"/>
        </w:rPr>
        <w:t>Proposal Four:</w:t>
        <w:tab/>
        <w:t>Approval of amendments to the Company's Amended and Restated Articles of Incorporation to make certain technical and administrative changes.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41,246,420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w:t>
            </w:r>
          </w:p>
        </w:tc>
      </w:tr>
    </w:tbl>
    <w:p>
      <w:pPr>
        <w:spacing w:after="0" w:line="301" w:lineRule="exact"/>
        <w:rPr>
          <w:sz w:val="20"/>
          <w:szCs w:val="20"/>
          <w:color w:val="auto"/>
        </w:rPr>
      </w:pPr>
    </w:p>
    <w:p>
      <w:pPr>
        <w:jc w:val="both"/>
        <w:ind w:left="1300" w:hanging="1295"/>
        <w:spacing w:after="0" w:line="274" w:lineRule="auto"/>
        <w:tabs>
          <w:tab w:leader="none" w:pos="1280" w:val="left"/>
        </w:tabs>
        <w:rPr>
          <w:sz w:val="20"/>
          <w:szCs w:val="20"/>
          <w:color w:val="auto"/>
        </w:rPr>
      </w:pPr>
      <w:r>
        <w:rPr>
          <w:rFonts w:ascii="Times New Roman" w:cs="Times New Roman" w:eastAsia="Times New Roman" w:hAnsi="Times New Roman"/>
          <w:sz w:val="20"/>
          <w:szCs w:val="20"/>
          <w:color w:val="auto"/>
        </w:rPr>
        <w:t>Proposal Five:</w:t>
        <w:tab/>
        <w:t>Approval of an amendment to the Company's Amended and Restated Articles of Incorporation to include indemnification provisions.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37,890,301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891,108</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2,496,286</w:t>
            </w:r>
          </w:p>
        </w:tc>
      </w:tr>
    </w:tbl>
    <w:p>
      <w:pPr>
        <w:spacing w:after="0" w:line="301" w:lineRule="exact"/>
        <w:rPr>
          <w:sz w:val="20"/>
          <w:szCs w:val="20"/>
          <w:color w:val="auto"/>
        </w:rPr>
      </w:pPr>
    </w:p>
    <w:p>
      <w:pPr>
        <w:jc w:val="both"/>
        <w:ind w:left="1300" w:hanging="1295"/>
        <w:spacing w:after="0" w:line="267" w:lineRule="auto"/>
        <w:tabs>
          <w:tab w:leader="none" w:pos="1280" w:val="left"/>
        </w:tabs>
        <w:rPr>
          <w:sz w:val="20"/>
          <w:szCs w:val="20"/>
          <w:color w:val="auto"/>
        </w:rPr>
      </w:pPr>
      <w:r>
        <w:rPr>
          <w:rFonts w:ascii="Times New Roman" w:cs="Times New Roman" w:eastAsia="Times New Roman" w:hAnsi="Times New Roman"/>
          <w:sz w:val="20"/>
          <w:szCs w:val="20"/>
          <w:color w:val="auto"/>
        </w:rPr>
        <w:t>Proposal Six:</w:t>
        <w:tab/>
        <w:t>Ratification of the appointment of Deloitte &amp; Touche LLP as the Company's independent registered public accounting firm for the 2025 fiscal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39,845,778</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1,433,311</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20" w:type="dxa"/>
            <w:vAlign w:val="bottom"/>
          </w:tcPr>
          <w:p>
            <w:pPr>
              <w:spacing w:after="0"/>
              <w:rPr>
                <w:sz w:val="19"/>
                <w:szCs w:val="19"/>
                <w:color w:val="auto"/>
              </w:rPr>
            </w:pPr>
          </w:p>
        </w:tc>
      </w:tr>
      <w:tr>
        <w:trPr>
          <w:trHeight w:val="1222"/>
        </w:trPr>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w:t>
            </w:r>
          </w:p>
        </w:tc>
        <w:tc>
          <w:tcPr>
            <w:tcW w:w="102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Exhibits.</w:t>
            </w:r>
          </w:p>
        </w:tc>
      </w:tr>
      <w:tr>
        <w:trPr>
          <w:trHeight w:val="205"/>
        </w:trPr>
        <w:tc>
          <w:tcPr>
            <w:tcW w:w="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0"/>
                <w:szCs w:val="20"/>
                <w:color w:val="auto"/>
              </w:rPr>
            </w:pPr>
          </w:p>
        </w:tc>
      </w:tr>
      <w:tr>
        <w:trPr>
          <w:trHeight w:val="42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9"/>
              </w:rPr>
              <w:t>Amended and Restated Articles of Incorporation of Itron, Inc., as amended effective May 8, 2025.</w:t>
            </w:r>
          </w:p>
        </w:tc>
        <w:tc>
          <w:tcPr>
            <w:tcW w:w="2580" w:type="dxa"/>
            <w:vAlign w:val="bottom"/>
            <w:gridSpan w:val="2"/>
          </w:tcPr>
          <w:p>
            <w:pPr>
              <w:spacing w:after="0"/>
              <w:rPr>
                <w:sz w:val="24"/>
                <w:szCs w:val="24"/>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35"/>
        </w:trPr>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Itron, Inc.</w:t>
            </w:r>
          </w:p>
        </w:tc>
        <w:tc>
          <w:tcPr>
            <w:tcW w:w="6240" w:type="dxa"/>
            <w:vAlign w:val="bottom"/>
          </w:tcPr>
          <w:p>
            <w:pPr>
              <w:spacing w:after="0"/>
              <w:rPr>
                <w:sz w:val="22"/>
                <w:szCs w:val="22"/>
                <w:color w:val="auto"/>
              </w:rPr>
            </w:pPr>
          </w:p>
        </w:tc>
      </w:tr>
      <w:tr>
        <w:trPr>
          <w:trHeight w:val="487"/>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CHRISTOPHER E. WARE</w:t>
            </w:r>
          </w:p>
        </w:tc>
      </w:tr>
      <w:tr>
        <w:trPr>
          <w:trHeight w:val="24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Dated: May 9, 2025</w:t>
            </w: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Christopher E. Ware</w:t>
            </w:r>
          </w:p>
        </w:tc>
      </w:tr>
      <w:tr>
        <w:trPr>
          <w:trHeight w:val="198"/>
        </w:trPr>
        <w:tc>
          <w:tcPr>
            <w:tcW w:w="4940" w:type="dxa"/>
            <w:vAlign w:val="bottom"/>
          </w:tcPr>
          <w:p>
            <w:pPr>
              <w:spacing w:after="0"/>
              <w:rPr>
                <w:sz w:val="17"/>
                <w:szCs w:val="17"/>
                <w:color w:val="auto"/>
              </w:rPr>
            </w:pPr>
          </w:p>
        </w:tc>
        <w:tc>
          <w:tcPr>
            <w:tcW w:w="624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Senior Vice President, General Counsel</w:t>
            </w:r>
          </w:p>
        </w:tc>
      </w:tr>
      <w:tr>
        <w:trPr>
          <w:trHeight w:val="258"/>
        </w:trPr>
        <w:tc>
          <w:tcPr>
            <w:tcW w:w="4940" w:type="dxa"/>
            <w:vAlign w:val="bottom"/>
          </w:tcPr>
          <w:p>
            <w:pPr>
              <w:spacing w:after="0"/>
              <w:rPr>
                <w:sz w:val="22"/>
                <w:szCs w:val="22"/>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and Corporate Secretary</w:t>
            </w:r>
          </w:p>
        </w:tc>
      </w:tr>
    </w:tbl>
    <w:p>
      <w:pPr>
        <w:sectPr>
          <w:pgSz w:w="11900" w:h="16838" w:orient="portrait"/>
          <w:cols w:equalWidth="0" w:num="1">
            <w:col w:w="11240"/>
          </w:cols>
          <w:pgMar w:left="320" w:top="93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CERTIFICATE ACCOMPANYING</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ARTICLES OF INCORPORATION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Pursuant to RCW 23B.10.070, the undersigned hereby certifies on behalf of Itron, Inc., a Washington corporation (the "Corporation"), as follows:</w:t>
      </w:r>
    </w:p>
    <w:p>
      <w:pPr>
        <w:spacing w:after="0" w:line="158" w:lineRule="exact"/>
        <w:rPr>
          <w:sz w:val="20"/>
          <w:szCs w:val="20"/>
          <w:color w:val="auto"/>
        </w:rPr>
      </w:pPr>
    </w:p>
    <w:p>
      <w:pPr>
        <w:ind w:left="1040" w:hanging="384"/>
        <w:spacing w:after="0"/>
        <w:tabs>
          <w:tab w:leader="none" w:pos="1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Itron, Inc.</w:t>
      </w:r>
    </w:p>
    <w:p>
      <w:pPr>
        <w:spacing w:after="0" w:line="219" w:lineRule="exact"/>
        <w:rPr>
          <w:rFonts w:ascii="Times New Roman" w:cs="Times New Roman" w:eastAsia="Times New Roman" w:hAnsi="Times New Roman"/>
          <w:sz w:val="22"/>
          <w:szCs w:val="22"/>
          <w:color w:val="auto"/>
        </w:rPr>
      </w:pPr>
    </w:p>
    <w:p>
      <w:pPr>
        <w:ind w:right="40" w:firstLine="656"/>
        <w:spacing w:after="0" w:line="258" w:lineRule="auto"/>
        <w:tabs>
          <w:tab w:leader="none" w:pos="102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Articles of Incorporation of the Corporation, as amended, are amended and restated in their entirety to read as set forth in the attached Amended and Restated Articles of Incorporation.</w:t>
      </w:r>
    </w:p>
    <w:p>
      <w:pPr>
        <w:spacing w:after="0" w:line="171" w:lineRule="exact"/>
        <w:rPr>
          <w:rFonts w:ascii="Times New Roman" w:cs="Times New Roman" w:eastAsia="Times New Roman" w:hAnsi="Times New Roman"/>
          <w:sz w:val="22"/>
          <w:szCs w:val="22"/>
          <w:color w:val="auto"/>
        </w:rPr>
      </w:pPr>
    </w:p>
    <w:p>
      <w:pPr>
        <w:ind w:right="520" w:firstLine="656"/>
        <w:spacing w:after="0" w:line="282" w:lineRule="auto"/>
        <w:tabs>
          <w:tab w:leader="none" w:pos="10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 was duly adopted by the Board of Directors of the Corporation on February 18, 2025. This amendment was duly approved by the shareholders in accordance with the provisions of RCW 23B.10.030 and 23B.10.040.</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Amended and Restated Articles of Incorporation are executed by the Corporation by its duly authorized officer.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Dated: May 8, 2025.</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Christopher E.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558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2"/>
          <w:szCs w:val="22"/>
          <w:color w:val="auto"/>
        </w:rPr>
        <w:t>Christopher E. Ware</w:t>
      </w:r>
    </w:p>
    <w:p>
      <w:pPr>
        <w:ind w:left="4220"/>
        <w:spacing w:after="0"/>
        <w:rPr>
          <w:sz w:val="20"/>
          <w:szCs w:val="20"/>
          <w:color w:val="auto"/>
        </w:rPr>
      </w:pPr>
      <w:r>
        <w:rPr>
          <w:rFonts w:ascii="Times New Roman" w:cs="Times New Roman" w:eastAsia="Times New Roman" w:hAnsi="Times New Roman"/>
          <w:sz w:val="22"/>
          <w:szCs w:val="22"/>
          <w:color w:val="auto"/>
        </w:rPr>
        <w:t>Secretary</w:t>
      </w:r>
    </w:p>
    <w:p>
      <w:pPr>
        <w:sectPr>
          <w:pgSz w:w="11900" w:h="16838" w:orient="portrait"/>
          <w:cols w:equalWidth="0" w:num="1">
            <w:col w:w="11240"/>
          </w:cols>
          <w:pgMar w:left="320" w:top="122" w:right="339" w:bottom="1440" w:gutter="0" w:footer="0" w:header="0"/>
        </w:sectPr>
      </w:pPr>
    </w:p>
    <w:bookmarkStart w:id="6" w:name="page7"/>
    <w:bookmarkEnd w:id="6"/>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ARTICLES OF INCORPORATION</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24" w:lineRule="exact"/>
        <w:rPr>
          <w:sz w:val="20"/>
          <w:szCs w:val="20"/>
          <w:color w:val="auto"/>
        </w:rPr>
      </w:pPr>
    </w:p>
    <w:p>
      <w:pPr>
        <w:ind w:right="840" w:firstLine="648"/>
        <w:spacing w:after="0" w:line="284" w:lineRule="auto"/>
        <w:rPr>
          <w:sz w:val="20"/>
          <w:szCs w:val="20"/>
          <w:color w:val="auto"/>
        </w:rPr>
      </w:pPr>
      <w:r>
        <w:rPr>
          <w:rFonts w:ascii="Times New Roman" w:cs="Times New Roman" w:eastAsia="Times New Roman" w:hAnsi="Times New Roman"/>
          <w:sz w:val="22"/>
          <w:szCs w:val="22"/>
          <w:color w:val="auto"/>
        </w:rPr>
        <w:t>Pursuant to RCW 23B.10.070, the following constitutes Amended and Restated Articles of Incorporation of the undersigned, a Washington corporation.</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1. NAME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this corporation is Itron, Inc.</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2. SHARES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Authorized Capital</w:t>
      </w:r>
    </w:p>
    <w:p>
      <w:pPr>
        <w:spacing w:after="0" w:line="224" w:lineRule="exact"/>
        <w:rPr>
          <w:sz w:val="20"/>
          <w:szCs w:val="20"/>
          <w:color w:val="auto"/>
        </w:rPr>
      </w:pPr>
    </w:p>
    <w:p>
      <w:pPr>
        <w:jc w:val="both"/>
        <w:ind w:right="60" w:firstLine="648"/>
        <w:spacing w:after="0" w:line="263" w:lineRule="auto"/>
        <w:rPr>
          <w:sz w:val="20"/>
          <w:szCs w:val="20"/>
          <w:color w:val="auto"/>
        </w:rPr>
      </w:pPr>
      <w:r>
        <w:rPr>
          <w:rFonts w:ascii="Times New Roman" w:cs="Times New Roman" w:eastAsia="Times New Roman" w:hAnsi="Times New Roman"/>
          <w:sz w:val="22"/>
          <w:szCs w:val="22"/>
          <w:color w:val="auto"/>
        </w:rPr>
        <w:t>The total number of shares which the corporation is authorized to issue is 160,000,000, consisting of 150,000,000 shares of Common Stock without par value and 10,000,000 shares of Preferred Stock without par value. The Common Stock is subject to the rights and preferences of the Preferred Stock as hereinafter set forth.</w:t>
      </w:r>
    </w:p>
    <w:p>
      <w:pPr>
        <w:spacing w:after="0" w:line="16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Issuance of Preferred Stock in Series</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Preferred Stock may be issued from time to time in one or more series in any manner permitted by law and the provisions of these Articles of Incorporation of the corporation, as determined from time to time by the Board of Directors and stated in the resolution or resolutions providing for the issuance thereof, prior to the issuance of any shares thereof. The Board of Directors shall have the authority to fix and determine and to amend, subject to the provisions hereof, the designation, preferences, limitations and relative rights of the shares of any series that is wholly unissued or to be established. Unless otherwise specifically provided in the resolution establishing any series, the Board of Directors shall further have the authority, after the issuance of shares of a series whose number it has designated, to amend the resolution establishing such series to decrease the number of shares of that series, but not below the number of shares of such series then outstanding.</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Dividends</w:t>
      </w:r>
    </w:p>
    <w:p>
      <w:pPr>
        <w:spacing w:after="0" w:line="22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The holders of shares of the Preferred Stock shall be entitled to receive dividends, out of the funds of the corporation legally available therefor, at the rate and at the time or times, whether cumulative or noncumulative, as may be provided by the Board of Directors in designating a particular series of Preferred Stock. If such dividends on the Preferred Stock shall be cumulative, then if dividends shall not have been paid, the deficiency shall be fully paid or the dividends declared and set apart for payment at such rate, but without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1440" w:right="439" w:bottom="1440" w:gutter="0" w:footer="0" w:header="0"/>
        </w:sectPr>
      </w:pPr>
    </w:p>
    <w:bookmarkStart w:id="7" w:name="page8"/>
    <w:bookmarkEnd w:id="7"/>
    <w:p>
      <w:pPr>
        <w:spacing w:after="0" w:line="200" w:lineRule="exact"/>
        <w:rPr>
          <w:sz w:val="20"/>
          <w:szCs w:val="20"/>
          <w:color w:val="auto"/>
        </w:rPr>
      </w:pPr>
    </w:p>
    <w:p>
      <w:pPr>
        <w:spacing w:after="0" w:line="349"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2"/>
          <w:szCs w:val="22"/>
          <w:color w:val="auto"/>
        </w:rPr>
        <w:t>cumulative dividends, before any dividends on the Common Stock shall be paid or declared and set apart for payment. The holders of the Preferred Stock shall not be entitled to receive any dividends thereon other than the dividends referred to in this section.</w:t>
      </w:r>
    </w:p>
    <w:p>
      <w:pPr>
        <w:spacing w:after="0" w:line="16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Redemption</w:t>
      </w:r>
    </w:p>
    <w:p>
      <w:pPr>
        <w:spacing w:after="0" w:line="224"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auto"/>
        </w:rPr>
        <w:t>The Preferred Stock may be redeemable at such price, in such amount, and at such time or times as may be provided by the Board of Directors in designating a particular series of Preferred Stock. In any event, such Preferred Stock may be repurchased by the corporation to the extent legally permissible.</w:t>
      </w:r>
    </w:p>
    <w:p>
      <w:pPr>
        <w:spacing w:after="0" w:line="16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Liquidation</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In the event of any liquidation, dissolution, or winding up of the affairs of the corporation, whether voluntary or involuntary, then, before any distribution shall be made to the holders of the Common Stock, the holders of the Preferred Stock at the time outstanding shall be entitled to be paid the preferential amount or amounts per share as may be provided by the Board of Directors in designating a particular series of Preferred Stock and dividends accrued thereon to the date of such payment. The holders of the Preferred Stock shall not be entitled to receive any distributive amounts upon the liquidation, dissolution, or winding up of the affairs of the corporation other than the distributive amounts referred to in this section, unless otherwise provided by the Board of Directors in designating a particular series of Preferred Stock.</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Conversion</w:t>
      </w:r>
    </w:p>
    <w:p>
      <w:pPr>
        <w:spacing w:after="0" w:line="237"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Shares of Preferred Stock may be convertible into Common Stock of the corporation upon such terms and conditions, at such rate and subject to such adjustments as may be provided by the Board of Directors in designating a particular series of Preferred Stock.</w:t>
      </w:r>
    </w:p>
    <w:p>
      <w:pPr>
        <w:spacing w:after="0" w:line="16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Voting Rights</w:t>
      </w:r>
    </w:p>
    <w:p>
      <w:pPr>
        <w:spacing w:after="0" w:line="224"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22"/>
          <w:szCs w:val="22"/>
          <w:color w:val="auto"/>
        </w:rPr>
        <w:t>Holders of Preferred Stock shall have such voting rights as may be provided by the Board of Directors in designating a particular series of Preferred Stock.</w:t>
      </w:r>
    </w:p>
    <w:p>
      <w:pPr>
        <w:spacing w:after="0" w:line="14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ARTICLE 3. REGISTERED OFFICE AND AGENT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registered agent of this corporation and the address of its registered office are as follows:</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National Registered Agents,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711 Capitol Way South, Suite 204</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Olympia, Washington 98501-1267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40" w:right="379" w:bottom="1440" w:gutter="0" w:footer="0" w:header="0"/>
        </w:sectPr>
      </w:pPr>
    </w:p>
    <w:bookmarkStart w:id="8" w:name="page9"/>
    <w:bookmarkEnd w:id="8"/>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4. PREEMPTIVE RIGHTS</w:t>
      </w:r>
    </w:p>
    <w:p>
      <w:pPr>
        <w:spacing w:after="0" w:line="224"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No preemptive rights shall exist with respect to shares of stock or securities convertible into shares of stock of this corporation.</w:t>
      </w:r>
    </w:p>
    <w:p>
      <w:pPr>
        <w:spacing w:after="0" w:line="1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ARTICLE 5. CUMULATIVE VOTING</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right to cumulate votes in the election of Directors shall not exist with respect to shares of stock of this corporation.</w:t>
      </w: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6. DIRECTORS</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number of Directors of this corporation shall be determined in the manner provided by the Bylaws and may be increased or decreased from time to time in the manner provided therein. The Directors of this corporation may be removed only for cause in the manner provided by the Bylaws.</w:t>
      </w:r>
    </w:p>
    <w:p>
      <w:pPr>
        <w:spacing w:after="0" w:line="173"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22"/>
          <w:szCs w:val="22"/>
          <w:color w:val="auto"/>
        </w:rPr>
        <w:t>At the 1992 annual election of Directors, the Board of Directors shall be divided into three classes (said classes to be as equal in number as may be possible) with the following classes being elected for the terms set forth below:</w:t>
      </w:r>
    </w:p>
    <w:tbl>
      <w:tblPr>
        <w:tblLayout w:type="fixed"/>
        <w:tblInd w:w="3540" w:type="dxa"/>
        <w:tblCellMar>
          <w:top w:w="0" w:type="dxa"/>
          <w:left w:w="0" w:type="dxa"/>
          <w:bottom w:w="0" w:type="dxa"/>
          <w:right w:w="0" w:type="dxa"/>
        </w:tblCellMar>
      </w:tblPr>
      <w:tr>
        <w:trPr>
          <w:trHeight w:val="235"/>
        </w:trPr>
        <w:tc>
          <w:tcPr>
            <w:tcW w:w="60" w:type="dxa"/>
            <w:vAlign w:val="bottom"/>
          </w:tcPr>
          <w:p>
            <w:pPr>
              <w:spacing w:after="0"/>
              <w:rPr>
                <w:sz w:val="20"/>
                <w:szCs w:val="20"/>
                <w:color w:val="auto"/>
              </w:rPr>
            </w:pPr>
          </w:p>
        </w:tc>
        <w:tc>
          <w:tcPr>
            <w:tcW w:w="2380" w:type="dxa"/>
            <w:vAlign w:val="bottom"/>
            <w:gridSpan w:val="2"/>
          </w:tcPr>
          <w:p>
            <w:pPr>
              <w:jc w:val="center"/>
              <w:ind w:right="1880"/>
              <w:spacing w:after="0" w:line="236"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880" w:type="dxa"/>
            <w:vAlign w:val="bottom"/>
          </w:tcPr>
          <w:p>
            <w:pPr>
              <w:spacing w:after="0"/>
              <w:rPr>
                <w:sz w:val="20"/>
                <w:szCs w:val="20"/>
                <w:color w:val="auto"/>
              </w:rPr>
            </w:pPr>
          </w:p>
        </w:tc>
        <w:tc>
          <w:tcPr>
            <w:tcW w:w="560" w:type="dxa"/>
            <w:vAlign w:val="bottom"/>
            <w:gridSpan w:val="2"/>
          </w:tcPr>
          <w:p>
            <w:pPr>
              <w:jc w:val="center"/>
              <w:ind w:right="60"/>
              <w:spacing w:after="0" w:line="236" w:lineRule="exact"/>
              <w:rPr>
                <w:sz w:val="20"/>
                <w:szCs w:val="20"/>
                <w:color w:val="auto"/>
              </w:rPr>
            </w:pPr>
            <w:r>
              <w:rPr>
                <w:rFonts w:ascii="Times New Roman" w:cs="Times New Roman" w:eastAsia="Times New Roman" w:hAnsi="Times New Roman"/>
                <w:sz w:val="22"/>
                <w:szCs w:val="22"/>
                <w:b w:val="1"/>
                <w:bCs w:val="1"/>
                <w:color w:val="auto"/>
                <w:w w:val="95"/>
              </w:rPr>
              <w:t>Term</w:t>
            </w: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3"/>
        </w:trPr>
        <w:tc>
          <w:tcPr>
            <w:tcW w:w="244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9"/>
              </w:rPr>
              <w:t>Class 1</w:t>
            </w:r>
          </w:p>
        </w:tc>
        <w:tc>
          <w:tcPr>
            <w:tcW w:w="2440" w:type="dxa"/>
            <w:vAlign w:val="bottom"/>
            <w:gridSpan w:val="3"/>
          </w:tcPr>
          <w:p>
            <w:pPr>
              <w:jc w:val="center"/>
              <w:ind w:left="1712"/>
              <w:spacing w:after="0"/>
              <w:rPr>
                <w:sz w:val="20"/>
                <w:szCs w:val="20"/>
                <w:color w:val="auto"/>
              </w:rPr>
            </w:pPr>
            <w:r>
              <w:rPr>
                <w:rFonts w:ascii="Times New Roman" w:cs="Times New Roman" w:eastAsia="Times New Roman" w:hAnsi="Times New Roman"/>
                <w:sz w:val="22"/>
                <w:szCs w:val="22"/>
                <w:color w:val="auto"/>
                <w:w w:val="99"/>
              </w:rPr>
              <w:t>1 year</w:t>
            </w:r>
          </w:p>
        </w:tc>
      </w:tr>
      <w:tr>
        <w:trPr>
          <w:trHeight w:val="339"/>
        </w:trPr>
        <w:tc>
          <w:tcPr>
            <w:tcW w:w="244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9"/>
              </w:rPr>
              <w:t>Class 2</w:t>
            </w:r>
          </w:p>
        </w:tc>
        <w:tc>
          <w:tcPr>
            <w:tcW w:w="2440" w:type="dxa"/>
            <w:vAlign w:val="bottom"/>
            <w:gridSpan w:val="3"/>
          </w:tcPr>
          <w:p>
            <w:pPr>
              <w:jc w:val="center"/>
              <w:ind w:left="1712"/>
              <w:spacing w:after="0"/>
              <w:rPr>
                <w:sz w:val="20"/>
                <w:szCs w:val="20"/>
                <w:color w:val="auto"/>
              </w:rPr>
            </w:pPr>
            <w:r>
              <w:rPr>
                <w:rFonts w:ascii="Times New Roman" w:cs="Times New Roman" w:eastAsia="Times New Roman" w:hAnsi="Times New Roman"/>
                <w:sz w:val="22"/>
                <w:szCs w:val="22"/>
                <w:color w:val="auto"/>
                <w:w w:val="98"/>
              </w:rPr>
              <w:t>2 years</w:t>
            </w:r>
          </w:p>
        </w:tc>
      </w:tr>
      <w:tr>
        <w:trPr>
          <w:trHeight w:val="282"/>
        </w:trPr>
        <w:tc>
          <w:tcPr>
            <w:tcW w:w="244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9"/>
              </w:rPr>
              <w:t>Class 3</w:t>
            </w:r>
          </w:p>
        </w:tc>
        <w:tc>
          <w:tcPr>
            <w:tcW w:w="2440" w:type="dxa"/>
            <w:vAlign w:val="bottom"/>
            <w:gridSpan w:val="3"/>
          </w:tcPr>
          <w:p>
            <w:pPr>
              <w:jc w:val="center"/>
              <w:ind w:left="1712"/>
              <w:spacing w:after="0"/>
              <w:rPr>
                <w:sz w:val="20"/>
                <w:szCs w:val="20"/>
                <w:color w:val="auto"/>
              </w:rPr>
            </w:pPr>
            <w:r>
              <w:rPr>
                <w:rFonts w:ascii="Times New Roman" w:cs="Times New Roman" w:eastAsia="Times New Roman" w:hAnsi="Times New Roman"/>
                <w:sz w:val="22"/>
                <w:szCs w:val="22"/>
                <w:color w:val="auto"/>
                <w:w w:val="98"/>
              </w:rPr>
              <w:t>3 years</w:t>
            </w:r>
          </w:p>
        </w:tc>
      </w:tr>
    </w:tbl>
    <w:p>
      <w:pPr>
        <w:spacing w:after="0" w:line="12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Subsequent to the 1992 annual election of Directors, a Director's term shall be three years, and each Director shall serve for the term for which he or she was elected, or until his or her successor shall have been elected and qualified, or until his or her death, resignation or removal from office; provided, however, that despite the expiration of a Director's term,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7. BYLAWS</w:t>
      </w:r>
    </w:p>
    <w:p>
      <w:pPr>
        <w:spacing w:after="0" w:line="224" w:lineRule="exact"/>
        <w:rPr>
          <w:sz w:val="20"/>
          <w:szCs w:val="20"/>
          <w:color w:val="auto"/>
        </w:rPr>
      </w:pPr>
    </w:p>
    <w:p>
      <w:pPr>
        <w:ind w:right="260" w:firstLine="648"/>
        <w:spacing w:after="0" w:line="263" w:lineRule="auto"/>
        <w:rPr>
          <w:sz w:val="20"/>
          <w:szCs w:val="20"/>
          <w:color w:val="auto"/>
        </w:rPr>
      </w:pPr>
      <w:r>
        <w:rPr>
          <w:rFonts w:ascii="Times New Roman" w:cs="Times New Roman" w:eastAsia="Times New Roman" w:hAnsi="Times New Roman"/>
          <w:sz w:val="22"/>
          <w:szCs w:val="22"/>
          <w:color w:val="auto"/>
        </w:rPr>
        <w:t>The Board of Directors shall have the power to adopt, amend or repeal the Bylaws of this corporation, subject to the power of the shareholders to amend or repeal such Bylaws. The shareholders shall also have the power to amend or repeal the Bylaws of this corporation and to adopt new Bylaws.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8. AMENDMENTS TO ARTICLES OF INCORPORATION</w:t>
      </w:r>
    </w:p>
    <w:p>
      <w:pPr>
        <w:spacing w:after="0" w:line="224"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2"/>
          <w:szCs w:val="22"/>
          <w:color w:val="auto"/>
        </w:rPr>
        <w:t>This corporation reserves the right to amend or repeal any of the provisions contained in these Amended and Restated Articles of Incorporation in any manner now or hereafter permitted by law, and the rights of the shareholders of this corporation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1440" w:right="439" w:bottom="1440" w:gutter="0" w:footer="0" w:header="0"/>
        </w:sectPr>
      </w:pPr>
    </w:p>
    <w:bookmarkStart w:id="9" w:name="page10"/>
    <w:bookmarkEnd w:id="9"/>
    <w:p>
      <w:pPr>
        <w:spacing w:after="0" w:line="200" w:lineRule="exact"/>
        <w:rPr>
          <w:sz w:val="20"/>
          <w:szCs w:val="20"/>
          <w:color w:val="auto"/>
        </w:rPr>
      </w:pPr>
    </w:p>
    <w:p>
      <w:pPr>
        <w:spacing w:after="0" w:line="3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ARTICLE 9. LIMITATION OF DIRECTOR LIABILITY AND INDEMNIFICATION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Limitation of Liability</w:t>
      </w:r>
    </w:p>
    <w:p>
      <w:pPr>
        <w:spacing w:after="0" w:line="22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To the full extent that the Washington Business Corporation Act, as it exists on the date hereof or may hereafter be amended, permits the limitation or elimination of the liability of Directors, a Director of this corporation shall not be liable to this corporation or its shareholders for monetary damages for conduct as a Director.</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Indemnification</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This corporation shall indemnify, to the fullest extent permitted by law, any individual made a party to a proceeding because that individual is or was a Director or Officer of this corporation and shall advance or reimburse the expenses incurred by such individual in advance of final disposition of the proceeding, without regard to the limitations in RCW 23B.08.510 through 23B.08.550 of the Washington Business Corporation Act or any successor provision, or any other limitation which may hereafter be enacted to the extent such limitation may be disregarded if authorized by the Articles of Incorporation.</w:t>
      </w:r>
    </w:p>
    <w:p>
      <w:pPr>
        <w:spacing w:after="0" w:line="19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Change in Rights</w:t>
      </w:r>
    </w:p>
    <w:p>
      <w:pPr>
        <w:spacing w:after="0" w:line="224"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Any amendments to or repeal of this Article 9 shall not adversely affect any right or protection of any individual because that individual is or was a Director or Officer of this corporation for or with respect to any acts or omissions of such individual occurring prior to such amendment or repeal.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Dated: May 8, 2025</w:t>
      </w:r>
    </w:p>
    <w:p>
      <w:pPr>
        <w:spacing w:after="0" w:line="200" w:lineRule="exact"/>
        <w:rPr>
          <w:sz w:val="20"/>
          <w:szCs w:val="20"/>
          <w:color w:val="auto"/>
        </w:rPr>
      </w:pPr>
    </w:p>
    <w:p>
      <w:pPr>
        <w:spacing w:after="0" w:line="30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/s/ Christopher E.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-13970</wp:posOffset>
            </wp:positionV>
            <wp:extent cx="1558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8290" cy="8890"/>
                    </a:xfrm>
                    <a:prstGeom prst="rect">
                      <a:avLst/>
                    </a:prstGeom>
                    <a:noFill/>
                  </pic:spPr>
                </pic:pic>
              </a:graphicData>
            </a:graphic>
          </wp:anchor>
        </w:drawing>
      </w:r>
    </w:p>
    <w:p>
      <w:pPr>
        <w:spacing w:after="0" w:line="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Christopher E. Ware,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2025-05-09T11:25:20Z</dcterms:created>
  <dcterms:modified xsi:type="dcterms:W3CDTF">2025-05-09T11:25:20Z</dcterms:modified>
</cp:coreProperties>
</file>