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509270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415925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71" w:lineRule="exact"/>
        <w:rPr>
          <w:sz w:val="24"/>
          <w:szCs w:val="24"/>
          <w:color w:val="auto"/>
        </w:rPr>
      </w:pPr>
    </w:p>
    <w:p>
      <w:pPr>
        <w:ind w:left="660" w:right="1540" w:hanging="625"/>
        <w:spacing w:after="0" w:line="276" w:lineRule="auto"/>
        <w:tabs>
          <w:tab w:leader="none" w:pos="72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855"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855"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855"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855" w:right="239" w:bottom="1440" w:gutter="0" w:footer="0" w:header="0"/>
          <w:type w:val="continuous"/>
        </w:sectPr>
      </w:pPr>
    </w:p>
    <w:p>
      <w:pPr>
        <w:spacing w:after="0" w:line="175" w:lineRule="exact"/>
        <w:rPr>
          <w:sz w:val="24"/>
          <w:szCs w:val="24"/>
          <w:color w:val="auto"/>
        </w:rPr>
      </w:pPr>
    </w:p>
    <w:p>
      <w:pPr>
        <w:ind w:left="226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460" w:space="720"/>
            <w:col w:w="3240"/>
          </w:cols>
          <w:pgMar w:left="240" w:top="855" w:right="239" w:bottom="1440" w:gutter="0" w:footer="0" w:header="0"/>
          <w:type w:val="continuous"/>
        </w:sectPr>
      </w:pPr>
    </w:p>
    <w:p>
      <w:pPr>
        <w:ind w:left="182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320" w:space="720"/>
            <w:col w:w="4380"/>
          </w:cols>
          <w:pgMar w:left="240" w:top="855" w:right="2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287655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company,”and “emerging growth company” in Rule 12b-2 of the Exchange Act.</w:t>
      </w:r>
    </w:p>
    <w:p>
      <w:pPr>
        <w:spacing w:after="0" w:line="311" w:lineRule="exact"/>
        <w:rPr>
          <w:sz w:val="24"/>
          <w:szCs w:val="24"/>
          <w:color w:val="auto"/>
        </w:rPr>
      </w:pPr>
    </w:p>
    <w:tbl>
      <w:tblPr>
        <w:tblLayout w:type="fixed"/>
        <w:tblInd w:w="26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spacing w:after="0"/>
              <w:rPr>
                <w:sz w:val="23"/>
                <w:szCs w:val="23"/>
                <w:color w:val="auto"/>
              </w:rPr>
            </w:pPr>
          </w:p>
        </w:tc>
        <w:tc>
          <w:tcPr>
            <w:tcW w:w="3080" w:type="dxa"/>
            <w:vAlign w:val="bottom"/>
          </w:tcPr>
          <w:p>
            <w:pPr>
              <w:ind w:left="62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6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140"/>
              <w:spacing w:after="0"/>
              <w:rPr>
                <w:sz w:val="20"/>
                <w:szCs w:val="20"/>
                <w:color w:val="auto"/>
              </w:rPr>
            </w:pPr>
            <w:r>
              <w:rPr>
                <w:rFonts w:ascii="Arial" w:cs="Arial" w:eastAsia="Arial" w:hAnsi="Arial"/>
                <w:sz w:val="18"/>
                <w:szCs w:val="18"/>
                <w:color w:val="auto"/>
              </w:rPr>
              <w:t>(Do not check if a smaller reporting company)</w:t>
            </w:r>
          </w:p>
        </w:tc>
        <w:tc>
          <w:tcPr>
            <w:tcW w:w="3080" w:type="dxa"/>
            <w:vAlign w:val="bottom"/>
          </w:tcPr>
          <w:p>
            <w:pPr>
              <w:ind w:left="62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080" w:type="dxa"/>
            <w:vAlign w:val="bottom"/>
          </w:tcPr>
          <w:p>
            <w:pPr>
              <w:ind w:left="62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2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June 30, 2017, there were outstanding 38,700,680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5"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1560"/>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200" w:lineRule="exact"/>
        <w:rPr>
          <w:sz w:val="20"/>
          <w:szCs w:val="20"/>
          <w:color w:val="auto"/>
        </w:rPr>
      </w:pPr>
    </w:p>
    <w:p>
      <w:pPr>
        <w:spacing w:after="0" w:line="25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u w:val="single" w:color="auto"/>
            <w:color w:val="0000EE"/>
          </w:rPr>
          <w:t>Financial Statements (Unaudited)</w:t>
        </w:r>
      </w:hyperlink>
    </w:p>
    <w:p>
      <w:pPr>
        <w:spacing w:after="0" w:line="200" w:lineRule="exact"/>
        <w:rPr>
          <w:sz w:val="20"/>
          <w:szCs w:val="20"/>
          <w:color w:val="auto"/>
        </w:rPr>
      </w:pPr>
    </w:p>
    <w:p>
      <w:pPr>
        <w:spacing w:after="0" w:line="241" w:lineRule="exact"/>
        <w:rPr>
          <w:sz w:val="20"/>
          <w:szCs w:val="20"/>
          <w:color w:val="auto"/>
        </w:rPr>
      </w:pPr>
    </w:p>
    <w:p>
      <w:pPr>
        <w:ind w:left="10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Statements of Operations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Comprehensive Income (Loss)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w:t>
        </w:r>
      </w:hyperlink>
    </w:p>
    <w:p>
      <w:pPr>
        <w:spacing w:after="0" w:line="306" w:lineRule="exact"/>
        <w:rPr>
          <w:sz w:val="20"/>
          <w:szCs w:val="20"/>
          <w:color w:val="auto"/>
        </w:rPr>
      </w:pPr>
    </w:p>
    <w:p>
      <w:pPr>
        <w:ind w:left="10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p>
      <w:pPr>
        <w:spacing w:after="0" w:line="200" w:lineRule="exact"/>
        <w:rPr>
          <w:sz w:val="20"/>
          <w:szCs w:val="20"/>
          <w:color w:val="auto"/>
        </w:rPr>
      </w:pPr>
    </w:p>
    <w:p>
      <w:pPr>
        <w:spacing w:after="0" w:line="241" w:lineRule="exact"/>
        <w:rPr>
          <w:sz w:val="20"/>
          <w:szCs w:val="20"/>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Item 2: </w:t>
      </w:r>
      <w:hyperlink w:anchor="page30">
        <w:r>
          <w:rPr>
            <w:rFonts w:ascii="Arial" w:cs="Arial" w:eastAsia="Arial" w:hAnsi="Arial"/>
            <w:sz w:val="16"/>
            <w:szCs w:val="16"/>
            <w:u w:val="single" w:color="auto"/>
            <w:color w:val="0000EE"/>
          </w:rPr>
          <w:t>Management’s Discussion and Analysis of Financial Condition and Results of Operations</w:t>
        </w:r>
      </w:hyperlink>
    </w:p>
    <w:p>
      <w:pPr>
        <w:spacing w:after="0" w:line="200" w:lineRule="exact"/>
        <w:rPr>
          <w:sz w:val="20"/>
          <w:szCs w:val="20"/>
          <w:color w:val="auto"/>
        </w:rPr>
      </w:pPr>
    </w:p>
    <w:p>
      <w:pPr>
        <w:spacing w:after="0" w:line="399"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47">
        <w:r>
          <w:rPr>
            <w:rFonts w:ascii="Arial" w:cs="Arial" w:eastAsia="Arial" w:hAnsi="Arial"/>
            <w:sz w:val="18"/>
            <w:szCs w:val="18"/>
            <w:u w:val="single" w:color="auto"/>
            <w:color w:val="0000EE"/>
          </w:rPr>
          <w:t>Quantitative and Qualitative Disclosures About Market Risk</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48">
        <w:r>
          <w:rPr>
            <w:rFonts w:ascii="Arial" w:cs="Arial" w:eastAsia="Arial" w:hAnsi="Arial"/>
            <w:sz w:val="18"/>
            <w:szCs w:val="18"/>
            <w:u w:val="single" w:color="auto"/>
            <w:color w:val="0000EE"/>
          </w:rPr>
          <w:t>Controls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49">
        <w:r>
          <w:rPr>
            <w:rFonts w:ascii="Arial" w:cs="Arial" w:eastAsia="Arial" w:hAnsi="Arial"/>
            <w:sz w:val="18"/>
            <w:szCs w:val="18"/>
            <w:b w:val="1"/>
            <w:bCs w:val="1"/>
            <w:u w:val="single" w:color="auto"/>
            <w:color w:val="0000EE"/>
          </w:rPr>
          <w:t>PART II: OTHER INFORMATION</w:t>
        </w:r>
      </w:hyperlink>
    </w:p>
    <w:p>
      <w:pPr>
        <w:spacing w:after="0" w:line="200" w:lineRule="exact"/>
        <w:rPr>
          <w:sz w:val="20"/>
          <w:szCs w:val="20"/>
          <w:color w:val="auto"/>
        </w:rPr>
      </w:pPr>
    </w:p>
    <w:p>
      <w:pPr>
        <w:spacing w:after="0" w:line="245"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49">
        <w:r>
          <w:rPr>
            <w:rFonts w:ascii="Arial" w:cs="Arial" w:eastAsia="Arial" w:hAnsi="Arial"/>
            <w:sz w:val="18"/>
            <w:szCs w:val="18"/>
            <w:u w:val="single" w:color="auto"/>
            <w:color w:val="0000EE"/>
          </w:rPr>
          <w:t>Legal Proceedings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49">
        <w:r>
          <w:rPr>
            <w:rFonts w:ascii="Arial" w:cs="Arial" w:eastAsia="Arial" w:hAnsi="Arial"/>
            <w:sz w:val="18"/>
            <w:szCs w:val="18"/>
            <w:u w:val="single" w:color="auto"/>
            <w:color w:val="0000EE"/>
          </w:rPr>
          <w:t>Risk Factors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49">
        <w:r>
          <w:rPr>
            <w:rFonts w:ascii="Arial" w:cs="Arial" w:eastAsia="Arial" w:hAnsi="Arial"/>
            <w:sz w:val="18"/>
            <w:szCs w:val="18"/>
            <w:u w:val="single" w:color="auto"/>
            <w:color w:val="0000EE"/>
          </w:rPr>
          <w:t>Unregistered Sales of Equity Securities and Use of Proceeds</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49">
        <w:r>
          <w:rPr>
            <w:rFonts w:ascii="Arial" w:cs="Arial" w:eastAsia="Arial" w:hAnsi="Arial"/>
            <w:sz w:val="18"/>
            <w:szCs w:val="18"/>
            <w:u w:val="single" w:color="auto"/>
            <w:color w:val="0000EE"/>
          </w:rPr>
          <w:t>Other Information</w:t>
        </w:r>
      </w:hyperlink>
    </w:p>
    <w:p>
      <w:pPr>
        <w:spacing w:after="0" w:line="200" w:lineRule="exact"/>
        <w:rPr>
          <w:sz w:val="20"/>
          <w:szCs w:val="20"/>
          <w:color w:val="auto"/>
        </w:rPr>
      </w:pPr>
    </w:p>
    <w:p>
      <w:pPr>
        <w:spacing w:after="0" w:line="37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50">
        <w:r>
          <w:rPr>
            <w:rFonts w:ascii="Arial" w:cs="Arial" w:eastAsia="Arial" w:hAnsi="Arial"/>
            <w:sz w:val="18"/>
            <w:szCs w:val="18"/>
            <w:u w:val="single" w:color="auto"/>
            <w:color w:val="0000EE"/>
          </w:rPr>
          <w:t>Exhibits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34290</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p>
      <w:pPr>
        <w:spacing w:after="0" w:line="306" w:lineRule="exact"/>
        <w:rPr>
          <w:sz w:val="20"/>
          <w:szCs w:val="20"/>
          <w:color w:val="auto"/>
        </w:rPr>
      </w:pPr>
    </w:p>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28</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45</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46</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47</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47</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47</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47</w:t>
        </w:r>
      </w:hyperlink>
    </w:p>
    <w:p>
      <w:pPr>
        <w:spacing w:after="0" w:line="200" w:lineRule="exact"/>
        <w:rPr>
          <w:sz w:val="20"/>
          <w:szCs w:val="20"/>
          <w:color w:val="auto"/>
        </w:rPr>
      </w:pPr>
    </w:p>
    <w:p>
      <w:pPr>
        <w:spacing w:after="0" w:line="376" w:lineRule="exact"/>
        <w:rPr>
          <w:sz w:val="20"/>
          <w:szCs w:val="20"/>
          <w:color w:val="auto"/>
        </w:rPr>
      </w:pPr>
    </w:p>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48</w:t>
        </w:r>
      </w:hyperlink>
    </w:p>
    <w:p>
      <w:pPr>
        <w:spacing w:after="0" w:line="200" w:lineRule="exact"/>
        <w:rPr>
          <w:sz w:val="20"/>
          <w:szCs w:val="20"/>
          <w:color w:val="auto"/>
        </w:rPr>
      </w:pPr>
    </w:p>
    <w:p>
      <w:pPr>
        <w:sectPr>
          <w:pgSz w:w="11900" w:h="16838" w:orient="portrait"/>
          <w:cols w:equalWidth="0" w:num="2">
            <w:col w:w="9880" w:space="720"/>
            <w:col w:w="540"/>
          </w:cols>
          <w:pgMar w:left="240" w:top="125" w:right="519" w:bottom="1440" w:gutter="0" w:footer="0" w:header="0"/>
        </w:sect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60" w:type="dxa"/>
            <w:vAlign w:val="bottom"/>
          </w:tcPr>
          <w:p>
            <w:pPr>
              <w:spacing w:after="0"/>
              <w:rPr>
                <w:rFonts w:ascii="Arial" w:cs="Arial" w:eastAsia="Arial" w:hAnsi="Arial"/>
                <w:sz w:val="18"/>
                <w:szCs w:val="18"/>
                <w:b w:val="1"/>
                <w:bCs w:val="1"/>
                <w:color w:val="0000EE"/>
                <w:w w:val="98"/>
              </w:rPr>
            </w:pPr>
            <w:hyperlink w:anchor="page51">
              <w:r>
                <w:rPr>
                  <w:rFonts w:ascii="Arial" w:cs="Arial" w:eastAsia="Arial" w:hAnsi="Arial"/>
                  <w:sz w:val="18"/>
                  <w:szCs w:val="18"/>
                  <w:b w:val="1"/>
                  <w:bCs w:val="1"/>
                  <w:color w:val="0000EE"/>
                  <w:w w:val="98"/>
                </w:rPr>
                <w:t>SIGNATURE</w:t>
              </w:r>
            </w:hyperlink>
          </w:p>
        </w:tc>
        <w:tc>
          <w:tcPr>
            <w:tcW w:w="10040" w:type="dxa"/>
            <w:vAlign w:val="bottom"/>
            <w:gridSpan w:val="2"/>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r>
      <w:tr>
        <w:trPr>
          <w:trHeight w:val="20"/>
        </w:trPr>
        <w:tc>
          <w:tcPr>
            <w:tcW w:w="1060" w:type="dxa"/>
            <w:vAlign w:val="bottom"/>
            <w:shd w:val="clear" w:color="auto" w:fill="0000EE"/>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ectPr>
          <w:pgSz w:w="11900" w:h="16838" w:orient="portrait"/>
          <w:cols w:equalWidth="0" w:num="1">
            <w:col w:w="11140"/>
          </w:cols>
          <w:pgMar w:left="240" w:top="125" w:right="51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Pr>
          <w:p>
            <w:pPr>
              <w:spacing w:after="0"/>
              <w:rPr>
                <w:sz w:val="20"/>
                <w:szCs w:val="20"/>
                <w:color w:val="auto"/>
              </w:rPr>
            </w:pPr>
          </w:p>
        </w:tc>
        <w:tc>
          <w:tcPr>
            <w:tcW w:w="31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4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gridSpan w:val="5"/>
          </w:tcPr>
          <w:p>
            <w:pPr>
              <w:ind w:left="100"/>
              <w:spacing w:after="0"/>
              <w:rPr>
                <w:sz w:val="20"/>
                <w:szCs w:val="20"/>
                <w:color w:val="auto"/>
              </w:rPr>
            </w:pPr>
            <w:r>
              <w:rPr>
                <w:rFonts w:ascii="Arial" w:cs="Arial" w:eastAsia="Arial" w:hAnsi="Arial"/>
                <w:sz w:val="18"/>
                <w:szCs w:val="18"/>
                <w:b w:val="1"/>
                <w:bCs w:val="1"/>
                <w:color w:val="auto"/>
              </w:rPr>
              <w:t>(in thousands, except per share data)</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503,082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513,024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980,674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1,010,614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325,222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343,319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645,589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677,706</w:t>
            </w: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169,705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335,085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332,908</w:t>
            </w:r>
          </w:p>
        </w:tc>
      </w:tr>
      <w:tr>
        <w:trPr>
          <w:trHeight w:val="297"/>
        </w:trPr>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44,753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39,376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86,221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80,143</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83,979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88,700</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43,161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45,328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80,407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90,397</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14,006</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5,043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8,095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615</w:t>
            </w: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141,038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134,232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268,221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273,861</w:t>
            </w:r>
          </w:p>
        </w:tc>
      </w:tr>
      <w:tr>
        <w:trPr>
          <w:trHeight w:val="291"/>
        </w:trPr>
        <w:tc>
          <w:tcPr>
            <w:tcW w:w="4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59,047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(5,653)</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r>
      <w:tr>
        <w:trPr>
          <w:trHeight w:val="237"/>
        </w:trPr>
        <w:tc>
          <w:tcPr>
            <w:tcW w:w="424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(6,942)</w:t>
            </w:r>
          </w:p>
        </w:tc>
      </w:tr>
      <w:tr>
        <w:trPr>
          <w:trHeight w:val="27"/>
        </w:trPr>
        <w:tc>
          <w:tcPr>
            <w:tcW w:w="4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31,567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32,695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56,628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52,105</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(20,819)</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15,007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20,502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31,021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31,286</w:t>
            </w:r>
          </w:p>
        </w:tc>
      </w:tr>
      <w:tr>
        <w:trPr>
          <w:trHeight w:val="27"/>
        </w:trPr>
        <w:tc>
          <w:tcPr>
            <w:tcW w:w="4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Net income attributable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1,280</w:t>
            </w: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Net income attributable to Itron, Inc.</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14,097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19,917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29,942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30,006</w:t>
            </w:r>
          </w:p>
        </w:tc>
      </w:tr>
      <w:tr>
        <w:trPr>
          <w:trHeight w:val="67"/>
        </w:trPr>
        <w:tc>
          <w:tcPr>
            <w:tcW w:w="42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78"/>
        </w:trPr>
        <w:tc>
          <w:tcPr>
            <w:tcW w:w="4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Earnings per common share - 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0.79</w:t>
            </w:r>
          </w:p>
        </w:tc>
      </w:tr>
      <w:tr>
        <w:trPr>
          <w:trHeight w:val="67"/>
        </w:trPr>
        <w:tc>
          <w:tcPr>
            <w:tcW w:w="42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56"/>
        </w:trPr>
        <w:tc>
          <w:tcPr>
            <w:tcW w:w="42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 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Weighted average common shares outstanding - Basic</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38,147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w w:val="93"/>
              </w:rPr>
              <w:t>Weighted average common shares outstanding - Diluted</w:t>
            </w: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39,332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38,516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39,274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38,446</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9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3"/>
              </w:rPr>
              <w:t>(in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15,007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20,502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31,286</w:t>
            </w: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10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20,447</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(8,380)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35,463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Net unrealized gain (loss) on derivative instruments,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designated as cash flow hedges</w:t>
            </w:r>
          </w:p>
        </w:tc>
        <w:tc>
          <w:tcPr>
            <w:tcW w:w="10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(1,126)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Pension benefit obligation adjustment</w:t>
            </w:r>
          </w:p>
        </w:tc>
        <w:tc>
          <w:tcPr>
            <w:tcW w:w="10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10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20,409</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(9,797)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36,118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91"/>
        </w:trPr>
        <w:tc>
          <w:tcPr>
            <w:tcW w:w="42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net of tax</w:t>
            </w:r>
          </w:p>
        </w:tc>
        <w:tc>
          <w:tcPr>
            <w:tcW w:w="10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35,416</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10,705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67,139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28,671</w:t>
            </w:r>
          </w:p>
        </w:tc>
        <w:tc>
          <w:tcPr>
            <w:tcW w:w="0" w:type="dxa"/>
            <w:vAlign w:val="bottom"/>
          </w:tcPr>
          <w:p>
            <w:pPr>
              <w:spacing w:after="0"/>
              <w:rPr>
                <w:sz w:val="1"/>
                <w:szCs w:val="1"/>
                <w:color w:val="auto"/>
              </w:rPr>
            </w:pPr>
          </w:p>
        </w:tc>
      </w:tr>
      <w:tr>
        <w:trPr>
          <w:trHeight w:val="291"/>
        </w:trPr>
        <w:tc>
          <w:tcPr>
            <w:tcW w:w="42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Comprehensive income attributable to noncontrolling</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interests, net of tax</w:t>
            </w:r>
          </w:p>
        </w:tc>
        <w:tc>
          <w:tcPr>
            <w:tcW w:w="10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w:t>
            </w:r>
          </w:p>
        </w:tc>
        <w:tc>
          <w:tcPr>
            <w:tcW w:w="1080" w:type="dxa"/>
            <w:vAlign w:val="bottom"/>
            <w:vMerge w:val="restart"/>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4"/>
              </w:rPr>
              <w:t>34,506</w:t>
            </w:r>
          </w:p>
        </w:tc>
        <w:tc>
          <w:tcPr>
            <w:tcW w:w="12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87"/>
              </w:rPr>
              <w:t>10,120</w:t>
            </w:r>
          </w:p>
        </w:tc>
        <w:tc>
          <w:tcPr>
            <w:tcW w:w="10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66,060</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27,391</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Itron, Inc.</w:t>
            </w: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rPr>
              <w:t>ITRON, INC.</w:t>
            </w: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040" w:type="dxa"/>
            <w:vAlign w:val="bottom"/>
            <w:gridSpan w:val="2"/>
          </w:tcPr>
          <w:p>
            <w:pPr>
              <w:jc w:val="center"/>
              <w:ind w:left="2750"/>
              <w:spacing w:after="0"/>
              <w:rPr>
                <w:sz w:val="20"/>
                <w:szCs w:val="20"/>
                <w:color w:val="auto"/>
              </w:rPr>
            </w:pPr>
            <w:r>
              <w:rPr>
                <w:rFonts w:ascii="Arial" w:cs="Arial" w:eastAsia="Arial" w:hAnsi="Arial"/>
                <w:sz w:val="18"/>
                <w:szCs w:val="18"/>
                <w:b w:val="1"/>
                <w:bCs w:val="1"/>
                <w:color w:val="auto"/>
                <w:w w:val="99"/>
              </w:rPr>
              <w:t>CONSOLIDATED BALANCE SHEETS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5460" w:type="dxa"/>
            <w:vAlign w:val="bottom"/>
          </w:tcPr>
          <w:p>
            <w:pPr>
              <w:jc w:val="center"/>
              <w:ind w:left="3310"/>
              <w:spacing w:after="0"/>
              <w:rPr>
                <w:sz w:val="20"/>
                <w:szCs w:val="20"/>
                <w:color w:val="auto"/>
              </w:rPr>
            </w:pPr>
            <w:r>
              <w:rPr>
                <w:rFonts w:ascii="Arial" w:cs="Arial" w:eastAsia="Arial" w:hAnsi="Arial"/>
                <w:sz w:val="18"/>
                <w:szCs w:val="18"/>
                <w:b w:val="1"/>
                <w:bCs w:val="1"/>
                <w:color w:val="auto"/>
              </w:rPr>
              <w:t>(UNAUDITED)</w:t>
            </w:r>
          </w:p>
        </w:tc>
        <w:tc>
          <w:tcPr>
            <w:tcW w:w="5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2017</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4"/>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100" w:type="dxa"/>
            <w:vAlign w:val="bottom"/>
            <w:gridSpan w:val="4"/>
          </w:tcPr>
          <w:p>
            <w:pPr>
              <w:jc w:val="right"/>
              <w:ind w:right="16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1280" w:type="dxa"/>
            <w:vAlign w:val="bottom"/>
          </w:tcPr>
          <w:p>
            <w:pPr>
              <w:spacing w:after="0"/>
              <w:rPr>
                <w:sz w:val="23"/>
                <w:szCs w:val="23"/>
                <w:color w:val="auto"/>
              </w:rPr>
            </w:pPr>
          </w:p>
        </w:tc>
        <w:tc>
          <w:tcPr>
            <w:tcW w:w="546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133,565</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374,180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351,506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163,049</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Other current assets</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93,266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84,346</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798,960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732,466</w:t>
            </w:r>
          </w:p>
        </w:tc>
      </w:tr>
      <w:tr>
        <w:trPr>
          <w:trHeight w:val="216"/>
        </w:trPr>
        <w:tc>
          <w:tcPr>
            <w:tcW w:w="1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186,506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176,458</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Deferred tax assets, net</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96,062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94,113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50,129</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Intangible assets, net</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104,144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72,151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541,071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452,494</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assets</w:t>
            </w: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1,779,624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1,577,811</w:t>
            </w:r>
          </w:p>
        </w:tc>
      </w:tr>
      <w:tr>
        <w:trPr>
          <w:trHeight w:val="67"/>
        </w:trPr>
        <w:tc>
          <w:tcPr>
            <w:tcW w:w="1280" w:type="dxa"/>
            <w:vAlign w:val="bottom"/>
            <w:tcBorders>
              <w:bottom w:val="single" w:sz="8" w:color="CCEEFF"/>
            </w:tcBorders>
          </w:tcPr>
          <w:p>
            <w:pPr>
              <w:spacing w:after="0"/>
              <w:rPr>
                <w:sz w:val="5"/>
                <w:szCs w:val="5"/>
                <w:color w:val="auto"/>
              </w:rPr>
            </w:pPr>
          </w:p>
        </w:tc>
        <w:tc>
          <w:tcPr>
            <w:tcW w:w="546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r>
      <w:tr>
        <w:trPr>
          <w:trHeight w:val="197"/>
        </w:trPr>
        <w:tc>
          <w:tcPr>
            <w:tcW w:w="1280" w:type="dxa"/>
            <w:vAlign w:val="bottom"/>
            <w:shd w:val="clear" w:color="auto" w:fill="CCEEFF"/>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r>
      <w:tr>
        <w:trPr>
          <w:trHeight w:val="243"/>
        </w:trPr>
        <w:tc>
          <w:tcPr>
            <w:tcW w:w="1280" w:type="dxa"/>
            <w:vAlign w:val="bottom"/>
          </w:tcPr>
          <w:p>
            <w:pPr>
              <w:spacing w:after="0"/>
              <w:rPr>
                <w:sz w:val="21"/>
                <w:szCs w:val="21"/>
                <w:color w:val="auto"/>
              </w:rPr>
            </w:pPr>
          </w:p>
        </w:tc>
        <w:tc>
          <w:tcPr>
            <w:tcW w:w="5460" w:type="dxa"/>
            <w:vAlign w:val="bottom"/>
          </w:tcPr>
          <w:p>
            <w:pPr>
              <w:ind w:left="1120"/>
              <w:spacing w:after="0"/>
              <w:rPr>
                <w:sz w:val="20"/>
                <w:szCs w:val="20"/>
                <w:color w:val="auto"/>
              </w:rPr>
            </w:pPr>
            <w:r>
              <w:rPr>
                <w:rFonts w:ascii="Arial" w:cs="Arial" w:eastAsia="Arial" w:hAnsi="Arial"/>
                <w:sz w:val="18"/>
                <w:szCs w:val="18"/>
                <w:b w:val="1"/>
                <w:bCs w:val="1"/>
                <w:color w:val="auto"/>
              </w:rPr>
              <w:t>LIABILITIES AND EQUITY</w:t>
            </w:r>
          </w:p>
        </w:tc>
        <w:tc>
          <w:tcPr>
            <w:tcW w:w="5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208,379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172,711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43,625</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Wages and benefits payable</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99,318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82,346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Taxes payable</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10,451</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Current portion of debt</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16,875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14,063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warranty</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24,874</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Unearned revenue</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79,112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64,976</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504,787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413,046</w:t>
            </w:r>
          </w:p>
        </w:tc>
      </w:tr>
      <w:tr>
        <w:trPr>
          <w:trHeight w:val="216"/>
        </w:trPr>
        <w:tc>
          <w:tcPr>
            <w:tcW w:w="1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307,484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290,460</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Long-term warranty</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14,226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18,428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Pension benefit obligation</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84,498</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 net</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3,350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3,073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obligations</w:t>
            </w:r>
          </w:p>
        </w:tc>
        <w:tc>
          <w:tcPr>
            <w:tcW w:w="5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117,953</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liabilities</w:t>
            </w:r>
          </w:p>
        </w:tc>
        <w:tc>
          <w:tcPr>
            <w:tcW w:w="5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1,036,127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927,458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16"/>
        </w:trPr>
        <w:tc>
          <w:tcPr>
            <w:tcW w:w="128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11)</w:t>
            </w:r>
          </w:p>
        </w:tc>
        <w:tc>
          <w:tcPr>
            <w:tcW w:w="5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16"/>
        </w:trPr>
        <w:tc>
          <w:tcPr>
            <w:tcW w:w="128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Equity</w:t>
            </w:r>
          </w:p>
        </w:tc>
        <w:tc>
          <w:tcPr>
            <w:tcW w:w="5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9"/>
        </w:trPr>
        <w:tc>
          <w:tcPr>
            <w:tcW w:w="6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Preferred stock, no par value, 10 million shares authorized, no shares issued or</w:t>
            </w:r>
          </w:p>
        </w:tc>
        <w:tc>
          <w:tcPr>
            <w:tcW w:w="5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outstanding</w:t>
            </w:r>
          </w:p>
        </w:tc>
        <w:tc>
          <w:tcPr>
            <w:tcW w:w="58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gridSpan w:val="2"/>
          </w:tcPr>
          <w:p>
            <w:pPr>
              <w:ind w:left="380"/>
              <w:spacing w:after="0"/>
              <w:rPr>
                <w:sz w:val="20"/>
                <w:szCs w:val="20"/>
                <w:color w:val="auto"/>
              </w:rPr>
            </w:pPr>
            <w:r>
              <w:rPr>
                <w:rFonts w:ascii="Arial" w:cs="Arial" w:eastAsia="Arial" w:hAnsi="Arial"/>
                <w:sz w:val="18"/>
                <w:szCs w:val="18"/>
                <w:color w:val="auto"/>
                <w:w w:val="92"/>
              </w:rPr>
              <w:t>Common stock, no par value, 75 million shares authorized, 38,701 and 38,317 shares</w:t>
            </w:r>
          </w:p>
        </w:tc>
        <w:tc>
          <w:tcPr>
            <w:tcW w:w="5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issued and outstanding</w:t>
            </w:r>
          </w:p>
        </w:tc>
        <w:tc>
          <w:tcPr>
            <w:tcW w:w="580" w:type="dxa"/>
            <w:vAlign w:val="bottom"/>
          </w:tcPr>
          <w:p>
            <w:pPr>
              <w:spacing w:after="0"/>
              <w:rPr>
                <w:sz w:val="20"/>
                <w:szCs w:val="20"/>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1,282,085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1,270,467</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(229,327)</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Accumulated deficit</w:t>
            </w:r>
          </w:p>
        </w:tc>
        <w:tc>
          <w:tcPr>
            <w:tcW w:w="5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(365,229)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(409,536)</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Itron, Inc. shareholders' equity</w:t>
            </w:r>
          </w:p>
        </w:tc>
        <w:tc>
          <w:tcPr>
            <w:tcW w:w="5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723,647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631,604</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Noncontrolling interests</w:t>
            </w:r>
          </w:p>
        </w:tc>
        <w:tc>
          <w:tcPr>
            <w:tcW w:w="5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19,850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18,749</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5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743,497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650,353</w:t>
            </w:r>
          </w:p>
        </w:tc>
      </w:tr>
      <w:tr>
        <w:trPr>
          <w:trHeight w:val="237"/>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Total liabilities and equity</w:t>
            </w: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1,779,624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1,577,811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rPr>
              <w:t>ITRON, INC.</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620" w:type="dxa"/>
            <w:vAlign w:val="bottom"/>
          </w:tcPr>
          <w:p>
            <w:pPr>
              <w:jc w:val="center"/>
              <w:ind w:left="2150"/>
              <w:spacing w:after="0"/>
              <w:rPr>
                <w:sz w:val="20"/>
                <w:szCs w:val="20"/>
                <w:color w:val="auto"/>
              </w:rPr>
            </w:pPr>
            <w:r>
              <w:rPr>
                <w:rFonts w:ascii="Arial" w:cs="Arial" w:eastAsia="Arial" w:hAnsi="Arial"/>
                <w:sz w:val="18"/>
                <w:szCs w:val="18"/>
                <w:b w:val="1"/>
                <w:bCs w:val="1"/>
                <w:color w:val="auto"/>
              </w:rPr>
              <w:t>(UNAUDITED)</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r>
      <w:tr>
        <w:trPr>
          <w:trHeight w:val="270"/>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31,021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31,286</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29,468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35,481</w:t>
            </w:r>
          </w:p>
        </w:tc>
      </w:tr>
      <w:tr>
        <w:trPr>
          <w:trHeight w:val="243"/>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10,135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7,878</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Amortization of prepaid debt fees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r>
      <w:tr>
        <w:trPr>
          <w:trHeight w:val="243"/>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Deferred taxes, net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7,077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9,706</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Restructuring, non-cash</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Other adjustments, net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(35,283)</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2,882</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Other current assets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(10,549)</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long-term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2,667</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Accounts payable, other current liabilities, and taxes payable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36,861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(735)</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14,709</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Unearned revenue</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6,701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5,513</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Warranty</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(9,065)</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Other operating, net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(3,400)</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93,444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51,127</w:t>
            </w:r>
          </w:p>
        </w:tc>
      </w:tr>
      <w:tr>
        <w:trPr>
          <w:trHeight w:val="230"/>
        </w:trPr>
        <w:tc>
          <w:tcPr>
            <w:tcW w:w="1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(21,898)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(19,884)</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Business acquisitions, net of cash and cash equivalents acquired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(99,477)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Other investing, net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(974)</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(21,809)</w:t>
            </w:r>
          </w:p>
        </w:tc>
      </w:tr>
      <w:tr>
        <w:trPr>
          <w:trHeight w:val="230"/>
        </w:trPr>
        <w:tc>
          <w:tcPr>
            <w:tcW w:w="128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Proceeds from borrowings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Payments on debt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(26,218)</w:t>
            </w: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Issuance of common stock</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2,198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1,956</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financing, net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r>
      <w:tr>
        <w:trPr>
          <w:trHeight w:val="237"/>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Net cash provided provided by (used in) financing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17,525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(28,941)</w:t>
            </w: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1280" w:type="dxa"/>
            <w:vAlign w:val="bottom"/>
            <w:shd w:val="clear" w:color="auto" w:fill="CCEEFF"/>
          </w:tcPr>
          <w:p>
            <w:pPr>
              <w:spacing w:after="0"/>
              <w:rPr>
                <w:sz w:val="19"/>
                <w:szCs w:val="19"/>
                <w:color w:val="auto"/>
              </w:rPr>
            </w:pPr>
          </w:p>
        </w:tc>
        <w:tc>
          <w:tcPr>
            <w:tcW w:w="6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5,177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619</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133,565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131,018</w:t>
            </w:r>
          </w:p>
        </w:tc>
      </w:tr>
      <w:tr>
        <w:trPr>
          <w:trHeight w:val="27"/>
        </w:trPr>
        <w:tc>
          <w:tcPr>
            <w:tcW w:w="12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127,880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132,014</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Cash paid during the period for:</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taxes, net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14,480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10,545</w:t>
            </w:r>
          </w:p>
        </w:tc>
      </w:tr>
      <w:tr>
        <w:trPr>
          <w:trHeight w:val="243"/>
        </w:trPr>
        <w:tc>
          <w:tcPr>
            <w:tcW w:w="7900" w:type="dxa"/>
            <w:vAlign w:val="bottom"/>
            <w:gridSpan w:val="2"/>
          </w:tcPr>
          <w:p>
            <w:pPr>
              <w:ind w:left="720"/>
              <w:spacing w:after="0"/>
              <w:rPr>
                <w:sz w:val="20"/>
                <w:szCs w:val="20"/>
                <w:color w:val="auto"/>
              </w:rPr>
            </w:pPr>
            <w:r>
              <w:rPr>
                <w:rFonts w:ascii="Arial" w:cs="Arial" w:eastAsia="Arial" w:hAnsi="Arial"/>
                <w:sz w:val="18"/>
                <w:szCs w:val="18"/>
                <w:color w:val="auto"/>
              </w:rPr>
              <w:t>Interest, net of amounts capitalized</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5,021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5,064</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8"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condensed consolidated financial statements presented in this Quarterly Report on Form 10-Q are unaudited and reflect entries necessary for the fair presentation of the Consolidated Statements of Operations and the Consolidated Statements of Comprehensive Income (Loss) for the three and six months ended June 30, 2017 and 2016, the Consolidated Balance Sheets as of June 30, 2017 and December 31, 2016, and the Consolidated Statements of Cash Flows for the six months ended June 30, 2017 and 2016 of Itron, Inc. and its subsidiaries. All entries required for the fair presentation of the financial statements are of a normal recurring nature, except as disclosed. The results of operations for the three and six months ended June 30, 2017 are not necessarily indicative of the results expected for the full year or for any other period.</w:t>
      </w:r>
    </w:p>
    <w:p>
      <w:pPr>
        <w:spacing w:after="0" w:line="1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audited financial statements and notes included in our 2016 Annual Report on Form 10-K filed with the SEC on March 1, 2017. There have been no significant changes in financial statement preparation or significant accounting policies since December 31, 2016 with the exception of the adoption of Accounting Standards Update (ASU) 2016-09 as discussed below.</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New Accounting Pronouncements</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May 2014, the Financial Accounting Standards Board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to supersede nearly all existing revenue recognition guidance under U.S. GAAP. The core principle of ASU 2014-09 is to recognize revenues when promised goods or services are transferred to customers in an amount that reflects the consideration that is expected to be received for those goods or services. In August 2015, the FASB issued ASU 2015-14, </w:t>
      </w:r>
      <w:r>
        <w:rPr>
          <w:rFonts w:ascii="Arial" w:cs="Arial" w:eastAsia="Arial" w:hAnsi="Arial"/>
          <w:sz w:val="17"/>
          <w:szCs w:val="17"/>
          <w:i w:val="1"/>
          <w:iCs w:val="1"/>
          <w:color w:val="auto"/>
        </w:rPr>
        <w:t>Revenue from Contracts with Customers: Deferral of the Effective Date</w:t>
      </w:r>
      <w:r>
        <w:rPr>
          <w:rFonts w:ascii="Arial" w:cs="Arial" w:eastAsia="Arial" w:hAnsi="Arial"/>
          <w:sz w:val="17"/>
          <w:szCs w:val="17"/>
          <w:color w:val="auto"/>
        </w:rPr>
        <w:t xml:space="preserve">, which deferred the effective date for implementation of ASU 2014-09 by one year and is now effective for annual reporting periods beginning after December 15, 2017, with early adoption permitted but not earlier than the original effective date. In March 2016, the FASB issued ASU 2016-08, </w:t>
      </w:r>
      <w:r>
        <w:rPr>
          <w:rFonts w:ascii="Arial" w:cs="Arial" w:eastAsia="Arial" w:hAnsi="Arial"/>
          <w:sz w:val="17"/>
          <w:szCs w:val="17"/>
          <w:i w:val="1"/>
          <w:iCs w:val="1"/>
          <w:color w:val="auto"/>
        </w:rPr>
        <w:t>Principal versus Agent Considerations (Reporting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Revenue Gross versus Net) </w:t>
      </w:r>
      <w:r>
        <w:rPr>
          <w:rFonts w:ascii="Arial" w:cs="Arial" w:eastAsia="Arial" w:hAnsi="Arial"/>
          <w:sz w:val="17"/>
          <w:szCs w:val="17"/>
          <w:color w:val="auto"/>
        </w:rPr>
        <w:t>(ASU 2016-08), which clarifies the implementation guidance of principal versus agent considerations. In April 2016, the FASB</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issued ASU 2016-10, </w:t>
      </w:r>
      <w:r>
        <w:rPr>
          <w:rFonts w:ascii="Arial" w:cs="Arial" w:eastAsia="Arial" w:hAnsi="Arial"/>
          <w:sz w:val="17"/>
          <w:szCs w:val="17"/>
          <w:i w:val="1"/>
          <w:iCs w:val="1"/>
          <w:color w:val="auto"/>
        </w:rPr>
        <w:t>Identifying Performance Obligations and Licensing</w:t>
      </w:r>
      <w:r>
        <w:rPr>
          <w:rFonts w:ascii="Arial" w:cs="Arial" w:eastAsia="Arial" w:hAnsi="Arial"/>
          <w:sz w:val="17"/>
          <w:szCs w:val="17"/>
          <w:color w:val="auto"/>
        </w:rPr>
        <w:t xml:space="preserve"> (ASU 2016-10), which clarifies the identification of performance obligations and licensing implementation guidance. In May 2016, the FASB issued ASU 2016-12, </w:t>
      </w:r>
      <w:r>
        <w:rPr>
          <w:rFonts w:ascii="Arial" w:cs="Arial" w:eastAsia="Arial" w:hAnsi="Arial"/>
          <w:sz w:val="17"/>
          <w:szCs w:val="17"/>
          <w:i w:val="1"/>
          <w:iCs w:val="1"/>
          <w:color w:val="auto"/>
        </w:rPr>
        <w:t>Narrow-Scope Improvements and Practical Expedients</w:t>
      </w:r>
      <w:r>
        <w:rPr>
          <w:rFonts w:ascii="Arial" w:cs="Arial" w:eastAsia="Arial" w:hAnsi="Arial"/>
          <w:sz w:val="17"/>
          <w:szCs w:val="17"/>
          <w:color w:val="auto"/>
        </w:rPr>
        <w:t xml:space="preserve"> (ASU 2016-12), to improve guidance on assessing collectability, presentation of sales taxes, noncash consideration, and completed contracts and contract modifications at transition. The effective date and transition requirements in ASU 2016-08, ASU 2016-10, and ASU 2016-12 are the same as the effective date and transition requirements of ASU 2015-14.</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revenue guidance permits two methods of adoption: retrospectively to each prior reporting period presented (full retrospective method), or retrospectively with the cumulative effect of initially applying the guidance recognized at the date of initial application (the cumulative catch-up transition method). We currently anticipate adopting the standard effective January 1, 2018 using the cumulative catch-up transition method, and therefore, will recognize the cumulative effect of initially applying the revenue standard as an adjustment to the opening balance of retained earnings in the period of initial application. We currently believe the most significant impact relates to our accounting for software and software-related elements, and the increased financial statement disclosures, but are continuing to evaluate the effect that the updated standard will have on our consolidated results of operations, financial position, cash flows, and related financial statement disclosures.</w:t>
      </w:r>
    </w:p>
    <w:p>
      <w:pPr>
        <w:spacing w:after="0" w:line="18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 - Simplifying the Measurement of Inventory</w:t>
      </w:r>
      <w:r>
        <w:rPr>
          <w:rFonts w:ascii="Arial" w:cs="Arial" w:eastAsia="Arial" w:hAnsi="Arial"/>
          <w:sz w:val="16"/>
          <w:szCs w:val="16"/>
          <w:color w:val="auto"/>
        </w:rPr>
        <w:t xml:space="preserve"> (ASU 2015-11). The amendments in ASU 2015-11 apply to inventory measured using first-in, first-out (FIFO) or average cost and will require entities to measure inventory at the lower of cost and net realizable value. Net realizable value is the estimated selling price in the normal course of business, minus the cost of completion, disposal and transportation. Replacement cost and net realizable value less a normal profit margin will no longer be considered. We adopted this standard on January 1, 2017 and it did not materially impact our consolidated results of operations, financial position, cash flows, and related financial statement disclosures.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requires substantially all leases be recognized by lessees on their balance sheet as a right-of-use asset and corresponding lease liability, including leases currently accounted for 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leases. The new standard also will result in enhanced quantitative and qualitative disclosures, including significant judgments made by management, to provide greater insight into the extent of revenue and expense recognized and expected to be recognized from existing leases. The standard requires modified retrospective adoption and will be effective for annual reporting periods beginning after December 15, 2018, with early adoption permitted. We are currently assessing the impact of adoption on our consolidated results of operations, financial position, cash flows, and related financial statement disclosures.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 (Topic 718)</w:t>
      </w:r>
      <w:r>
        <w:rPr>
          <w:rFonts w:ascii="Arial" w:cs="Arial" w:eastAsia="Arial" w:hAnsi="Arial"/>
          <w:sz w:val="17"/>
          <w:szCs w:val="17"/>
          <w:color w:val="auto"/>
        </w:rPr>
        <w:t xml:space="preserve"> (ASU 2016-09), which simplifies several areas within Topic 718. These include income tax consequences, classification of awards as either equity or liabilities, forfeitures, and classification on the statement of cash flows. The amendments in this ASU becomes effective on a modified retrospective basis for accounting for income tax benefits recognized and forfeitures, retrospectively for accounting related to the presentation of employee taxes paid, prospectively for accounting related to recognition of excess tax benefits, and either prospectively or retrospectively for accounting related to presentation of excess employee tax benefits for annual periods, and interim periods within those annual periods, beginning after December 15, 2016.</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adopted this standard effective January 1, 2017 using a modified retrospective transition method. We recognized a $14.6 million one-time reduction in accumulated deficit and increase in deferred tax assets related to cumulative unrecognized excess tax benefits. All future excess tax benefits and tax deficiencies will be recognized prospectively as income tax provision or benefit in the Consolidated Statement of Operations, and as an operating activity on the Consolidated Statement of Cash Flows. We also recognized a $0.2 million one-time increase in accumulated deficit and common stock related to our policy election to prospectively recognize forfeitures as they occur.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(ASU 2017-01), which narrows the definition of a business and provides a framework that gives entities a basis for making reasonable judgments about whether a transaction involves an asset or a business. ASU 2017-01 states that when substantially all of the fair value of the gross assets acquired (or disposed of) is concentrated in a single identifiable asset or group of similar identifiable assets, the set is not a business. If this initial test is not met, a set cannot be considered a business unless it includes an input and a substantive process that together significantly contribute to the ability to create output. ASU 2017-01 is effective for fiscal years beginning after December 15, 2019 with early adoption permitted. We adopted this standard on January 1, 2017, and it did not materially impact our consolidated results of operations, financial position, cash flows, and related financial statement disclosures.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xml:space="preserve"> (ASU 2017-04), which simplifies the measurement of goodwill impairment by removing step two of the goodwill impairment test that requires the determination of the fair value of individual assets and liabilities of a reporting unit. ASU 2017-04 requires goodwill impairment to be measured as the amount by which a reporting unit’s carrying value exceeds its fair value; however, the loss recognized should not exceed the total amount of goodwill allocated to that reporting unit. ASU 2017-04 is effective for fiscal years beginning after December 15, 2019 with early adoption permitted for interim or annual goodwill impairment tests performed after January 1, 2017. We adopted this standard on January 1, 2017, and it did not materially impact our consolidated results of operations, financial position, cash flows, and related financial statement disclosures.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2017, the FASB issued ASU 2017-07, </w:t>
      </w:r>
      <w:r>
        <w:rPr>
          <w:rFonts w:ascii="Arial" w:cs="Arial" w:eastAsia="Arial" w:hAnsi="Arial"/>
          <w:sz w:val="17"/>
          <w:szCs w:val="17"/>
          <w:i w:val="1"/>
          <w:iCs w:val="1"/>
          <w:color w:val="auto"/>
        </w:rPr>
        <w:t>Improving the Presentation of Net Periodic Pension Cost and Net Periodic Postretirement Benefit Cost</w:t>
      </w:r>
      <w:r>
        <w:rPr>
          <w:rFonts w:ascii="Arial" w:cs="Arial" w:eastAsia="Arial" w:hAnsi="Arial"/>
          <w:sz w:val="17"/>
          <w:szCs w:val="17"/>
          <w:color w:val="auto"/>
        </w:rPr>
        <w:t xml:space="preserve"> (ASU 2017-07), which provides additional guidance on the presentation of net benefit costs in the income statement. ASU 2017-07 requires an employer disaggregate the service cost component from the other components of net benefit cost and to disclose other components outside of a subtotal of income from operations. It also allows only the service cost component of net benefit costs to be eligible for capitalization. ASU 2017-07 is effective for fiscal years beginning after December 15, 2017 with early adoption permitted. We are currently assessing the impact of adoption on our consolidated results of operations, financial position, cash flows, and related financial statement disclosures.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6"/>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6"/>
          </w:tcPr>
          <w:p>
            <w:pPr>
              <w:ind w:left="480"/>
              <w:spacing w:after="0"/>
              <w:rPr>
                <w:sz w:val="20"/>
                <w:szCs w:val="20"/>
                <w:color w:val="auto"/>
              </w:rPr>
            </w:pPr>
            <w:r>
              <w:rPr>
                <w:rFonts w:ascii="Arial" w:cs="Arial" w:eastAsia="Arial" w:hAnsi="Arial"/>
                <w:sz w:val="16"/>
                <w:szCs w:val="16"/>
                <w:b w:val="1"/>
                <w:bCs w:val="1"/>
                <w:color w:val="auto"/>
              </w:rPr>
              <w:t>(in thousands, except per share data)</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available to common shareholders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14,097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30,006</w:t>
            </w:r>
          </w:p>
        </w:tc>
      </w:tr>
      <w:tr>
        <w:trPr>
          <w:trHeight w:val="270"/>
        </w:trPr>
        <w:tc>
          <w:tcPr>
            <w:tcW w:w="4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38,683</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38,147</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Dilutive effect of stock-based awards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649</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695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299</w:t>
            </w: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39,332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39,274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38,446</w:t>
            </w:r>
          </w:p>
        </w:tc>
      </w:tr>
      <w:tr>
        <w:trPr>
          <w:trHeight w:val="28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Earnings per common share - Basic</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0.52</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0.78</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0.79</w:t>
            </w: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common share - Diluted</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0.52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0.78</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and the future compensation cost associated with the stock award. Approximately 0.2 million stock-based awards were excluded from the calculation of diluted EPS for both the three and six months ended June 30, 2017 because they were anti-dilutive. Approximately 0.9 million and 1.0 million stock-based awards were excluded from the calculation of diluted EPS for the three and six months ended June 30, 2016 because they were anti-dilutive. These stock-based awards could be dilutive in future periods.</w:t>
      </w:r>
    </w:p>
    <w:p>
      <w:pPr>
        <w:spacing w:after="0" w:line="18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380" w:type="dxa"/>
            <w:vAlign w:val="bottom"/>
          </w:tcPr>
          <w:p>
            <w:pPr>
              <w:spacing w:after="0"/>
              <w:rPr>
                <w:sz w:val="20"/>
                <w:szCs w:val="20"/>
                <w:color w:val="auto"/>
              </w:rPr>
            </w:pPr>
          </w:p>
        </w:tc>
        <w:tc>
          <w:tcPr>
            <w:tcW w:w="2020" w:type="dxa"/>
            <w:vAlign w:val="bottom"/>
            <w:gridSpan w:val="2"/>
          </w:tcPr>
          <w:p>
            <w:pPr>
              <w:ind w:left="300"/>
              <w:spacing w:after="0"/>
              <w:rPr>
                <w:sz w:val="20"/>
                <w:szCs w:val="20"/>
                <w:color w:val="auto"/>
              </w:rPr>
            </w:pPr>
            <w:r>
              <w:rPr>
                <w:rFonts w:ascii="Arial" w:cs="Arial" w:eastAsia="Arial" w:hAnsi="Arial"/>
                <w:sz w:val="16"/>
                <w:szCs w:val="16"/>
                <w:b w:val="1"/>
                <w:bCs w:val="1"/>
                <w:color w:val="auto"/>
              </w:rPr>
              <w:t>June 30, 2017</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2016</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Trade receivables (net of allowance of $3,502 and $3,320)</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345,738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299,870</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3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28,442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51,636</w:t>
            </w:r>
          </w:p>
        </w:tc>
      </w:tr>
      <w:tr>
        <w:trPr>
          <w:trHeight w:val="33"/>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374,180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351,506</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accounts activity</w:t>
            </w:r>
          </w:p>
        </w:tc>
        <w:tc>
          <w:tcPr>
            <w:tcW w:w="29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27"/>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99"/>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Beginning balance</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5,949</w:t>
            </w:r>
          </w:p>
        </w:tc>
      </w:tr>
      <w:tr>
        <w:trPr>
          <w:trHeight w:val="237"/>
        </w:trPr>
        <w:tc>
          <w:tcPr>
            <w:tcW w:w="4240" w:type="dxa"/>
            <w:vAlign w:val="bottom"/>
          </w:tcPr>
          <w:p>
            <w:pPr>
              <w:ind w:left="540"/>
              <w:spacing w:after="0"/>
              <w:rPr>
                <w:sz w:val="20"/>
                <w:szCs w:val="20"/>
                <w:color w:val="auto"/>
              </w:rPr>
            </w:pPr>
            <w:r>
              <w:rPr>
                <w:rFonts w:ascii="Arial" w:cs="Arial" w:eastAsia="Arial" w:hAnsi="Arial"/>
                <w:sz w:val="16"/>
                <w:szCs w:val="16"/>
                <w:color w:val="auto"/>
              </w:rPr>
              <w:t>Provision (release) for doubtful accounts, net</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written-off</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(1,842)</w:t>
            </w:r>
          </w:p>
        </w:tc>
      </w:tr>
      <w:tr>
        <w:trPr>
          <w:trHeight w:val="237"/>
        </w:trPr>
        <w:tc>
          <w:tcPr>
            <w:tcW w:w="4240" w:type="dxa"/>
            <w:vAlign w:val="bottom"/>
          </w:tcPr>
          <w:p>
            <w:pPr>
              <w:ind w:left="540"/>
              <w:spacing w:after="0"/>
              <w:rPr>
                <w:sz w:val="20"/>
                <w:szCs w:val="20"/>
                <w:color w:val="auto"/>
              </w:rPr>
            </w:pPr>
            <w:r>
              <w:rPr>
                <w:rFonts w:ascii="Arial" w:cs="Arial" w:eastAsia="Arial" w:hAnsi="Arial"/>
                <w:sz w:val="16"/>
                <w:szCs w:val="16"/>
                <w:color w:val="auto"/>
              </w:rPr>
              <w:t>Effect of change in exchange rates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Ending balance</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3,502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3,939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3,939</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Inventories</w:t>
            </w:r>
          </w:p>
        </w:tc>
        <w:tc>
          <w:tcPr>
            <w:tcW w:w="360" w:type="dxa"/>
            <w:vAlign w:val="bottom"/>
          </w:tcPr>
          <w:p>
            <w:pPr>
              <w:spacing w:after="0"/>
              <w:rPr>
                <w:sz w:val="20"/>
                <w:szCs w:val="20"/>
                <w:color w:val="auto"/>
              </w:rPr>
            </w:pPr>
          </w:p>
        </w:tc>
        <w:tc>
          <w:tcPr>
            <w:tcW w:w="19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Pr>
          <w:p>
            <w:pPr>
              <w:spacing w:after="0"/>
              <w:rPr>
                <w:sz w:val="20"/>
                <w:szCs w:val="20"/>
                <w:color w:val="auto"/>
              </w:rPr>
            </w:pPr>
          </w:p>
        </w:tc>
        <w:tc>
          <w:tcPr>
            <w:tcW w:w="1880" w:type="dxa"/>
            <w:vAlign w:val="bottom"/>
          </w:tcPr>
          <w:p>
            <w:pPr>
              <w:jc w:val="right"/>
              <w:ind w:right="339"/>
              <w:spacing w:after="0"/>
              <w:rPr>
                <w:sz w:val="20"/>
                <w:szCs w:val="20"/>
                <w:color w:val="auto"/>
              </w:rPr>
            </w:pPr>
            <w:r>
              <w:rPr>
                <w:rFonts w:ascii="Arial" w:cs="Arial" w:eastAsia="Arial" w:hAnsi="Arial"/>
                <w:sz w:val="16"/>
                <w:szCs w:val="16"/>
                <w:b w:val="1"/>
                <w:bCs w:val="1"/>
                <w:color w:val="auto"/>
                <w:w w:val="99"/>
              </w:rPr>
              <w:t>December 31, 2016</w:t>
            </w:r>
          </w:p>
        </w:tc>
      </w:tr>
      <w:tr>
        <w:trPr>
          <w:trHeight w:val="27"/>
        </w:trPr>
        <w:tc>
          <w:tcPr>
            <w:tcW w:w="6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4"/>
          </w:tcPr>
          <w:p>
            <w:pPr>
              <w:spacing w:after="0"/>
              <w:rPr>
                <w:sz w:val="2"/>
                <w:szCs w:val="2"/>
                <w:color w:val="auto"/>
              </w:rPr>
            </w:pPr>
          </w:p>
        </w:tc>
      </w:tr>
      <w:tr>
        <w:trPr>
          <w:trHeight w:val="217"/>
        </w:trPr>
        <w:tc>
          <w:tcPr>
            <w:tcW w:w="6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80" w:type="dxa"/>
            <w:vAlign w:val="bottom"/>
            <w:gridSpan w:val="4"/>
          </w:tcPr>
          <w:p>
            <w:pPr>
              <w:jc w:val="right"/>
              <w:ind w:right="163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6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124,363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103,274</w:t>
            </w:r>
          </w:p>
        </w:tc>
      </w:tr>
      <w:tr>
        <w:trPr>
          <w:trHeight w:val="237"/>
        </w:trPr>
        <w:tc>
          <w:tcPr>
            <w:tcW w:w="698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36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14,399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7,925</w:t>
            </w:r>
          </w:p>
        </w:tc>
      </w:tr>
      <w:tr>
        <w:trPr>
          <w:trHeight w:val="33"/>
        </w:trPr>
        <w:tc>
          <w:tcPr>
            <w:tcW w:w="6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51,850</w:t>
            </w:r>
          </w:p>
        </w:tc>
      </w:tr>
      <w:tr>
        <w:trPr>
          <w:trHeight w:val="244"/>
        </w:trPr>
        <w:tc>
          <w:tcPr>
            <w:tcW w:w="698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203,634</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163,049</w:t>
            </w:r>
          </w:p>
        </w:tc>
      </w:tr>
      <w:tr>
        <w:trPr>
          <w:trHeight w:val="20"/>
        </w:trPr>
        <w:tc>
          <w:tcPr>
            <w:tcW w:w="6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804"/>
        </w:trPr>
        <w:tc>
          <w:tcPr>
            <w:tcW w:w="6740" w:type="dxa"/>
            <w:vAlign w:val="bottom"/>
            <w:gridSpan w:val="2"/>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380" w:type="dxa"/>
            <w:vAlign w:val="bottom"/>
          </w:tcPr>
          <w:p>
            <w:pPr>
              <w:spacing w:after="0"/>
              <w:rPr>
                <w:sz w:val="24"/>
                <w:szCs w:val="24"/>
                <w:color w:val="auto"/>
              </w:rPr>
            </w:pPr>
          </w:p>
        </w:tc>
        <w:tc>
          <w:tcPr>
            <w:tcW w:w="2020" w:type="dxa"/>
            <w:vAlign w:val="bottom"/>
            <w:gridSpan w:val="2"/>
          </w:tcPr>
          <w:p>
            <w:pPr>
              <w:ind w:left="300"/>
              <w:spacing w:after="0"/>
              <w:rPr>
                <w:sz w:val="20"/>
                <w:szCs w:val="20"/>
                <w:color w:val="auto"/>
              </w:rPr>
            </w:pPr>
            <w:r>
              <w:rPr>
                <w:rFonts w:ascii="Arial" w:cs="Arial" w:eastAsia="Arial" w:hAnsi="Arial"/>
                <w:sz w:val="16"/>
                <w:szCs w:val="16"/>
                <w:b w:val="1"/>
                <w:bCs w:val="1"/>
                <w:color w:val="auto"/>
              </w:rPr>
              <w:t>June 30, 2017</w:t>
            </w:r>
          </w:p>
        </w:tc>
        <w:tc>
          <w:tcPr>
            <w:tcW w:w="460" w:type="dxa"/>
            <w:vAlign w:val="bottom"/>
          </w:tcPr>
          <w:p>
            <w:pPr>
              <w:spacing w:after="0"/>
              <w:rPr>
                <w:sz w:val="24"/>
                <w:szCs w:val="24"/>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128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297,314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279,746</w:t>
            </w:r>
          </w:p>
        </w:tc>
      </w:tr>
      <w:tr>
        <w:trPr>
          <w:trHeight w:val="237"/>
        </w:trPr>
        <w:tc>
          <w:tcPr>
            <w:tcW w:w="6740" w:type="dxa"/>
            <w:vAlign w:val="bottom"/>
            <w:gridSpan w:val="2"/>
          </w:tcPr>
          <w:p>
            <w:pPr>
              <w:ind w:left="360"/>
              <w:spacing w:after="0"/>
              <w:rPr>
                <w:sz w:val="20"/>
                <w:szCs w:val="20"/>
                <w:color w:val="auto"/>
              </w:rPr>
            </w:pPr>
            <w:r>
              <w:rPr>
                <w:rFonts w:ascii="Arial" w:cs="Arial" w:eastAsia="Arial" w:hAnsi="Arial"/>
                <w:sz w:val="16"/>
                <w:szCs w:val="16"/>
                <w:color w:val="auto"/>
              </w:rPr>
              <w:t>Computers and software</w:t>
            </w:r>
          </w:p>
        </w:tc>
        <w:tc>
          <w:tcPr>
            <w:tcW w:w="3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105,570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98,125</w:t>
            </w:r>
          </w:p>
        </w:tc>
      </w:tr>
      <w:tr>
        <w:trPr>
          <w:trHeight w:val="33"/>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3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130,165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122,680</w:t>
            </w:r>
          </w:p>
        </w:tc>
      </w:tr>
      <w:tr>
        <w:trPr>
          <w:trHeight w:val="237"/>
        </w:trPr>
        <w:tc>
          <w:tcPr>
            <w:tcW w:w="6740" w:type="dxa"/>
            <w:vAlign w:val="bottom"/>
            <w:gridSpan w:val="2"/>
          </w:tcPr>
          <w:p>
            <w:pPr>
              <w:ind w:left="360"/>
              <w:spacing w:after="0"/>
              <w:rPr>
                <w:sz w:val="20"/>
                <w:szCs w:val="20"/>
                <w:color w:val="auto"/>
              </w:rPr>
            </w:pPr>
            <w:r>
              <w:rPr>
                <w:rFonts w:ascii="Arial" w:cs="Arial" w:eastAsia="Arial" w:hAnsi="Arial"/>
                <w:sz w:val="16"/>
                <w:szCs w:val="16"/>
                <w:color w:val="auto"/>
              </w:rPr>
              <w:t>Land</w:t>
            </w:r>
          </w:p>
        </w:tc>
        <w:tc>
          <w:tcPr>
            <w:tcW w:w="380" w:type="dxa"/>
            <w:vAlign w:val="bottom"/>
          </w:tcPr>
          <w:p>
            <w:pPr>
              <w:spacing w:after="0"/>
              <w:rPr>
                <w:sz w:val="20"/>
                <w:szCs w:val="20"/>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18,161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17,179</w:t>
            </w:r>
          </w:p>
        </w:tc>
      </w:tr>
      <w:tr>
        <w:trPr>
          <w:trHeight w:val="33"/>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32,036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29,358</w:t>
            </w:r>
          </w:p>
        </w:tc>
      </w:tr>
      <w:tr>
        <w:trPr>
          <w:trHeight w:val="217"/>
        </w:trPr>
        <w:tc>
          <w:tcPr>
            <w:tcW w:w="6740" w:type="dxa"/>
            <w:vAlign w:val="bottom"/>
            <w:gridSpan w:val="2"/>
          </w:tcPr>
          <w:p>
            <w:pPr>
              <w:ind w:left="720"/>
              <w:spacing w:after="0"/>
              <w:rPr>
                <w:sz w:val="20"/>
                <w:szCs w:val="20"/>
                <w:color w:val="auto"/>
              </w:rPr>
            </w:pPr>
            <w:r>
              <w:rPr>
                <w:rFonts w:ascii="Arial" w:cs="Arial" w:eastAsia="Arial" w:hAnsi="Arial"/>
                <w:sz w:val="16"/>
                <w:szCs w:val="16"/>
                <w:color w:val="auto"/>
              </w:rPr>
              <w:t>Total cost</w:t>
            </w:r>
          </w:p>
        </w:tc>
        <w:tc>
          <w:tcPr>
            <w:tcW w:w="3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583,246</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547,088</w:t>
            </w:r>
          </w:p>
        </w:tc>
      </w:tr>
      <w:tr>
        <w:trPr>
          <w:trHeight w:val="33"/>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(396,740)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(370,630)</w:t>
            </w:r>
          </w:p>
        </w:tc>
      </w:tr>
      <w:tr>
        <w:trPr>
          <w:trHeight w:val="244"/>
        </w:trPr>
        <w:tc>
          <w:tcPr>
            <w:tcW w:w="6740" w:type="dxa"/>
            <w:vAlign w:val="bottom"/>
            <w:gridSpan w:val="2"/>
          </w:tcPr>
          <w:p>
            <w:pPr>
              <w:ind w:left="104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186,506</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176,458</w:t>
            </w:r>
          </w:p>
        </w:tc>
      </w:tr>
      <w:tr>
        <w:trPr>
          <w:trHeight w:val="20"/>
        </w:trPr>
        <w:tc>
          <w:tcPr>
            <w:tcW w:w="12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400" w:type="dxa"/>
            <w:vAlign w:val="bottom"/>
          </w:tcPr>
          <w:p>
            <w:pPr>
              <w:spacing w:after="0"/>
              <w:rPr>
                <w:sz w:val="20"/>
                <w:szCs w:val="20"/>
                <w:color w:val="auto"/>
              </w:rPr>
            </w:pPr>
          </w:p>
        </w:tc>
        <w:tc>
          <w:tcPr>
            <w:tcW w:w="3300" w:type="dxa"/>
            <w:vAlign w:val="bottom"/>
            <w:gridSpan w:val="4"/>
          </w:tcPr>
          <w:p>
            <w:pPr>
              <w:ind w:left="360"/>
              <w:spacing w:after="0"/>
              <w:rPr>
                <w:sz w:val="20"/>
                <w:szCs w:val="20"/>
                <w:color w:val="auto"/>
              </w:rPr>
            </w:pPr>
            <w:r>
              <w:rPr>
                <w:rFonts w:ascii="Arial" w:cs="Arial" w:eastAsia="Arial" w:hAnsi="Arial"/>
                <w:sz w:val="16"/>
                <w:szCs w:val="16"/>
                <w:b w:val="1"/>
                <w:bCs w:val="1"/>
                <w:color w:val="auto"/>
              </w:rPr>
              <w:t>Three Months Ended June 30,</w:t>
            </w:r>
          </w:p>
        </w:tc>
        <w:tc>
          <w:tcPr>
            <w:tcW w:w="540" w:type="dxa"/>
            <w:vAlign w:val="bottom"/>
          </w:tcPr>
          <w:p>
            <w:pPr>
              <w:spacing w:after="0"/>
              <w:rPr>
                <w:sz w:val="20"/>
                <w:szCs w:val="20"/>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27"/>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5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4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Depreciation expense</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10,120</w:t>
            </w:r>
          </w:p>
        </w:tc>
        <w:tc>
          <w:tcPr>
            <w:tcW w:w="5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11,011</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19,949</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21,475</w:t>
            </w:r>
          </w:p>
        </w:tc>
      </w:tr>
      <w:tr>
        <w:trPr>
          <w:trHeight w:val="33"/>
        </w:trPr>
        <w:tc>
          <w:tcPr>
            <w:tcW w:w="4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2017</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2016</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9"/>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Gross Assets</w:t>
            </w:r>
          </w:p>
        </w:tc>
        <w:tc>
          <w:tcPr>
            <w:tcW w:w="14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6"/>
                <w:szCs w:val="16"/>
                <w:b w:val="1"/>
                <w:bCs w:val="1"/>
                <w:color w:val="auto"/>
              </w:rPr>
              <w:t>Net</w:t>
            </w:r>
          </w:p>
        </w:tc>
        <w:tc>
          <w:tcPr>
            <w:tcW w:w="180" w:type="dxa"/>
            <w:vAlign w:val="bottom"/>
          </w:tcPr>
          <w:p>
            <w:pPr>
              <w:spacing w:after="0"/>
              <w:rPr>
                <w:sz w:val="18"/>
                <w:szCs w:val="18"/>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b w:val="1"/>
                <w:bCs w:val="1"/>
                <w:color w:val="auto"/>
                <w:w w:val="87"/>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Arial" w:cs="Arial" w:eastAsia="Arial" w:hAnsi="Arial"/>
                <w:sz w:val="16"/>
                <w:szCs w:val="16"/>
                <w:b w:val="1"/>
                <w:bCs w:val="1"/>
                <w:color w:val="auto"/>
              </w:rPr>
              <w:t>Net</w:t>
            </w: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415,616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(382,015)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372,568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(354,878)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17,690</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250,683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(185,659)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65,024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224,467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(170,056)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54,411</w:t>
            </w: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68,626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61,785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11,579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(11,056)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11,076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2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0"/>
        </w:trPr>
        <w:tc>
          <w:tcPr>
            <w:tcW w:w="288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9"/>
              </w:rPr>
              <w:t>Total intangible assets subject to</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9"/>
        </w:trPr>
        <w:tc>
          <w:tcPr>
            <w:tcW w:w="28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amortization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746,504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(643,070)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103,434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669,896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(597,745)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72,151</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In-process research and development</w:t>
            </w: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28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747,214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(643,070)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104,144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669,896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(597,745)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72,151</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intangible asset activity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775335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Beginning balance, intangible assets, gross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Effect of change in exchange rates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Ending balance, intangible assets, gross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223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9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270"/>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669,896</w:t>
            </w:r>
          </w:p>
        </w:tc>
        <w:tc>
          <w:tcPr>
            <w:tcW w:w="120" w:type="dxa"/>
            <w:vAlign w:val="bottom"/>
          </w:tcPr>
          <w:p>
            <w:pPr>
              <w:spacing w:after="0"/>
              <w:rPr>
                <w:sz w:val="23"/>
                <w:szCs w:val="23"/>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702,507</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36,500</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00" w:type="dxa"/>
            <w:vAlign w:val="bottom"/>
          </w:tcPr>
          <w:p>
            <w:pPr>
              <w:spacing w:after="0"/>
              <w:rPr>
                <w:sz w:val="23"/>
                <w:szCs w:val="23"/>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40,818</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(2,512)</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747,214</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699,995</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80" w:space="720"/>
            <w:col w:w="3520"/>
          </w:cols>
          <w:pgMar w:left="240" w:top="108" w:right="239" w:bottom="1440" w:gutter="0" w:footer="0" w:header="0"/>
          <w:type w:val="continuous"/>
        </w:sectPr>
      </w:pP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1, 2017, we completed the acquisition of Comverge Inc. by purchasing 100% of the voting stock of Peak Holding Corp., its parent company (Comverge). Intangible assets acquired in 2017 are based on the preliminary purchase price allocation relating to this acquisition. Comverge's intangible assets include in-process research and development, which is not amortized until such time as the associated development projects are completed. These projects are expected to be completed in the next six months. Refer to Note 16 for additional information regarding this acquisition.</w:t>
      </w:r>
    </w:p>
    <w:p>
      <w:pPr>
        <w:sectPr>
          <w:pgSz w:w="11900" w:h="16838" w:orient="portrait"/>
          <w:cols w:equalWidth="0" w:num="1">
            <w:col w:w="11420"/>
          </w:cols>
          <w:pgMar w:left="240" w:top="108" w:right="23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08"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Estimated future annual amortization expense is as follows: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60890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2017 (amount remaining at June 30, 2017)</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2019</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2021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Beyond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intangible assets subject to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5"/>
        <w:spacing w:after="0"/>
        <w:rPr>
          <w:sz w:val="20"/>
          <w:szCs w:val="20"/>
          <w:color w:val="auto"/>
        </w:rPr>
      </w:pPr>
      <w:r>
        <w:rPr>
          <w:rFonts w:ascii="Arial" w:cs="Arial" w:eastAsia="Arial" w:hAnsi="Arial"/>
          <w:sz w:val="16"/>
          <w:szCs w:val="16"/>
          <w:b w:val="1"/>
          <w:bCs w:val="1"/>
          <w:color w:val="auto"/>
        </w:rPr>
        <w:t>Estimated Annual</w:t>
      </w:r>
    </w:p>
    <w:p>
      <w:pPr>
        <w:spacing w:after="0" w:line="26" w:lineRule="exact"/>
        <w:rPr>
          <w:sz w:val="20"/>
          <w:szCs w:val="20"/>
          <w:color w:val="auto"/>
        </w:rPr>
      </w:pPr>
    </w:p>
    <w:p>
      <w:pPr>
        <w:jc w:val="center"/>
        <w:ind w:right="25"/>
        <w:spacing w:after="0"/>
        <w:rPr>
          <w:sz w:val="20"/>
          <w:szCs w:val="20"/>
          <w:color w:val="auto"/>
        </w:rPr>
      </w:pPr>
      <w:r>
        <w:rPr>
          <w:rFonts w:ascii="Arial" w:cs="Arial" w:eastAsia="Arial" w:hAnsi="Arial"/>
          <w:sz w:val="16"/>
          <w:szCs w:val="16"/>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wp:posOffset>
            </wp:positionV>
            <wp:extent cx="1080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72" w:lineRule="exact"/>
        <w:rPr>
          <w:sz w:val="20"/>
          <w:szCs w:val="20"/>
          <w:color w:val="auto"/>
        </w:rPr>
      </w:pPr>
    </w:p>
    <w:p>
      <w:pPr>
        <w:ind w:left="335"/>
        <w:spacing w:after="0"/>
        <w:rPr>
          <w:sz w:val="20"/>
          <w:szCs w:val="20"/>
          <w:color w:val="auto"/>
        </w:rPr>
      </w:pPr>
      <w:r>
        <w:rPr>
          <w:rFonts w:ascii="Arial" w:cs="Arial" w:eastAsia="Arial" w:hAnsi="Arial"/>
          <w:sz w:val="16"/>
          <w:szCs w:val="16"/>
          <w:b w:val="1"/>
          <w:bCs w:val="1"/>
          <w:color w:val="auto"/>
        </w:rPr>
        <w:t>(in thousands)</w:t>
      </w:r>
    </w:p>
    <w:p>
      <w:pPr>
        <w:spacing w:after="0" w:line="90" w:lineRule="exact"/>
        <w:rPr>
          <w:sz w:val="20"/>
          <w:szCs w:val="20"/>
          <w:color w:val="auto"/>
        </w:rPr>
      </w:pPr>
    </w:p>
    <w:p>
      <w:pPr>
        <w:ind w:left="1135" w:hanging="1135"/>
        <w:spacing w:after="0"/>
        <w:tabs>
          <w:tab w:leader="none" w:pos="1135" w:val="left"/>
        </w:tabs>
        <w:numPr>
          <w:ilvl w:val="0"/>
          <w:numId w:val="3"/>
        </w:numPr>
        <w:rPr>
          <w:rFonts w:ascii="Arial" w:cs="Arial" w:eastAsia="Arial" w:hAnsi="Arial"/>
          <w:sz w:val="14"/>
          <w:szCs w:val="14"/>
          <w:color w:val="auto"/>
        </w:rPr>
      </w:pPr>
      <w:r>
        <w:rPr>
          <w:rFonts w:ascii="Arial" w:cs="Arial" w:eastAsia="Arial" w:hAnsi="Arial"/>
          <w:sz w:val="14"/>
          <w:szCs w:val="14"/>
          <w:color w:val="auto"/>
        </w:rPr>
        <w:t>11,103</w:t>
      </w:r>
    </w:p>
    <w:p>
      <w:pPr>
        <w:spacing w:after="0" w:line="109" w:lineRule="exact"/>
        <w:rPr>
          <w:rFonts w:ascii="Arial" w:cs="Arial" w:eastAsia="Arial" w:hAnsi="Arial"/>
          <w:sz w:val="14"/>
          <w:szCs w:val="14"/>
          <w:color w:val="auto"/>
        </w:rPr>
      </w:pPr>
    </w:p>
    <w:p>
      <w:pPr>
        <w:ind w:left="1115"/>
        <w:spacing w:after="0"/>
        <w:rPr>
          <w:rFonts w:ascii="Arial" w:cs="Arial" w:eastAsia="Arial" w:hAnsi="Arial"/>
          <w:sz w:val="14"/>
          <w:szCs w:val="14"/>
          <w:color w:val="auto"/>
        </w:rPr>
      </w:pPr>
      <w:r>
        <w:rPr>
          <w:rFonts w:ascii="Arial" w:cs="Arial" w:eastAsia="Arial" w:hAnsi="Arial"/>
          <w:sz w:val="15"/>
          <w:szCs w:val="15"/>
          <w:color w:val="auto"/>
        </w:rPr>
        <w:t>18,761</w:t>
      </w:r>
    </w:p>
    <w:p>
      <w:pPr>
        <w:spacing w:after="0" w:line="97" w:lineRule="exact"/>
        <w:rPr>
          <w:rFonts w:ascii="Arial" w:cs="Arial" w:eastAsia="Arial" w:hAnsi="Arial"/>
          <w:sz w:val="14"/>
          <w:szCs w:val="14"/>
          <w:color w:val="auto"/>
        </w:rPr>
      </w:pPr>
    </w:p>
    <w:p>
      <w:pPr>
        <w:ind w:left="1115"/>
        <w:spacing w:after="0"/>
        <w:rPr>
          <w:rFonts w:ascii="Arial" w:cs="Arial" w:eastAsia="Arial" w:hAnsi="Arial"/>
          <w:sz w:val="14"/>
          <w:szCs w:val="14"/>
          <w:color w:val="auto"/>
        </w:rPr>
      </w:pPr>
      <w:r>
        <w:rPr>
          <w:rFonts w:ascii="Arial" w:cs="Arial" w:eastAsia="Arial" w:hAnsi="Arial"/>
          <w:sz w:val="15"/>
          <w:szCs w:val="15"/>
          <w:color w:val="auto"/>
        </w:rPr>
        <w:t>16,050</w:t>
      </w:r>
    </w:p>
    <w:p>
      <w:pPr>
        <w:spacing w:after="0" w:line="97" w:lineRule="exact"/>
        <w:rPr>
          <w:rFonts w:ascii="Arial" w:cs="Arial" w:eastAsia="Arial" w:hAnsi="Arial"/>
          <w:sz w:val="14"/>
          <w:szCs w:val="14"/>
          <w:color w:val="auto"/>
        </w:rPr>
      </w:pPr>
    </w:p>
    <w:p>
      <w:pPr>
        <w:ind w:left="1115"/>
        <w:spacing w:after="0"/>
        <w:rPr>
          <w:rFonts w:ascii="Arial" w:cs="Arial" w:eastAsia="Arial" w:hAnsi="Arial"/>
          <w:sz w:val="14"/>
          <w:szCs w:val="14"/>
          <w:color w:val="auto"/>
        </w:rPr>
      </w:pPr>
      <w:r>
        <w:rPr>
          <w:rFonts w:ascii="Arial" w:cs="Arial" w:eastAsia="Arial" w:hAnsi="Arial"/>
          <w:sz w:val="15"/>
          <w:szCs w:val="15"/>
          <w:color w:val="auto"/>
        </w:rPr>
        <w:t>13,698</w:t>
      </w:r>
    </w:p>
    <w:p>
      <w:pPr>
        <w:spacing w:after="0" w:line="97" w:lineRule="exact"/>
        <w:rPr>
          <w:rFonts w:ascii="Arial" w:cs="Arial" w:eastAsia="Arial" w:hAnsi="Arial"/>
          <w:sz w:val="14"/>
          <w:szCs w:val="14"/>
          <w:color w:val="auto"/>
        </w:rPr>
      </w:pPr>
    </w:p>
    <w:p>
      <w:pPr>
        <w:ind w:left="1135"/>
        <w:spacing w:after="0"/>
        <w:rPr>
          <w:rFonts w:ascii="Arial" w:cs="Arial" w:eastAsia="Arial" w:hAnsi="Arial"/>
          <w:sz w:val="14"/>
          <w:szCs w:val="14"/>
          <w:color w:val="auto"/>
        </w:rPr>
      </w:pPr>
      <w:r>
        <w:rPr>
          <w:rFonts w:ascii="Arial" w:cs="Arial" w:eastAsia="Arial" w:hAnsi="Arial"/>
          <w:sz w:val="14"/>
          <w:szCs w:val="14"/>
          <w:color w:val="auto"/>
        </w:rPr>
        <w:t>11,799</w:t>
      </w:r>
    </w:p>
    <w:p>
      <w:pPr>
        <w:spacing w:after="0" w:line="109" w:lineRule="exact"/>
        <w:rPr>
          <w:rFonts w:ascii="Arial" w:cs="Arial" w:eastAsia="Arial" w:hAnsi="Arial"/>
          <w:sz w:val="14"/>
          <w:szCs w:val="14"/>
          <w:color w:val="auto"/>
        </w:rPr>
      </w:pPr>
    </w:p>
    <w:p>
      <w:pPr>
        <w:ind w:left="1115"/>
        <w:spacing w:after="0"/>
        <w:rPr>
          <w:rFonts w:ascii="Arial" w:cs="Arial" w:eastAsia="Arial" w:hAnsi="Arial"/>
          <w:sz w:val="14"/>
          <w:szCs w:val="14"/>
          <w:color w:val="auto"/>
        </w:rPr>
      </w:pPr>
      <w:r>
        <w:rPr>
          <w:rFonts w:ascii="Arial" w:cs="Arial" w:eastAsia="Arial" w:hAnsi="Arial"/>
          <w:sz w:val="15"/>
          <w:szCs w:val="15"/>
          <w:color w:val="auto"/>
        </w:rPr>
        <w:t>32,023</w:t>
      </w:r>
    </w:p>
    <w:p>
      <w:pPr>
        <w:spacing w:after="0" w:line="98" w:lineRule="exact"/>
        <w:rPr>
          <w:sz w:val="20"/>
          <w:szCs w:val="20"/>
          <w:color w:val="auto"/>
        </w:rPr>
      </w:pPr>
    </w:p>
    <w:p>
      <w:pPr>
        <w:ind w:left="1035" w:hanging="1035"/>
        <w:spacing w:after="0"/>
        <w:tabs>
          <w:tab w:leader="none" w:pos="1035" w:val="left"/>
        </w:tabs>
        <w:numPr>
          <w:ilvl w:val="0"/>
          <w:numId w:val="4"/>
        </w:numPr>
        <w:rPr>
          <w:rFonts w:ascii="Arial" w:cs="Arial" w:eastAsia="Arial" w:hAnsi="Arial"/>
          <w:sz w:val="14"/>
          <w:szCs w:val="14"/>
          <w:color w:val="auto"/>
        </w:rPr>
      </w:pPr>
      <w:r>
        <w:rPr>
          <w:rFonts w:ascii="Arial" w:cs="Arial" w:eastAsia="Arial" w:hAnsi="Arial"/>
          <w:sz w:val="14"/>
          <w:szCs w:val="14"/>
          <w:color w:val="auto"/>
        </w:rPr>
        <w:t>103,434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66675</wp:posOffset>
            </wp:positionV>
            <wp:extent cx="1080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9025" w:space="720"/>
            <w:col w:w="1675"/>
          </w:cols>
          <w:pgMar w:left="240" w:top="125" w:right="239" w:bottom="1440" w:gutter="0" w:footer="0" w:header="0"/>
        </w:sectPr>
      </w:pPr>
    </w:p>
    <w:p>
      <w:pPr>
        <w:spacing w:after="0" w:line="10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unit: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ind w:left="300"/>
              <w:spacing w:after="0"/>
              <w:rPr>
                <w:sz w:val="20"/>
                <w:szCs w:val="20"/>
                <w:color w:val="auto"/>
              </w:rPr>
            </w:pPr>
            <w:r>
              <w:rPr>
                <w:rFonts w:ascii="Arial" w:cs="Arial" w:eastAsia="Arial" w:hAnsi="Arial"/>
                <w:sz w:val="16"/>
                <w:szCs w:val="16"/>
                <w:b w:val="1"/>
                <w:bCs w:val="1"/>
                <w:color w:val="auto"/>
              </w:rPr>
              <w:t>Electricity</w:t>
            </w:r>
          </w:p>
        </w:tc>
        <w:tc>
          <w:tcPr>
            <w:tcW w:w="500" w:type="dxa"/>
            <w:vAlign w:val="bottom"/>
          </w:tcPr>
          <w:p>
            <w:pPr>
              <w:spacing w:after="0"/>
              <w:rPr>
                <w:sz w:val="18"/>
                <w:szCs w:val="18"/>
                <w:color w:val="auto"/>
              </w:rPr>
            </w:pPr>
          </w:p>
        </w:tc>
        <w:tc>
          <w:tcPr>
            <w:tcW w:w="1660" w:type="dxa"/>
            <w:vAlign w:val="bottom"/>
            <w:gridSpan w:val="2"/>
          </w:tcPr>
          <w:p>
            <w:pPr>
              <w:ind w:left="380"/>
              <w:spacing w:after="0"/>
              <w:rPr>
                <w:sz w:val="20"/>
                <w:szCs w:val="20"/>
                <w:color w:val="auto"/>
              </w:rPr>
            </w:pPr>
            <w:r>
              <w:rPr>
                <w:rFonts w:ascii="Arial" w:cs="Arial" w:eastAsia="Arial" w:hAnsi="Arial"/>
                <w:sz w:val="16"/>
                <w:szCs w:val="16"/>
                <w:b w:val="1"/>
                <w:bCs w:val="1"/>
                <w:color w:val="auto"/>
              </w:rPr>
              <w:t>Gas</w:t>
            </w:r>
          </w:p>
        </w:tc>
        <w:tc>
          <w:tcPr>
            <w:tcW w:w="60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6"/>
                <w:szCs w:val="16"/>
                <w:b w:val="1"/>
                <w:bCs w:val="1"/>
                <w:color w:val="auto"/>
              </w:rPr>
              <w:t>Water</w:t>
            </w:r>
          </w:p>
        </w:tc>
        <w:tc>
          <w:tcPr>
            <w:tcW w:w="300" w:type="dxa"/>
            <w:vAlign w:val="bottom"/>
          </w:tcPr>
          <w:p>
            <w:pPr>
              <w:spacing w:after="0"/>
              <w:rPr>
                <w:sz w:val="18"/>
                <w:szCs w:val="18"/>
                <w:color w:val="auto"/>
              </w:rPr>
            </w:pPr>
          </w:p>
        </w:tc>
        <w:tc>
          <w:tcPr>
            <w:tcW w:w="174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 Company</w:t>
            </w:r>
          </w:p>
        </w:tc>
      </w:tr>
      <w:tr>
        <w:trPr>
          <w:trHeight w:val="33"/>
        </w:trPr>
        <w:tc>
          <w:tcPr>
            <w:tcW w:w="28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7"/>
        </w:trPr>
        <w:tc>
          <w:tcPr>
            <w:tcW w:w="2880" w:type="dxa"/>
            <w:vAlign w:val="bottom"/>
          </w:tcPr>
          <w:p>
            <w:pPr>
              <w:ind w:left="40"/>
              <w:spacing w:after="0"/>
              <w:rPr>
                <w:sz w:val="20"/>
                <w:szCs w:val="20"/>
                <w:color w:val="auto"/>
              </w:rPr>
            </w:pPr>
            <w:r>
              <w:rPr>
                <w:rFonts w:ascii="Arial" w:cs="Arial" w:eastAsia="Arial" w:hAnsi="Arial"/>
                <w:sz w:val="16"/>
                <w:szCs w:val="16"/>
                <w:color w:val="auto"/>
              </w:rPr>
              <w:t>Balances at January 1, 2017</w:t>
            </w:r>
          </w:p>
        </w:tc>
        <w:tc>
          <w:tcPr>
            <w:tcW w:w="3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47"/>
        </w:trPr>
        <w:tc>
          <w:tcPr>
            <w:tcW w:w="2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400,299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319,913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334,505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1,054,717</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(348,926)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(253,297)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(602,223)</w:t>
            </w:r>
          </w:p>
        </w:tc>
      </w:tr>
      <w:tr>
        <w:trPr>
          <w:trHeight w:val="33"/>
        </w:trPr>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51,373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319,913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452,494</w:t>
            </w:r>
          </w:p>
        </w:tc>
      </w:tr>
      <w:tr>
        <w:trPr>
          <w:trHeight w:val="264"/>
        </w:trPr>
        <w:tc>
          <w:tcPr>
            <w:tcW w:w="28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acquired</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60,286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60,286</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Pr>
          <w:p>
            <w:pPr>
              <w:spacing w:after="0"/>
              <w:rPr>
                <w:sz w:val="20"/>
                <w:szCs w:val="20"/>
                <w:color w:val="auto"/>
              </w:rPr>
            </w:pP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2,065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21,158</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5,068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28,291</w:t>
            </w: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Balances at June 30, 2017</w:t>
            </w:r>
          </w:p>
        </w:tc>
        <w:tc>
          <w:tcPr>
            <w:tcW w:w="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before impairment</w:t>
            </w:r>
          </w:p>
        </w:tc>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486,834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341,071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363,185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1,191,090</w:t>
            </w:r>
          </w:p>
        </w:tc>
      </w:tr>
      <w:tr>
        <w:trPr>
          <w:trHeight w:val="237"/>
        </w:trPr>
        <w:tc>
          <w:tcPr>
            <w:tcW w:w="2880" w:type="dxa"/>
            <w:vAlign w:val="bottom"/>
          </w:tcPr>
          <w:p>
            <w:pPr>
              <w:ind w:left="380"/>
              <w:spacing w:after="0"/>
              <w:rPr>
                <w:sz w:val="20"/>
                <w:szCs w:val="20"/>
                <w:color w:val="auto"/>
              </w:rPr>
            </w:pPr>
            <w:r>
              <w:rPr>
                <w:rFonts w:ascii="Arial" w:cs="Arial" w:eastAsia="Arial" w:hAnsi="Arial"/>
                <w:sz w:val="16"/>
                <w:szCs w:val="16"/>
                <w:color w:val="auto"/>
              </w:rPr>
              <w:t>Accumulated impairment losses</w:t>
            </w:r>
          </w:p>
        </w:tc>
        <w:tc>
          <w:tcPr>
            <w:tcW w:w="3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(373,110)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(276,909)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(650,019)</w:t>
            </w:r>
          </w:p>
        </w:tc>
      </w:tr>
      <w:tr>
        <w:trPr>
          <w:trHeight w:val="33"/>
        </w:trPr>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Goodwill, net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113,724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341,071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86,276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541,071</w:t>
            </w:r>
          </w:p>
        </w:tc>
      </w:tr>
      <w:tr>
        <w:trPr>
          <w:trHeight w:val="20"/>
        </w:trPr>
        <w:tc>
          <w:tcPr>
            <w:tcW w:w="2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borrowings were as follows: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Credit facility:</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USD denominated term loan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Multicurrency revolving line of credit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Less: current portion of debt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Less: unamortized prepaid debt fees - term loan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Long-term debt less unamortized prepaid debt fees - term loan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 2017</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2016</w:t>
            </w:r>
          </w:p>
        </w:tc>
      </w:tr>
      <w:tr>
        <w:trPr>
          <w:trHeight w:val="33"/>
        </w:trPr>
        <w:tc>
          <w:tcPr>
            <w:tcW w:w="4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527"/>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202,500</w:t>
            </w:r>
          </w:p>
        </w:tc>
        <w:tc>
          <w:tcPr>
            <w:tcW w:w="120" w:type="dxa"/>
            <w:vAlign w:val="bottom"/>
          </w:tcPr>
          <w:p>
            <w:pPr>
              <w:spacing w:after="0"/>
              <w:rPr>
                <w:sz w:val="24"/>
                <w:szCs w:val="24"/>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208,125</w:t>
            </w:r>
          </w:p>
        </w:tc>
      </w:tr>
      <w:tr>
        <w:trPr>
          <w:trHeight w:val="270"/>
        </w:trPr>
        <w:tc>
          <w:tcPr>
            <w:tcW w:w="4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122,497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97,167</w:t>
            </w:r>
          </w:p>
        </w:tc>
      </w:tr>
      <w:tr>
        <w:trPr>
          <w:trHeight w:val="47"/>
        </w:trPr>
        <w:tc>
          <w:tcPr>
            <w:tcW w:w="40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r>
      <w:tr>
        <w:trPr>
          <w:trHeight w:val="217"/>
        </w:trPr>
        <w:tc>
          <w:tcPr>
            <w:tcW w:w="400" w:type="dxa"/>
            <w:vAlign w:val="bottom"/>
          </w:tcPr>
          <w:p>
            <w:pPr>
              <w:spacing w:after="0"/>
              <w:rPr>
                <w:sz w:val="18"/>
                <w:szCs w:val="18"/>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324,997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305,292</w:t>
            </w:r>
          </w:p>
        </w:tc>
      </w:tr>
      <w:tr>
        <w:trPr>
          <w:trHeight w:val="270"/>
        </w:trPr>
        <w:tc>
          <w:tcPr>
            <w:tcW w:w="4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16,875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14,063</w:t>
            </w:r>
          </w:p>
        </w:tc>
      </w:tr>
      <w:tr>
        <w:trPr>
          <w:trHeight w:val="270"/>
        </w:trPr>
        <w:tc>
          <w:tcPr>
            <w:tcW w:w="400" w:type="dxa"/>
            <w:vAlign w:val="bottom"/>
          </w:tcPr>
          <w:p>
            <w:pPr>
              <w:spacing w:after="0"/>
              <w:rPr>
                <w:sz w:val="23"/>
                <w:szCs w:val="23"/>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638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769</w:t>
            </w:r>
          </w:p>
        </w:tc>
      </w:tr>
      <w:tr>
        <w:trPr>
          <w:trHeight w:val="33"/>
        </w:trPr>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307,484</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290,460</w:t>
            </w:r>
          </w:p>
        </w:tc>
      </w:tr>
      <w:tr>
        <w:trPr>
          <w:trHeight w:val="33"/>
        </w:trPr>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-1054100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-711200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-368300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June 23, 2015, we entered into an amended and restated credit agreement providing for committed credit facilities in the amount of $725 million U.S. dollars (the 2015 credit facility). The 2015 credit facility consists of a $225 million U.S. dollar term loan (the term loan) and a multicurrency revolving line of credit (the revolver) with a principal amount of up to $500 million. The revolver also contains a $250 million standby letter of credit sub-facility and a $50 million swingline sub-facility (available for immediate cash needs at a higher interest rate). Both the term loan and the revolver mature on June 23, 2020, and amounts borrowed under the revolver are classified as long-term and, during the credit facility term, may be repaid and reborrowed until the revolver's maturity, at which time the revolver will terminate, and all outstanding loans, together with all accrued and unpaid interest, must be repaid. Amounts not borrowed under the revolver are subject to a commitment fee, which is paid in arrears on the last day of each fiscal quarter, ranging from 0.18% to 0.30% per annum depending on our total leverage ratio as of the most recently ended fiscal quarter. Amounts repaid on the term loan may not be reborrowed. The 2015 credit facility permits us and certain of our</w:t>
      </w:r>
    </w:p>
    <w:p>
      <w:pPr>
        <w:sectPr>
          <w:pgSz w:w="11900" w:h="16838" w:orient="portrait"/>
          <w:cols w:equalWidth="0" w:num="1">
            <w:col w:w="11420"/>
          </w:cols>
          <w:pgMar w:left="240" w:top="125" w:right="239" w:bottom="1440" w:gutter="0" w:footer="0" w:header="0"/>
          <w:type w:val="continuous"/>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foreign subsidiaries to borrow in U.S. dollars, euros, British pounds, or, with lender approval, other currencies readily convertible into U.S. dollars. All obligations under the 2015 credit facility are guaranteed by Itron, Inc. and material U.S. domestic subsidiaries and are secured by a pledge of substantially all of the assets of Itron, Inc. and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2015 credit facility, are guaranteed by the foreign subsidiary and by its direct and indirect foreign parents.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2015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(floor of 0%), plus an applicable margin, or (2) the Alternate Base Rate, plus an applicable margin. The Alternate Base Rate election is equal to the greatest of three rates: (i) the prime rate, (ii) the Federal Reserve effective rate plus 1/2 of 1%, or (iii) one month LIBOR plus 1%. At June 30, 2017 and December 31, 2016, the interest rate for both the term loan and the USD revolver was 2.48% and 2.02%, respectively, which includes the LIBOR rate plus a margin of 1.25%. At June 30, 2017 and December 31, 2016, the interest rate for the EUR revolver was 1.25% (the EURIBOR floor rate plus a margin of 1.25%).</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June 30, 2017, $122.5 million was outstanding under the 2015 credit facility revolver, and $28.7 million was utilized by outstanding standby letters of credit, resulting in $348.8 million available for additional borrowings or standby letters of credit. At June 30, 2017, $221.3 million was available for additional standby letters of credit under the letter of credit sub-facility and no amounts were outstanding under the swingline sub-facility.</w:t>
      </w:r>
    </w:p>
    <w:p>
      <w:pPr>
        <w:spacing w:after="0" w:line="16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13 and Note 14 for additional disclosures on our derivative instruments.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our derivative instruments are determined using the income approach and significant other observable inputs (also known as “Level 2”). We have used observable market inputs based on the type of derivative 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40" w:type="dxa"/>
            <w:vAlign w:val="bottom"/>
          </w:tcPr>
          <w:p>
            <w:pPr>
              <w:jc w:val="center"/>
              <w:ind w:right="143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2860" w:type="dxa"/>
            <w:vAlign w:val="bottom"/>
          </w:tcPr>
          <w:p>
            <w:pPr>
              <w:spacing w:after="0"/>
              <w:rPr>
                <w:sz w:val="2"/>
                <w:szCs w:val="2"/>
                <w:color w:val="auto"/>
              </w:rPr>
            </w:pPr>
          </w:p>
        </w:tc>
        <w:tc>
          <w:tcPr>
            <w:tcW w:w="4380" w:type="dxa"/>
            <w:vAlign w:val="bottom"/>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31"/>
        </w:trPr>
        <w:tc>
          <w:tcPr>
            <w:tcW w:w="2860" w:type="dxa"/>
            <w:vAlign w:val="bottom"/>
          </w:tcPr>
          <w:p>
            <w:pPr>
              <w:ind w:left="40"/>
              <w:spacing w:after="0"/>
              <w:rPr>
                <w:sz w:val="20"/>
                <w:szCs w:val="20"/>
                <w:color w:val="auto"/>
              </w:rPr>
            </w:pPr>
            <w:r>
              <w:rPr>
                <w:rFonts w:ascii="Arial" w:cs="Arial" w:eastAsia="Arial" w:hAnsi="Arial"/>
                <w:sz w:val="16"/>
                <w:szCs w:val="16"/>
                <w:b w:val="1"/>
                <w:bCs w:val="1"/>
                <w:color w:val="auto"/>
              </w:rPr>
              <w:t>Asset Derivatives</w:t>
            </w:r>
          </w:p>
        </w:tc>
        <w:tc>
          <w:tcPr>
            <w:tcW w:w="4380" w:type="dxa"/>
            <w:vAlign w:val="bottom"/>
            <w:gridSpan w:val="2"/>
          </w:tcPr>
          <w:p>
            <w:pPr>
              <w:ind w:left="1640"/>
              <w:spacing w:after="0"/>
              <w:rPr>
                <w:sz w:val="20"/>
                <w:szCs w:val="20"/>
                <w:color w:val="auto"/>
              </w:rPr>
            </w:pPr>
            <w:r>
              <w:rPr>
                <w:rFonts w:ascii="Arial" w:cs="Arial" w:eastAsia="Arial" w:hAnsi="Arial"/>
                <w:sz w:val="16"/>
                <w:szCs w:val="16"/>
                <w:b w:val="1"/>
                <w:bCs w:val="1"/>
                <w:color w:val="auto"/>
              </w:rPr>
              <w:t>Balance Sheet Location</w:t>
            </w:r>
          </w:p>
        </w:tc>
        <w:tc>
          <w:tcPr>
            <w:tcW w:w="1540" w:type="dxa"/>
            <w:vAlign w:val="bottom"/>
          </w:tcPr>
          <w:p>
            <w:pPr>
              <w:ind w:left="540"/>
              <w:spacing w:after="0"/>
              <w:rPr>
                <w:sz w:val="20"/>
                <w:szCs w:val="20"/>
                <w:color w:val="auto"/>
              </w:rPr>
            </w:pPr>
            <w:r>
              <w:rPr>
                <w:rFonts w:ascii="Arial" w:cs="Arial" w:eastAsia="Arial" w:hAnsi="Arial"/>
                <w:sz w:val="16"/>
                <w:szCs w:val="16"/>
                <w:b w:val="1"/>
                <w:bCs w:val="1"/>
                <w:color w:val="auto"/>
                <w:w w:val="94"/>
              </w:rPr>
              <w:t>June 30, 2017</w:t>
            </w:r>
          </w:p>
        </w:tc>
        <w:tc>
          <w:tcPr>
            <w:tcW w:w="2640" w:type="dxa"/>
            <w:vAlign w:val="bottom"/>
          </w:tcPr>
          <w:p>
            <w:pPr>
              <w:ind w:left="960"/>
              <w:spacing w:after="0"/>
              <w:rPr>
                <w:sz w:val="20"/>
                <w:szCs w:val="20"/>
                <w:color w:val="auto"/>
              </w:rPr>
            </w:pPr>
            <w:r>
              <w:rPr>
                <w:rFonts w:ascii="Arial" w:cs="Arial" w:eastAsia="Arial" w:hAnsi="Arial"/>
                <w:sz w:val="16"/>
                <w:szCs w:val="16"/>
                <w:b w:val="1"/>
                <w:bCs w:val="1"/>
                <w:color w:val="auto"/>
              </w:rPr>
              <w:t>December 31, 2016</w:t>
            </w:r>
          </w:p>
        </w:tc>
      </w:tr>
      <w:tr>
        <w:trPr>
          <w:trHeight w:val="33"/>
        </w:trPr>
        <w:tc>
          <w:tcPr>
            <w:tcW w:w="7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217"/>
        </w:trPr>
        <w:tc>
          <w:tcPr>
            <w:tcW w:w="7240" w:type="dxa"/>
            <w:vAlign w:val="bottom"/>
            <w:gridSpan w:val="3"/>
          </w:tcPr>
          <w:p>
            <w:pPr>
              <w:ind w:left="40"/>
              <w:spacing w:after="0"/>
              <w:rPr>
                <w:sz w:val="20"/>
                <w:szCs w:val="20"/>
                <w:color w:val="auto"/>
              </w:rPr>
            </w:pPr>
            <w:r>
              <w:rPr>
                <w:rFonts w:ascii="Arial" w:cs="Arial" w:eastAsia="Arial" w:hAnsi="Arial"/>
                <w:sz w:val="16"/>
                <w:szCs w:val="16"/>
                <w:b w:val="1"/>
                <w:bCs w:val="1"/>
                <w:color w:val="auto"/>
              </w:rPr>
              <w:t>Derivatives designated as hedging instruments under ASC 815-20</w:t>
            </w:r>
          </w:p>
        </w:tc>
        <w:tc>
          <w:tcPr>
            <w:tcW w:w="1540" w:type="dxa"/>
            <w:vAlign w:val="bottom"/>
          </w:tcPr>
          <w:p>
            <w:pPr>
              <w:spacing w:after="0"/>
              <w:rPr>
                <w:sz w:val="18"/>
                <w:szCs w:val="18"/>
                <w:color w:val="auto"/>
              </w:rPr>
            </w:pPr>
          </w:p>
        </w:tc>
        <w:tc>
          <w:tcPr>
            <w:tcW w:w="2640" w:type="dxa"/>
            <w:vAlign w:val="bottom"/>
          </w:tcPr>
          <w:p>
            <w:pPr>
              <w:jc w:val="center"/>
              <w:ind w:right="1439"/>
              <w:spacing w:after="0"/>
              <w:rPr>
                <w:sz w:val="20"/>
                <w:szCs w:val="20"/>
                <w:color w:val="auto"/>
              </w:rPr>
            </w:pPr>
            <w:r>
              <w:rPr>
                <w:rFonts w:ascii="Arial" w:cs="Arial" w:eastAsia="Arial" w:hAnsi="Arial"/>
                <w:sz w:val="16"/>
                <w:szCs w:val="16"/>
                <w:b w:val="1"/>
                <w:bCs w:val="1"/>
                <w:color w:val="auto"/>
                <w:w w:val="90"/>
              </w:rPr>
              <w:t>(in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Interest rate cap contracts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rate swap contracts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Interest rate cap contracts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120" w:type="dxa"/>
            <w:vAlign w:val="bottom"/>
          </w:tcPr>
          <w:p>
            <w:pPr>
              <w:spacing w:after="0"/>
              <w:rPr>
                <w:sz w:val="20"/>
                <w:szCs w:val="20"/>
                <w:color w:val="auto"/>
              </w:rPr>
            </w:pPr>
            <w:r>
              <w:rPr>
                <w:rFonts w:ascii="Arial" w:cs="Arial" w:eastAsia="Arial" w:hAnsi="Arial"/>
                <w:sz w:val="16"/>
                <w:szCs w:val="16"/>
                <w:color w:val="auto"/>
              </w:rPr>
              <w:t>Other current assets</w:t>
            </w:r>
          </w:p>
        </w:tc>
        <w:tc>
          <w:tcPr>
            <w:tcW w:w="14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94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4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1,219</w:t>
            </w:r>
          </w:p>
        </w:tc>
        <w:tc>
          <w:tcPr>
            <w:tcW w:w="9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1,830</w:t>
            </w:r>
          </w:p>
        </w:tc>
      </w:t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460" w:type="dxa"/>
            <w:vAlign w:val="bottom"/>
          </w:tcPr>
          <w:p>
            <w:pPr>
              <w:spacing w:after="0"/>
              <w:rPr>
                <w:sz w:val="23"/>
                <w:szCs w:val="23"/>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173</w:t>
            </w:r>
          </w:p>
        </w:tc>
        <w:tc>
          <w:tcPr>
            <w:tcW w:w="9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-141605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0" w:lineRule="exact"/>
        <w:rPr>
          <w:sz w:val="20"/>
          <w:szCs w:val="20"/>
          <w:color w:val="auto"/>
        </w:rPr>
      </w:pPr>
    </w:p>
    <w:p>
      <w:pPr>
        <w:sectPr>
          <w:pgSz w:w="11900" w:h="16838" w:orient="portrait"/>
          <w:cols w:equalWidth="0" w:num="2">
            <w:col w:w="3780" w:space="720"/>
            <w:col w:w="692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Derivatives not designated as hedging instruments under ASC 815-20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1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Foreign exchange forward contracts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cap contracts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rate cap contracts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Total asset derivatives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58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169</w:t>
            </w:r>
          </w:p>
        </w:tc>
      </w:tr>
      <w:tr>
        <w:trPr>
          <w:trHeight w:val="270"/>
        </w:trPr>
        <w:tc>
          <w:tcPr>
            <w:tcW w:w="358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70"/>
        </w:trPr>
        <w:tc>
          <w:tcPr>
            <w:tcW w:w="3580" w:type="dxa"/>
            <w:vAlign w:val="bottom"/>
            <w:gridSpan w:val="2"/>
          </w:tcPr>
          <w:p>
            <w:pPr>
              <w:spacing w:after="0"/>
              <w:rPr>
                <w:sz w:val="20"/>
                <w:szCs w:val="20"/>
                <w:color w:val="auto"/>
              </w:rPr>
            </w:pPr>
            <w:r>
              <w:rPr>
                <w:rFonts w:ascii="Arial" w:cs="Arial" w:eastAsia="Arial" w:hAnsi="Arial"/>
                <w:sz w:val="16"/>
                <w:szCs w:val="16"/>
                <w:color w:val="auto"/>
              </w:rPr>
              <w:t>Other long-term assets</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563</w:t>
            </w:r>
          </w:p>
        </w:tc>
      </w:tr>
      <w:tr>
        <w:trPr>
          <w:trHeight w:val="47"/>
        </w:trPr>
        <w:tc>
          <w:tcPr>
            <w:tcW w:w="27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17"/>
        </w:trPr>
        <w:tc>
          <w:tcPr>
            <w:tcW w:w="35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1,725</w:t>
            </w:r>
          </w:p>
        </w:tc>
        <w:tc>
          <w:tcPr>
            <w:tcW w:w="100" w:type="dxa"/>
            <w:vAlign w:val="bottom"/>
          </w:tcPr>
          <w:p>
            <w:pPr>
              <w:spacing w:after="0"/>
              <w:rPr>
                <w:sz w:val="18"/>
                <w:szCs w:val="18"/>
                <w:color w:val="auto"/>
              </w:rPr>
            </w:pP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2,945</w:t>
            </w:r>
          </w:p>
        </w:tc>
      </w:tr>
      <w:tr>
        <w:trPr>
          <w:trHeight w:val="33"/>
        </w:trPr>
        <w:tc>
          <w:tcPr>
            <w:tcW w:w="27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2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-368300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-16510</wp:posOffset>
            </wp:positionV>
            <wp:extent cx="72466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720"/>
            <w:col w:w="6920"/>
          </w:cols>
          <w:pgMar w:left="240" w:top="125" w:right="239" w:bottom="1440" w:gutter="0" w:footer="0" w:header="0"/>
          <w:type w:val="continuous"/>
        </w:sectPr>
      </w:pPr>
    </w:p>
    <w:p>
      <w:pPr>
        <w:spacing w:after="0" w:line="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Liability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 designated as hedging instruments under ASC 815-20</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Pr>
          <w:p>
            <w:pPr>
              <w:ind w:left="180"/>
              <w:spacing w:after="0"/>
              <w:rPr>
                <w:sz w:val="20"/>
                <w:szCs w:val="20"/>
                <w:color w:val="auto"/>
              </w:rPr>
            </w:pPr>
            <w:r>
              <w:rPr>
                <w:rFonts w:ascii="Arial" w:cs="Arial" w:eastAsia="Arial" w:hAnsi="Arial"/>
                <w:sz w:val="16"/>
                <w:szCs w:val="16"/>
                <w:color w:val="auto"/>
              </w:rPr>
              <w:t>Interest rate swap contracts</w:t>
            </w:r>
          </w:p>
        </w:tc>
        <w:tc>
          <w:tcPr>
            <w:tcW w:w="3740" w:type="dxa"/>
            <w:vAlign w:val="bottom"/>
          </w:tcPr>
          <w:p>
            <w:pPr>
              <w:ind w:left="1000"/>
              <w:spacing w:after="0"/>
              <w:rPr>
                <w:sz w:val="20"/>
                <w:szCs w:val="20"/>
                <w:color w:val="auto"/>
              </w:rPr>
            </w:pPr>
            <w:r>
              <w:rPr>
                <w:rFonts w:ascii="Arial" w:cs="Arial" w:eastAsia="Arial" w:hAnsi="Arial"/>
                <w:sz w:val="16"/>
                <w:szCs w:val="16"/>
                <w:color w:val="auto"/>
              </w:rPr>
              <w:t>Other current liabilities</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7"/>
                <w:szCs w:val="17"/>
                <w:color w:val="auto"/>
              </w:rPr>
            </w:pPr>
          </w:p>
        </w:tc>
        <w:tc>
          <w:tcPr>
            <w:tcW w:w="840" w:type="dxa"/>
            <w:vAlign w:val="bottom"/>
          </w:tcPr>
          <w:p>
            <w:pPr>
              <w:jc w:val="right"/>
              <w:ind w:right="6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934</w:t>
            </w:r>
          </w:p>
        </w:tc>
      </w:tr>
      <w:tr>
        <w:trPr>
          <w:trHeight w:val="47"/>
        </w:trPr>
        <w:tc>
          <w:tcPr>
            <w:tcW w:w="7240" w:type="dxa"/>
            <w:vAlign w:val="bottom"/>
            <w:gridSpan w:val="2"/>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7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 under ASC 815-20</w:t>
            </w:r>
          </w:p>
        </w:tc>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4"/>
        </w:trPr>
        <w:tc>
          <w:tcPr>
            <w:tcW w:w="3500" w:type="dxa"/>
            <w:vAlign w:val="bottom"/>
          </w:tcPr>
          <w:p>
            <w:pPr>
              <w:ind w:left="180"/>
              <w:spacing w:after="0"/>
              <w:rPr>
                <w:sz w:val="20"/>
                <w:szCs w:val="20"/>
                <w:color w:val="auto"/>
              </w:rPr>
            </w:pPr>
            <w:r>
              <w:rPr>
                <w:rFonts w:ascii="Arial" w:cs="Arial" w:eastAsia="Arial" w:hAnsi="Arial"/>
                <w:sz w:val="16"/>
                <w:szCs w:val="16"/>
                <w:color w:val="auto"/>
              </w:rPr>
              <w:t>Foreign exchange forward contracts</w:t>
            </w:r>
          </w:p>
        </w:tc>
        <w:tc>
          <w:tcPr>
            <w:tcW w:w="3740" w:type="dxa"/>
            <w:vAlign w:val="bottom"/>
          </w:tcPr>
          <w:p>
            <w:pPr>
              <w:ind w:left="1000"/>
              <w:spacing w:after="0"/>
              <w:rPr>
                <w:sz w:val="20"/>
                <w:szCs w:val="20"/>
                <w:color w:val="auto"/>
              </w:rPr>
            </w:pPr>
            <w:r>
              <w:rPr>
                <w:rFonts w:ascii="Arial" w:cs="Arial" w:eastAsia="Arial" w:hAnsi="Arial"/>
                <w:sz w:val="16"/>
                <w:szCs w:val="16"/>
                <w:color w:val="auto"/>
              </w:rPr>
              <w:t>Other current liabilities</w:t>
            </w:r>
          </w:p>
        </w:tc>
        <w:tc>
          <w:tcPr>
            <w:tcW w:w="90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449</w:t>
            </w:r>
          </w:p>
        </w:tc>
      </w:tr>
      <w:tr>
        <w:trPr>
          <w:trHeight w:val="47"/>
        </w:trPr>
        <w:tc>
          <w:tcPr>
            <w:tcW w:w="3500" w:type="dxa"/>
            <w:vAlign w:val="bottom"/>
            <w:tcBorders>
              <w:bottom w:val="single" w:sz="8" w:color="CCEEFF"/>
            </w:tcBorders>
          </w:tcPr>
          <w:p>
            <w:pPr>
              <w:spacing w:after="0"/>
              <w:rPr>
                <w:sz w:val="4"/>
                <w:szCs w:val="4"/>
                <w:color w:val="auto"/>
              </w:rPr>
            </w:pPr>
          </w:p>
        </w:tc>
        <w:tc>
          <w:tcPr>
            <w:tcW w:w="37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55"/>
        </w:trPr>
        <w:tc>
          <w:tcPr>
            <w:tcW w:w="3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b w:val="1"/>
                <w:bCs w:val="1"/>
                <w:color w:val="auto"/>
              </w:rPr>
              <w:t>Total liability derivatives</w:t>
            </w:r>
          </w:p>
        </w:tc>
        <w:tc>
          <w:tcPr>
            <w:tcW w:w="37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changes in accumulated other comprehensive income (loss) (AOCI), net of tax, for our derivative and nonderivative hedging instruments, were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unrealized loss on hedging instruments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loss on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Realized losses reclassified into 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unrealized loss on hedging instruments at June 30,</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4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9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270"/>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(14,337)</w:t>
            </w:r>
          </w:p>
        </w:tc>
        <w:tc>
          <w:tcPr>
            <w:tcW w:w="120" w:type="dxa"/>
            <w:vAlign w:val="bottom"/>
          </w:tcPr>
          <w:p>
            <w:pPr>
              <w:spacing w:after="0"/>
              <w:rPr>
                <w:sz w:val="23"/>
                <w:szCs w:val="23"/>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(14,062)</w:t>
            </w:r>
          </w:p>
        </w:tc>
      </w:tr>
      <w:tr>
        <w:trPr>
          <w:trHeight w:val="257"/>
        </w:trPr>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(4,080)</w:t>
            </w:r>
          </w:p>
        </w:tc>
      </w:tr>
      <w:tr>
        <w:trPr>
          <w:trHeight w:val="284"/>
        </w:trPr>
        <w:tc>
          <w:tcPr>
            <w:tcW w:w="400" w:type="dxa"/>
            <w:vAlign w:val="bottom"/>
          </w:tcPr>
          <w:p>
            <w:pPr>
              <w:spacing w:after="0"/>
              <w:rPr>
                <w:sz w:val="24"/>
                <w:szCs w:val="24"/>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348</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(14,276)</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(17,794)</w:t>
            </w:r>
          </w:p>
        </w:tc>
      </w:tr>
      <w:tr>
        <w:trPr>
          <w:trHeight w:val="33"/>
        </w:trPr>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80" w:space="720"/>
            <w:col w:w="3520"/>
          </w:cols>
          <w:pgMar w:left="240" w:top="125" w:right="239" w:bottom="1440" w:gutter="0" w:footer="0" w:header="0"/>
          <w:type w:val="continuous"/>
        </w:sectPr>
      </w:pP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for the periods ended June 30, 2017 and 2016. Included in the net unrealized loss on hedging instruments at June 30, 2017 and 2016 is a loss of $14.4 million, net of tax, related to our nonderivative net investment hedge, which terminated in 2011. This loss on our net investment hedge will remain in AOCI until such time when earnings are impacted by a sale or liquidation of the associated foreign operation.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effect of netting arrangements on our financial position related to the offsetting of our recognized derivative assets and liabilities under master netting arrangements or similar agreements is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Gross Amounts of</w:t>
            </w:r>
          </w:p>
        </w:tc>
        <w:tc>
          <w:tcPr>
            <w:tcW w:w="160" w:type="dxa"/>
            <w:vAlign w:val="bottom"/>
          </w:tcPr>
          <w:p>
            <w:pPr>
              <w:spacing w:after="0"/>
              <w:rPr>
                <w:sz w:val="18"/>
                <w:szCs w:val="18"/>
                <w:color w:val="auto"/>
              </w:rPr>
            </w:pPr>
          </w:p>
        </w:tc>
        <w:tc>
          <w:tcPr>
            <w:tcW w:w="4040" w:type="dxa"/>
            <w:vAlign w:val="bottom"/>
            <w:gridSpan w:val="3"/>
            <w:vMerge w:val="restart"/>
          </w:tcPr>
          <w:p>
            <w:pPr>
              <w:jc w:val="center"/>
              <w:ind w:right="79"/>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8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Offsetting of Derivative Assets</w:t>
            </w:r>
          </w:p>
        </w:tc>
        <w:tc>
          <w:tcPr>
            <w:tcW w:w="22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3"/>
              </w:rPr>
              <w:t>Recognized Assets Presented</w:t>
            </w:r>
          </w:p>
        </w:tc>
        <w:tc>
          <w:tcPr>
            <w:tcW w:w="160" w:type="dxa"/>
            <w:vAlign w:val="bottom"/>
          </w:tcPr>
          <w:p>
            <w:pPr>
              <w:spacing w:after="0"/>
              <w:rPr>
                <w:sz w:val="4"/>
                <w:szCs w:val="4"/>
                <w:color w:val="auto"/>
              </w:rPr>
            </w:pPr>
          </w:p>
        </w:tc>
        <w:tc>
          <w:tcPr>
            <w:tcW w:w="404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880" w:type="dxa"/>
            <w:vAlign w:val="bottom"/>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040" w:type="dxa"/>
            <w:vAlign w:val="bottom"/>
            <w:gridSpan w:val="3"/>
          </w:tcPr>
          <w:p>
            <w:pPr>
              <w:jc w:val="center"/>
              <w:ind w:right="79"/>
              <w:spacing w:after="0" w:line="162" w:lineRule="exact"/>
              <w:rPr>
                <w:sz w:val="20"/>
                <w:szCs w:val="20"/>
                <w:color w:val="auto"/>
              </w:rPr>
            </w:pPr>
            <w:r>
              <w:rPr>
                <w:rFonts w:ascii="Arial" w:cs="Arial" w:eastAsia="Arial" w:hAnsi="Arial"/>
                <w:sz w:val="16"/>
                <w:szCs w:val="16"/>
                <w:b w:val="1"/>
                <w:bCs w:val="1"/>
                <w:color w:val="auto"/>
                <w:w w:val="83"/>
              </w:rPr>
              <w:t>Sheets</w:t>
            </w:r>
          </w:p>
        </w:tc>
        <w:tc>
          <w:tcPr>
            <w:tcW w:w="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2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w w:val="98"/>
              </w:rPr>
              <w:t>in</w:t>
            </w:r>
          </w:p>
        </w:tc>
        <w:tc>
          <w:tcPr>
            <w:tcW w:w="16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the Consolidated</w:t>
            </w:r>
          </w:p>
        </w:tc>
        <w:tc>
          <w:tcPr>
            <w:tcW w:w="160" w:type="dxa"/>
            <w:vAlign w:val="bottom"/>
          </w:tcPr>
          <w:p>
            <w:pPr>
              <w:spacing w:after="0"/>
              <w:rPr>
                <w:sz w:val="17"/>
                <w:szCs w:val="17"/>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Derivative Financial</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86"/>
              </w:rPr>
              <w:t>Balance Sheets</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Instruments</w:t>
            </w:r>
          </w:p>
        </w:tc>
        <w:tc>
          <w:tcPr>
            <w:tcW w:w="200" w:type="dxa"/>
            <w:vAlign w:val="bottom"/>
          </w:tcPr>
          <w:p>
            <w:pPr>
              <w:spacing w:after="0"/>
              <w:rPr>
                <w:sz w:val="18"/>
                <w:szCs w:val="18"/>
                <w:color w:val="auto"/>
              </w:rPr>
            </w:pPr>
          </w:p>
        </w:tc>
        <w:tc>
          <w:tcPr>
            <w:tcW w:w="1920" w:type="dxa"/>
            <w:vAlign w:val="bottom"/>
          </w:tcPr>
          <w:p>
            <w:pPr>
              <w:ind w:left="20"/>
              <w:spacing w:after="0"/>
              <w:rPr>
                <w:sz w:val="20"/>
                <w:szCs w:val="20"/>
                <w:color w:val="auto"/>
              </w:rPr>
            </w:pPr>
            <w:r>
              <w:rPr>
                <w:rFonts w:ascii="Arial" w:cs="Arial" w:eastAsia="Arial" w:hAnsi="Arial"/>
                <w:sz w:val="16"/>
                <w:szCs w:val="16"/>
                <w:b w:val="1"/>
                <w:bCs w:val="1"/>
                <w:color w:val="auto"/>
                <w:w w:val="98"/>
              </w:rPr>
              <w:t>Cash Collateral Received</w:t>
            </w:r>
          </w:p>
        </w:tc>
        <w:tc>
          <w:tcPr>
            <w:tcW w:w="4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3"/>
          </w:tcPr>
          <w:p>
            <w:pPr>
              <w:ind w:left="142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June 30, 2017</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1,725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1,423</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2,945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567"/>
        </w:trPr>
        <w:tc>
          <w:tcPr>
            <w:tcW w:w="28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Offsetting of Derivative Liabilities</w:t>
            </w:r>
          </w:p>
        </w:tc>
        <w:tc>
          <w:tcPr>
            <w:tcW w:w="180" w:type="dxa"/>
            <w:vAlign w:val="bottom"/>
          </w:tcPr>
          <w:p>
            <w:pPr>
              <w:spacing w:after="0"/>
              <w:rPr>
                <w:sz w:val="24"/>
                <w:szCs w:val="24"/>
                <w:color w:val="auto"/>
              </w:rPr>
            </w:pPr>
          </w:p>
        </w:tc>
        <w:tc>
          <w:tcPr>
            <w:tcW w:w="2020" w:type="dxa"/>
            <w:vAlign w:val="bottom"/>
            <w:vMerge w:val="restart"/>
          </w:tcPr>
          <w:p>
            <w:pPr>
              <w:jc w:val="center"/>
              <w:ind w:right="239"/>
              <w:spacing w:after="0"/>
              <w:rPr>
                <w:sz w:val="20"/>
                <w:szCs w:val="20"/>
                <w:color w:val="auto"/>
              </w:rPr>
            </w:pPr>
            <w:r>
              <w:rPr>
                <w:rFonts w:ascii="Arial" w:cs="Arial" w:eastAsia="Arial" w:hAnsi="Arial"/>
                <w:sz w:val="16"/>
                <w:szCs w:val="16"/>
                <w:b w:val="1"/>
                <w:bCs w:val="1"/>
                <w:color w:val="auto"/>
                <w:w w:val="90"/>
              </w:rPr>
              <w:t>Gross Amounts of</w:t>
            </w:r>
          </w:p>
        </w:tc>
        <w:tc>
          <w:tcPr>
            <w:tcW w:w="160" w:type="dxa"/>
            <w:vAlign w:val="bottom"/>
          </w:tcPr>
          <w:p>
            <w:pPr>
              <w:spacing w:after="0"/>
              <w:rPr>
                <w:sz w:val="24"/>
                <w:szCs w:val="24"/>
                <w:color w:val="auto"/>
              </w:rPr>
            </w:pPr>
          </w:p>
        </w:tc>
        <w:tc>
          <w:tcPr>
            <w:tcW w:w="404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4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40" w:type="dxa"/>
            <w:vAlign w:val="bottom"/>
            <w:gridSpan w:val="3"/>
            <w:vMerge w:val="restart"/>
          </w:tcPr>
          <w:p>
            <w:pPr>
              <w:jc w:val="center"/>
              <w:ind w:right="79"/>
              <w:spacing w:after="0"/>
              <w:rPr>
                <w:sz w:val="20"/>
                <w:szCs w:val="20"/>
                <w:color w:val="auto"/>
              </w:rPr>
            </w:pPr>
            <w:r>
              <w:rPr>
                <w:rFonts w:ascii="Arial" w:cs="Arial" w:eastAsia="Arial" w:hAnsi="Arial"/>
                <w:sz w:val="16"/>
                <w:szCs w:val="16"/>
                <w:b w:val="1"/>
                <w:bCs w:val="1"/>
                <w:color w:val="auto"/>
                <w:w w:val="83"/>
              </w:rPr>
              <w:t>Sheets</w:t>
            </w:r>
          </w:p>
        </w:tc>
        <w:tc>
          <w:tcPr>
            <w:tcW w:w="4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vMerge w:val="restart"/>
          </w:tcPr>
          <w:p>
            <w:pPr>
              <w:jc w:val="center"/>
              <w:ind w:right="239"/>
              <w:spacing w:after="0" w:line="176" w:lineRule="exact"/>
              <w:rPr>
                <w:sz w:val="20"/>
                <w:szCs w:val="20"/>
                <w:color w:val="auto"/>
              </w:rPr>
            </w:pPr>
            <w:r>
              <w:rPr>
                <w:rFonts w:ascii="Arial" w:cs="Arial" w:eastAsia="Arial" w:hAnsi="Arial"/>
                <w:sz w:val="16"/>
                <w:szCs w:val="16"/>
                <w:b w:val="1"/>
                <w:bCs w:val="1"/>
                <w:color w:val="auto"/>
                <w:w w:val="91"/>
              </w:rPr>
              <w:t>Recognized Liabilities</w:t>
            </w:r>
          </w:p>
        </w:tc>
        <w:tc>
          <w:tcPr>
            <w:tcW w:w="160" w:type="dxa"/>
            <w:vAlign w:val="bottom"/>
          </w:tcPr>
          <w:p>
            <w:pPr>
              <w:spacing w:after="0"/>
              <w:rPr>
                <w:sz w:val="12"/>
                <w:szCs w:val="12"/>
                <w:color w:val="auto"/>
              </w:rPr>
            </w:pPr>
          </w:p>
        </w:tc>
        <w:tc>
          <w:tcPr>
            <w:tcW w:w="404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Presented in the</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Derivative Financial</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20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w w:val="88"/>
              </w:rPr>
              <w:t>Consolidated Balance Sheets</w:t>
            </w:r>
          </w:p>
        </w:tc>
        <w:tc>
          <w:tcPr>
            <w:tcW w:w="160" w:type="dxa"/>
            <w:vAlign w:val="bottom"/>
          </w:tcPr>
          <w:p>
            <w:pPr>
              <w:spacing w:after="0"/>
              <w:rPr>
                <w:sz w:val="18"/>
                <w:szCs w:val="18"/>
                <w:color w:val="auto"/>
              </w:rPr>
            </w:pPr>
          </w:p>
        </w:tc>
        <w:tc>
          <w:tcPr>
            <w:tcW w:w="1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Instruments</w:t>
            </w:r>
          </w:p>
        </w:tc>
        <w:tc>
          <w:tcPr>
            <w:tcW w:w="200" w:type="dxa"/>
            <w:vAlign w:val="bottom"/>
          </w:tcPr>
          <w:p>
            <w:pPr>
              <w:spacing w:after="0"/>
              <w:rPr>
                <w:sz w:val="18"/>
                <w:szCs w:val="18"/>
                <w:color w:val="auto"/>
              </w:rPr>
            </w:pPr>
          </w:p>
        </w:tc>
        <w:tc>
          <w:tcPr>
            <w:tcW w:w="1920" w:type="dxa"/>
            <w:vAlign w:val="bottom"/>
          </w:tcPr>
          <w:p>
            <w:pPr>
              <w:ind w:left="60"/>
              <w:spacing w:after="0"/>
              <w:rPr>
                <w:sz w:val="20"/>
                <w:szCs w:val="20"/>
                <w:color w:val="auto"/>
              </w:rPr>
            </w:pPr>
            <w:r>
              <w:rPr>
                <w:rFonts w:ascii="Arial" w:cs="Arial" w:eastAsia="Arial" w:hAnsi="Arial"/>
                <w:sz w:val="16"/>
                <w:szCs w:val="16"/>
                <w:b w:val="1"/>
                <w:bCs w:val="1"/>
                <w:color w:val="auto"/>
              </w:rPr>
              <w:t>Cash Collateral Pledged</w:t>
            </w:r>
          </w:p>
        </w:tc>
        <w:tc>
          <w:tcPr>
            <w:tcW w:w="460" w:type="dxa"/>
            <w:vAlign w:val="bottom"/>
          </w:tcPr>
          <w:p>
            <w:pPr>
              <w:spacing w:after="0"/>
              <w:rPr>
                <w:sz w:val="18"/>
                <w:szCs w:val="18"/>
                <w:color w:val="auto"/>
              </w:rPr>
            </w:pPr>
          </w:p>
        </w:tc>
        <w:tc>
          <w:tcPr>
            <w:tcW w:w="1680" w:type="dxa"/>
            <w:vAlign w:val="bottom"/>
          </w:tcPr>
          <w:p>
            <w:pPr>
              <w:jc w:val="right"/>
              <w:ind w:right="51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gridSpan w:val="3"/>
          </w:tcPr>
          <w:p>
            <w:pPr>
              <w:ind w:left="142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June 30, 2017</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496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70"/>
        </w:trPr>
        <w:tc>
          <w:tcPr>
            <w:tcW w:w="2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1,383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ind w:left="16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2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derivative assets and liabilities subject to netting arrangements consist of foreign exchange forward and interest rate contracts with three counterparties at June 30, 2017 and December 31, 2016. No derivative asset or liability balance with any of our counterparties was individually significant at June 30, 2017 or December 31, 2016. Our derivative contracts with each of these counterparties exist under agreements that provide for the net settlement of all contracts through a single payment in a single currency in the event of default. We have no pledges of cash collateral against our obligations nor have we received pledges of cash collateral from our counterparties under the associated derivative contracts.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swaps to achieve a fixed rate of interest on a portion of our debt in order to increase our ability to forecast interest expense. The objective of these swaps is to reduce the variability of cash flows from increases in the LIBOR based borrowing rates on our floating rate credit facility. The swaps do not protect us from changes to the applicable margin under our credit facility.</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2012, we entered into six interest rate swaps, which were effective July 31, 2013 and expired on August 8, 2016, to convert $200 million of our LIBOR based debt from a floating LIBOR interest rate to a fixed interest rate of 1.00% (excluding the applicable margin on the debt). The cash flow hedges were expected to be highly effective in achieving offsetting cash flows attributable to the hedged risk through the term of the hedge. Consequently, effective changes in the fair value of the interest rate swaps were</w:t>
      </w:r>
    </w:p>
    <w:p>
      <w:pPr>
        <w:sectPr>
          <w:pgSz w:w="11900" w:h="16838" w:orient="portrait"/>
          <w:cols w:equalWidth="0" w:num="1">
            <w:col w:w="11420"/>
          </w:cols>
          <w:pgMar w:left="240" w:top="125"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recognized as a component of other comprehensive income (loss) (OCI) and recognized in earnings when the hedged item affected earnings. The amounts paid on the hedges were recognized as adjustments to interest expense.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2015, we entered into an interest rate swap, which is effective from August 31, 2016 to June 23, 2020, and converts $214 million of our LIBOR based debt from a floating LIBOR interest rate to a fixed interest rate of 1.42% (excluding the applicable margin on the debt). The notional balance will amortize to maturity at the same rate as required minimum payments on our term loan. The cash flow hedge is expected to be highly effective in achieving offsetting cash flows attributable to the hedged risk through the term of the hedge. Consequently, effective changes in the fair value of the interest rate swap is recognized as a component of OCI and will be recognized in earnings when the hedged item affects earnings. The amounts paid or received on the hedge will be recognized as an adjustment to interest expense. The amount of net losses expected to be reclassified into earnings in the next 12 months is $0.1 million. At June 30, 2017, our LIBOR-based debt balance was $262.5 million.</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 based debt up to 2.00%. In the event LIBOR is higher than 2.00%, we will pay interest at the capped rate of 2.00% with respect to the $100 million notional amount of such agreements. The interest rate cap contracts do not include the effect of the applicable margin. As of December 31, 2016, due to the accelerated revolver payments from surplus cash, we elected to de-designate two of the interest rate cap contracts as cash flow hedges and discontinued the use of cash flow hedge accounting. The amounts recognized in AOCI from de-designated interest rate cap contracts will continue to be reported in AOCI unless it is not probable that the forecasted transactions will occur. As a result of the discontinuance of cash flow hedge accounting, all subsequent changes in fair value of the de-designated derivative instruments are recognized within interest expense instead of OCI. The amount of net losses expected to be reclassified into earnings for all interest rate cap contracts in the next 12 months is $0.3 million.</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effects of our derivative instruments designated as hedges on the Consolidated Balance Sheets and the Consolidated Statements of Operations were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3"/>
          </w:tcPr>
          <w:p>
            <w:pPr>
              <w:jc w:val="center"/>
              <w:ind w:right="137"/>
              <w:spacing w:after="0"/>
              <w:rPr>
                <w:sz w:val="20"/>
                <w:szCs w:val="20"/>
                <w:color w:val="auto"/>
              </w:rPr>
            </w:pPr>
            <w:r>
              <w:rPr>
                <w:rFonts w:ascii="Arial" w:cs="Arial" w:eastAsia="Arial" w:hAnsi="Arial"/>
                <w:sz w:val="13"/>
                <w:szCs w:val="13"/>
                <w:b w:val="1"/>
                <w:bCs w:val="1"/>
                <w:color w:val="auto"/>
                <w:w w:val="87"/>
              </w:rPr>
              <w:t>Amount of Gain (Loss)</w:t>
            </w:r>
          </w:p>
        </w:tc>
        <w:tc>
          <w:tcPr>
            <w:tcW w:w="120" w:type="dxa"/>
            <w:vAlign w:val="bottom"/>
          </w:tcPr>
          <w:p>
            <w:pPr>
              <w:spacing w:after="0"/>
              <w:rPr>
                <w:sz w:val="13"/>
                <w:szCs w:val="13"/>
                <w:color w:val="auto"/>
              </w:rPr>
            </w:pPr>
          </w:p>
        </w:tc>
        <w:tc>
          <w:tcPr>
            <w:tcW w:w="3400" w:type="dxa"/>
            <w:vAlign w:val="bottom"/>
            <w:gridSpan w:val="6"/>
          </w:tcPr>
          <w:p>
            <w:pPr>
              <w:ind w:left="540"/>
              <w:spacing w:after="0"/>
              <w:rPr>
                <w:sz w:val="20"/>
                <w:szCs w:val="20"/>
                <w:color w:val="auto"/>
              </w:rPr>
            </w:pPr>
            <w:r>
              <w:rPr>
                <w:rFonts w:ascii="Arial" w:cs="Arial" w:eastAsia="Arial" w:hAnsi="Arial"/>
                <w:sz w:val="13"/>
                <w:szCs w:val="13"/>
                <w:b w:val="1"/>
                <w:bCs w:val="1"/>
                <w:color w:val="auto"/>
              </w:rPr>
              <w:t>Gain (Loss) Reclassified from Accumulated</w:t>
            </w:r>
          </w:p>
        </w:tc>
        <w:tc>
          <w:tcPr>
            <w:tcW w:w="120" w:type="dxa"/>
            <w:vAlign w:val="bottom"/>
          </w:tcPr>
          <w:p>
            <w:pPr>
              <w:spacing w:after="0"/>
              <w:rPr>
                <w:sz w:val="13"/>
                <w:szCs w:val="13"/>
                <w:color w:val="auto"/>
              </w:rPr>
            </w:pPr>
          </w:p>
        </w:tc>
        <w:tc>
          <w:tcPr>
            <w:tcW w:w="3080" w:type="dxa"/>
            <w:vAlign w:val="bottom"/>
            <w:gridSpan w:val="5"/>
          </w:tcPr>
          <w:p>
            <w:pPr>
              <w:jc w:val="center"/>
              <w:ind w:left="217"/>
              <w:spacing w:after="0"/>
              <w:rPr>
                <w:sz w:val="20"/>
                <w:szCs w:val="20"/>
                <w:color w:val="auto"/>
              </w:rPr>
            </w:pPr>
            <w:r>
              <w:rPr>
                <w:rFonts w:ascii="Arial" w:cs="Arial" w:eastAsia="Arial" w:hAnsi="Arial"/>
                <w:sz w:val="13"/>
                <w:szCs w:val="13"/>
                <w:b w:val="1"/>
                <w:bCs w:val="1"/>
                <w:color w:val="auto"/>
                <w:w w:val="86"/>
              </w:rPr>
              <w:t>Gain (Loss) Recognized in Income on</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Derivatives in ASC 815-20</w:t>
            </w:r>
          </w:p>
        </w:tc>
        <w:tc>
          <w:tcPr>
            <w:tcW w:w="220" w:type="dxa"/>
            <w:vAlign w:val="bottom"/>
          </w:tcPr>
          <w:p>
            <w:pPr>
              <w:spacing w:after="0"/>
              <w:rPr>
                <w:sz w:val="12"/>
                <w:szCs w:val="12"/>
                <w:color w:val="auto"/>
              </w:rPr>
            </w:pPr>
          </w:p>
        </w:tc>
        <w:tc>
          <w:tcPr>
            <w:tcW w:w="1780" w:type="dxa"/>
            <w:vAlign w:val="bottom"/>
            <w:gridSpan w:val="3"/>
          </w:tcPr>
          <w:p>
            <w:pPr>
              <w:jc w:val="center"/>
              <w:ind w:right="137"/>
              <w:spacing w:after="0" w:line="144" w:lineRule="exact"/>
              <w:rPr>
                <w:sz w:val="20"/>
                <w:szCs w:val="20"/>
                <w:color w:val="auto"/>
              </w:rPr>
            </w:pPr>
            <w:r>
              <w:rPr>
                <w:rFonts w:ascii="Arial" w:cs="Arial" w:eastAsia="Arial" w:hAnsi="Arial"/>
                <w:sz w:val="13"/>
                <w:szCs w:val="13"/>
                <w:b w:val="1"/>
                <w:bCs w:val="1"/>
                <w:color w:val="auto"/>
                <w:w w:val="87"/>
              </w:rPr>
              <w:t>Recognized in OCI on</w:t>
            </w:r>
          </w:p>
        </w:tc>
        <w:tc>
          <w:tcPr>
            <w:tcW w:w="120" w:type="dxa"/>
            <w:vAlign w:val="bottom"/>
          </w:tcPr>
          <w:p>
            <w:pPr>
              <w:spacing w:after="0"/>
              <w:rPr>
                <w:sz w:val="12"/>
                <w:szCs w:val="12"/>
                <w:color w:val="auto"/>
              </w:rPr>
            </w:pPr>
          </w:p>
        </w:tc>
        <w:tc>
          <w:tcPr>
            <w:tcW w:w="2760" w:type="dxa"/>
            <w:vAlign w:val="bottom"/>
            <w:gridSpan w:val="5"/>
          </w:tcPr>
          <w:p>
            <w:pPr>
              <w:ind w:left="740"/>
              <w:spacing w:after="0" w:line="144" w:lineRule="exact"/>
              <w:rPr>
                <w:sz w:val="20"/>
                <w:szCs w:val="20"/>
                <w:color w:val="auto"/>
              </w:rPr>
            </w:pPr>
            <w:r>
              <w:rPr>
                <w:rFonts w:ascii="Arial" w:cs="Arial" w:eastAsia="Arial" w:hAnsi="Arial"/>
                <w:sz w:val="13"/>
                <w:szCs w:val="13"/>
                <w:b w:val="1"/>
                <w:bCs w:val="1"/>
                <w:color w:val="auto"/>
                <w:w w:val="92"/>
              </w:rPr>
              <w:t>OCI into Income (Effective Portion)</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gridSpan w:val="5"/>
          </w:tcPr>
          <w:p>
            <w:pPr>
              <w:jc w:val="center"/>
              <w:ind w:left="217"/>
              <w:spacing w:after="0" w:line="144" w:lineRule="exact"/>
              <w:rPr>
                <w:sz w:val="20"/>
                <w:szCs w:val="20"/>
                <w:color w:val="auto"/>
              </w:rPr>
            </w:pPr>
            <w:r>
              <w:rPr>
                <w:rFonts w:ascii="Arial" w:cs="Arial" w:eastAsia="Arial" w:hAnsi="Arial"/>
                <w:sz w:val="13"/>
                <w:szCs w:val="13"/>
                <w:b w:val="1"/>
                <w:bCs w:val="1"/>
                <w:color w:val="auto"/>
                <w:w w:val="89"/>
              </w:rPr>
              <w:t>Derivative (Ineffective Portion)</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42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Cash Flow</w:t>
            </w:r>
          </w:p>
        </w:tc>
        <w:tc>
          <w:tcPr>
            <w:tcW w:w="220" w:type="dxa"/>
            <w:vAlign w:val="bottom"/>
          </w:tcPr>
          <w:p>
            <w:pPr>
              <w:spacing w:after="0"/>
              <w:rPr>
                <w:sz w:val="2"/>
                <w:szCs w:val="2"/>
                <w:color w:val="auto"/>
              </w:rPr>
            </w:pPr>
          </w:p>
        </w:tc>
        <w:tc>
          <w:tcPr>
            <w:tcW w:w="1780" w:type="dxa"/>
            <w:vAlign w:val="bottom"/>
            <w:gridSpan w:val="3"/>
            <w:vMerge w:val="restart"/>
          </w:tcPr>
          <w:p>
            <w:pPr>
              <w:jc w:val="center"/>
              <w:ind w:right="137"/>
              <w:spacing w:after="0" w:line="135" w:lineRule="exact"/>
              <w:rPr>
                <w:sz w:val="20"/>
                <w:szCs w:val="20"/>
                <w:color w:val="auto"/>
              </w:rPr>
            </w:pPr>
            <w:r>
              <w:rPr>
                <w:rFonts w:ascii="Arial" w:cs="Arial" w:eastAsia="Arial" w:hAnsi="Arial"/>
                <w:sz w:val="13"/>
                <w:szCs w:val="13"/>
                <w:b w:val="1"/>
                <w:bCs w:val="1"/>
                <w:color w:val="auto"/>
                <w:w w:val="88"/>
              </w:rPr>
              <w:t>Derivative (Effective</w:t>
            </w: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4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Hedging Relationships</w:t>
            </w:r>
          </w:p>
        </w:tc>
        <w:tc>
          <w:tcPr>
            <w:tcW w:w="220" w:type="dxa"/>
            <w:vAlign w:val="bottom"/>
          </w:tcPr>
          <w:p>
            <w:pPr>
              <w:spacing w:after="0"/>
              <w:rPr>
                <w:sz w:val="15"/>
                <w:szCs w:val="15"/>
                <w:color w:val="auto"/>
              </w:rPr>
            </w:pPr>
          </w:p>
        </w:tc>
        <w:tc>
          <w:tcPr>
            <w:tcW w:w="1180" w:type="dxa"/>
            <w:vAlign w:val="bottom"/>
            <w:gridSpan w:val="2"/>
          </w:tcPr>
          <w:p>
            <w:pPr>
              <w:jc w:val="center"/>
              <w:ind w:left="337"/>
              <w:spacing w:after="0"/>
              <w:rPr>
                <w:sz w:val="20"/>
                <w:szCs w:val="20"/>
                <w:color w:val="auto"/>
              </w:rPr>
            </w:pPr>
            <w:r>
              <w:rPr>
                <w:rFonts w:ascii="Arial" w:cs="Arial" w:eastAsia="Arial" w:hAnsi="Arial"/>
                <w:sz w:val="13"/>
                <w:szCs w:val="13"/>
                <w:b w:val="1"/>
                <w:bCs w:val="1"/>
                <w:color w:val="auto"/>
                <w:w w:val="92"/>
              </w:rPr>
              <w:t>Portion)</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ind w:left="440"/>
              <w:spacing w:after="0"/>
              <w:rPr>
                <w:sz w:val="20"/>
                <w:szCs w:val="20"/>
                <w:color w:val="auto"/>
              </w:rPr>
            </w:pPr>
            <w:r>
              <w:rPr>
                <w:rFonts w:ascii="Arial" w:cs="Arial" w:eastAsia="Arial" w:hAnsi="Arial"/>
                <w:sz w:val="13"/>
                <w:szCs w:val="13"/>
                <w:b w:val="1"/>
                <w:bCs w:val="1"/>
                <w:color w:val="auto"/>
              </w:rPr>
              <w:t>Location</w:t>
            </w:r>
          </w:p>
        </w:tc>
        <w:tc>
          <w:tcPr>
            <w:tcW w:w="200" w:type="dxa"/>
            <w:vAlign w:val="bottom"/>
          </w:tcPr>
          <w:p>
            <w:pPr>
              <w:spacing w:after="0"/>
              <w:rPr>
                <w:sz w:val="15"/>
                <w:szCs w:val="15"/>
                <w:color w:val="auto"/>
              </w:rPr>
            </w:pPr>
          </w:p>
        </w:tc>
        <w:tc>
          <w:tcPr>
            <w:tcW w:w="106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ind w:left="440"/>
              <w:spacing w:after="0"/>
              <w:rPr>
                <w:sz w:val="20"/>
                <w:szCs w:val="20"/>
                <w:color w:val="auto"/>
              </w:rPr>
            </w:pPr>
            <w:r>
              <w:rPr>
                <w:rFonts w:ascii="Arial" w:cs="Arial" w:eastAsia="Arial" w:hAnsi="Arial"/>
                <w:sz w:val="13"/>
                <w:szCs w:val="13"/>
                <w:b w:val="1"/>
                <w:bCs w:val="1"/>
                <w:color w:val="auto"/>
              </w:rPr>
              <w:t>Location</w:t>
            </w:r>
          </w:p>
        </w:tc>
        <w:tc>
          <w:tcPr>
            <w:tcW w:w="580" w:type="dxa"/>
            <w:vAlign w:val="bottom"/>
          </w:tcPr>
          <w:p>
            <w:pPr>
              <w:spacing w:after="0"/>
              <w:rPr>
                <w:sz w:val="15"/>
                <w:szCs w:val="15"/>
                <w:color w:val="auto"/>
              </w:rPr>
            </w:pPr>
          </w:p>
        </w:tc>
        <w:tc>
          <w:tcPr>
            <w:tcW w:w="1040" w:type="dxa"/>
            <w:vAlign w:val="bottom"/>
            <w:gridSpan w:val="2"/>
          </w:tcPr>
          <w:p>
            <w:pPr>
              <w:jc w:val="center"/>
              <w:ind w:right="217"/>
              <w:spacing w:after="0"/>
              <w:rPr>
                <w:sz w:val="20"/>
                <w:szCs w:val="20"/>
                <w:color w:val="auto"/>
              </w:rPr>
            </w:pPr>
            <w:r>
              <w:rPr>
                <w:rFonts w:ascii="Arial" w:cs="Arial" w:eastAsia="Arial" w:hAnsi="Arial"/>
                <w:sz w:val="13"/>
                <w:szCs w:val="13"/>
                <w:b w:val="1"/>
                <w:bCs w:val="1"/>
                <w:color w:val="auto"/>
                <w:w w:val="89"/>
              </w:rPr>
              <w:t>Amount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2017</w:t>
            </w:r>
          </w:p>
        </w:tc>
        <w:tc>
          <w:tcPr>
            <w:tcW w:w="4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w w:val="82"/>
              </w:rPr>
              <w:t>2016</w:t>
            </w: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2017</w:t>
            </w:r>
          </w:p>
        </w:tc>
        <w:tc>
          <w:tcPr>
            <w:tcW w:w="3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2017</w:t>
            </w:r>
          </w:p>
        </w:tc>
        <w:tc>
          <w:tcPr>
            <w:tcW w:w="3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w:t>
            </w:r>
          </w:p>
        </w:tc>
        <w:tc>
          <w:tcPr>
            <w:tcW w:w="28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left="337"/>
              <w:spacing w:after="0"/>
              <w:rPr>
                <w:sz w:val="20"/>
                <w:szCs w:val="20"/>
                <w:color w:val="auto"/>
              </w:rPr>
            </w:pPr>
            <w:r>
              <w:rPr>
                <w:rFonts w:ascii="Arial" w:cs="Arial" w:eastAsia="Arial" w:hAnsi="Arial"/>
                <w:sz w:val="13"/>
                <w:szCs w:val="13"/>
                <w:b w:val="1"/>
                <w:bCs w:val="1"/>
                <w:color w:val="auto"/>
                <w:w w:val="87"/>
              </w:rPr>
              <w:t>(in thousands)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3"/>
          </w:tcPr>
          <w:p>
            <w:pPr>
              <w:jc w:val="right"/>
              <w:ind w:right="497"/>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gridSpan w:val="2"/>
          </w:tcPr>
          <w:p>
            <w:pPr>
              <w:jc w:val="center"/>
              <w:ind w:right="197"/>
              <w:spacing w:after="0"/>
              <w:rPr>
                <w:sz w:val="20"/>
                <w:szCs w:val="20"/>
                <w:color w:val="auto"/>
              </w:rPr>
            </w:pPr>
            <w:r>
              <w:rPr>
                <w:rFonts w:ascii="Arial" w:cs="Arial" w:eastAsia="Arial" w:hAnsi="Arial"/>
                <w:sz w:val="13"/>
                <w:szCs w:val="13"/>
                <w:b w:val="1"/>
                <w:bCs w:val="1"/>
                <w:color w:val="auto"/>
                <w:w w:val="87"/>
              </w:rPr>
              <w:t>(in thousands)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Three Months Ended June 30,</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Interest rate swap contracts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(517)</w:t>
            </w:r>
          </w:p>
        </w:tc>
        <w:tc>
          <w:tcPr>
            <w:tcW w:w="4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(1,771)</w:t>
            </w:r>
          </w:p>
        </w:tc>
        <w:tc>
          <w:tcPr>
            <w:tcW w:w="1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w w:val="99"/>
              </w:rPr>
              <w:t>Interest expense</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(210)</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w w:val="95"/>
              </w:rPr>
              <w:t>Interest expense</w:t>
            </w:r>
          </w:p>
        </w:tc>
        <w:tc>
          <w:tcPr>
            <w:tcW w:w="5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380"/>
              <w:spacing w:after="0"/>
              <w:rPr>
                <w:sz w:val="20"/>
                <w:szCs w:val="20"/>
                <w:color w:val="auto"/>
              </w:rPr>
            </w:pPr>
            <w:r>
              <w:rPr>
                <w:rFonts w:ascii="Arial" w:cs="Arial" w:eastAsia="Arial" w:hAnsi="Arial"/>
                <w:sz w:val="13"/>
                <w:szCs w:val="13"/>
                <w:color w:val="auto"/>
              </w:rPr>
              <w:t>Interest rate cap contracts</w:t>
            </w:r>
          </w:p>
        </w:tc>
        <w:tc>
          <w:tcPr>
            <w:tcW w:w="22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(117)</w:t>
            </w:r>
          </w:p>
        </w:tc>
        <w:tc>
          <w:tcPr>
            <w:tcW w:w="420" w:type="dxa"/>
            <w:vAlign w:val="bottom"/>
          </w:tcPr>
          <w:p>
            <w:pPr>
              <w:spacing w:after="0"/>
              <w:rPr>
                <w:sz w:val="15"/>
                <w:szCs w:val="15"/>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(357)</w:t>
            </w:r>
          </w:p>
        </w:tc>
        <w:tc>
          <w:tcPr>
            <w:tcW w:w="120" w:type="dxa"/>
            <w:vAlign w:val="bottom"/>
          </w:tcPr>
          <w:p>
            <w:pPr>
              <w:spacing w:after="0"/>
              <w:rPr>
                <w:sz w:val="15"/>
                <w:szCs w:val="15"/>
                <w:color w:val="auto"/>
              </w:rPr>
            </w:pPr>
          </w:p>
        </w:tc>
        <w:tc>
          <w:tcPr>
            <w:tcW w:w="1500" w:type="dxa"/>
            <w:vAlign w:val="bottom"/>
            <w:gridSpan w:val="2"/>
          </w:tcPr>
          <w:p>
            <w:pPr>
              <w:ind w:left="520"/>
              <w:spacing w:after="0"/>
              <w:rPr>
                <w:sz w:val="20"/>
                <w:szCs w:val="20"/>
                <w:color w:val="auto"/>
              </w:rPr>
            </w:pPr>
            <w:r>
              <w:rPr>
                <w:rFonts w:ascii="Arial" w:cs="Arial" w:eastAsia="Arial" w:hAnsi="Arial"/>
                <w:sz w:val="13"/>
                <w:szCs w:val="13"/>
                <w:color w:val="auto"/>
                <w:w w:val="99"/>
              </w:rPr>
              <w:t>Interest expense</w:t>
            </w:r>
          </w:p>
        </w:tc>
        <w:tc>
          <w:tcPr>
            <w:tcW w:w="200" w:type="dxa"/>
            <w:vAlign w:val="bottom"/>
          </w:tcPr>
          <w:p>
            <w:pPr>
              <w:spacing w:after="0"/>
              <w:rPr>
                <w:sz w:val="15"/>
                <w:szCs w:val="15"/>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(50)</w:t>
            </w:r>
          </w:p>
        </w:tc>
        <w:tc>
          <w:tcPr>
            <w:tcW w:w="32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60" w:type="dxa"/>
            <w:vAlign w:val="bottom"/>
            <w:gridSpan w:val="2"/>
          </w:tcPr>
          <w:p>
            <w:pPr>
              <w:ind w:left="520"/>
              <w:spacing w:after="0"/>
              <w:rPr>
                <w:sz w:val="20"/>
                <w:szCs w:val="20"/>
                <w:color w:val="auto"/>
              </w:rPr>
            </w:pPr>
            <w:r>
              <w:rPr>
                <w:rFonts w:ascii="Arial" w:cs="Arial" w:eastAsia="Arial" w:hAnsi="Arial"/>
                <w:sz w:val="13"/>
                <w:szCs w:val="13"/>
                <w:color w:val="auto"/>
                <w:w w:val="95"/>
              </w:rPr>
              <w:t>Interest expense</w:t>
            </w:r>
          </w:p>
        </w:tc>
        <w:tc>
          <w:tcPr>
            <w:tcW w:w="580" w:type="dxa"/>
            <w:vAlign w:val="bottom"/>
          </w:tcPr>
          <w:p>
            <w:pPr>
              <w:spacing w:after="0"/>
              <w:rPr>
                <w:sz w:val="15"/>
                <w:szCs w:val="15"/>
                <w:color w:val="auto"/>
              </w:rPr>
            </w:pPr>
          </w:p>
        </w:tc>
        <w:tc>
          <w:tcPr>
            <w:tcW w:w="340" w:type="dxa"/>
            <w:vAlign w:val="bottom"/>
          </w:tcPr>
          <w:p>
            <w:pPr>
              <w:ind w:left="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40"/>
              <w:spacing w:after="0"/>
              <w:rPr>
                <w:sz w:val="20"/>
                <w:szCs w:val="20"/>
                <w:color w:val="auto"/>
              </w:rPr>
            </w:pPr>
            <w:r>
              <w:rPr>
                <w:rFonts w:ascii="Arial" w:cs="Arial" w:eastAsia="Arial" w:hAnsi="Arial"/>
                <w:sz w:val="13"/>
                <w:szCs w:val="13"/>
                <w:b w:val="1"/>
                <w:bCs w:val="1"/>
                <w:color w:val="auto"/>
              </w:rPr>
              <w:t>Six Months Ended June 30,</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Interest rate swap contracts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(336)</w:t>
            </w:r>
          </w:p>
        </w:tc>
        <w:tc>
          <w:tcPr>
            <w:tcW w:w="4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(5,551)</w:t>
            </w:r>
          </w:p>
        </w:tc>
        <w:tc>
          <w:tcPr>
            <w:tcW w:w="12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w w:val="99"/>
              </w:rPr>
              <w:t>Interest expense</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(545)</w:t>
            </w:r>
          </w:p>
        </w:tc>
        <w:tc>
          <w:tcPr>
            <w:tcW w:w="3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w:t>
            </w: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w w:val="95"/>
              </w:rPr>
              <w:t>Interest expense</w:t>
            </w:r>
          </w:p>
        </w:tc>
        <w:tc>
          <w:tcPr>
            <w:tcW w:w="580" w:type="dxa"/>
            <w:vAlign w:val="bottom"/>
            <w:shd w:val="clear" w:color="auto" w:fill="CCEEFF"/>
          </w:tcPr>
          <w:p>
            <w:pPr>
              <w:jc w:val="right"/>
              <w:ind w:right="417"/>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45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gridSpan w:val="2"/>
          </w:tcPr>
          <w:p>
            <w:pPr>
              <w:ind w:left="380"/>
              <w:spacing w:after="0"/>
              <w:rPr>
                <w:sz w:val="20"/>
                <w:szCs w:val="20"/>
                <w:color w:val="auto"/>
              </w:rPr>
            </w:pPr>
            <w:r>
              <w:rPr>
                <w:rFonts w:ascii="Arial" w:cs="Arial" w:eastAsia="Arial" w:hAnsi="Arial"/>
                <w:sz w:val="13"/>
                <w:szCs w:val="13"/>
                <w:color w:val="auto"/>
              </w:rPr>
              <w:t>Interest rate cap contracts</w:t>
            </w:r>
          </w:p>
        </w:tc>
        <w:tc>
          <w:tcPr>
            <w:tcW w:w="220" w:type="dxa"/>
            <w:vAlign w:val="bottom"/>
          </w:tcPr>
          <w:p>
            <w:pPr>
              <w:spacing w:after="0"/>
              <w:rPr>
                <w:sz w:val="15"/>
                <w:szCs w:val="15"/>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(201)</w:t>
            </w:r>
          </w:p>
        </w:tc>
        <w:tc>
          <w:tcPr>
            <w:tcW w:w="420" w:type="dxa"/>
            <w:vAlign w:val="bottom"/>
          </w:tcPr>
          <w:p>
            <w:pPr>
              <w:spacing w:after="0"/>
              <w:rPr>
                <w:sz w:val="15"/>
                <w:szCs w:val="15"/>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(1,090)</w:t>
            </w:r>
          </w:p>
        </w:tc>
        <w:tc>
          <w:tcPr>
            <w:tcW w:w="120" w:type="dxa"/>
            <w:vAlign w:val="bottom"/>
          </w:tcPr>
          <w:p>
            <w:pPr>
              <w:spacing w:after="0"/>
              <w:rPr>
                <w:sz w:val="15"/>
                <w:szCs w:val="15"/>
                <w:color w:val="auto"/>
              </w:rPr>
            </w:pPr>
          </w:p>
        </w:tc>
        <w:tc>
          <w:tcPr>
            <w:tcW w:w="1500" w:type="dxa"/>
            <w:vAlign w:val="bottom"/>
            <w:gridSpan w:val="2"/>
          </w:tcPr>
          <w:p>
            <w:pPr>
              <w:ind w:left="520"/>
              <w:spacing w:after="0"/>
              <w:rPr>
                <w:sz w:val="20"/>
                <w:szCs w:val="20"/>
                <w:color w:val="auto"/>
              </w:rPr>
            </w:pPr>
            <w:r>
              <w:rPr>
                <w:rFonts w:ascii="Arial" w:cs="Arial" w:eastAsia="Arial" w:hAnsi="Arial"/>
                <w:sz w:val="13"/>
                <w:szCs w:val="13"/>
                <w:color w:val="auto"/>
                <w:w w:val="99"/>
              </w:rPr>
              <w:t>Interest expense</w:t>
            </w:r>
          </w:p>
        </w:tc>
        <w:tc>
          <w:tcPr>
            <w:tcW w:w="200" w:type="dxa"/>
            <w:vAlign w:val="bottom"/>
          </w:tcPr>
          <w:p>
            <w:pPr>
              <w:spacing w:after="0"/>
              <w:rPr>
                <w:sz w:val="15"/>
                <w:szCs w:val="15"/>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(93)</w:t>
            </w:r>
          </w:p>
        </w:tc>
        <w:tc>
          <w:tcPr>
            <w:tcW w:w="32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60" w:type="dxa"/>
            <w:vAlign w:val="bottom"/>
            <w:gridSpan w:val="2"/>
          </w:tcPr>
          <w:p>
            <w:pPr>
              <w:ind w:left="520"/>
              <w:spacing w:after="0"/>
              <w:rPr>
                <w:sz w:val="20"/>
                <w:szCs w:val="20"/>
                <w:color w:val="auto"/>
              </w:rPr>
            </w:pPr>
            <w:r>
              <w:rPr>
                <w:rFonts w:ascii="Arial" w:cs="Arial" w:eastAsia="Arial" w:hAnsi="Arial"/>
                <w:sz w:val="13"/>
                <w:szCs w:val="13"/>
                <w:color w:val="auto"/>
                <w:w w:val="95"/>
              </w:rPr>
              <w:t>Interest expense</w:t>
            </w:r>
          </w:p>
        </w:tc>
        <w:tc>
          <w:tcPr>
            <w:tcW w:w="580" w:type="dxa"/>
            <w:vAlign w:val="bottom"/>
          </w:tcPr>
          <w:p>
            <w:pPr>
              <w:spacing w:after="0"/>
              <w:rPr>
                <w:sz w:val="15"/>
                <w:szCs w:val="15"/>
                <w:color w:val="auto"/>
              </w:rPr>
            </w:pPr>
          </w:p>
        </w:tc>
        <w:tc>
          <w:tcPr>
            <w:tcW w:w="340" w:type="dxa"/>
            <w:vAlign w:val="bottom"/>
          </w:tcPr>
          <w:p>
            <w:pPr>
              <w:ind w:left="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also exposed to foreign exchange risk when we enter into non-functional currency transactions, both intercompany and third party. At each period-end, non-functional currency monetary assets and liabilities are revalued with the change recognized to other income and expense. We enter into monthly foreign exchange forward contracts, which are not designated for hedge accounting, with the intent to reduce earnings volatility associated with currency exposures. As of June 30, 2017, a total of 53 contracts were offsetting our exposures from the euro, Saudi Riyal, Indian Rupee, Chinese Yuan, Indonesian Rupiah, and various other currencies, with notional amounts ranging from $118,000 to $45.5 million.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derivative instruments not designated as hedges on the Consolidated Statements of Operations was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Gain (Loss) Recognized on Derivatives in Other</w:t>
            </w:r>
          </w:p>
        </w:tc>
        <w:tc>
          <w:tcPr>
            <w:tcW w:w="0" w:type="dxa"/>
            <w:vAlign w:val="bottom"/>
          </w:tcPr>
          <w:p>
            <w:pPr>
              <w:spacing w:after="0"/>
              <w:rPr>
                <w:sz w:val="1"/>
                <w:szCs w:val="1"/>
                <w:color w:val="auto"/>
              </w:rPr>
            </w:pPr>
          </w:p>
        </w:tc>
      </w:tr>
      <w:tr>
        <w:trPr>
          <w:trHeight w:val="210"/>
        </w:trPr>
        <w:tc>
          <w:tcPr>
            <w:tcW w:w="5280" w:type="dxa"/>
            <w:vAlign w:val="bottom"/>
            <w:gridSpan w:val="2"/>
          </w:tcPr>
          <w:p>
            <w:pPr>
              <w:ind w:left="160"/>
              <w:spacing w:after="0"/>
              <w:rPr>
                <w:sz w:val="20"/>
                <w:szCs w:val="20"/>
                <w:color w:val="auto"/>
              </w:rPr>
            </w:pPr>
            <w:r>
              <w:rPr>
                <w:rFonts w:ascii="Arial" w:cs="Arial" w:eastAsia="Arial" w:hAnsi="Arial"/>
                <w:sz w:val="16"/>
                <w:szCs w:val="16"/>
                <w:b w:val="1"/>
                <w:bCs w:val="1"/>
                <w:color w:val="auto"/>
                <w:w w:val="96"/>
              </w:rPr>
              <w:t>Derivatives Not Designated as Hedging Instrument under ASC 815-20</w:t>
            </w:r>
          </w:p>
        </w:tc>
        <w:tc>
          <w:tcPr>
            <w:tcW w:w="2620" w:type="dxa"/>
            <w:vAlign w:val="bottom"/>
            <w:gridSpan w:val="2"/>
          </w:tcPr>
          <w:p>
            <w:pPr>
              <w:ind w:left="940"/>
              <w:spacing w:after="0"/>
              <w:rPr>
                <w:sz w:val="20"/>
                <w:szCs w:val="20"/>
                <w:color w:val="auto"/>
              </w:rPr>
            </w:pPr>
            <w:r>
              <w:rPr>
                <w:rFonts w:ascii="Arial" w:cs="Arial" w:eastAsia="Arial" w:hAnsi="Arial"/>
                <w:sz w:val="16"/>
                <w:szCs w:val="16"/>
                <w:b w:val="1"/>
                <w:bCs w:val="1"/>
                <w:color w:val="auto"/>
              </w:rPr>
              <w:t>Location</w:t>
            </w:r>
          </w:p>
        </w:tc>
        <w:tc>
          <w:tcPr>
            <w:tcW w:w="1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Income (Expense)</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52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80" w:type="dxa"/>
            <w:vAlign w:val="bottom"/>
            <w:gridSpan w:val="2"/>
            <w:vMerge w:val="continue"/>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(2,063)</w:t>
            </w:r>
          </w:p>
        </w:tc>
        <w:tc>
          <w:tcPr>
            <w:tcW w:w="7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Interest rate cap contracts</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11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7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5280" w:type="dxa"/>
            <w:vAlign w:val="bottom"/>
            <w:gridSpan w:val="2"/>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(3,805)</w:t>
            </w:r>
          </w:p>
        </w:tc>
        <w:tc>
          <w:tcPr>
            <w:tcW w:w="70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280" w:type="dxa"/>
            <w:vAlign w:val="bottom"/>
            <w:gridSpan w:val="2"/>
          </w:tcPr>
          <w:p>
            <w:pPr>
              <w:ind w:left="380"/>
              <w:spacing w:after="0"/>
              <w:rPr>
                <w:sz w:val="20"/>
                <w:szCs w:val="20"/>
                <w:color w:val="auto"/>
              </w:rPr>
            </w:pPr>
            <w:r>
              <w:rPr>
                <w:rFonts w:ascii="Arial" w:cs="Arial" w:eastAsia="Arial" w:hAnsi="Arial"/>
                <w:sz w:val="16"/>
                <w:szCs w:val="16"/>
                <w:color w:val="auto"/>
              </w:rPr>
              <w:t>Interest rate cap contracts</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11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7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offering death and disability, retirement, and special termination benefits for our international employees, primarily in Germany, France, Italy, Indonesia, Brazil, and Spain. The defined benefit obligation is calculated annually by using the projected unit credit method. The measurement date for the pension plans was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Consolidated Balance Sheets consist of:</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June 30, 2017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2016</w:t>
            </w:r>
          </w:p>
        </w:tc>
      </w:tr>
      <w:tr>
        <w:trPr>
          <w:trHeight w:val="33"/>
        </w:trPr>
        <w:tc>
          <w:tcPr>
            <w:tcW w:w="67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6"/>
                <w:szCs w:val="16"/>
                <w:color w:val="auto"/>
              </w:rPr>
              <w:t>Assets</w:t>
            </w:r>
          </w:p>
        </w:tc>
        <w:tc>
          <w:tcPr>
            <w:tcW w:w="1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47"/>
        </w:trPr>
        <w:tc>
          <w:tcPr>
            <w:tcW w:w="67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Plan assets in other long-term assets</w:t>
            </w:r>
          </w:p>
        </w:tc>
        <w:tc>
          <w:tcPr>
            <w:tcW w:w="1680" w:type="dxa"/>
            <w:vAlign w:val="bottom"/>
            <w:tcBorders>
              <w:bottom w:val="single" w:sz="8" w:color="CCEEFF"/>
            </w:tcBorders>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w:t>
            </w:r>
          </w:p>
        </w:tc>
      </w:tr>
      <w:tr>
        <w:trPr>
          <w:trHeight w:val="270"/>
        </w:trPr>
        <w:tc>
          <w:tcPr>
            <w:tcW w:w="67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Current portion of pension benefit obligation in wages and benefits payable</w:t>
            </w:r>
          </w:p>
        </w:tc>
        <w:tc>
          <w:tcPr>
            <w:tcW w:w="16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3,340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3,202</w:t>
            </w: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portion of pension benefit obligation</w:t>
            </w:r>
          </w:p>
        </w:tc>
        <w:tc>
          <w:tcPr>
            <w:tcW w:w="1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93,263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84,498</w:t>
            </w:r>
          </w:p>
        </w:tc>
      </w:tr>
      <w:tr>
        <w:trPr>
          <w:trHeight w:val="270"/>
        </w:trPr>
        <w:tc>
          <w:tcPr>
            <w:tcW w:w="674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Pension benefit obligation, net</w:t>
            </w:r>
          </w:p>
        </w:tc>
        <w:tc>
          <w:tcPr>
            <w:tcW w:w="1680" w:type="dxa"/>
            <w:vAlign w:val="bottom"/>
            <w:tcBorders>
              <w:bottom w:val="single" w:sz="8" w:color="CCEEFF"/>
            </w:tcBorders>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87,046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99"/>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1,927</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1,283</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Settlements and other</w:t>
            </w:r>
          </w:p>
        </w:tc>
        <w:tc>
          <w:tcPr>
            <w:tcW w:w="11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actuarial net loss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Amortization of unrecognized prior service costs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periodic benefit cost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1,804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3,636</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the Second Amended and Restated 2010 Stock Incentive Plan (Stock Incentive Plan), which allows us to grant equity-based compensation awards, including stock options, restricted stock units, phantom stock, and unrestricted stock units. Under</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Stock Incentive Plan, we have 10,473,956 shares of common stock reserved and authorized for issuance subject to stock splits, dividends, and other similar events. At June 30, 2017, 4,647,815 shares were available for grant under the Stock Incentive Plan. We issue new shares of common stock upon the exercise of stock options or when vesting conditions on restricted stock units are fully satisfied. These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periodically award phantom stock units, which are settled in cash upon vesting and accounted for as liability-based awards with no impact to the shares available for grant.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maintain the Employee Stock Purchase Plan (ESPP), for which approximately 355,000 shares of common stock were available for future issuance at June 30,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Unrestricted stock and ESPP activity for the three and six months ended June 30, 2017 and 2016 was not significant.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and the related tax benefit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99"/>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1,139</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4,071</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3,143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8,368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6,239</w:t>
            </w: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Unrestricted stock awards</w:t>
            </w:r>
          </w:p>
        </w:tc>
        <w:tc>
          <w:tcPr>
            <w:tcW w:w="1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Phantom stock units</w:t>
            </w:r>
          </w:p>
        </w:tc>
        <w:tc>
          <w:tcPr>
            <w:tcW w:w="11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884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287</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stock-based compensation</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5,416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4,189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8,165</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7"/>
        </w:trPr>
        <w:tc>
          <w:tcPr>
            <w:tcW w:w="4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Related tax benefit</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1,296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2,504</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1480" w:type="dxa"/>
            <w:vAlign w:val="bottom"/>
          </w:tcPr>
          <w:p>
            <w:pPr>
              <w:jc w:val="center"/>
              <w:ind w:left="139"/>
              <w:spacing w:after="0"/>
              <w:rPr>
                <w:sz w:val="20"/>
                <w:szCs w:val="20"/>
                <w:color w:val="auto"/>
              </w:rPr>
            </w:pPr>
            <w:r>
              <w:rPr>
                <w:rFonts w:ascii="Arial" w:cs="Arial" w:eastAsia="Arial" w:hAnsi="Arial"/>
                <w:sz w:val="16"/>
                <w:szCs w:val="16"/>
                <w:b w:val="1"/>
                <w:bCs w:val="1"/>
                <w:color w:val="auto"/>
                <w:w w:val="90"/>
              </w:rPr>
              <w:t>Weighted Average</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 Exercise</w:t>
            </w: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Aggregate</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Average Grant</w:t>
            </w:r>
          </w:p>
        </w:tc>
      </w:tr>
      <w:tr>
        <w:trPr>
          <w:trHeight w:val="210"/>
        </w:trPr>
        <w:tc>
          <w:tcPr>
            <w:tcW w:w="32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Shares</w:t>
            </w:r>
          </w:p>
        </w:tc>
        <w:tc>
          <w:tcPr>
            <w:tcW w:w="18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 per Share</w:t>
            </w: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5"/>
              </w:rPr>
              <w:t>Contractual Life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3"/>
              </w:rPr>
              <w:t>Intrinsic Value</w:t>
            </w: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Date Fair Value</w:t>
            </w:r>
          </w:p>
        </w:tc>
      </w:tr>
      <w:tr>
        <w:trPr>
          <w:trHeight w:val="33"/>
        </w:trPr>
        <w:tc>
          <w:tcPr>
            <w:tcW w:w="32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1"/>
              </w:rPr>
              <w:t>(years)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8"/>
              </w:rPr>
              <w:t>(in thousands)</w:t>
            </w: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2016</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48.31</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32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40.04</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13.15</w:t>
            </w: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35.29</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35.29</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62.50</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r>
      <w:tr>
        <w:trPr>
          <w:trHeight w:val="21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June 30, 2016</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45.95</w:t>
            </w: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6.0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3,700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73"/>
        </w:trPr>
        <w:tc>
          <w:tcPr>
            <w:tcW w:w="32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320" w:type="dxa"/>
            <w:vAlign w:val="bottom"/>
            <w:tcBorders>
              <w:bottom w:val="single" w:sz="8" w:color="CCEEFF"/>
            </w:tcBorders>
          </w:tcPr>
          <w:p>
            <w:pPr>
              <w:spacing w:after="0"/>
              <w:rPr>
                <w:sz w:val="6"/>
                <w:szCs w:val="6"/>
                <w:color w:val="auto"/>
              </w:rPr>
            </w:pPr>
          </w:p>
        </w:tc>
      </w:tr>
      <w:tr>
        <w:trPr>
          <w:trHeight w:val="251"/>
        </w:trPr>
        <w:tc>
          <w:tcPr>
            <w:tcW w:w="3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Outstanding, January 1, 2017</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45.64</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6.6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19,125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3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65.80</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21.99</w:t>
            </w: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37.58</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47.38</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4"/>
        </w:trPr>
        <w:tc>
          <w:tcPr>
            <w:tcW w:w="3200" w:type="dxa"/>
            <w:vAlign w:val="bottom"/>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67.43</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7"/>
        </w:trPr>
        <w:tc>
          <w:tcPr>
            <w:tcW w:w="32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320" w:type="dxa"/>
            <w:vAlign w:val="bottom"/>
            <w:tcBorders>
              <w:bottom w:val="single" w:sz="8" w:color="CCEEFF"/>
            </w:tcBorders>
          </w:tcPr>
          <w:p>
            <w:pPr>
              <w:spacing w:after="0"/>
              <w:rPr>
                <w:sz w:val="4"/>
                <w:szCs w:val="4"/>
                <w:color w:val="auto"/>
              </w:rPr>
            </w:pPr>
          </w:p>
        </w:tc>
      </w:tr>
      <w:tr>
        <w:trPr>
          <w:trHeight w:val="25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June 30, 2017</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47.54</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2"/>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June 30, 2017</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47.38</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2"/>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to vest, June 30, 2017</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47.85</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2017, total unrecognized stock-based compensation expense related to nonvested stock options was $4.2 million, which is expected to be recognized over a weighted average period of approximately 1.8 years.</w:t>
      </w:r>
    </w:p>
    <w:p>
      <w:pPr>
        <w:sectPr>
          <w:pgSz w:w="11900" w:h="16838" w:orient="portrait"/>
          <w:cols w:equalWidth="0" w:num="1">
            <w:col w:w="11420"/>
          </w:cols>
          <w:pgMar w:left="240" w:top="125" w:right="239" w:bottom="1136"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136"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assumptions used to estimate the fair value of stock options granted and the resulting weighted average fair value are as follows: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gridSpan w:val="7"/>
          </w:tcPr>
          <w:p>
            <w:pPr>
              <w:ind w:left="340"/>
              <w:spacing w:after="0"/>
              <w:rPr>
                <w:sz w:val="20"/>
                <w:szCs w:val="20"/>
                <w:color w:val="auto"/>
              </w:rPr>
            </w:pPr>
            <w:r>
              <w:rPr>
                <w:rFonts w:ascii="Arial" w:cs="Arial" w:eastAsia="Arial" w:hAnsi="Arial"/>
                <w:sz w:val="16"/>
                <w:szCs w:val="16"/>
                <w:b w:val="1"/>
                <w:bCs w:val="1"/>
                <w:color w:val="auto"/>
              </w:rPr>
              <w:t>Three Months Ended June 30,</w:t>
            </w:r>
          </w:p>
        </w:tc>
        <w:tc>
          <w:tcPr>
            <w:tcW w:w="660" w:type="dxa"/>
            <w:vAlign w:val="bottom"/>
          </w:tcPr>
          <w:p>
            <w:pPr>
              <w:spacing w:after="0"/>
              <w:rPr>
                <w:sz w:val="18"/>
                <w:szCs w:val="18"/>
                <w:color w:val="auto"/>
              </w:rPr>
            </w:pPr>
          </w:p>
        </w:tc>
        <w:tc>
          <w:tcPr>
            <w:tcW w:w="2340" w:type="dxa"/>
            <w:vAlign w:val="bottom"/>
            <w:gridSpan w:val="6"/>
          </w:tcPr>
          <w:p>
            <w:pPr>
              <w:jc w:val="right"/>
              <w:ind w:right="159"/>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Pr>
          <w:p>
            <w:pPr>
              <w:spacing w:after="0"/>
              <w:rPr>
                <w:sz w:val="18"/>
                <w:szCs w:val="18"/>
                <w:color w:val="auto"/>
              </w:rPr>
            </w:pPr>
          </w:p>
        </w:tc>
      </w:tr>
      <w:tr>
        <w:trPr>
          <w:trHeight w:val="33"/>
        </w:trPr>
        <w:tc>
          <w:tcPr>
            <w:tcW w:w="4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1"/>
        </w:trPr>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b w:val="1"/>
                <w:bCs w:val="1"/>
                <w:color w:val="auto"/>
                <w:w w:val="95"/>
              </w:rPr>
              <w:t>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37"/>
        </w:trPr>
        <w:tc>
          <w:tcPr>
            <w:tcW w:w="41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(years)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r>
      <w:tr>
        <w:trPr>
          <w:trHeight w:val="270"/>
        </w:trPr>
        <w:tc>
          <w:tcPr>
            <w:tcW w:w="4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center"/>
              <w:ind w:right="45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w w:val="99"/>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9"/>
              </w:rPr>
              <w:t>13.15</w:t>
            </w:r>
          </w:p>
        </w:tc>
      </w:tr>
      <w:tr>
        <w:trPr>
          <w:trHeight w:val="418"/>
        </w:trPr>
        <w:tc>
          <w:tcPr>
            <w:tcW w:w="4160" w:type="dxa"/>
            <w:vAlign w:val="bottom"/>
          </w:tcPr>
          <w:p>
            <w:pPr>
              <w:ind w:left="220"/>
              <w:spacing w:after="0"/>
              <w:rPr>
                <w:sz w:val="20"/>
                <w:szCs w:val="20"/>
                <w:color w:val="auto"/>
              </w:rPr>
            </w:pPr>
            <w:r>
              <w:rPr>
                <w:rFonts w:ascii="Arial" w:cs="Arial" w:eastAsia="Arial" w:hAnsi="Arial"/>
                <w:sz w:val="18"/>
                <w:szCs w:val="18"/>
                <w:i w:val="1"/>
                <w:iCs w:val="1"/>
                <w:color w:val="auto"/>
              </w:rPr>
              <w:t>Restricted Stock Units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w w:val="95"/>
              </w:rPr>
              <w:t>The following table summarizes restricted stock unit activity:</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67"/>
        </w:trPr>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1"/>
              </w:rPr>
              <w:t>Weighted</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4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left="339"/>
              <w:spacing w:after="0"/>
              <w:rPr>
                <w:sz w:val="20"/>
                <w:szCs w:val="20"/>
                <w:color w:val="auto"/>
              </w:rPr>
            </w:pPr>
            <w:r>
              <w:rPr>
                <w:rFonts w:ascii="Arial" w:cs="Arial" w:eastAsia="Arial" w:hAnsi="Arial"/>
                <w:sz w:val="16"/>
                <w:szCs w:val="16"/>
                <w:b w:val="1"/>
                <w:bCs w:val="1"/>
                <w:color w:val="auto"/>
                <w:w w:val="94"/>
              </w:rPr>
              <w:t>Number of</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2"/>
              </w:rPr>
              <w:t>Average Grant</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c>
          <w:tcPr>
            <w:tcW w:w="580" w:type="dxa"/>
            <w:vAlign w:val="bottom"/>
          </w:tcPr>
          <w:p>
            <w:pPr>
              <w:spacing w:after="0"/>
              <w:rPr>
                <w:sz w:val="17"/>
                <w:szCs w:val="17"/>
                <w:color w:val="auto"/>
              </w:rPr>
            </w:pPr>
          </w:p>
        </w:tc>
      </w:tr>
      <w:tr>
        <w:trPr>
          <w:trHeight w:val="210"/>
        </w:trPr>
        <w:tc>
          <w:tcPr>
            <w:tcW w:w="4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4"/>
          </w:tcPr>
          <w:p>
            <w:pPr>
              <w:jc w:val="center"/>
              <w:ind w:right="139"/>
              <w:spacing w:after="0"/>
              <w:rPr>
                <w:sz w:val="20"/>
                <w:szCs w:val="20"/>
                <w:color w:val="auto"/>
              </w:rPr>
            </w:pPr>
            <w:r>
              <w:rPr>
                <w:rFonts w:ascii="Arial" w:cs="Arial" w:eastAsia="Arial" w:hAnsi="Arial"/>
                <w:sz w:val="16"/>
                <w:szCs w:val="16"/>
                <w:b w:val="1"/>
                <w:bCs w:val="1"/>
                <w:color w:val="auto"/>
                <w:w w:val="90"/>
              </w:rPr>
              <w:t>Restricted Stock Units</w:t>
            </w:r>
          </w:p>
        </w:tc>
        <w:tc>
          <w:tcPr>
            <w:tcW w:w="120" w:type="dxa"/>
            <w:vAlign w:val="bottom"/>
          </w:tcPr>
          <w:p>
            <w:pPr>
              <w:spacing w:after="0"/>
              <w:rPr>
                <w:sz w:val="18"/>
                <w:szCs w:val="18"/>
                <w:color w:val="auto"/>
              </w:rPr>
            </w:pPr>
          </w:p>
        </w:tc>
        <w:tc>
          <w:tcPr>
            <w:tcW w:w="172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5"/>
              </w:rPr>
              <w:t>Date Fair Value</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3"/>
              </w:rPr>
              <w:t>Intrinsic Value</w:t>
            </w:r>
          </w:p>
        </w:tc>
        <w:tc>
          <w:tcPr>
            <w:tcW w:w="580" w:type="dxa"/>
            <w:vAlign w:val="bottom"/>
          </w:tcPr>
          <w:p>
            <w:pPr>
              <w:spacing w:after="0"/>
              <w:rPr>
                <w:sz w:val="18"/>
                <w:szCs w:val="18"/>
                <w:color w:val="auto"/>
              </w:rPr>
            </w:pPr>
          </w:p>
        </w:tc>
      </w:tr>
      <w:tr>
        <w:trPr>
          <w:trHeight w:val="33"/>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1"/>
        </w:trPr>
        <w:tc>
          <w:tcPr>
            <w:tcW w:w="4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left="359"/>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580" w:type="dxa"/>
            <w:vAlign w:val="bottom"/>
          </w:tcPr>
          <w:p>
            <w:pPr>
              <w:spacing w:after="0"/>
              <w:rPr>
                <w:sz w:val="20"/>
                <w:szCs w:val="20"/>
                <w:color w:val="auto"/>
              </w:rPr>
            </w:pPr>
          </w:p>
        </w:tc>
      </w:tr>
      <w:tr>
        <w:trPr>
          <w:trHeight w:val="33"/>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7"/>
        </w:trPr>
        <w:tc>
          <w:tcPr>
            <w:tcW w:w="4160" w:type="dxa"/>
            <w:vAlign w:val="bottom"/>
          </w:tcPr>
          <w:p>
            <w:pPr>
              <w:ind w:left="380"/>
              <w:spacing w:after="0"/>
              <w:rPr>
                <w:sz w:val="20"/>
                <w:szCs w:val="20"/>
                <w:color w:val="auto"/>
              </w:rPr>
            </w:pPr>
            <w:r>
              <w:rPr>
                <w:rFonts w:ascii="Arial" w:cs="Arial" w:eastAsia="Arial" w:hAnsi="Arial"/>
                <w:sz w:val="16"/>
                <w:szCs w:val="16"/>
                <w:color w:val="auto"/>
              </w:rPr>
              <w:t>Granted</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172</w:t>
            </w:r>
          </w:p>
        </w:tc>
        <w:tc>
          <w:tcPr>
            <w:tcW w:w="1080" w:type="dxa"/>
            <w:vAlign w:val="bottom"/>
            <w:gridSpan w:val="2"/>
          </w:tcPr>
          <w:p>
            <w:pPr>
              <w:jc w:val="right"/>
              <w:ind w:right="7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40.02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10,429</w:t>
            </w:r>
          </w:p>
        </w:tc>
      </w:tr>
      <w:tr>
        <w:trPr>
          <w:trHeight w:val="237"/>
        </w:trPr>
        <w:tc>
          <w:tcPr>
            <w:tcW w:w="416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June 30, 2016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7"/>
        </w:trPr>
        <w:tc>
          <w:tcPr>
            <w:tcW w:w="4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701</w:t>
            </w:r>
          </w:p>
        </w:tc>
        <w:tc>
          <w:tcPr>
            <w:tcW w:w="108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37"/>
        </w:trPr>
        <w:tc>
          <w:tcPr>
            <w:tcW w:w="4160" w:type="dxa"/>
            <w:vAlign w:val="bottom"/>
          </w:tcPr>
          <w:p>
            <w:pPr>
              <w:ind w:left="380"/>
              <w:spacing w:after="0"/>
              <w:rPr>
                <w:sz w:val="20"/>
                <w:szCs w:val="20"/>
                <w:color w:val="auto"/>
              </w:rPr>
            </w:pPr>
            <w:r>
              <w:rPr>
                <w:rFonts w:ascii="Arial" w:cs="Arial" w:eastAsia="Arial" w:hAnsi="Arial"/>
                <w:sz w:val="16"/>
                <w:szCs w:val="16"/>
                <w:color w:val="auto"/>
              </w:rPr>
              <w:t>Granted</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65.48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38.26</w:t>
            </w:r>
          </w:p>
        </w:tc>
        <w:tc>
          <w:tcPr>
            <w:tcW w:w="58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12,533</w:t>
            </w:r>
          </w:p>
        </w:tc>
      </w:tr>
      <w:tr>
        <w:trPr>
          <w:trHeight w:val="237"/>
        </w:trPr>
        <w:tc>
          <w:tcPr>
            <w:tcW w:w="4160" w:type="dxa"/>
            <w:vAlign w:val="bottom"/>
          </w:tcPr>
          <w:p>
            <w:pPr>
              <w:ind w:left="380"/>
              <w:spacing w:after="0"/>
              <w:rPr>
                <w:sz w:val="20"/>
                <w:szCs w:val="20"/>
                <w:color w:val="auto"/>
              </w:rPr>
            </w:pPr>
            <w:r>
              <w:rPr>
                <w:rFonts w:ascii="Arial" w:cs="Arial" w:eastAsia="Arial" w:hAnsi="Arial"/>
                <w:sz w:val="16"/>
                <w:szCs w:val="16"/>
                <w:color w:val="auto"/>
              </w:rPr>
              <w:t>Forfeited</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43.60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June 30, 2017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7"/>
        </w:trPr>
        <w:tc>
          <w:tcPr>
            <w:tcW w:w="4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5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 but not released, June 30, 2017</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447</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50"/>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to vest, June 30, 2017</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3"/>
              </w:rPr>
              <w:t>27,332</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2017, total unrecognized compensation expense on restricted stock units was $30.2 million, which is expected to be recognized over a weighted average period of approximately 1.9 years.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assumptions used to estimate the fair value of performance-based restricted stock units granted and the resulting weighted average fair value are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306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8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1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4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r>
      <w:tr>
        <w:trPr>
          <w:trHeight w:val="33"/>
        </w:trPr>
        <w:tc>
          <w:tcPr>
            <w:tcW w:w="4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1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24"/>
        </w:trPr>
        <w:tc>
          <w:tcPr>
            <w:tcW w:w="41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47"/>
        </w:trPr>
        <w:tc>
          <w:tcPr>
            <w:tcW w:w="4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 (years)</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r>
      <w:tr>
        <w:trPr>
          <w:trHeight w:val="270"/>
        </w:trPr>
        <w:tc>
          <w:tcPr>
            <w:tcW w:w="4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37"/>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fair value</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75.58</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77.65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44.77</w:t>
            </w:r>
          </w:p>
        </w:tc>
      </w:tr>
      <w:tr>
        <w:trPr>
          <w:trHeight w:val="33"/>
        </w:trPr>
        <w:tc>
          <w:tcPr>
            <w:tcW w:w="4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Phantom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phantom stock unit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January 1, 2016</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June 30, 2016</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to vest, June 30, 2016</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January 1, 2017</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Released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June 30, 2017</w:t>
      </w: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Expected to vest, June 30,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03"/>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Phantom Stock</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tcPr>
          <w:p>
            <w:pPr>
              <w:jc w:val="center"/>
              <w:ind w:right="259"/>
              <w:spacing w:after="0"/>
              <w:rPr>
                <w:sz w:val="20"/>
                <w:szCs w:val="20"/>
                <w:color w:val="auto"/>
              </w:rPr>
            </w:pPr>
            <w:r>
              <w:rPr>
                <w:rFonts w:ascii="Arial" w:cs="Arial" w:eastAsia="Arial" w:hAnsi="Arial"/>
                <w:sz w:val="16"/>
                <w:szCs w:val="16"/>
                <w:b w:val="1"/>
                <w:bCs w:val="1"/>
                <w:color w:val="auto"/>
                <w:w w:val="92"/>
              </w:rPr>
              <w:t>Average Grant</w:t>
            </w:r>
          </w:p>
        </w:tc>
        <w:tc>
          <w:tcPr>
            <w:tcW w:w="0" w:type="dxa"/>
            <w:vAlign w:val="bottom"/>
          </w:tcPr>
          <w:p>
            <w:pPr>
              <w:spacing w:after="0"/>
              <w:rPr>
                <w:sz w:val="1"/>
                <w:szCs w:val="1"/>
                <w:color w:val="auto"/>
              </w:rPr>
            </w:pPr>
          </w:p>
        </w:tc>
      </w:tr>
      <w:tr>
        <w:trPr>
          <w:trHeight w:val="210"/>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9"/>
              </w:rPr>
              <w:t>Units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center"/>
              <w:ind w:right="279"/>
              <w:spacing w:after="0"/>
              <w:rPr>
                <w:sz w:val="20"/>
                <w:szCs w:val="20"/>
                <w:color w:val="auto"/>
              </w:rPr>
            </w:pPr>
            <w:r>
              <w:rPr>
                <w:rFonts w:ascii="Arial" w:cs="Arial" w:eastAsia="Arial" w:hAnsi="Arial"/>
                <w:sz w:val="16"/>
                <w:szCs w:val="16"/>
                <w:b w:val="1"/>
                <w:bCs w:val="1"/>
                <w:color w:val="auto"/>
                <w:w w:val="93"/>
              </w:rPr>
              <w:t>Date Fair Value</w:t>
            </w: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40.11</w:t>
            </w: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4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920" w:type="dxa"/>
            <w:vAlign w:val="bottom"/>
            <w:vMerge w:val="restart"/>
          </w:tcPr>
          <w:p>
            <w:pPr>
              <w:jc w:val="right"/>
              <w:ind w:right="19"/>
              <w:spacing w:after="0"/>
              <w:rPr>
                <w:sz w:val="20"/>
                <w:szCs w:val="20"/>
                <w:color w:val="auto"/>
              </w:rPr>
            </w:pPr>
            <w:r>
              <w:rPr>
                <w:rFonts w:ascii="Arial" w:cs="Arial" w:eastAsia="Arial" w:hAnsi="Arial"/>
                <w:sz w:val="16"/>
                <w:szCs w:val="16"/>
                <w:color w:val="auto"/>
              </w:rPr>
              <w:t>40.11</w:t>
            </w: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1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460" w:type="dxa"/>
            <w:vAlign w:val="bottom"/>
            <w:gridSpan w:val="2"/>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65.55</w:t>
            </w: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40.11</w:t>
            </w:r>
          </w:p>
        </w:tc>
        <w:tc>
          <w:tcPr>
            <w:tcW w:w="0" w:type="dxa"/>
            <w:vAlign w:val="bottom"/>
          </w:tcPr>
          <w:p>
            <w:pPr>
              <w:spacing w:after="0"/>
              <w:rPr>
                <w:sz w:val="1"/>
                <w:szCs w:val="1"/>
                <w:color w:val="auto"/>
              </w:rPr>
            </w:pPr>
          </w:p>
        </w:tc>
      </w:tr>
      <w:tr>
        <w:trPr>
          <w:trHeight w:val="270"/>
        </w:trPr>
        <w:tc>
          <w:tcPr>
            <w:tcW w:w="23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40.05</w:t>
            </w:r>
          </w:p>
        </w:tc>
        <w:tc>
          <w:tcPr>
            <w:tcW w:w="0" w:type="dxa"/>
            <w:vAlign w:val="bottom"/>
          </w:tcPr>
          <w:p>
            <w:pPr>
              <w:spacing w:after="0"/>
              <w:rPr>
                <w:sz w:val="1"/>
                <w:szCs w:val="1"/>
                <w:color w:val="auto"/>
              </w:rPr>
            </w:pPr>
          </w:p>
        </w:tc>
      </w:tr>
      <w:tr>
        <w:trPr>
          <w:trHeight w:val="47"/>
        </w:trPr>
        <w:tc>
          <w:tcPr>
            <w:tcW w:w="2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920" w:type="dxa"/>
            <w:vAlign w:val="bottom"/>
            <w:vMerge w:val="restart"/>
          </w:tcPr>
          <w:p>
            <w:pPr>
              <w:jc w:val="right"/>
              <w:ind w:right="19"/>
              <w:spacing w:after="0"/>
              <w:rPr>
                <w:sz w:val="20"/>
                <w:szCs w:val="20"/>
                <w:color w:val="auto"/>
              </w:rPr>
            </w:pPr>
            <w:r>
              <w:rPr>
                <w:rFonts w:ascii="Arial" w:cs="Arial" w:eastAsia="Arial" w:hAnsi="Arial"/>
                <w:sz w:val="16"/>
                <w:szCs w:val="16"/>
                <w:color w:val="auto"/>
              </w:rPr>
              <w:t>52.18</w:t>
            </w:r>
          </w:p>
        </w:tc>
        <w:tc>
          <w:tcPr>
            <w:tcW w:w="0" w:type="dxa"/>
            <w:vAlign w:val="bottom"/>
          </w:tcPr>
          <w:p>
            <w:pPr>
              <w:spacing w:after="0"/>
              <w:rPr>
                <w:sz w:val="1"/>
                <w:szCs w:val="1"/>
                <w:color w:val="auto"/>
              </w:rPr>
            </w:pPr>
          </w:p>
        </w:tc>
      </w:tr>
      <w:tr>
        <w:trPr>
          <w:trHeight w:val="217"/>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23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-2486660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-2143125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-1791970</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-1431290</wp:posOffset>
            </wp:positionV>
            <wp:extent cx="72466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-1071245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-728345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-376555</wp:posOffset>
            </wp:positionV>
            <wp:extent cx="72466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sectPr>
      </w:pP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2017, total unrecognized compensation expense on phantom stock units was $3.9 million, which is expected to be recognized over a weighted average period of approximately 2.0 years. As of June 30, 2017 and December 31, 2016, we have recognized a phantom stock liability of $0.7 million and $1.0 million, respectively, within wages and benefits payable in the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tax provision as a percentage of income before tax typically differs from the federal statutory rate of 35%, and may vary from period to period, due to fluctuations in the forecast mix of earnings in domestic and international jurisdictions, new or revised tax legislation and accounting pronouncements, tax credits, state income taxes, adjustments to valuation allowances, and uncertain tax positions, among other items.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Excess tax benefits and tax deficiencies resulting from employee share-based payments have been recognized as income tax provision or benefit in the 2017 Consolidated Statement of Operations pursuant to the adoption of ASU 2016-09 (see Note 1).</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expense for the three and six months ended June 30, 2017 differed from the federal statutory rate of 35% due to the forecasted mix of earnings in domestic and international jurisdictions, a benefit related to excess tax benefits under ASU 2016-09, and losses experienced in jurisdictions with valuation allowances on deferred tax assets.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tax expense for the three and six months ended June 30, 2016 differed from the federal statutory rate of 35% due to the forecasted mix of earnings in domestic and international jurisdictions and losses experienced in jurisdictions with valuation allowances on deferred tax assets.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recognized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5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4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99"/>
              </w:rPr>
              <w:t>(in thousands)</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interest and penalties expense</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207</w:t>
            </w:r>
          </w:p>
        </w:tc>
        <w:tc>
          <w:tcPr>
            <w:tcW w:w="12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233</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413</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332</w:t>
            </w:r>
          </w:p>
        </w:tc>
      </w:tr>
      <w:tr>
        <w:trPr>
          <w:trHeight w:val="33"/>
        </w:trPr>
        <w:tc>
          <w:tcPr>
            <w:tcW w:w="4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Accrued interest and penalties recognized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June 30, 2017</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2016</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w:t>
            </w:r>
          </w:p>
        </w:tc>
        <w:tc>
          <w:tcPr>
            <w:tcW w:w="1720" w:type="dxa"/>
            <w:vAlign w:val="bottom"/>
            <w:tcBorders>
              <w:bottom w:val="single" w:sz="8" w:color="CCEEFF"/>
            </w:tcBorders>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3,435</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Accrued penalties</w:t>
            </w:r>
          </w:p>
        </w:tc>
        <w:tc>
          <w:tcPr>
            <w:tcW w:w="172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2,509</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2,329</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June 30, 2017</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2016</w:t>
            </w:r>
          </w:p>
        </w:tc>
      </w:tr>
      <w:tr>
        <w:trPr>
          <w:trHeight w:val="33"/>
        </w:trPr>
        <w:tc>
          <w:tcPr>
            <w:tcW w:w="67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related to uncertain tax positions</w:t>
            </w:r>
          </w:p>
        </w:tc>
        <w:tc>
          <w:tcPr>
            <w:tcW w:w="1680" w:type="dxa"/>
            <w:vAlign w:val="bottom"/>
            <w:tcBorders>
              <w:bottom w:val="single" w:sz="8" w:color="CCEEFF"/>
            </w:tcBorders>
            <w:shd w:val="clear" w:color="auto" w:fill="CCEEFF"/>
          </w:tcPr>
          <w:p>
            <w:pPr>
              <w:jc w:val="right"/>
              <w:ind w:right="147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64,396</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57,626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The amount of unrecognized tax benefits that, if recognized, would affect our effective tax rate</w:t>
            </w:r>
          </w:p>
        </w:tc>
        <w:tc>
          <w:tcPr>
            <w:tcW w:w="16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63,067</w:t>
            </w:r>
          </w:p>
        </w:tc>
        <w:tc>
          <w:tcPr>
            <w:tcW w:w="5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56,411</w:t>
            </w:r>
          </w:p>
        </w:tc>
      </w:tr>
    </w:tbl>
    <w:p>
      <w:pPr>
        <w:spacing w:after="0" w:line="2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June 30, 2017, we are under examination by certain tax authorities for the 2000 to 2015 tax years. The material jurisdictions where we are subject to examination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performance bonds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 2017</w:t>
            </w:r>
          </w:p>
        </w:tc>
        <w:tc>
          <w:tcPr>
            <w:tcW w:w="4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2016</w:t>
            </w:r>
          </w:p>
        </w:tc>
      </w:tr>
      <w:tr>
        <w:trPr>
          <w:trHeight w:val="33"/>
        </w:trPr>
        <w:tc>
          <w:tcPr>
            <w:tcW w:w="6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6"/>
                <w:szCs w:val="16"/>
                <w:color w:val="auto"/>
              </w:rPr>
              <w:t>Credit facilities</w:t>
            </w:r>
          </w:p>
        </w:tc>
        <w:tc>
          <w:tcPr>
            <w:tcW w:w="4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33"/>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4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(122,497)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(97,167)</w:t>
            </w:r>
          </w:p>
        </w:tc>
      </w:tr>
      <w:tr>
        <w:trPr>
          <w:trHeight w:val="33"/>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4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(46,103)</w:t>
            </w:r>
          </w:p>
        </w:tc>
      </w:tr>
      <w:tr>
        <w:trPr>
          <w:trHeight w:val="270"/>
        </w:trPr>
        <w:tc>
          <w:tcPr>
            <w:tcW w:w="6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348,780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356,730</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Net available for additional standby LOCs under sub-facility</w:t>
            </w:r>
          </w:p>
        </w:tc>
        <w:tc>
          <w:tcPr>
            <w:tcW w:w="40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221,277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203,897</w:t>
            </w:r>
          </w:p>
        </w:tc>
      </w:tr>
      <w:tr>
        <w:trPr>
          <w:trHeight w:val="33"/>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4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lines of credit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106,113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91,809</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4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(22,838)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(21,734)</w:t>
            </w:r>
          </w:p>
        </w:tc>
      </w:tr>
      <w:tr>
        <w:trPr>
          <w:trHeight w:val="33"/>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4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82,181</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70,006</w:t>
            </w:r>
          </w:p>
        </w:tc>
      </w:tr>
      <w:tr>
        <w:trPr>
          <w:trHeight w:val="73"/>
        </w:trPr>
        <w:tc>
          <w:tcPr>
            <w:tcW w:w="674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r>
        <w:trPr>
          <w:trHeight w:val="251"/>
        </w:trPr>
        <w:tc>
          <w:tcPr>
            <w:tcW w:w="67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48,879</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48,221</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1) the customer promptly notifies us in writing of the claim and 2)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recognized and charged to operating expense when we determine that a loss is probable and the amount can be reasonably estimated. Additionally, we disclose contingencies for which a material loss is reasonably possible, but not probable.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41,536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50,742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54,512</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New product warranties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1,568</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1,501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3,905</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adjustments and expirations</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2,035</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Claims activity</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(4,248)</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(7,613)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(10,599)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(15,003)</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735</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39,810</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45,457</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39,810</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45,457</w:t>
            </w: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 of warranty</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25,584</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26,825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25,584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26,825</w:t>
            </w:r>
          </w:p>
        </w:tc>
      </w:tr>
      <w:tr>
        <w:trPr>
          <w:trHeight w:val="244"/>
        </w:trPr>
        <w:tc>
          <w:tcPr>
            <w:tcW w:w="4240" w:type="dxa"/>
            <w:vAlign w:val="bottom"/>
          </w:tcPr>
          <w:p>
            <w:pPr>
              <w:ind w:left="380"/>
              <w:spacing w:after="0"/>
              <w:rPr>
                <w:sz w:val="20"/>
                <w:szCs w:val="20"/>
                <w:color w:val="auto"/>
              </w:rPr>
            </w:pPr>
            <w:r>
              <w:rPr>
                <w:rFonts w:ascii="Arial" w:cs="Arial" w:eastAsia="Arial" w:hAnsi="Arial"/>
                <w:sz w:val="16"/>
                <w:szCs w:val="16"/>
                <w:color w:val="auto"/>
              </w:rPr>
              <w:t>Long-term warranty</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14,226</w:t>
            </w:r>
          </w:p>
        </w:tc>
        <w:tc>
          <w:tcPr>
            <w:tcW w:w="12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18,632</w:t>
            </w:r>
          </w:p>
        </w:tc>
        <w:tc>
          <w:tcPr>
            <w:tcW w:w="1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14,226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18,632</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extended warranty contracts, insurance recoveries, and other changes and adjustments to warranties. Warranty expense was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warranty expense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(6,213)</w:t>
            </w:r>
          </w:p>
        </w:tc>
        <w:tc>
          <w:tcPr>
            <w:tcW w:w="12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2,502</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(2,170)</w:t>
            </w:r>
          </w:p>
        </w:tc>
        <w:tc>
          <w:tcPr>
            <w:tcW w:w="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5,940</w:t>
            </w:r>
          </w:p>
        </w:tc>
      </w:tr>
      <w:tr>
        <w:trPr>
          <w:trHeight w:val="33"/>
        </w:trPr>
        <w:tc>
          <w:tcPr>
            <w:tcW w:w="4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Warranty expense decreased during the three and six months ended June 30, 2017 compared with the same periods in 2016 primarily due to an insurance recovery in our Water segment of $8.0 million. This recovery is associated with warranty costs previously recognized as a result of our 2015 product replacement notification to customers who had purchased certain communication modules.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Unearned Revenue Related to Extended 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30,898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33,498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31,549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33,654</w:t>
            </w:r>
          </w:p>
        </w:tc>
        <w:tc>
          <w:tcPr>
            <w:tcW w:w="0" w:type="dxa"/>
            <w:vAlign w:val="bottom"/>
          </w:tcPr>
          <w:p>
            <w:pPr>
              <w:spacing w:after="0"/>
              <w:rPr>
                <w:sz w:val="1"/>
                <w:szCs w:val="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Unearned revenue for new extended warranties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 recognized</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(1,735)</w:t>
            </w:r>
          </w:p>
        </w:tc>
        <w:tc>
          <w:tcPr>
            <w:tcW w:w="0" w:type="dxa"/>
            <w:vAlign w:val="bottom"/>
          </w:tcPr>
          <w:p>
            <w:pPr>
              <w:spacing w:after="0"/>
              <w:rPr>
                <w:sz w:val="1"/>
                <w:szCs w:val="1"/>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0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30,271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33,068</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30,271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33,068</w:t>
            </w:r>
          </w:p>
        </w:tc>
        <w:tc>
          <w:tcPr>
            <w:tcW w:w="0" w:type="dxa"/>
            <w:vAlign w:val="bottom"/>
          </w:tcPr>
          <w:p>
            <w:pPr>
              <w:spacing w:after="0"/>
              <w:rPr>
                <w:sz w:val="1"/>
                <w:szCs w:val="1"/>
                <w:color w:val="auto"/>
              </w:rPr>
            </w:pPr>
          </w:p>
        </w:tc>
      </w:tr>
      <w:tr>
        <w:trPr>
          <w:trHeight w:val="220"/>
        </w:trPr>
        <w:tc>
          <w:tcPr>
            <w:tcW w:w="4240" w:type="dxa"/>
            <w:vAlign w:val="bottom"/>
          </w:tcPr>
          <w:p>
            <w:pPr>
              <w:ind w:left="40"/>
              <w:spacing w:after="0"/>
              <w:rPr>
                <w:sz w:val="20"/>
                <w:szCs w:val="20"/>
                <w:color w:val="auto"/>
              </w:rPr>
            </w:pPr>
            <w:r>
              <w:rPr>
                <w:rFonts w:ascii="Arial" w:cs="Arial" w:eastAsia="Arial" w:hAnsi="Arial"/>
                <w:sz w:val="16"/>
                <w:szCs w:val="16"/>
                <w:color w:val="auto"/>
              </w:rPr>
              <w:t>Less: current portion of unearned revenue for extended</w:t>
            </w: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240" w:type="dxa"/>
            <w:vAlign w:val="bottom"/>
          </w:tcPr>
          <w:p>
            <w:pPr>
              <w:ind w:left="200"/>
              <w:spacing w:after="0"/>
              <w:rPr>
                <w:sz w:val="20"/>
                <w:szCs w:val="20"/>
                <w:color w:val="auto"/>
              </w:rPr>
            </w:pPr>
            <w:r>
              <w:rPr>
                <w:rFonts w:ascii="Arial" w:cs="Arial" w:eastAsia="Arial" w:hAnsi="Arial"/>
                <w:sz w:val="16"/>
                <w:szCs w:val="16"/>
                <w:color w:val="auto"/>
              </w:rPr>
              <w:t>warranty</w:t>
            </w:r>
          </w:p>
        </w:tc>
        <w:tc>
          <w:tcPr>
            <w:tcW w:w="10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4,325</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3,951</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4,325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3,951</w:t>
            </w:r>
          </w:p>
        </w:tc>
        <w:tc>
          <w:tcPr>
            <w:tcW w:w="0" w:type="dxa"/>
            <w:vAlign w:val="bottom"/>
          </w:tcPr>
          <w:p>
            <w:pPr>
              <w:spacing w:after="0"/>
              <w:rPr>
                <w:sz w:val="1"/>
                <w:szCs w:val="1"/>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2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3"/>
              </w:rPr>
              <w:t>Long-term unearned revenue for extended warranty within</w:t>
            </w:r>
          </w:p>
        </w:tc>
        <w:tc>
          <w:tcPr>
            <w:tcW w:w="1080" w:type="dxa"/>
            <w:vAlign w:val="bottom"/>
            <w:vMerge w:val="restart"/>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25,946</w:t>
            </w:r>
          </w:p>
        </w:tc>
        <w:tc>
          <w:tcPr>
            <w:tcW w:w="12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29,117</w:t>
            </w:r>
          </w:p>
        </w:tc>
        <w:tc>
          <w:tcPr>
            <w:tcW w:w="1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25,946</w:t>
            </w:r>
          </w:p>
        </w:tc>
        <w:tc>
          <w:tcPr>
            <w:tcW w:w="12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29,117</w:t>
            </w:r>
          </w:p>
        </w:tc>
        <w:tc>
          <w:tcPr>
            <w:tcW w:w="0" w:type="dxa"/>
            <w:vAlign w:val="bottom"/>
          </w:tcPr>
          <w:p>
            <w:pPr>
              <w:spacing w:after="0"/>
              <w:rPr>
                <w:sz w:val="1"/>
                <w:szCs w:val="1"/>
                <w:color w:val="auto"/>
              </w:rPr>
            </w:pPr>
          </w:p>
        </w:tc>
      </w:tr>
      <w:tr>
        <w:trPr>
          <w:trHeight w:val="219"/>
        </w:trPr>
        <w:tc>
          <w:tcPr>
            <w:tcW w:w="42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other long-term obligations</w:t>
            </w: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 insured for a substantial portion of the cost of our U.S. employee group health insurance. We purchase insurance from a third party, which provides individual and aggregate stop-loss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6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gridSpan w:val="3"/>
          </w:tcPr>
          <w:p>
            <w:pPr>
              <w:ind w:left="120"/>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6,742</w:t>
            </w:r>
          </w:p>
        </w:tc>
        <w:tc>
          <w:tcPr>
            <w:tcW w:w="12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6,859</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15,496</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13,633</w:t>
            </w:r>
          </w:p>
        </w:tc>
      </w:tr>
      <w:tr>
        <w:trPr>
          <w:trHeight w:val="33"/>
        </w:trPr>
        <w:tc>
          <w:tcPr>
            <w:tcW w:w="4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IBNR accrual, which is included in wages and benefits payable,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June 30, 2017</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2016</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IBNR accrual</w:t>
            </w:r>
          </w:p>
        </w:tc>
        <w:tc>
          <w:tcPr>
            <w:tcW w:w="1720" w:type="dxa"/>
            <w:vAlign w:val="bottom"/>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2,650</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2,441</w:t>
            </w:r>
          </w:p>
        </w:tc>
      </w:tr>
      <w:tr>
        <w:trPr>
          <w:trHeight w:val="33"/>
        </w:trPr>
        <w:tc>
          <w:tcPr>
            <w:tcW w:w="67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2016 Projects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On September 1, 2016, we announced projects (2016 Projects) to restructure various company activities in order to improve operational efficiencies, reduce expenses and improve competiveness. We expect to close or consolidate several facilities and reduce our global workforce as a result of the restructuring.</w:t>
      </w:r>
    </w:p>
    <w:p>
      <w:pPr>
        <w:spacing w:after="0" w:line="13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2016 Projects began during the three months ended September 30, 2016, and we expect to substantially complete the 2016 Projects by the end of 2018. Many of the affected employees are represented by unions or works councils, which require consultation, and potential restructuring projects may be subject to regulatory approval, both of which could impact the timing of charges, total expected charges, cost recognized, and planned savings in certain jurisdictions.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expected restructuring costs, the restructuring costs recognized during the six months ended June 30, 2017, and the remaining expected restructuring costs as of June 30, 2017 related to the 2016 Projects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Costs Recognized During</w:t>
            </w:r>
          </w:p>
        </w:tc>
        <w:tc>
          <w:tcPr>
            <w:tcW w:w="20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Expected Remaining Costs</w:t>
            </w:r>
          </w:p>
        </w:tc>
      </w:tr>
      <w:tr>
        <w:trPr>
          <w:trHeight w:val="203"/>
        </w:trPr>
        <w:tc>
          <w:tcPr>
            <w:tcW w:w="2880" w:type="dxa"/>
            <w:vAlign w:val="bottom"/>
          </w:tcPr>
          <w:p>
            <w:pPr>
              <w:spacing w:after="0"/>
              <w:rPr>
                <w:sz w:val="17"/>
                <w:szCs w:val="17"/>
                <w:color w:val="auto"/>
              </w:rPr>
            </w:pPr>
          </w:p>
        </w:tc>
        <w:tc>
          <w:tcPr>
            <w:tcW w:w="220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Total Expected Costs at June</w:t>
            </w:r>
          </w:p>
        </w:tc>
        <w:tc>
          <w:tcPr>
            <w:tcW w:w="120" w:type="dxa"/>
            <w:vAlign w:val="bottom"/>
          </w:tcPr>
          <w:p>
            <w:pPr>
              <w:spacing w:after="0"/>
              <w:rPr>
                <w:sz w:val="17"/>
                <w:szCs w:val="17"/>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the Six Months Ended</w:t>
            </w:r>
          </w:p>
        </w:tc>
        <w:tc>
          <w:tcPr>
            <w:tcW w:w="220" w:type="dxa"/>
            <w:vAlign w:val="bottom"/>
          </w:tcPr>
          <w:p>
            <w:pPr>
              <w:spacing w:after="0"/>
              <w:rPr>
                <w:sz w:val="17"/>
                <w:szCs w:val="17"/>
                <w:color w:val="auto"/>
              </w:rPr>
            </w:pPr>
          </w:p>
        </w:tc>
        <w:tc>
          <w:tcPr>
            <w:tcW w:w="182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to be Recognized at</w:t>
            </w:r>
          </w:p>
        </w:tc>
      </w:tr>
      <w:tr>
        <w:trPr>
          <w:trHeight w:val="210"/>
        </w:trPr>
        <w:tc>
          <w:tcPr>
            <w:tcW w:w="2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jc w:val="right"/>
              <w:ind w:right="679"/>
              <w:spacing w:after="0"/>
              <w:rPr>
                <w:sz w:val="20"/>
                <w:szCs w:val="20"/>
                <w:color w:val="auto"/>
              </w:rPr>
            </w:pPr>
            <w:r>
              <w:rPr>
                <w:rFonts w:ascii="Arial" w:cs="Arial" w:eastAsia="Arial" w:hAnsi="Arial"/>
                <w:sz w:val="16"/>
                <w:szCs w:val="16"/>
                <w:b w:val="1"/>
                <w:bCs w:val="1"/>
                <w:color w:val="auto"/>
              </w:rPr>
              <w:t>30, 2017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2017</w:t>
            </w:r>
          </w:p>
        </w:tc>
        <w:tc>
          <w:tcPr>
            <w:tcW w:w="220" w:type="dxa"/>
            <w:vAlign w:val="bottom"/>
          </w:tcPr>
          <w:p>
            <w:pPr>
              <w:spacing w:after="0"/>
              <w:rPr>
                <w:sz w:val="18"/>
                <w:szCs w:val="18"/>
                <w:color w:val="auto"/>
              </w:rPr>
            </w:pPr>
          </w:p>
        </w:tc>
        <w:tc>
          <w:tcPr>
            <w:tcW w:w="182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June 30, 2017</w:t>
            </w:r>
          </w:p>
        </w:tc>
      </w:tr>
      <w:tr>
        <w:trPr>
          <w:trHeight w:val="33"/>
        </w:trPr>
        <w:tc>
          <w:tcPr>
            <w:tcW w:w="28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2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5"/>
          </w:tcPr>
          <w:p>
            <w:pPr>
              <w:ind w:left="146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45,193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Asset impairments &amp; net loss on sale or</w:t>
            </w: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06"/>
        </w:trPr>
        <w:tc>
          <w:tcPr>
            <w:tcW w:w="2880" w:type="dxa"/>
            <w:vAlign w:val="bottom"/>
          </w:tcPr>
          <w:p>
            <w:pPr>
              <w:ind w:left="200"/>
              <w:spacing w:after="0"/>
              <w:rPr>
                <w:sz w:val="20"/>
                <w:szCs w:val="20"/>
                <w:color w:val="auto"/>
              </w:rPr>
            </w:pPr>
            <w:r>
              <w:rPr>
                <w:rFonts w:ascii="Arial" w:cs="Arial" w:eastAsia="Arial" w:hAnsi="Arial"/>
                <w:sz w:val="16"/>
                <w:szCs w:val="16"/>
                <w:color w:val="auto"/>
              </w:rPr>
              <w:t>disposal</w:t>
            </w:r>
          </w:p>
        </w:tc>
        <w:tc>
          <w:tcPr>
            <w:tcW w:w="420" w:type="dxa"/>
            <w:vAlign w:val="bottom"/>
          </w:tcPr>
          <w:p>
            <w:pPr>
              <w:spacing w:after="0"/>
              <w:rPr>
                <w:sz w:val="17"/>
                <w:szCs w:val="17"/>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7,299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7,219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restructuring costs</w:t>
            </w:r>
          </w:p>
        </w:tc>
        <w:tc>
          <w:tcPr>
            <w:tcW w:w="4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15,397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12,000</w:t>
            </w:r>
          </w:p>
        </w:tc>
      </w:tr>
      <w:tr>
        <w:trPr>
          <w:trHeight w:val="284"/>
        </w:trPr>
        <w:tc>
          <w:tcPr>
            <w:tcW w:w="28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Total</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67,889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47,794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8,095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12,000</w:t>
            </w:r>
          </w:p>
        </w:tc>
      </w:tr>
      <w:tr>
        <w:trPr>
          <w:trHeight w:val="257"/>
        </w:trPr>
        <w:tc>
          <w:tcPr>
            <w:tcW w:w="28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i w:val="1"/>
                <w:iCs w:val="1"/>
                <w:color w:val="auto"/>
              </w:rPr>
              <w:t>Segments:</w:t>
            </w:r>
          </w:p>
        </w:tc>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Electricity</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r>
      <w:tr>
        <w:trPr>
          <w:trHeight w:val="237"/>
        </w:trPr>
        <w:tc>
          <w:tcPr>
            <w:tcW w:w="2880" w:type="dxa"/>
            <w:vAlign w:val="bottom"/>
          </w:tcPr>
          <w:p>
            <w:pPr>
              <w:ind w:left="200"/>
              <w:spacing w:after="0"/>
              <w:rPr>
                <w:sz w:val="20"/>
                <w:szCs w:val="20"/>
                <w:color w:val="auto"/>
              </w:rPr>
            </w:pPr>
            <w:r>
              <w:rPr>
                <w:rFonts w:ascii="Arial" w:cs="Arial" w:eastAsia="Arial" w:hAnsi="Arial"/>
                <w:sz w:val="16"/>
                <w:szCs w:val="16"/>
                <w:color w:val="auto"/>
              </w:rPr>
              <w:t>Gas</w:t>
            </w:r>
          </w:p>
        </w:tc>
        <w:tc>
          <w:tcPr>
            <w:tcW w:w="420" w:type="dxa"/>
            <w:vAlign w:val="bottom"/>
          </w:tcPr>
          <w:p>
            <w:pPr>
              <w:spacing w:after="0"/>
              <w:rPr>
                <w:sz w:val="20"/>
                <w:szCs w:val="20"/>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32,891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23,968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5,423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3,500</w:t>
            </w:r>
          </w:p>
        </w:tc>
      </w:tr>
      <w:tr>
        <w:trPr>
          <w:trHeight w:val="33"/>
        </w:trPr>
        <w:tc>
          <w:tcPr>
            <w:tcW w:w="2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Water</w:t>
            </w:r>
          </w:p>
        </w:tc>
        <w:tc>
          <w:tcPr>
            <w:tcW w:w="4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21,074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r>
      <w:tr>
        <w:trPr>
          <w:trHeight w:val="237"/>
        </w:trPr>
        <w:tc>
          <w:tcPr>
            <w:tcW w:w="2880" w:type="dxa"/>
            <w:vAlign w:val="bottom"/>
          </w:tcPr>
          <w:p>
            <w:pPr>
              <w:ind w:left="200"/>
              <w:spacing w:after="0"/>
              <w:rPr>
                <w:sz w:val="20"/>
                <w:szCs w:val="20"/>
                <w:color w:val="auto"/>
              </w:rPr>
            </w:pPr>
            <w:r>
              <w:rPr>
                <w:rFonts w:ascii="Arial" w:cs="Arial" w:eastAsia="Arial" w:hAnsi="Arial"/>
                <w:sz w:val="16"/>
                <w:szCs w:val="16"/>
                <w:color w:val="auto"/>
              </w:rPr>
              <w:t>Corporate unallocated</w:t>
            </w:r>
          </w:p>
        </w:tc>
        <w:tc>
          <w:tcPr>
            <w:tcW w:w="420" w:type="dxa"/>
            <w:vAlign w:val="bottom"/>
          </w:tcPr>
          <w:p>
            <w:pPr>
              <w:spacing w:after="0"/>
              <w:rPr>
                <w:sz w:val="20"/>
                <w:szCs w:val="20"/>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color w:val="auto"/>
              </w:rPr>
              <w:t>2,767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1,938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33"/>
        </w:trPr>
        <w:tc>
          <w:tcPr>
            <w:tcW w:w="2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67,889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47,794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12,000</w:t>
            </w:r>
          </w:p>
        </w:tc>
      </w:tr>
      <w:tr>
        <w:trPr>
          <w:trHeight w:val="20"/>
        </w:trPr>
        <w:tc>
          <w:tcPr>
            <w:tcW w:w="2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2014 Projects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2014, our management approved restructuring projects (2014 Projects) to restructure our Electricity business and related general and administrative activities, along with certain Gas and Water activities, to improve operational efficiencies and reduce expenses. We began implementing these projects in the fourth quarter of 2014, and substantially completed them in the third quarter of 2016. Project activities will continue through the fourth quarter of 2017; however, no further costs are expected to be recognized related to the 2014 Projects.</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2014 Projects resulted in $48.5 million of restructuring expense, which was recognized from the fourth quarter of 2014 through the third quarter of 2016.</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activity within the restructuring related balance sheet accounts for the 2016 and 2014 Projects during the six months ended June 30, 2017:</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Accrued Employee</w:t>
            </w:r>
          </w:p>
        </w:tc>
        <w:tc>
          <w:tcPr>
            <w:tcW w:w="12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Asset Impairments &amp; Net</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0"/>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Severance</w:t>
            </w:r>
          </w:p>
        </w:tc>
        <w:tc>
          <w:tcPr>
            <w:tcW w:w="120" w:type="dxa"/>
            <w:vAlign w:val="bottom"/>
          </w:tcPr>
          <w:p>
            <w:pPr>
              <w:spacing w:after="0"/>
              <w:rPr>
                <w:sz w:val="18"/>
                <w:szCs w:val="18"/>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Loss on Sale or Disposal</w:t>
            </w:r>
          </w:p>
        </w:tc>
        <w:tc>
          <w:tcPr>
            <w:tcW w:w="1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 Accrued Costs</w:t>
            </w:r>
          </w:p>
        </w:tc>
        <w:tc>
          <w:tcPr>
            <w:tcW w:w="480" w:type="dxa"/>
            <w:vAlign w:val="bottom"/>
          </w:tcPr>
          <w:p>
            <w:pPr>
              <w:spacing w:after="0"/>
              <w:rPr>
                <w:sz w:val="18"/>
                <w:szCs w:val="18"/>
                <w:color w:val="auto"/>
              </w:rPr>
            </w:pPr>
          </w:p>
        </w:tc>
        <w:tc>
          <w:tcPr>
            <w:tcW w:w="1560" w:type="dxa"/>
            <w:vAlign w:val="bottom"/>
          </w:tcPr>
          <w:p>
            <w:pPr>
              <w:jc w:val="right"/>
              <w:ind w:right="759"/>
              <w:spacing w:after="0"/>
              <w:rPr>
                <w:sz w:val="20"/>
                <w:szCs w:val="20"/>
                <w:color w:val="auto"/>
              </w:rPr>
            </w:pPr>
            <w:r>
              <w:rPr>
                <w:rFonts w:ascii="Arial" w:cs="Arial" w:eastAsia="Arial" w:hAnsi="Arial"/>
                <w:sz w:val="16"/>
                <w:szCs w:val="16"/>
                <w:b w:val="1"/>
                <w:bCs w:val="1"/>
                <w:color w:val="auto"/>
              </w:rPr>
              <w:t>Total</w:t>
            </w:r>
          </w:p>
        </w:tc>
      </w:tr>
      <w:tr>
        <w:trPr>
          <w:trHeight w:val="33"/>
        </w:trPr>
        <w:tc>
          <w:tcPr>
            <w:tcW w:w="3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5"/>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7"/>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80" w:type="dxa"/>
            <w:vAlign w:val="bottom"/>
            <w:gridSpan w:val="5"/>
          </w:tcPr>
          <w:p>
            <w:pPr>
              <w:ind w:left="1480"/>
              <w:spacing w:after="0"/>
              <w:rPr>
                <w:sz w:val="20"/>
                <w:szCs w:val="20"/>
                <w:color w:val="auto"/>
              </w:rPr>
            </w:pPr>
            <w:r>
              <w:rPr>
                <w:rFonts w:ascii="Arial" w:cs="Arial" w:eastAsia="Arial" w:hAnsi="Arial"/>
                <w:sz w:val="16"/>
                <w:szCs w:val="16"/>
                <w:b w:val="1"/>
                <w:bCs w:val="1"/>
                <w:color w:val="auto"/>
              </w:rPr>
              <w:t>(in thousands)</w:t>
            </w:r>
          </w:p>
        </w:tc>
        <w:tc>
          <w:tcPr>
            <w:tcW w:w="4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January 1, 2017</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47,970</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Costs charged to expense</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5,507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2,508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8,095</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Cash payments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(9,605)</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Non-cash items</w:t>
            </w:r>
          </w:p>
        </w:tc>
        <w:tc>
          <w:tcPr>
            <w:tcW w:w="220" w:type="dxa"/>
            <w:vAlign w:val="bottom"/>
          </w:tcPr>
          <w:p>
            <w:pPr>
              <w:spacing w:after="0"/>
              <w:rPr>
                <w:sz w:val="20"/>
                <w:szCs w:val="20"/>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Effect of change in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2,967</w:t>
            </w:r>
          </w:p>
        </w:tc>
      </w:tr>
      <w:tr>
        <w:trPr>
          <w:trHeight w:val="244"/>
        </w:trPr>
        <w:tc>
          <w:tcPr>
            <w:tcW w:w="3100" w:type="dxa"/>
            <w:vAlign w:val="bottom"/>
          </w:tcPr>
          <w:p>
            <w:pPr>
              <w:ind w:left="40"/>
              <w:spacing w:after="0"/>
              <w:rPr>
                <w:sz w:val="20"/>
                <w:szCs w:val="20"/>
                <w:color w:val="auto"/>
              </w:rPr>
            </w:pPr>
            <w:r>
              <w:rPr>
                <w:rFonts w:ascii="Arial" w:cs="Arial" w:eastAsia="Arial" w:hAnsi="Arial"/>
                <w:sz w:val="16"/>
                <w:szCs w:val="16"/>
                <w:color w:val="auto"/>
              </w:rPr>
              <w:t>Ending balance, June 30, 2017</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46,563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2,784</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49,347</w:t>
            </w:r>
          </w:p>
        </w:tc>
      </w:tr>
      <w:tr>
        <w:trPr>
          <w:trHeight w:val="20"/>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restructuring liabilities were $35.7 million and $26.2 million as of June 30, 2017 and December 31, 2016. The current restructuring liabilities are classified within other current liabilities on the Consolidated Balance Sheets. The long-term restructuring liabilities balances were $13.6 million and $21.8 million as of June 30, 2017 and December 31, 2016. The long-term restructuring liabilities are classified within other long-term obligations on the Consolidated Balance Sheets, and include facility exit costs and severance accruals.</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Shareholders'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would be entitled to be paid a preferential amount per share to be determined by the Board of Directors prior to any payment to holders of common stock. There was no preferred stock issued or outstanding at June 30, 2017 and December 31, 2016.</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 Authorization</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On February 23, 2017, Itron's Board of Directors authorized the Company to repurchase up to $50 million of our common stock over a 12-month period, beginning February 23, 2017. We did not repurchase any shares of common stock during the three and six months ended June 30, 2017.</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before-tax amount, income tax (provision) benefit, and net-of-tax amount related to each component of OCI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740" w:type="dxa"/>
            <w:vAlign w:val="bottom"/>
            <w:gridSpan w:val="4"/>
          </w:tcPr>
          <w:p>
            <w:pPr>
              <w:ind w:left="640"/>
              <w:spacing w:after="0"/>
              <w:rPr>
                <w:sz w:val="20"/>
                <w:szCs w:val="20"/>
                <w:color w:val="auto"/>
              </w:rPr>
            </w:pPr>
            <w:r>
              <w:rPr>
                <w:rFonts w:ascii="Arial" w:cs="Arial" w:eastAsia="Arial" w:hAnsi="Arial"/>
                <w:sz w:val="16"/>
                <w:szCs w:val="16"/>
                <w:b w:val="1"/>
                <w:bCs w:val="1"/>
                <w:color w:val="auto"/>
                <w:w w:val="91"/>
              </w:rPr>
              <w:t>Three Months Ended June 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w w:val="98"/>
              </w:rPr>
              <w:t>Six Months Ended June 30,</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00" w:type="dxa"/>
            <w:vAlign w:val="bottom"/>
          </w:tcPr>
          <w:p>
            <w:pPr>
              <w:ind w:left="640"/>
              <w:spacing w:after="0"/>
              <w:rPr>
                <w:sz w:val="20"/>
                <w:szCs w:val="20"/>
                <w:color w:val="auto"/>
              </w:rPr>
            </w:pPr>
            <w:r>
              <w:rPr>
                <w:rFonts w:ascii="Arial" w:cs="Arial" w:eastAsia="Arial" w:hAnsi="Arial"/>
                <w:sz w:val="16"/>
                <w:szCs w:val="16"/>
                <w:b w:val="1"/>
                <w:bCs w:val="1"/>
                <w:color w:val="auto"/>
                <w:w w:val="95"/>
              </w:rPr>
              <w:t>2017</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2016</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9"/>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20,520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3,728</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w w:val="93"/>
              </w:rPr>
              <w:t>Foreign currency translation adjustment reclassified into net income</w:t>
            </w:r>
          </w:p>
        </w:tc>
        <w:tc>
          <w:tcPr>
            <w:tcW w:w="10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(1,407)</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10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(2,128)</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(6,641)</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Net hedging loss reclassified into net income</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566</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defined benefit plan gain (loss) reclassified to net income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20,563</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7"/>
              </w:rPr>
              <w:t>(10,325)</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36,510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(4,549)</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w w:val="93"/>
              </w:rPr>
              <w:t>Foreign currency translation adjustment reclassified into net income</w:t>
            </w:r>
          </w:p>
        </w:tc>
        <w:tc>
          <w:tcPr>
            <w:tcW w:w="10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10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2,561</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Net hedging loss reclassified into net income</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defined benefit plan gain (loss) reclassified to net income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tax benefit</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1,934</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Net-of-tax amount</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20,447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3,133</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w w:val="93"/>
              </w:rPr>
              <w:t>Foreign currency translation adjustment reclassified into net income</w:t>
            </w:r>
          </w:p>
        </w:tc>
        <w:tc>
          <w:tcPr>
            <w:tcW w:w="10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(1,407)</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0"/>
        </w:trPr>
        <w:tc>
          <w:tcPr>
            <w:tcW w:w="4700" w:type="dxa"/>
            <w:vAlign w:val="bottom"/>
            <w:shd w:val="clear" w:color="auto" w:fill="CCEEFF"/>
          </w:tcPr>
          <w:p>
            <w:pPr>
              <w:ind w:left="200"/>
              <w:spacing w:after="0"/>
              <w:rPr>
                <w:sz w:val="20"/>
                <w:szCs w:val="20"/>
                <w:color w:val="auto"/>
              </w:rPr>
            </w:pPr>
            <w:r>
              <w:rPr>
                <w:rFonts w:ascii="Arial" w:cs="Arial" w:eastAsia="Arial" w:hAnsi="Arial"/>
                <w:sz w:val="16"/>
                <w:szCs w:val="16"/>
                <w:color w:val="auto"/>
                <w:w w:val="95"/>
              </w:rPr>
              <w:t>Net unrealized gain (loss) on derivative instruments designated as</w:t>
            </w:r>
          </w:p>
        </w:tc>
        <w:tc>
          <w:tcPr>
            <w:tcW w:w="10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9"/>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10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(4,080)</w:t>
            </w:r>
          </w:p>
        </w:tc>
      </w:tr>
      <w:tr>
        <w:trPr>
          <w:trHeight w:val="237"/>
        </w:trPr>
        <w:tc>
          <w:tcPr>
            <w:tcW w:w="4700" w:type="dxa"/>
            <w:vAlign w:val="bottom"/>
          </w:tcPr>
          <w:p>
            <w:pPr>
              <w:ind w:left="200"/>
              <w:spacing w:after="0"/>
              <w:rPr>
                <w:sz w:val="20"/>
                <w:szCs w:val="20"/>
                <w:color w:val="auto"/>
              </w:rPr>
            </w:pPr>
            <w:r>
              <w:rPr>
                <w:rFonts w:ascii="Arial" w:cs="Arial" w:eastAsia="Arial" w:hAnsi="Arial"/>
                <w:sz w:val="16"/>
                <w:szCs w:val="16"/>
                <w:color w:val="auto"/>
              </w:rPr>
              <w:t>Net hedging loss reclassified into net income</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348</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defined benefit plan gain (loss) reclassified to net income</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w:t>
            </w:r>
          </w:p>
        </w:tc>
      </w:tr>
      <w:tr>
        <w:trPr>
          <w:trHeight w:val="24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8"/>
              </w:rPr>
              <w:t>20,409</w:t>
            </w:r>
          </w:p>
        </w:tc>
        <w:tc>
          <w:tcPr>
            <w:tcW w:w="12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(9,797)</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36,118</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(2,615)</w:t>
            </w: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net of tax,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Foreign Currency</w:t>
            </w:r>
          </w:p>
        </w:tc>
        <w:tc>
          <w:tcPr>
            <w:tcW w:w="162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Unrealized Gain</w:t>
            </w:r>
          </w:p>
        </w:tc>
        <w:tc>
          <w:tcPr>
            <w:tcW w:w="16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(Loss) on</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Pension Benefit</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Translation</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(Loss) on Derivative</w:t>
            </w:r>
          </w:p>
        </w:tc>
        <w:tc>
          <w:tcPr>
            <w:tcW w:w="16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Nonderivative</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Obligation</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6"/>
                <w:szCs w:val="16"/>
                <w:b w:val="1"/>
                <w:bCs w:val="1"/>
                <w:color w:val="auto"/>
              </w:rPr>
              <w:t>Instruments</w:t>
            </w: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Adjustments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(158,009)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(200,607)</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3,133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(4,080)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(1,034)</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(1,581)</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1,726</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(3,732)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(2,615)</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June 30,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(156,283)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(203,222)</w:t>
            </w:r>
          </w:p>
        </w:tc>
      </w:tr>
      <w:tr>
        <w:trPr>
          <w:trHeight w:val="20"/>
        </w:trPr>
        <w:tc>
          <w:tcPr>
            <w:tcW w:w="3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January 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(182,986)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(32,004)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(229,327)</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35,463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35,133</w:t>
            </w: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reclassified from AOCI</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985</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Total other comprehensive income (loss)</w:t>
            </w: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35,463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36,118</w:t>
            </w: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at June 30,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(147,523)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(193,209)</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fair values of our financial instruments: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June 30, 2017</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 2016</w:t>
            </w:r>
          </w:p>
        </w:tc>
        <w:tc>
          <w:tcPr>
            <w:tcW w:w="10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560" w:type="dxa"/>
            <w:vAlign w:val="bottom"/>
          </w:tcPr>
          <w:p>
            <w:pPr>
              <w:spacing w:after="0"/>
              <w:rPr>
                <w:sz w:val="18"/>
                <w:szCs w:val="18"/>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rPr>
              <w:t>Fair</w:t>
            </w:r>
          </w:p>
        </w:tc>
        <w:tc>
          <w:tcPr>
            <w:tcW w:w="480" w:type="dxa"/>
            <w:vAlign w:val="bottom"/>
          </w:tcPr>
          <w:p>
            <w:pPr>
              <w:spacing w:after="0"/>
              <w:rPr>
                <w:sz w:val="18"/>
                <w:szCs w:val="18"/>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7"/>
              </w:rPr>
              <w:t>Carrying</w:t>
            </w:r>
          </w:p>
        </w:tc>
        <w:tc>
          <w:tcPr>
            <w:tcW w:w="620" w:type="dxa"/>
            <w:vAlign w:val="bottom"/>
          </w:tcPr>
          <w:p>
            <w:pPr>
              <w:spacing w:after="0"/>
              <w:rPr>
                <w:sz w:val="18"/>
                <w:szCs w:val="18"/>
                <w:color w:val="auto"/>
              </w:rPr>
            </w:pPr>
          </w:p>
        </w:tc>
        <w:tc>
          <w:tcPr>
            <w:tcW w:w="1060" w:type="dxa"/>
            <w:vAlign w:val="bottom"/>
          </w:tcPr>
          <w:p>
            <w:pPr>
              <w:jc w:val="right"/>
              <w:ind w:right="619"/>
              <w:spacing w:after="0"/>
              <w:rPr>
                <w:sz w:val="20"/>
                <w:szCs w:val="20"/>
                <w:color w:val="auto"/>
              </w:rPr>
            </w:pPr>
            <w:r>
              <w:rPr>
                <w:rFonts w:ascii="Arial" w:cs="Arial" w:eastAsia="Arial" w:hAnsi="Arial"/>
                <w:sz w:val="16"/>
                <w:szCs w:val="16"/>
                <w:b w:val="1"/>
                <w:bCs w:val="1"/>
                <w:color w:val="auto"/>
              </w:rPr>
              <w:t>Fair</w:t>
            </w:r>
          </w:p>
        </w:tc>
      </w:tr>
      <w:tr>
        <w:trPr>
          <w:trHeight w:val="210"/>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560" w:type="dxa"/>
            <w:vAlign w:val="bottom"/>
          </w:tcPr>
          <w:p>
            <w:pPr>
              <w:spacing w:after="0"/>
              <w:rPr>
                <w:sz w:val="18"/>
                <w:szCs w:val="18"/>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w w:val="88"/>
              </w:rPr>
              <w:t>Value</w:t>
            </w:r>
          </w:p>
        </w:tc>
        <w:tc>
          <w:tcPr>
            <w:tcW w:w="480" w:type="dxa"/>
            <w:vAlign w:val="bottom"/>
          </w:tcPr>
          <w:p>
            <w:pPr>
              <w:spacing w:after="0"/>
              <w:rPr>
                <w:sz w:val="18"/>
                <w:szCs w:val="18"/>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2"/>
              </w:rPr>
              <w:t>Amount</w:t>
            </w:r>
          </w:p>
        </w:tc>
        <w:tc>
          <w:tcPr>
            <w:tcW w:w="620" w:type="dxa"/>
            <w:vAlign w:val="bottom"/>
          </w:tcPr>
          <w:p>
            <w:pPr>
              <w:spacing w:after="0"/>
              <w:rPr>
                <w:sz w:val="18"/>
                <w:szCs w:val="18"/>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6"/>
                <w:szCs w:val="16"/>
                <w:color w:val="auto"/>
              </w:rPr>
              <w:t>Assets</w:t>
            </w:r>
          </w:p>
        </w:tc>
        <w:tc>
          <w:tcPr>
            <w:tcW w:w="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127,880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127,880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133,565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133,565</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169</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rate swaps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1,830</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Interest rate caps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946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946</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4"/>
        </w:trPr>
        <w:tc>
          <w:tcPr>
            <w:tcW w:w="4240" w:type="dxa"/>
            <w:vAlign w:val="bottom"/>
          </w:tcPr>
          <w:p>
            <w:pPr>
              <w:ind w:left="620"/>
              <w:spacing w:after="0"/>
              <w:rPr>
                <w:sz w:val="20"/>
                <w:szCs w:val="20"/>
                <w:color w:val="auto"/>
              </w:rPr>
            </w:pPr>
            <w:r>
              <w:rPr>
                <w:rFonts w:ascii="Arial" w:cs="Arial" w:eastAsia="Arial" w:hAnsi="Arial"/>
                <w:sz w:val="16"/>
                <w:szCs w:val="16"/>
                <w:color w:val="auto"/>
              </w:rPr>
              <w:t>USD denominated term loan</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202,500</w:t>
            </w:r>
          </w:p>
        </w:tc>
        <w:tc>
          <w:tcPr>
            <w:tcW w:w="120" w:type="dxa"/>
            <w:vAlign w:val="bottom"/>
          </w:tcPr>
          <w:p>
            <w:pPr>
              <w:spacing w:after="0"/>
              <w:rPr>
                <w:sz w:val="19"/>
                <w:szCs w:val="19"/>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200,309</w:t>
            </w:r>
          </w:p>
        </w:tc>
        <w:tc>
          <w:tcPr>
            <w:tcW w:w="12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208,125</w:t>
            </w:r>
          </w:p>
        </w:tc>
        <w:tc>
          <w:tcPr>
            <w:tcW w:w="120" w:type="dxa"/>
            <w:vAlign w:val="bottom"/>
          </w:tcPr>
          <w:p>
            <w:pPr>
              <w:spacing w:after="0"/>
              <w:rPr>
                <w:sz w:val="19"/>
                <w:szCs w:val="19"/>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205,676</w:t>
            </w:r>
          </w:p>
        </w:tc>
      </w:tr>
      <w:tr>
        <w:trPr>
          <w:trHeight w:val="47"/>
        </w:trPr>
        <w:tc>
          <w:tcPr>
            <w:tcW w:w="4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122,497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120,688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97,167</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95,906</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Interest rate swaps</w:t>
            </w:r>
          </w:p>
        </w:tc>
        <w:tc>
          <w:tcPr>
            <w:tcW w:w="32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934</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934</w:t>
            </w:r>
          </w:p>
        </w:tc>
      </w:tr>
      <w:tr>
        <w:trPr>
          <w:trHeight w:val="33"/>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42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382</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382</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449</w:t>
            </w:r>
          </w:p>
        </w:tc>
      </w:tr>
      <w:tr>
        <w:trPr>
          <w:trHeight w:val="33"/>
        </w:trPr>
        <w:tc>
          <w:tcPr>
            <w:tcW w:w="42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amount approximates fair value (Level 1).</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Credit facility - term loan and multicurrency revolving line of credit: </w:t>
      </w:r>
      <w:r>
        <w:rPr>
          <w:rFonts w:ascii="Arial" w:cs="Arial" w:eastAsia="Arial" w:hAnsi="Arial"/>
          <w:sz w:val="17"/>
          <w:szCs w:val="17"/>
          <w:color w:val="auto"/>
        </w:rPr>
        <w:t>The term loan and revolver are not traded publicly. The fair values, which are valued</w:t>
      </w:r>
      <w:r>
        <w:rPr>
          <w:rFonts w:ascii="Arial" w:cs="Arial" w:eastAsia="Arial" w:hAnsi="Arial"/>
          <w:sz w:val="17"/>
          <w:szCs w:val="17"/>
          <w:i w:val="1"/>
          <w:iCs w:val="1"/>
          <w:color w:val="auto"/>
        </w:rPr>
        <w:t xml:space="preserve"> </w:t>
      </w:r>
      <w:r>
        <w:rPr>
          <w:rFonts w:ascii="Arial" w:cs="Arial" w:eastAsia="Arial" w:hAnsi="Arial"/>
          <w:sz w:val="17"/>
          <w:szCs w:val="17"/>
          <w:color w:val="auto"/>
        </w:rPr>
        <w:t>based upon a hypothetical market participant, are calculated using a discounted cash flow model with Level 2 inputs, including estimates of incremental borrowing rates for debt with similar terms, maturities, and credit profiles. Refer to Note 6 for a further discussion of our debt.</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Level</w:t>
      </w:r>
      <w:r>
        <w:rPr>
          <w:rFonts w:ascii="Arial" w:cs="Arial" w:eastAsia="Arial" w:hAnsi="Arial"/>
          <w:sz w:val="18"/>
          <w:szCs w:val="18"/>
          <w:i w:val="1"/>
          <w:iCs w:val="1"/>
          <w:color w:val="auto"/>
        </w:rPr>
        <w:t xml:space="preserve"> </w:t>
      </w:r>
      <w:r>
        <w:rPr>
          <w:rFonts w:ascii="Arial" w:cs="Arial" w:eastAsia="Arial" w:hAnsi="Arial"/>
          <w:sz w:val="18"/>
          <w:szCs w:val="18"/>
          <w:color w:val="auto"/>
        </w:rPr>
        <w:t>2 inputs.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at June 30, 2017 and December 31, 2016 do not reflect subsequent changes in the economy, interest rates, tax rates, and other variables that may affect the determination of fair value.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still maintain alignment with the segments.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three GAAP measures of segment performance: revenue, gross profit (margin), and operating income (margin). Our operating segments have distinct products, and, therefore, intersegment revenues are minimal. Certain operating expenses are allocated to the operating segments based upon internally established allocation methodologies. Corporate operating expenses, interest income, interest expense, other income (expense), and income tax provision are not allocated to the segments, nor included in the measure of segment profit or loss. In addition, we allocate only certain production assets and intangible assets to our operating segments. We do not manage the performance of the segments on a balance sheet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ectPr>
          <w:pgSz w:w="11900" w:h="16838" w:orient="portrait"/>
          <w:cols w:equalWidth="0" w:num="1">
            <w:col w:w="11420"/>
          </w:cols>
          <w:pgMar w:left="240" w:top="125" w:right="239" w:bottom="1440" w:gutter="0" w:footer="0" w:header="0"/>
        </w:sectPr>
      </w:pPr>
    </w:p>
    <w:p>
      <w:pPr>
        <w:spacing w:after="0" w:line="28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Electricity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Standard electricity (electromechanical and electronic) meters; smart metering solutions that include one or several of the following: smart electricity meters; smart electricity communication modules; prepayment systems, including smart key, keypad, and smart card communication technologies; smart systems including handheld, mobile, and fixed network collection technologies; smart network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80" w:space="640"/>
            <w:col w:w="10000"/>
          </w:cols>
          <w:pgMar w:left="240" w:top="125" w:right="239" w:bottom="1440" w:gutter="0" w:footer="0" w:header="0"/>
          <w:type w:val="continuous"/>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Gas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Standard gas meters; smart metering solutions that include one or several of the following: smart gas meters; smart gas communication modules; prepayment systems, including smart key, keypad, and smart card communication technologies; smart systems, including handheld, mobile, and fixed network collection technologies; smart network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Water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Standard water and heat meters; smart metering solutions that include one or several of the following: smart water meters and communication modules; smart heat meters; smart systems including handheld, mobile, and fixed network collection technologies; meter data management software; knowledge application solutions; installation; implementation; and professional services including consulting and analysis.</w:t>
      </w:r>
    </w:p>
    <w:p>
      <w:pPr>
        <w:spacing w:after="0" w:line="200" w:lineRule="exact"/>
        <w:rPr>
          <w:sz w:val="20"/>
          <w:szCs w:val="20"/>
          <w:color w:val="auto"/>
        </w:rPr>
      </w:pPr>
    </w:p>
    <w:p>
      <w:pPr>
        <w:sectPr>
          <w:pgSz w:w="11900" w:h="16838" w:orient="portrait"/>
          <w:cols w:equalWidth="0" w:num="2">
            <w:col w:w="700" w:space="720"/>
            <w:col w:w="10000"/>
          </w:cols>
          <w:pgMar w:left="240" w:top="125" w:right="239" w:bottom="1440" w:gutter="0" w:footer="0" w:header="0"/>
          <w:type w:val="continuous"/>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segments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7"/>
        </w:trPr>
        <w:tc>
          <w:tcPr>
            <w:tcW w:w="4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250,332</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232,823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489,083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450,118</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138,700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150,266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262,911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289,522</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114,050</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129,935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228,680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270,974</w:t>
            </w:r>
          </w:p>
        </w:tc>
      </w:tr>
      <w:tr>
        <w:trPr>
          <w:trHeight w:val="217"/>
        </w:trPr>
        <w:tc>
          <w:tcPr>
            <w:tcW w:w="424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503,082</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513,024</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980,674</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1,010,614</w:t>
            </w:r>
          </w:p>
        </w:tc>
      </w:tr>
      <w:tr>
        <w:trPr>
          <w:trHeight w:val="73"/>
        </w:trPr>
        <w:tc>
          <w:tcPr>
            <w:tcW w:w="424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4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Gross profit</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78,595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70,892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145,787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135,478</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50,272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53,483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100,776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102,060</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48,993</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45,330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88,522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95,370</w:t>
            </w:r>
          </w:p>
        </w:tc>
      </w:tr>
      <w:tr>
        <w:trPr>
          <w:trHeight w:val="217"/>
        </w:trPr>
        <w:tc>
          <w:tcPr>
            <w:tcW w:w="424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177,860</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3"/>
              </w:rPr>
              <w:t>169,705</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335,085</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332,908</w:t>
            </w:r>
          </w:p>
        </w:tc>
      </w:tr>
      <w:tr>
        <w:trPr>
          <w:trHeight w:val="73"/>
        </w:trPr>
        <w:tc>
          <w:tcPr>
            <w:tcW w:w="424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251"/>
        </w:trPr>
        <w:tc>
          <w:tcPr>
            <w:tcW w:w="4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Electricity</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17,653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30,640</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Gas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16,563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25,376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37,819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41,675</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Water</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16,686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14,177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32,253</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(14,080)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7"/>
              </w:rPr>
              <w:t>(24,088)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(30,891)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(45,521)</w:t>
            </w:r>
          </w:p>
        </w:tc>
      </w:tr>
      <w:tr>
        <w:trPr>
          <w:trHeight w:val="33"/>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10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36,822</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35,473</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66,864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59,047</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(5,255)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(2,778)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(10,236)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(6,942)</w:t>
            </w:r>
          </w:p>
        </w:tc>
      </w:tr>
      <w:tr>
        <w:trPr>
          <w:trHeight w:val="33"/>
        </w:trPr>
        <w:tc>
          <w:tcPr>
            <w:tcW w:w="42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31,567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32,695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52,105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2017, one customer represented 22% and 20%, respectively, of total Electricity segment revenues. For the three months ended June 30, 2017, one customer represented 11% of total company revenues. For the six months ended June 30, 2017, no single customer represented more than 10% of total company revenues. For the three and six months ended June 30, 2017, no single customer represented more than 10% of the Gas or Water operating segment revenues.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and six months ended June 30, 2016, one customer represented 12% and 13%, respectively, of total Electricity segment revenues. For the three and six months ended June 30, 2016, no single customer represented more than 10% of the Gas or Water operating segment revenues, or total company revenues.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June 30, 2017, we recognized an insurance recovery in our Water segment associated with warranty costs recognized as a result of our 2015 product replacement notification to customers who had purchased certain communication modules. As a result, gross profit increased $8.0 million for the three and six months ended June 30, 2017. After adjusting for the tax impact, the recovery resulted in an increase of $0.13 and $0.12 to basic and diluted earnings per share, respectively, for the three months ended June 30, 2017, and $0.13 for both basic and diluted earnings per share for the six months ended June 30,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0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295,737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278,315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564,834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540,352</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Europe, Middle East, and Africa</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158,766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187,848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321,581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383,558</w:t>
            </w:r>
          </w:p>
        </w:tc>
      </w:tr>
      <w:tr>
        <w:trPr>
          <w:trHeight w:val="33"/>
        </w:trPr>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0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48,579</w:t>
            </w:r>
          </w:p>
        </w:tc>
        <w:tc>
          <w:tcPr>
            <w:tcW w:w="120" w:type="dxa"/>
            <w:vAlign w:val="bottom"/>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46,861</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94,259</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86,704</w:t>
            </w:r>
          </w:p>
        </w:tc>
      </w:tr>
      <w:tr>
        <w:trPr>
          <w:trHeight w:val="217"/>
        </w:trPr>
        <w:tc>
          <w:tcPr>
            <w:tcW w:w="42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503,082</w:t>
            </w:r>
          </w:p>
        </w:tc>
        <w:tc>
          <w:tcPr>
            <w:tcW w:w="120" w:type="dxa"/>
            <w:vAlign w:val="bottom"/>
          </w:tcPr>
          <w:p>
            <w:pPr>
              <w:spacing w:after="0"/>
              <w:rPr>
                <w:sz w:val="18"/>
                <w:szCs w:val="18"/>
                <w:color w:val="auto"/>
              </w:rPr>
            </w:pP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513,024</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980,674</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1,010,614</w:t>
            </w:r>
          </w:p>
        </w:tc>
      </w:tr>
      <w:tr>
        <w:trPr>
          <w:trHeight w:val="33"/>
        </w:trPr>
        <w:tc>
          <w:tcPr>
            <w:tcW w:w="42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The Other region includes our operations in Latin America and Asia Pacific.</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Three Months Ended 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42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Electricity</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7,771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15,033</w:t>
            </w: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Gas</w:t>
            </w:r>
          </w:p>
        </w:tc>
        <w:tc>
          <w:tcPr>
            <w:tcW w:w="108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4,503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4,968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8,747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9,889</w:t>
            </w:r>
          </w:p>
        </w:tc>
      </w:tr>
      <w:tr>
        <w:trPr>
          <w:trHeight w:val="47"/>
        </w:trPr>
        <w:tc>
          <w:tcPr>
            <w:tcW w:w="4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Water</w:t>
            </w:r>
          </w:p>
        </w:tc>
        <w:tc>
          <w:tcPr>
            <w:tcW w:w="10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9,018</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Corporate unallocated</w:t>
            </w:r>
          </w:p>
        </w:tc>
        <w:tc>
          <w:tcPr>
            <w:tcW w:w="108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926</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1,432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1,790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1,541</w:t>
            </w:r>
          </w:p>
        </w:tc>
      </w:tr>
      <w:tr>
        <w:trPr>
          <w:trHeight w:val="33"/>
        </w:trPr>
        <w:tc>
          <w:tcPr>
            <w:tcW w:w="42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Company</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15,090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18,807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35,481</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Business Combinations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1, 2017, we completed the acquisition of Comverge, which was financed through borrowings on our multicurrency revolving line of credit and cash on hand. Comverge is a leading provider of integrated demand response, and customer engagement solutions that enable electric utilities to ensure grid reliability, lower energy costs for consumers, meet regulatory demands, and enhance the customer experience. Comverge's technologies are complementary to our Electricity segment's growing software and services offerings, and will help optimize grid performance and reliability.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preliminary purchase price of Comverge is $99.5 million in cash, net of $18.2 million of cash and cash equivalents acquired. We have made a preliminary allocation of the purchase price to the assets acquired and liabilities assumed based on estimated fair value assessments. We are continuing to collect information to determine the fair values of intangible assets, working capital, and deferred income taxes, all of which would affect goodwill. The fair values of these assets and liabilities are provisional until we are able to complete our assessment. The following reflects our preliminary allocation of purchase price as of June 1, 2017:</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2"/>
              </w:rPr>
              <w:t>Weighted Average Useful Life</w:t>
            </w:r>
          </w:p>
        </w:tc>
      </w:tr>
      <w:tr>
        <w:trPr>
          <w:trHeight w:val="33"/>
        </w:trPr>
        <w:tc>
          <w:tcPr>
            <w:tcW w:w="674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33"/>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660" w:type="dxa"/>
            <w:vAlign w:val="bottom"/>
            <w:tcBorders>
              <w:bottom w:val="single" w:sz="8" w:color="CCEEFF"/>
            </w:tcBorders>
            <w:shd w:val="clear" w:color="auto" w:fill="CCEEFF"/>
          </w:tcPr>
          <w:p>
            <w:pPr>
              <w:jc w:val="right"/>
              <w:ind w:right="14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15,118</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16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2,275</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assets</w:t>
            </w:r>
          </w:p>
        </w:tc>
        <w:tc>
          <w:tcPr>
            <w:tcW w:w="16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832</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70"/>
        </w:trPr>
        <w:tc>
          <w:tcPr>
            <w:tcW w:w="67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Identified intangible assets</w:t>
            </w:r>
          </w:p>
        </w:tc>
        <w:tc>
          <w:tcPr>
            <w:tcW w:w="16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Core-developed technology</w:t>
            </w:r>
          </w:p>
        </w:tc>
        <w:tc>
          <w:tcPr>
            <w:tcW w:w="16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19,250</w:t>
            </w:r>
          </w:p>
        </w:tc>
        <w:tc>
          <w:tcPr>
            <w:tcW w:w="24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8</w:t>
            </w:r>
          </w:p>
        </w:tc>
      </w:tr>
      <w:tr>
        <w:trPr>
          <w:trHeight w:val="33"/>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Customer contracts and relationships</w:t>
            </w:r>
          </w:p>
        </w:tc>
        <w:tc>
          <w:tcPr>
            <w:tcW w:w="16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12,230</w:t>
            </w:r>
          </w:p>
        </w:tc>
        <w:tc>
          <w:tcPr>
            <w:tcW w:w="24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10</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Trademarks and trade names</w:t>
            </w:r>
          </w:p>
        </w:tc>
        <w:tc>
          <w:tcPr>
            <w:tcW w:w="16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4,310</w:t>
            </w:r>
          </w:p>
        </w:tc>
        <w:tc>
          <w:tcPr>
            <w:tcW w:w="240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15</w:t>
            </w:r>
          </w:p>
        </w:tc>
      </w:tr>
      <w:tr>
        <w:trPr>
          <w:trHeight w:val="33"/>
        </w:trPr>
        <w:tc>
          <w:tcPr>
            <w:tcW w:w="67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identified intangible assets subject to amortization</w:t>
            </w:r>
          </w:p>
        </w:tc>
        <w:tc>
          <w:tcPr>
            <w:tcW w:w="16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35,790</w:t>
            </w:r>
          </w:p>
        </w:tc>
        <w:tc>
          <w:tcPr>
            <w:tcW w:w="24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10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In-process research and development (IPR&amp;D)</w:t>
            </w:r>
          </w:p>
        </w:tc>
        <w:tc>
          <w:tcPr>
            <w:tcW w:w="16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identified intangible assets</w:t>
            </w:r>
          </w:p>
        </w:tc>
        <w:tc>
          <w:tcPr>
            <w:tcW w:w="16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36,500</w:t>
            </w:r>
          </w:p>
        </w:tc>
        <w:tc>
          <w:tcPr>
            <w:tcW w:w="1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r>
      <w:tr>
        <w:trPr>
          <w:trHeight w:val="270"/>
        </w:trPr>
        <w:tc>
          <w:tcPr>
            <w:tcW w:w="67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16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60,286</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6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(10,787)</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16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(4,747)</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spacing w:after="0"/>
              <w:rPr>
                <w:sz w:val="23"/>
                <w:szCs w:val="23"/>
                <w:color w:val="auto"/>
              </w:rPr>
            </w:pP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Total net assets acquired</w:t>
            </w:r>
          </w:p>
        </w:tc>
        <w:tc>
          <w:tcPr>
            <w:tcW w:w="1660" w:type="dxa"/>
            <w:vAlign w:val="bottom"/>
            <w:tcBorders>
              <w:top w:val="single" w:sz="8" w:color="auto"/>
              <w:bottom w:val="single" w:sz="8" w:color="auto"/>
            </w:tcBorders>
          </w:tcPr>
          <w:p>
            <w:pPr>
              <w:jc w:val="right"/>
              <w:ind w:right="145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99,477</w:t>
            </w:r>
          </w:p>
        </w:tc>
        <w:tc>
          <w:tcPr>
            <w:tcW w:w="1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0"/>
        </w:trPr>
        <w:tc>
          <w:tcPr>
            <w:tcW w:w="67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values for the identified core-developed technology, trademarks, and IPR&amp;D intangible assets were estimated using the income approach. Under the income approach, the fair value reflects the present value of the projected cash flows that are expected to be generated. Core-developed technology represents the fair values of Comverge products that have reached technological feasibility and were part of Comverge's product offerings at the date of the acquisition. Customer contracts and relationships represent the fair value of the relationships developed with its customers, including the backlog, and these were valued utilizing the replacement cost method, which measures the value of an asset based on the cost to replace the existing asset. The core-developed technology, trademarks, and IPR&amp;D intangible assets valued using the income approach will be amortized using the estimated discounted cash flows assumed in the valuation models. Customer contracts and relationships will be amortized using the straight-line method.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IPR&amp;D assets acquired represent the fair value of Comverge research and development projects that have not yet reached technological feasibility. These projects are expected to be completed in the next six months. Incremental costs to be incurred for these projects, currently estimated at $0.8 million, will be recognized as incurred in the product development line item of the Statement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of $60.3 million arising from the acquisition consists largely of the synergies expected from combining the operations of Itron and Comverge, as well as certain intangible assets that do not qualify for separate recognition. All of the goodwill balance was assigned to the Electricity reporting unit and segment. We will not be able to deduct any of the goodwill balance for income tax purposes.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revenues and net income from Comverge's operations that are included in our Consolidated Statements of Operations: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June 1, 2017 - June 30, 2017</w:t>
            </w:r>
          </w:p>
        </w:tc>
      </w:tr>
      <w:tr>
        <w:trPr>
          <w:trHeight w:val="33"/>
        </w:trPr>
        <w:tc>
          <w:tcPr>
            <w:tcW w:w="9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17"/>
        </w:trPr>
        <w:tc>
          <w:tcPr>
            <w:tcW w:w="9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right"/>
              <w:ind w:right="55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9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4,796</w:t>
            </w: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(1,786)</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supplemental pro forma results are based on the individual historical results of Itron and Comverge, with adjustments to give effect to the combined operations as if the acquisition had been consummated on January 1, 2016.</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4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4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 in thousands)</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511,024</w:t>
            </w:r>
          </w:p>
        </w:tc>
        <w:tc>
          <w:tcPr>
            <w:tcW w:w="11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527,754</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1,002,786</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1,038,934</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18,954</w:t>
            </w:r>
          </w:p>
        </w:tc>
        <w:tc>
          <w:tcPr>
            <w:tcW w:w="11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19,639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34,061</w:t>
            </w:r>
          </w:p>
        </w:tc>
        <w:tc>
          <w:tcPr>
            <w:tcW w:w="4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24,755</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nonrecurring adjustments reflected in the proforma schedule above are not considered material and include the following:</w:t>
      </w:r>
    </w:p>
    <w:p>
      <w:pPr>
        <w:spacing w:after="0" w:line="2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Elimination of transaction costs incurred by Comverge and Itron prior to the acquisition completion</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Reclassification of acquisition and integration related expenses incurred after the acquisition to the appropriate periods assuming the acquisition closed on January 1, 2016</w:t>
      </w:r>
    </w:p>
    <w:p>
      <w:pPr>
        <w:spacing w:after="0" w:line="18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supplemental pro forma results are intended for information purposes only and do not purport to represent what the combined companies' results of operations would actually have been had the transaction in fact occurred at an earlier date or project the results for any future date or period.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2016, filed with the Securities and Exchange Commission (SEC) on March 1, 2017.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at the SEC’s Headquarters at 100 F Street, NE, Washington, DC 20549, or by calling 1-800-SEC-0330.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222222"/>
        </w:rPr>
        <w:t xml:space="preserve">This document contains forward-looking statements concerning our operations, financial performance, revenues, earnings growth, liquidity, restructuring,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Although we believe that these assumptions and estimates are reasonable, any of these assumptions and estimates could prove to be inaccurate and the forward looking statements based on them could be incorrect and cause our actual results to vary materially from expected results. Our operations involve risks and uncertainties which could materially affect our results of operations and whether the forward looking statements ultimately prove to be correct. These risks and uncertainties include 1) the rate and timing of customer demand for our products, 2) failure to meet performance or delivery milestones in customer contracts, 3) changes in estimated liabilities for product warranties and/or litigation, 4) rescheduling or cancellations of current customer orders and commitments, 5) our dependence on customers' acceptance of new products and their performance, 6) competition, 7) changes in foreign currency exchange rates and interest rates, 8) changes in domestic and international laws and regulations, 9) international business risks, 10) future business combinations and integrations, 11) </w:t>
      </w:r>
      <w:r>
        <w:rPr>
          <w:rFonts w:ascii="Arial" w:cs="Arial" w:eastAsia="Arial" w:hAnsi="Arial"/>
          <w:sz w:val="16"/>
          <w:szCs w:val="16"/>
          <w:i w:val="1"/>
          <w:iCs w:val="1"/>
          <w:color w:val="000000"/>
        </w:rPr>
        <w:t>key personnel who are critical to the success of our business,</w:t>
      </w:r>
      <w:r>
        <w:rPr>
          <w:rFonts w:ascii="Arial" w:cs="Arial" w:eastAsia="Arial" w:hAnsi="Arial"/>
          <w:sz w:val="16"/>
          <w:szCs w:val="16"/>
          <w:i w:val="1"/>
          <w:iCs w:val="1"/>
          <w:color w:val="222222"/>
        </w:rPr>
        <w:t xml:space="preserve"> 12) our own and our customers' or suppliers' access to and cost of capital, and 13) other factors. </w:t>
      </w:r>
      <w:r>
        <w:rPr>
          <w:rFonts w:ascii="Arial" w:cs="Arial" w:eastAsia="Arial" w:hAnsi="Arial"/>
          <w:sz w:val="16"/>
          <w:szCs w:val="16"/>
          <w:i w:val="1"/>
          <w:iCs w:val="1"/>
          <w:color w:val="000000"/>
        </w:rPr>
        <w:t>For a more complete description of these and other risks, refer to Item 1A: “Risk Factors” included in our Annual</w:t>
      </w:r>
      <w:r>
        <w:rPr>
          <w:rFonts w:ascii="Arial" w:cs="Arial" w:eastAsia="Arial" w:hAnsi="Arial"/>
          <w:sz w:val="16"/>
          <w:szCs w:val="16"/>
          <w:i w:val="1"/>
          <w:iCs w:val="1"/>
          <w:color w:val="222222"/>
        </w:rPr>
        <w:t xml:space="preserve"> </w:t>
      </w:r>
      <w:r>
        <w:rPr>
          <w:rFonts w:ascii="Arial" w:cs="Arial" w:eastAsia="Arial" w:hAnsi="Arial"/>
          <w:sz w:val="16"/>
          <w:szCs w:val="16"/>
          <w:i w:val="1"/>
          <w:iCs w:val="1"/>
          <w:color w:val="000000"/>
        </w:rPr>
        <w:t>Report on Form 10-K for the fiscal year ended December 31, 2016, which was filed with the SEC on March 1, 2017 and our other reports on file with the SEC. We do not undertake any obligation to update or revise any forward looking statement in this document.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 technology company, offering end-to-end solutions to enhance productivity and efficiency, primarily focused on utilities and municipalities around the globe. Our solutions generally include robust industrial grade networks, smart meters, meter data management software, and knowledge application solutions, which bring additional value to the customer. Our professional services help our customers project-manage, install, implement, operate, and maintain their systems. We operate under the Itron brand worldwide and manage and report under three operating segments, Electricity, Gas, and Water. Our Water operating segment includes both our global water and heat solutions. This structure allows each segment to develop its own go-to-market strategy, prioritize its marketing and product development requirements, and focus on its strategic investments. Our sales, marketing, and delivery functions are managed under each segment. Our product development and manufacturing operations are managed on a worldwide basis to promote a global perspective in our operations and processes and yet maintain responsiveness to the market.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income tax provision, and certain corporate operating expenses are neither allocated to the segments nor included in the measures of segment performance.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includes financial information prepared in accordance with accounting principles generally accepted in the United States (GAAP), as well as certain adjusted or non-GAAP financial measures such as constant currency, free cash flow, non-GAAP operating expenses, non-GAAP operating income, non-GAAP net income, adjusted EBITDA, and non-GAAP diluted earnings per share (EPS). We believe that non-GAAP financial measures, when reviewed in conjunction with GAAP financial measures, can provide more information to assist investors in evaluating current period performance and in assessing future performance. For these reasons, our internal management reporting also includes non-GAAP measures. We strongly encourage investors and shareholders to review our financial statements and publicly-filed reports in their entirety and not to rely on any single financial measure. Non-GAAP measures as presented herein may not be comparable to similarly titled measures used by other companies.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w:t>
      </w:r>
      <w:r>
        <w:rPr>
          <w:rFonts w:ascii="Arial" w:cs="Arial" w:eastAsia="Arial" w:hAnsi="Arial"/>
          <w:sz w:val="17"/>
          <w:szCs w:val="17"/>
          <w:color w:val="222222"/>
        </w:rPr>
        <w:t>“</w:t>
      </w:r>
      <w:r>
        <w:rPr>
          <w:rFonts w:ascii="Arial" w:cs="Arial" w:eastAsia="Arial" w:hAnsi="Arial"/>
          <w:sz w:val="17"/>
          <w:szCs w:val="17"/>
          <w:color w:val="auto"/>
        </w:rPr>
        <w:t>constant currency,</w:t>
      </w:r>
      <w:r>
        <w:rPr>
          <w:rFonts w:ascii="Arial" w:cs="Arial" w:eastAsia="Arial" w:hAnsi="Arial"/>
          <w:sz w:val="17"/>
          <w:szCs w:val="17"/>
          <w:color w:val="222222"/>
        </w:rPr>
        <w:t>”</w:t>
      </w:r>
      <w:r>
        <w:rPr>
          <w:rFonts w:ascii="Arial" w:cs="Arial" w:eastAsia="Arial" w:hAnsi="Arial"/>
          <w:sz w:val="17"/>
          <w:szCs w:val="17"/>
          <w:color w:val="auto"/>
        </w:rPr>
        <w:t xml:space="preserve">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section below on pages 42-44 for information about these non-GAAP measures and the detailed reconciliation of items that impacted free cash flow, non-GAAP operating expense, non-GAAP operating income, non-GAAP net income, adjusted EBITDA, and non-GAAP diluted EPS in the presented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 and Unit Shipments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w:t>
      </w:r>
      <w:r>
        <w:rPr>
          <w:rFonts w:ascii="Arial" w:cs="Arial" w:eastAsia="Arial" w:hAnsi="Arial"/>
          <w:sz w:val="18"/>
          <w:szCs w:val="18"/>
          <w:i w:val="1"/>
          <w:iCs w:val="1"/>
          <w:color w:val="000000"/>
        </w:rPr>
        <w:t>three</w:t>
      </w:r>
      <w:r>
        <w:rPr>
          <w:rFonts w:ascii="Arial" w:cs="Arial" w:eastAsia="Arial" w:hAnsi="Arial"/>
          <w:sz w:val="18"/>
          <w:szCs w:val="18"/>
          <w:i w:val="1"/>
          <w:iCs w:val="1"/>
          <w:color w:val="222222"/>
        </w:rPr>
        <w:t xml:space="preserve"> months ended </w:t>
      </w:r>
      <w:r>
        <w:rPr>
          <w:rFonts w:ascii="Arial" w:cs="Arial" w:eastAsia="Arial" w:hAnsi="Arial"/>
          <w:sz w:val="18"/>
          <w:szCs w:val="18"/>
          <w:i w:val="1"/>
          <w:iCs w:val="1"/>
          <w:color w:val="000000"/>
        </w:rPr>
        <w:t>June 30, 2017</w:t>
      </w:r>
    </w:p>
    <w:p>
      <w:pPr>
        <w:spacing w:after="0" w:line="225" w:lineRule="exact"/>
        <w:rPr>
          <w:sz w:val="20"/>
          <w:szCs w:val="20"/>
          <w:color w:val="auto"/>
        </w:rPr>
      </w:pPr>
    </w:p>
    <w:p>
      <w:pPr>
        <w:ind w:left="260" w:hanging="171"/>
        <w:spacing w:after="0"/>
        <w:tabs>
          <w:tab w:leader="none" w:pos="26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 xml:space="preserve">Revenues were </w:t>
      </w:r>
      <w:r>
        <w:rPr>
          <w:rFonts w:ascii="Arial" w:cs="Arial" w:eastAsia="Arial" w:hAnsi="Arial"/>
          <w:sz w:val="18"/>
          <w:szCs w:val="18"/>
          <w:color w:val="000000"/>
        </w:rPr>
        <w:t>$503.1 million</w:t>
      </w:r>
      <w:r>
        <w:rPr>
          <w:rFonts w:ascii="Arial" w:cs="Arial" w:eastAsia="Arial" w:hAnsi="Arial"/>
          <w:sz w:val="18"/>
          <w:szCs w:val="18"/>
          <w:color w:val="222222"/>
        </w:rPr>
        <w:t xml:space="preserve"> compared with </w:t>
      </w:r>
      <w:r>
        <w:rPr>
          <w:rFonts w:ascii="Arial" w:cs="Arial" w:eastAsia="Arial" w:hAnsi="Arial"/>
          <w:sz w:val="18"/>
          <w:szCs w:val="18"/>
          <w:color w:val="000000"/>
        </w:rPr>
        <w:t>$513.0 million</w:t>
      </w:r>
      <w:r>
        <w:rPr>
          <w:rFonts w:ascii="Arial" w:cs="Arial" w:eastAsia="Arial" w:hAnsi="Arial"/>
          <w:sz w:val="18"/>
          <w:szCs w:val="18"/>
          <w:color w:val="222222"/>
        </w:rPr>
        <w:t xml:space="preserve"> in the same period last year, a decrease of $9.9 million, or 2%.</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 xml:space="preserve">Gross margin was </w:t>
      </w:r>
      <w:r>
        <w:rPr>
          <w:rFonts w:ascii="Arial" w:cs="Arial" w:eastAsia="Arial" w:hAnsi="Arial"/>
          <w:sz w:val="18"/>
          <w:szCs w:val="18"/>
          <w:color w:val="000000"/>
        </w:rPr>
        <w:t>35.4%</w:t>
      </w:r>
      <w:r>
        <w:rPr>
          <w:rFonts w:ascii="Arial" w:cs="Arial" w:eastAsia="Arial" w:hAnsi="Arial"/>
          <w:sz w:val="18"/>
          <w:szCs w:val="18"/>
          <w:color w:val="222222"/>
        </w:rPr>
        <w:t xml:space="preserve"> compared with </w:t>
      </w:r>
      <w:r>
        <w:rPr>
          <w:rFonts w:ascii="Arial" w:cs="Arial" w:eastAsia="Arial" w:hAnsi="Arial"/>
          <w:sz w:val="18"/>
          <w:szCs w:val="18"/>
          <w:color w:val="000000"/>
        </w:rPr>
        <w:t>33.1%</w:t>
      </w:r>
      <w:r>
        <w:rPr>
          <w:rFonts w:ascii="Arial" w:cs="Arial" w:eastAsia="Arial" w:hAnsi="Arial"/>
          <w:sz w:val="18"/>
          <w:szCs w:val="18"/>
          <w:color w:val="222222"/>
        </w:rPr>
        <w:t xml:space="preserve"> in the same period last year.</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Operating expenses increased $6.8 million, or 5%, compared with the same period last year.</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Net income attributable to Itron, Inc. was $14.1 million compared with $19.9 million in the same period last year.</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 xml:space="preserve">Adjusted EBITDA </w:t>
      </w:r>
      <w:r>
        <w:rPr>
          <w:rFonts w:ascii="Arial" w:cs="Arial" w:eastAsia="Arial" w:hAnsi="Arial"/>
          <w:sz w:val="18"/>
          <w:szCs w:val="18"/>
          <w:color w:val="000000"/>
        </w:rPr>
        <w:t>improved to $59.7 million, an increase of $7.9 million compared with the same period last year.</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GAAP diluted EPS decreased by $0.16 to $0.36 compared with the same period last year.</w:t>
      </w:r>
    </w:p>
    <w:p>
      <w:pPr>
        <w:spacing w:after="0" w:line="225" w:lineRule="exact"/>
        <w:rPr>
          <w:rFonts w:ascii="Arial" w:cs="Arial" w:eastAsia="Arial" w:hAnsi="Arial"/>
          <w:sz w:val="18"/>
          <w:szCs w:val="18"/>
          <w:color w:val="222222"/>
        </w:rPr>
      </w:pPr>
    </w:p>
    <w:p>
      <w:pPr>
        <w:ind w:left="260" w:hanging="171"/>
        <w:spacing w:after="0" w:line="277" w:lineRule="auto"/>
        <w:tabs>
          <w:tab w:leader="none" w:pos="260" w:val="left"/>
        </w:tabs>
        <w:numPr>
          <w:ilvl w:val="0"/>
          <w:numId w:val="7"/>
        </w:numPr>
        <w:rPr>
          <w:rFonts w:ascii="Arial" w:cs="Arial" w:eastAsia="Arial" w:hAnsi="Arial"/>
          <w:sz w:val="18"/>
          <w:szCs w:val="18"/>
          <w:color w:val="222222"/>
        </w:rPr>
      </w:pPr>
      <w:r>
        <w:rPr>
          <w:rFonts w:ascii="Arial" w:cs="Arial" w:eastAsia="Arial" w:hAnsi="Arial"/>
          <w:sz w:val="18"/>
          <w:szCs w:val="18"/>
          <w:color w:val="222222"/>
        </w:rPr>
        <w:t>Non-GAAP diluted EPS improved by $0.06 to $0.71 compared with the same period last year. This is the eighth consecutive quarter we have improved non-GAAP diluted EPS as compared with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 xml:space="preserve">Highlights and significant developments for the </w:t>
      </w:r>
      <w:r>
        <w:rPr>
          <w:rFonts w:ascii="Arial" w:cs="Arial" w:eastAsia="Arial" w:hAnsi="Arial"/>
          <w:sz w:val="18"/>
          <w:szCs w:val="18"/>
          <w:i w:val="1"/>
          <w:iCs w:val="1"/>
          <w:color w:val="000000"/>
        </w:rPr>
        <w:t>six</w:t>
      </w:r>
      <w:r>
        <w:rPr>
          <w:rFonts w:ascii="Arial" w:cs="Arial" w:eastAsia="Arial" w:hAnsi="Arial"/>
          <w:sz w:val="18"/>
          <w:szCs w:val="18"/>
          <w:i w:val="1"/>
          <w:iCs w:val="1"/>
          <w:color w:val="222222"/>
        </w:rPr>
        <w:t xml:space="preserve"> months ended </w:t>
      </w:r>
      <w:r>
        <w:rPr>
          <w:rFonts w:ascii="Arial" w:cs="Arial" w:eastAsia="Arial" w:hAnsi="Arial"/>
          <w:sz w:val="18"/>
          <w:szCs w:val="18"/>
          <w:i w:val="1"/>
          <w:iCs w:val="1"/>
          <w:color w:val="000000"/>
        </w:rPr>
        <w:t>June 30, 2017</w:t>
      </w:r>
    </w:p>
    <w:p>
      <w:pPr>
        <w:spacing w:after="0" w:line="225" w:lineRule="exact"/>
        <w:rPr>
          <w:sz w:val="20"/>
          <w:szCs w:val="20"/>
          <w:color w:val="auto"/>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Revenues were $980.7 million compared with $1.0 billion in the same period last year, a decrease of $29.9 million, or 3%.</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Gross margin was 34.2% compared with 32.9% in the same period last year.</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Operating expenses were $5.6 million lower, or 2% compared with the same period last year.</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auto"/>
        </w:rPr>
        <w:t>Net income attributable to Itron, Inc. was $29.9 million compared with $30.0 million for the same period last year.</w:t>
      </w:r>
    </w:p>
    <w:p>
      <w:pPr>
        <w:spacing w:after="0" w:line="225" w:lineRule="exact"/>
        <w:rPr>
          <w:rFonts w:ascii="Arial" w:cs="Arial" w:eastAsia="Arial" w:hAnsi="Arial"/>
          <w:sz w:val="18"/>
          <w:szCs w:val="18"/>
          <w:color w:val="222222"/>
        </w:rPr>
      </w:pPr>
    </w:p>
    <w:p>
      <w:pPr>
        <w:ind w:left="260" w:hanging="171"/>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increased $12.7 million, or 14% compared with the same period last year.</w:t>
      </w:r>
    </w:p>
    <w:p>
      <w:pPr>
        <w:spacing w:after="0" w:line="225" w:lineRule="exact"/>
        <w:rPr>
          <w:rFonts w:ascii="Arial" w:cs="Arial" w:eastAsia="Arial" w:hAnsi="Arial"/>
          <w:sz w:val="18"/>
          <w:szCs w:val="18"/>
          <w:color w:val="auto"/>
        </w:rPr>
      </w:pPr>
    </w:p>
    <w:p>
      <w:pPr>
        <w:ind w:left="260" w:hanging="171"/>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222222"/>
        </w:rPr>
        <w:t xml:space="preserve">GAAP diluted EPS decreased </w:t>
      </w:r>
      <w:r>
        <w:rPr>
          <w:rFonts w:ascii="Arial" w:cs="Arial" w:eastAsia="Arial" w:hAnsi="Arial"/>
          <w:sz w:val="18"/>
          <w:szCs w:val="18"/>
          <w:color w:val="000000"/>
        </w:rPr>
        <w:t>$0.02 to $0.76 compared with the same period last year.</w:t>
      </w:r>
    </w:p>
    <w:p>
      <w:pPr>
        <w:spacing w:after="0" w:line="225" w:lineRule="exact"/>
        <w:rPr>
          <w:rFonts w:ascii="Arial" w:cs="Arial" w:eastAsia="Arial" w:hAnsi="Arial"/>
          <w:sz w:val="18"/>
          <w:szCs w:val="18"/>
          <w:color w:val="auto"/>
        </w:rPr>
      </w:pPr>
    </w:p>
    <w:p>
      <w:pPr>
        <w:ind w:left="260" w:hanging="171"/>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222222"/>
        </w:rPr>
        <w:t>Non-GAAP diluted EPS improved $0.19 to $1.28 compared with the same period last year.</w:t>
      </w:r>
    </w:p>
    <w:p>
      <w:pPr>
        <w:spacing w:after="0" w:line="225" w:lineRule="exact"/>
        <w:rPr>
          <w:rFonts w:ascii="Arial" w:cs="Arial" w:eastAsia="Arial" w:hAnsi="Arial"/>
          <w:sz w:val="18"/>
          <w:szCs w:val="18"/>
          <w:color w:val="auto"/>
        </w:rPr>
      </w:pPr>
    </w:p>
    <w:p>
      <w:pPr>
        <w:ind w:left="260" w:hanging="171"/>
        <w:spacing w:after="0"/>
        <w:tabs>
          <w:tab w:leader="none" w:pos="260" w:val="left"/>
        </w:tabs>
        <w:numPr>
          <w:ilvl w:val="0"/>
          <w:numId w:val="8"/>
        </w:numPr>
        <w:rPr>
          <w:rFonts w:ascii="Arial" w:cs="Arial" w:eastAsia="Arial" w:hAnsi="Arial"/>
          <w:sz w:val="18"/>
          <w:szCs w:val="18"/>
          <w:color w:val="222222"/>
        </w:rPr>
      </w:pPr>
      <w:r>
        <w:rPr>
          <w:rFonts w:ascii="Arial" w:cs="Arial" w:eastAsia="Arial" w:hAnsi="Arial"/>
          <w:sz w:val="18"/>
          <w:szCs w:val="18"/>
          <w:color w:val="222222"/>
        </w:rPr>
        <w:t xml:space="preserve">Total backlog was $1.6 billion and twelve-month backlog was $860 million at </w:t>
      </w:r>
      <w:r>
        <w:rPr>
          <w:rFonts w:ascii="Arial" w:cs="Arial" w:eastAsia="Arial" w:hAnsi="Arial"/>
          <w:sz w:val="18"/>
          <w:szCs w:val="18"/>
          <w:color w:val="000000"/>
        </w:rPr>
        <w:t>June 30, 2017</w:t>
      </w:r>
      <w:r>
        <w:rPr>
          <w:rFonts w:ascii="Arial" w:cs="Arial" w:eastAsia="Arial" w:hAnsi="Arial"/>
          <w:sz w:val="18"/>
          <w:szCs w:val="18"/>
          <w:color w:val="222222"/>
        </w:rPr>
        <w: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22222"/>
        </w:rPr>
        <w:t>On June 1, 2017, we completed the acquisition of Comverge by purchasing its parent Peak Holding Corp. (Comverge). Comverge is an industry leading provider of integrated cloud-based demand response, energy efficiency and customer engagement solutions that allow electric utilities to improve grid reliability, lower energy costs, meet regulatory demands, and enhance customer experience. This acquisition provides opportunities to combine our technologies and continues our focus on transitioning from a hardware manufacturer into a total solutions provider, delivering even more value to our customers.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22222"/>
        </w:rPr>
        <w:t xml:space="preserve">The acquisition resulted in the recognition of $36.5 million in intangible assets that will be amortized over 8-15 years, and goodwill in our Electricity reporting unit of $60.3 million. We anticipate this acquisition will have minimal impact on our 2017 diluted EPS and it will be accretive in 2018. Comverge contributed $4.8 million in revenue after the acquisition on June 1, 2017. </w:t>
      </w:r>
      <w:r>
        <w:rPr>
          <w:rFonts w:ascii="Arial" w:cs="Arial" w:eastAsia="Arial" w:hAnsi="Arial"/>
          <w:sz w:val="18"/>
          <w:szCs w:val="18"/>
          <w:color w:val="000000"/>
        </w:rPr>
        <w:t>For further discussion of the Comverge acquisition, refer to Item 1: “Financial</w:t>
      </w:r>
      <w:r>
        <w:rPr>
          <w:rFonts w:ascii="Arial" w:cs="Arial" w:eastAsia="Arial" w:hAnsi="Arial"/>
          <w:sz w:val="18"/>
          <w:szCs w:val="18"/>
          <w:color w:val="222222"/>
        </w:rPr>
        <w:t xml:space="preserve"> </w:t>
      </w:r>
      <w:r>
        <w:rPr>
          <w:rFonts w:ascii="Arial" w:cs="Arial" w:eastAsia="Arial" w:hAnsi="Arial"/>
          <w:sz w:val="18"/>
          <w:szCs w:val="18"/>
          <w:color w:val="000000"/>
        </w:rPr>
        <w:t>Statements, Note 16: Business Combinations.”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222222"/>
        </w:rPr>
        <w:t>The following table summarizes the changes in GAAP and Non-GAAP financial measures: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GAAP</w:t>
      </w:r>
    </w:p>
    <w:p>
      <w:pPr>
        <w:spacing w:after="0" w:line="90" w:lineRule="exact"/>
        <w:rPr>
          <w:sz w:val="20"/>
          <w:szCs w:val="20"/>
          <w:color w:val="auto"/>
        </w:rPr>
      </w:pPr>
    </w:p>
    <w:p>
      <w:pPr>
        <w:ind w:left="40"/>
        <w:spacing w:after="0"/>
        <w:tabs>
          <w:tab w:leader="none" w:pos="3240" w:val="left"/>
        </w:tabs>
        <w:rPr>
          <w:sz w:val="20"/>
          <w:szCs w:val="20"/>
          <w:color w:val="auto"/>
        </w:rPr>
      </w:pPr>
      <w:r>
        <w:rPr>
          <w:rFonts w:ascii="Arial" w:cs="Arial" w:eastAsia="Arial" w:hAnsi="Arial"/>
          <w:sz w:val="14"/>
          <w:szCs w:val="14"/>
          <w:color w:val="auto"/>
        </w:rPr>
        <w:t>Revenues</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tax provision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Itron, Inc.</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Non-GAAP</w:t>
      </w:r>
      <w:r>
        <w:rPr>
          <w:rFonts w:ascii="Arial" w:cs="Arial" w:eastAsia="Arial" w:hAnsi="Arial"/>
          <w:sz w:val="21"/>
          <w:szCs w:val="21"/>
          <w:b w:val="1"/>
          <w:bCs w:val="1"/>
          <w:color w:val="auto"/>
          <w:vertAlign w:val="superscript"/>
        </w:rPr>
        <w:t>(1)</w:t>
      </w:r>
    </w:p>
    <w:p>
      <w:pPr>
        <w:spacing w:after="0" w:line="43" w:lineRule="exact"/>
        <w:rPr>
          <w:sz w:val="20"/>
          <w:szCs w:val="20"/>
          <w:color w:val="auto"/>
        </w:rPr>
      </w:pPr>
    </w:p>
    <w:p>
      <w:pPr>
        <w:ind w:left="40"/>
        <w:spacing w:after="0"/>
        <w:tabs>
          <w:tab w:leader="none" w:pos="3240" w:val="left"/>
        </w:tabs>
        <w:rPr>
          <w:sz w:val="20"/>
          <w:szCs w:val="20"/>
          <w:color w:val="auto"/>
        </w:rPr>
      </w:pPr>
      <w:r>
        <w:rPr>
          <w:rFonts w:ascii="Arial" w:cs="Arial" w:eastAsia="Arial" w:hAnsi="Arial"/>
          <w:sz w:val="16"/>
          <w:szCs w:val="16"/>
          <w:color w:val="auto"/>
        </w:rPr>
        <w:t>Non-GAAP operating expenses</w:t>
      </w:r>
      <w:r>
        <w:rPr>
          <w:sz w:val="20"/>
          <w:szCs w:val="20"/>
          <w:color w:val="auto"/>
        </w:rPr>
        <w:tab/>
      </w:r>
      <w:r>
        <w:rPr>
          <w:rFonts w:ascii="Arial" w:cs="Arial" w:eastAsia="Arial" w:hAnsi="Arial"/>
          <w:sz w:val="14"/>
          <w:szCs w:val="14"/>
          <w:color w:val="auto"/>
        </w:rPr>
        <w:t>$</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Non-GAAP operating income</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Non-GAAP net income attributable to Itron, Inc.</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Adjusted EBITDA</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GAAP Margins and Earnings Per Share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Gross margin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margin</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780" w:type="dxa"/>
            <w:vAlign w:val="bottom"/>
            <w:gridSpan w:val="2"/>
          </w:tcPr>
          <w:p>
            <w:pPr>
              <w:spacing w:after="0"/>
              <w:rPr>
                <w:sz w:val="20"/>
                <w:szCs w:val="20"/>
                <w:color w:val="auto"/>
              </w:rPr>
            </w:pPr>
            <w:r>
              <w:rPr>
                <w:rFonts w:ascii="Arial" w:cs="Arial" w:eastAsia="Arial" w:hAnsi="Arial"/>
                <w:sz w:val="16"/>
                <w:szCs w:val="16"/>
                <w:color w:val="auto"/>
              </w:rPr>
              <w:t>Basic EPS</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2780" w:type="dxa"/>
            <w:vAlign w:val="bottom"/>
            <w:gridSpan w:val="2"/>
          </w:tcPr>
          <w:p>
            <w:pPr>
              <w:spacing w:after="0"/>
              <w:rPr>
                <w:sz w:val="20"/>
                <w:szCs w:val="20"/>
                <w:color w:val="auto"/>
              </w:rPr>
            </w:pPr>
            <w:r>
              <w:rPr>
                <w:rFonts w:ascii="Arial" w:cs="Arial" w:eastAsia="Arial" w:hAnsi="Arial"/>
                <w:sz w:val="16"/>
                <w:szCs w:val="16"/>
                <w:color w:val="auto"/>
              </w:rPr>
              <w:t>Diluted EPS</w:t>
            </w:r>
          </w:p>
        </w:tc>
        <w:tc>
          <w:tcPr>
            <w:tcW w:w="520" w:type="dxa"/>
            <w:vAlign w:val="bottom"/>
          </w:tcPr>
          <w:p>
            <w:pPr>
              <w:spacing w:after="0"/>
              <w:rPr>
                <w:sz w:val="22"/>
                <w:szCs w:val="22"/>
                <w:color w:val="auto"/>
              </w:rPr>
            </w:pPr>
          </w:p>
        </w:tc>
      </w:tr>
      <w:tr>
        <w:trPr>
          <w:trHeight w:val="506"/>
        </w:trPr>
        <w:tc>
          <w:tcPr>
            <w:tcW w:w="2780" w:type="dxa"/>
            <w:vAlign w:val="bottom"/>
            <w:gridSpan w:val="2"/>
          </w:tcPr>
          <w:p>
            <w:pPr>
              <w:spacing w:after="0"/>
              <w:rPr>
                <w:sz w:val="20"/>
                <w:szCs w:val="20"/>
                <w:color w:val="auto"/>
              </w:rPr>
            </w:pPr>
            <w:r>
              <w:rPr>
                <w:rFonts w:ascii="Arial" w:cs="Arial" w:eastAsia="Arial" w:hAnsi="Arial"/>
                <w:sz w:val="16"/>
                <w:szCs w:val="16"/>
                <w:b w:val="1"/>
                <w:bCs w:val="1"/>
                <w:color w:val="auto"/>
              </w:rPr>
              <w:t>Non-GAAP Earnings Per Share</w:t>
            </w:r>
            <w:r>
              <w:rPr>
                <w:rFonts w:ascii="Arial" w:cs="Arial" w:eastAsia="Arial" w:hAnsi="Arial"/>
                <w:sz w:val="21"/>
                <w:szCs w:val="21"/>
                <w:b w:val="1"/>
                <w:bCs w:val="1"/>
                <w:color w:val="auto"/>
                <w:vertAlign w:val="superscript"/>
              </w:rPr>
              <w:t>(1)</w:t>
            </w:r>
          </w:p>
        </w:tc>
        <w:tc>
          <w:tcPr>
            <w:tcW w:w="520" w:type="dxa"/>
            <w:vAlign w:val="bottom"/>
          </w:tcPr>
          <w:p>
            <w:pPr>
              <w:spacing w:after="0"/>
              <w:rPr>
                <w:sz w:val="24"/>
                <w:szCs w:val="24"/>
                <w:color w:val="auto"/>
              </w:rPr>
            </w:pPr>
          </w:p>
        </w:tc>
      </w:tr>
      <w:tr>
        <w:trPr>
          <w:trHeight w:val="298"/>
        </w:trPr>
        <w:tc>
          <w:tcPr>
            <w:tcW w:w="2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Non-GAAP diluted EPS</w:t>
            </w:r>
          </w:p>
        </w:tc>
        <w:tc>
          <w:tcPr>
            <w:tcW w:w="5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640" w:type="dxa"/>
            <w:vAlign w:val="bottom"/>
            <w:gridSpan w:val="4"/>
          </w:tcPr>
          <w:p>
            <w:pPr>
              <w:ind w:left="50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74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1020" w:type="dxa"/>
            <w:vAlign w:val="bottom"/>
          </w:tcPr>
          <w:p>
            <w:pPr>
              <w:spacing w:after="0"/>
              <w:rPr>
                <w:sz w:val="18"/>
                <w:szCs w:val="18"/>
                <w:color w:val="auto"/>
              </w:rPr>
            </w:pPr>
          </w:p>
        </w:tc>
      </w:tr>
      <w:tr>
        <w:trPr>
          <w:trHeight w:val="33"/>
        </w:trPr>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860" w:type="dxa"/>
            <w:vAlign w:val="bottom"/>
          </w:tcPr>
          <w:p>
            <w:pPr>
              <w:jc w:val="right"/>
              <w:ind w:right="459"/>
              <w:spacing w:after="0"/>
              <w:rPr>
                <w:sz w:val="20"/>
                <w:szCs w:val="20"/>
                <w:color w:val="auto"/>
              </w:rPr>
            </w:pPr>
            <w:r>
              <w:rPr>
                <w:rFonts w:ascii="Arial" w:cs="Arial" w:eastAsia="Arial" w:hAnsi="Arial"/>
                <w:sz w:val="16"/>
                <w:szCs w:val="16"/>
                <w:b w:val="1"/>
                <w:bCs w:val="1"/>
                <w:color w:val="auto"/>
                <w:w w:val="84"/>
              </w:rPr>
              <w:t>2017</w:t>
            </w:r>
          </w:p>
        </w:tc>
        <w:tc>
          <w:tcPr>
            <w:tcW w:w="340" w:type="dxa"/>
            <w:vAlign w:val="bottom"/>
          </w:tcPr>
          <w:p>
            <w:pPr>
              <w:spacing w:after="0"/>
              <w:rPr>
                <w:sz w:val="20"/>
                <w:szCs w:val="20"/>
                <w:color w:val="auto"/>
              </w:rPr>
            </w:pPr>
          </w:p>
        </w:tc>
        <w:tc>
          <w:tcPr>
            <w:tcW w:w="11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280" w:type="dxa"/>
            <w:vAlign w:val="bottom"/>
          </w:tcPr>
          <w:p>
            <w:pPr>
              <w:ind w:left="200"/>
              <w:spacing w:after="0"/>
              <w:rPr>
                <w:sz w:val="20"/>
                <w:szCs w:val="20"/>
                <w:color w:val="auto"/>
              </w:rPr>
            </w:pPr>
            <w:r>
              <w:rPr>
                <w:rFonts w:ascii="Arial" w:cs="Arial" w:eastAsia="Arial" w:hAnsi="Arial"/>
                <w:sz w:val="16"/>
                <w:szCs w:val="16"/>
                <w:b w:val="1"/>
                <w:bCs w:val="1"/>
                <w:color w:val="auto"/>
              </w:rPr>
              <w:t>% Change</w:t>
            </w:r>
          </w:p>
        </w:tc>
        <w:tc>
          <w:tcPr>
            <w:tcW w:w="30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420" w:type="dxa"/>
            <w:vAlign w:val="bottom"/>
          </w:tcPr>
          <w:p>
            <w:pPr>
              <w:spacing w:after="0"/>
              <w:rPr>
                <w:sz w:val="20"/>
                <w:szCs w:val="20"/>
                <w:color w:val="auto"/>
              </w:rPr>
            </w:pPr>
          </w:p>
        </w:tc>
        <w:tc>
          <w:tcPr>
            <w:tcW w:w="1260" w:type="dxa"/>
            <w:vAlign w:val="bottom"/>
          </w:tcPr>
          <w:p>
            <w:pPr>
              <w:jc w:val="right"/>
              <w:ind w:right="739"/>
              <w:spacing w:after="0"/>
              <w:rPr>
                <w:sz w:val="20"/>
                <w:szCs w:val="20"/>
                <w:color w:val="auto"/>
              </w:rPr>
            </w:pPr>
            <w:r>
              <w:rPr>
                <w:rFonts w:ascii="Arial" w:cs="Arial" w:eastAsia="Arial" w:hAnsi="Arial"/>
                <w:sz w:val="16"/>
                <w:szCs w:val="16"/>
                <w:b w:val="1"/>
                <w:bCs w:val="1"/>
                <w:color w:val="auto"/>
              </w:rPr>
              <w:t>2016</w:t>
            </w:r>
          </w:p>
        </w:tc>
        <w:tc>
          <w:tcPr>
            <w:tcW w:w="1020" w:type="dxa"/>
            <w:vAlign w:val="bottom"/>
          </w:tcPr>
          <w:p>
            <w:pPr>
              <w:ind w:left="40"/>
              <w:spacing w:after="0"/>
              <w:rPr>
                <w:sz w:val="20"/>
                <w:szCs w:val="20"/>
                <w:color w:val="auto"/>
              </w:rPr>
            </w:pPr>
            <w:r>
              <w:rPr>
                <w:rFonts w:ascii="Arial" w:cs="Arial" w:eastAsia="Arial" w:hAnsi="Arial"/>
                <w:sz w:val="16"/>
                <w:szCs w:val="16"/>
                <w:b w:val="1"/>
                <w:bCs w:val="1"/>
                <w:color w:val="auto"/>
              </w:rPr>
              <w:t>% Change</w:t>
            </w:r>
          </w:p>
        </w:tc>
      </w:tr>
      <w:tr>
        <w:trPr>
          <w:trHeight w:val="270"/>
        </w:trPr>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22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rPr>
              <w:t>(in thousands, except margin and per share data)</w:t>
            </w:r>
          </w:p>
        </w:tc>
        <w:tc>
          <w:tcPr>
            <w:tcW w:w="126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54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503,082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513,024</w:t>
            </w:r>
          </w:p>
        </w:tc>
        <w:tc>
          <w:tcPr>
            <w:tcW w:w="1280" w:type="dxa"/>
            <w:vAlign w:val="bottom"/>
          </w:tcPr>
          <w:p>
            <w:pPr>
              <w:jc w:val="center"/>
              <w:ind w:right="79"/>
              <w:spacing w:after="0"/>
              <w:rPr>
                <w:sz w:val="20"/>
                <w:szCs w:val="20"/>
                <w:color w:val="auto"/>
              </w:rPr>
            </w:pPr>
            <w:r>
              <w:rPr>
                <w:rFonts w:ascii="Arial" w:cs="Arial" w:eastAsia="Arial" w:hAnsi="Arial"/>
                <w:sz w:val="16"/>
                <w:szCs w:val="16"/>
                <w:color w:val="auto"/>
                <w:w w:val="94"/>
              </w:rPr>
              <w:t>(2)%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980,674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9"/>
              <w:spacing w:after="0"/>
              <w:rPr>
                <w:sz w:val="20"/>
                <w:szCs w:val="20"/>
                <w:color w:val="auto"/>
              </w:rPr>
            </w:pPr>
            <w:r>
              <w:rPr>
                <w:rFonts w:ascii="Arial" w:cs="Arial" w:eastAsia="Arial" w:hAnsi="Arial"/>
                <w:sz w:val="16"/>
                <w:szCs w:val="16"/>
                <w:color w:val="auto"/>
              </w:rPr>
              <w:t>1,010,614</w:t>
            </w: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w w:val="94"/>
              </w:rPr>
              <w:t>(3)%</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177,860</w:t>
            </w:r>
          </w:p>
        </w:tc>
        <w:tc>
          <w:tcPr>
            <w:tcW w:w="340" w:type="dxa"/>
            <w:vAlign w:val="bottom"/>
          </w:tcPr>
          <w:p>
            <w:pPr>
              <w:spacing w:after="0"/>
              <w:rPr>
                <w:sz w:val="23"/>
                <w:szCs w:val="23"/>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169,705</w:t>
            </w:r>
          </w:p>
        </w:tc>
        <w:tc>
          <w:tcPr>
            <w:tcW w:w="1280" w:type="dxa"/>
            <w:vAlign w:val="bottom"/>
          </w:tcPr>
          <w:p>
            <w:pPr>
              <w:jc w:val="center"/>
              <w:ind w:right="79"/>
              <w:spacing w:after="0"/>
              <w:rPr>
                <w:sz w:val="20"/>
                <w:szCs w:val="20"/>
                <w:color w:val="auto"/>
              </w:rPr>
            </w:pPr>
            <w:r>
              <w:rPr>
                <w:rFonts w:ascii="Arial" w:cs="Arial" w:eastAsia="Arial" w:hAnsi="Arial"/>
                <w:sz w:val="16"/>
                <w:szCs w:val="16"/>
                <w:color w:val="auto"/>
                <w:w w:val="86"/>
              </w:rPr>
              <w:t>5%</w:t>
            </w:r>
          </w:p>
        </w:tc>
        <w:tc>
          <w:tcPr>
            <w:tcW w:w="30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335,085</w:t>
            </w:r>
          </w:p>
        </w:tc>
        <w:tc>
          <w:tcPr>
            <w:tcW w:w="420" w:type="dxa"/>
            <w:vAlign w:val="bottom"/>
          </w:tcPr>
          <w:p>
            <w:pPr>
              <w:spacing w:after="0"/>
              <w:rPr>
                <w:sz w:val="23"/>
                <w:szCs w:val="23"/>
                <w:color w:val="auto"/>
              </w:rPr>
            </w:pPr>
          </w:p>
        </w:tc>
        <w:tc>
          <w:tcPr>
            <w:tcW w:w="1260" w:type="dxa"/>
            <w:vAlign w:val="bottom"/>
          </w:tcPr>
          <w:p>
            <w:pPr>
              <w:jc w:val="right"/>
              <w:ind w:right="419"/>
              <w:spacing w:after="0"/>
              <w:rPr>
                <w:sz w:val="20"/>
                <w:szCs w:val="20"/>
                <w:color w:val="auto"/>
              </w:rPr>
            </w:pPr>
            <w:r>
              <w:rPr>
                <w:rFonts w:ascii="Arial" w:cs="Arial" w:eastAsia="Arial" w:hAnsi="Arial"/>
                <w:sz w:val="16"/>
                <w:szCs w:val="16"/>
                <w:color w:val="auto"/>
              </w:rPr>
              <w:t>332,908</w:t>
            </w: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w w:val="86"/>
              </w:rPr>
              <w:t>1%</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141,038</w:t>
            </w:r>
          </w:p>
        </w:tc>
        <w:tc>
          <w:tcPr>
            <w:tcW w:w="340" w:type="dxa"/>
            <w:vAlign w:val="bottom"/>
          </w:tcPr>
          <w:p>
            <w:pPr>
              <w:spacing w:after="0"/>
              <w:rPr>
                <w:sz w:val="23"/>
                <w:szCs w:val="23"/>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134,232</w:t>
            </w:r>
          </w:p>
        </w:tc>
        <w:tc>
          <w:tcPr>
            <w:tcW w:w="1280" w:type="dxa"/>
            <w:vAlign w:val="bottom"/>
          </w:tcPr>
          <w:p>
            <w:pPr>
              <w:jc w:val="center"/>
              <w:ind w:right="79"/>
              <w:spacing w:after="0"/>
              <w:rPr>
                <w:sz w:val="20"/>
                <w:szCs w:val="20"/>
                <w:color w:val="auto"/>
              </w:rPr>
            </w:pPr>
            <w:r>
              <w:rPr>
                <w:rFonts w:ascii="Arial" w:cs="Arial" w:eastAsia="Arial" w:hAnsi="Arial"/>
                <w:sz w:val="16"/>
                <w:szCs w:val="16"/>
                <w:color w:val="auto"/>
                <w:w w:val="86"/>
              </w:rPr>
              <w:t>5%</w:t>
            </w:r>
          </w:p>
        </w:tc>
        <w:tc>
          <w:tcPr>
            <w:tcW w:w="30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268,221</w:t>
            </w:r>
          </w:p>
        </w:tc>
        <w:tc>
          <w:tcPr>
            <w:tcW w:w="420" w:type="dxa"/>
            <w:vAlign w:val="bottom"/>
          </w:tcPr>
          <w:p>
            <w:pPr>
              <w:spacing w:after="0"/>
              <w:rPr>
                <w:sz w:val="23"/>
                <w:szCs w:val="23"/>
                <w:color w:val="auto"/>
              </w:rPr>
            </w:pPr>
          </w:p>
        </w:tc>
        <w:tc>
          <w:tcPr>
            <w:tcW w:w="1260" w:type="dxa"/>
            <w:vAlign w:val="bottom"/>
          </w:tcPr>
          <w:p>
            <w:pPr>
              <w:jc w:val="right"/>
              <w:ind w:right="419"/>
              <w:spacing w:after="0"/>
              <w:rPr>
                <w:sz w:val="20"/>
                <w:szCs w:val="20"/>
                <w:color w:val="auto"/>
              </w:rPr>
            </w:pPr>
            <w:r>
              <w:rPr>
                <w:rFonts w:ascii="Arial" w:cs="Arial" w:eastAsia="Arial" w:hAnsi="Arial"/>
                <w:sz w:val="16"/>
                <w:szCs w:val="16"/>
                <w:color w:val="auto"/>
              </w:rPr>
              <w:t>273,861</w:t>
            </w: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w w:val="94"/>
              </w:rPr>
              <w:t>(2)%</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36,822</w:t>
            </w:r>
          </w:p>
        </w:tc>
        <w:tc>
          <w:tcPr>
            <w:tcW w:w="340" w:type="dxa"/>
            <w:vAlign w:val="bottom"/>
          </w:tcPr>
          <w:p>
            <w:pPr>
              <w:spacing w:after="0"/>
              <w:rPr>
                <w:sz w:val="23"/>
                <w:szCs w:val="23"/>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35,473</w:t>
            </w:r>
          </w:p>
        </w:tc>
        <w:tc>
          <w:tcPr>
            <w:tcW w:w="1280" w:type="dxa"/>
            <w:vAlign w:val="bottom"/>
          </w:tcPr>
          <w:p>
            <w:pPr>
              <w:jc w:val="center"/>
              <w:ind w:right="79"/>
              <w:spacing w:after="0"/>
              <w:rPr>
                <w:sz w:val="20"/>
                <w:szCs w:val="20"/>
                <w:color w:val="auto"/>
              </w:rPr>
            </w:pPr>
            <w:r>
              <w:rPr>
                <w:rFonts w:ascii="Arial" w:cs="Arial" w:eastAsia="Arial" w:hAnsi="Arial"/>
                <w:sz w:val="16"/>
                <w:szCs w:val="16"/>
                <w:color w:val="auto"/>
                <w:w w:val="86"/>
              </w:rPr>
              <w:t>4%</w:t>
            </w:r>
          </w:p>
        </w:tc>
        <w:tc>
          <w:tcPr>
            <w:tcW w:w="30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66,864</w:t>
            </w:r>
          </w:p>
        </w:tc>
        <w:tc>
          <w:tcPr>
            <w:tcW w:w="420" w:type="dxa"/>
            <w:vAlign w:val="bottom"/>
          </w:tcPr>
          <w:p>
            <w:pPr>
              <w:spacing w:after="0"/>
              <w:rPr>
                <w:sz w:val="23"/>
                <w:szCs w:val="23"/>
                <w:color w:val="auto"/>
              </w:rPr>
            </w:pPr>
          </w:p>
        </w:tc>
        <w:tc>
          <w:tcPr>
            <w:tcW w:w="1260" w:type="dxa"/>
            <w:vAlign w:val="bottom"/>
          </w:tcPr>
          <w:p>
            <w:pPr>
              <w:jc w:val="right"/>
              <w:ind w:right="419"/>
              <w:spacing w:after="0"/>
              <w:rPr>
                <w:sz w:val="20"/>
                <w:szCs w:val="20"/>
                <w:color w:val="auto"/>
              </w:rPr>
            </w:pPr>
            <w:r>
              <w:rPr>
                <w:rFonts w:ascii="Arial" w:cs="Arial" w:eastAsia="Arial" w:hAnsi="Arial"/>
                <w:sz w:val="16"/>
                <w:szCs w:val="16"/>
                <w:color w:val="auto"/>
              </w:rPr>
              <w:t>59,047</w:t>
            </w: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w w:val="87"/>
              </w:rPr>
              <w:t>13%</w:t>
            </w:r>
          </w:p>
        </w:tc>
      </w:tr>
      <w:tr>
        <w:trPr>
          <w:trHeight w:val="270"/>
        </w:trPr>
        <w:tc>
          <w:tcPr>
            <w:tcW w:w="860" w:type="dxa"/>
            <w:vAlign w:val="bottom"/>
          </w:tcPr>
          <w:p>
            <w:pPr>
              <w:jc w:val="right"/>
              <w:ind w:right="79"/>
              <w:spacing w:after="0"/>
              <w:rPr>
                <w:sz w:val="20"/>
                <w:szCs w:val="20"/>
                <w:color w:val="auto"/>
              </w:rPr>
            </w:pPr>
            <w:r>
              <w:rPr>
                <w:rFonts w:ascii="Arial" w:cs="Arial" w:eastAsia="Arial" w:hAnsi="Arial"/>
                <w:sz w:val="16"/>
                <w:szCs w:val="16"/>
                <w:color w:val="auto"/>
              </w:rPr>
              <w:t>(5,255)</w:t>
            </w:r>
          </w:p>
        </w:tc>
        <w:tc>
          <w:tcPr>
            <w:tcW w:w="340" w:type="dxa"/>
            <w:vAlign w:val="bottom"/>
          </w:tcPr>
          <w:p>
            <w:pPr>
              <w:spacing w:after="0"/>
              <w:rPr>
                <w:sz w:val="23"/>
                <w:szCs w:val="23"/>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(2,778)</w:t>
            </w:r>
          </w:p>
        </w:tc>
        <w:tc>
          <w:tcPr>
            <w:tcW w:w="1280" w:type="dxa"/>
            <w:vAlign w:val="bottom"/>
          </w:tcPr>
          <w:p>
            <w:pPr>
              <w:jc w:val="center"/>
              <w:ind w:right="79"/>
              <w:spacing w:after="0"/>
              <w:rPr>
                <w:sz w:val="20"/>
                <w:szCs w:val="20"/>
                <w:color w:val="auto"/>
              </w:rPr>
            </w:pPr>
            <w:r>
              <w:rPr>
                <w:rFonts w:ascii="Arial" w:cs="Arial" w:eastAsia="Arial" w:hAnsi="Arial"/>
                <w:sz w:val="16"/>
                <w:szCs w:val="16"/>
                <w:color w:val="auto"/>
                <w:w w:val="87"/>
              </w:rPr>
              <w:t>89%</w:t>
            </w:r>
          </w:p>
        </w:tc>
        <w:tc>
          <w:tcPr>
            <w:tcW w:w="30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(10,236)</w:t>
            </w:r>
          </w:p>
        </w:tc>
        <w:tc>
          <w:tcPr>
            <w:tcW w:w="420" w:type="dxa"/>
            <w:vAlign w:val="bottom"/>
          </w:tcPr>
          <w:p>
            <w:pPr>
              <w:spacing w:after="0"/>
              <w:rPr>
                <w:sz w:val="23"/>
                <w:szCs w:val="23"/>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(6,942)</w:t>
            </w: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w w:val="87"/>
              </w:rPr>
              <w:t>47%</w:t>
            </w:r>
          </w:p>
        </w:tc>
      </w:tr>
      <w:tr>
        <w:trPr>
          <w:trHeight w:val="270"/>
        </w:trPr>
        <w:tc>
          <w:tcPr>
            <w:tcW w:w="860" w:type="dxa"/>
            <w:vAlign w:val="bottom"/>
          </w:tcPr>
          <w:p>
            <w:pPr>
              <w:jc w:val="right"/>
              <w:ind w:right="79"/>
              <w:spacing w:after="0"/>
              <w:rPr>
                <w:sz w:val="20"/>
                <w:szCs w:val="20"/>
                <w:color w:val="auto"/>
              </w:rPr>
            </w:pPr>
            <w:r>
              <w:rPr>
                <w:rFonts w:ascii="Arial" w:cs="Arial" w:eastAsia="Arial" w:hAnsi="Arial"/>
                <w:sz w:val="16"/>
                <w:szCs w:val="16"/>
                <w:color w:val="auto"/>
              </w:rPr>
              <w:t>(16,560)</w:t>
            </w:r>
          </w:p>
        </w:tc>
        <w:tc>
          <w:tcPr>
            <w:tcW w:w="340" w:type="dxa"/>
            <w:vAlign w:val="bottom"/>
          </w:tcPr>
          <w:p>
            <w:pPr>
              <w:spacing w:after="0"/>
              <w:rPr>
                <w:sz w:val="23"/>
                <w:szCs w:val="23"/>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(12,193)</w:t>
            </w:r>
          </w:p>
        </w:tc>
        <w:tc>
          <w:tcPr>
            <w:tcW w:w="1280" w:type="dxa"/>
            <w:vAlign w:val="bottom"/>
          </w:tcPr>
          <w:p>
            <w:pPr>
              <w:jc w:val="center"/>
              <w:ind w:right="79"/>
              <w:spacing w:after="0"/>
              <w:rPr>
                <w:sz w:val="20"/>
                <w:szCs w:val="20"/>
                <w:color w:val="auto"/>
              </w:rPr>
            </w:pPr>
            <w:r>
              <w:rPr>
                <w:rFonts w:ascii="Arial" w:cs="Arial" w:eastAsia="Arial" w:hAnsi="Arial"/>
                <w:sz w:val="16"/>
                <w:szCs w:val="16"/>
                <w:color w:val="auto"/>
                <w:w w:val="87"/>
              </w:rPr>
              <w:t>36%</w:t>
            </w:r>
          </w:p>
        </w:tc>
        <w:tc>
          <w:tcPr>
            <w:tcW w:w="30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(25,607)</w:t>
            </w:r>
          </w:p>
        </w:tc>
        <w:tc>
          <w:tcPr>
            <w:tcW w:w="420" w:type="dxa"/>
            <w:vAlign w:val="bottom"/>
          </w:tcPr>
          <w:p>
            <w:pPr>
              <w:spacing w:after="0"/>
              <w:rPr>
                <w:sz w:val="23"/>
                <w:szCs w:val="23"/>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(20,819)</w:t>
            </w: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w w:val="87"/>
              </w:rPr>
              <w:t>23%</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14,097</w:t>
            </w:r>
          </w:p>
        </w:tc>
        <w:tc>
          <w:tcPr>
            <w:tcW w:w="340" w:type="dxa"/>
            <w:vAlign w:val="bottom"/>
          </w:tcPr>
          <w:p>
            <w:pPr>
              <w:spacing w:after="0"/>
              <w:rPr>
                <w:sz w:val="23"/>
                <w:szCs w:val="23"/>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19,917</w:t>
            </w:r>
          </w:p>
        </w:tc>
        <w:tc>
          <w:tcPr>
            <w:tcW w:w="1280" w:type="dxa"/>
            <w:vAlign w:val="bottom"/>
          </w:tcPr>
          <w:p>
            <w:pPr>
              <w:jc w:val="center"/>
              <w:ind w:right="79"/>
              <w:spacing w:after="0"/>
              <w:rPr>
                <w:sz w:val="20"/>
                <w:szCs w:val="20"/>
                <w:color w:val="auto"/>
              </w:rPr>
            </w:pPr>
            <w:r>
              <w:rPr>
                <w:rFonts w:ascii="Arial" w:cs="Arial" w:eastAsia="Arial" w:hAnsi="Arial"/>
                <w:sz w:val="16"/>
                <w:szCs w:val="16"/>
                <w:color w:val="auto"/>
                <w:w w:val="93"/>
              </w:rPr>
              <w:t>(29)%</w:t>
            </w:r>
          </w:p>
        </w:tc>
        <w:tc>
          <w:tcPr>
            <w:tcW w:w="30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29,942</w:t>
            </w:r>
          </w:p>
        </w:tc>
        <w:tc>
          <w:tcPr>
            <w:tcW w:w="420" w:type="dxa"/>
            <w:vAlign w:val="bottom"/>
          </w:tcPr>
          <w:p>
            <w:pPr>
              <w:spacing w:after="0"/>
              <w:rPr>
                <w:sz w:val="23"/>
                <w:szCs w:val="23"/>
                <w:color w:val="auto"/>
              </w:rPr>
            </w:pPr>
          </w:p>
        </w:tc>
        <w:tc>
          <w:tcPr>
            <w:tcW w:w="1260" w:type="dxa"/>
            <w:vAlign w:val="bottom"/>
          </w:tcPr>
          <w:p>
            <w:pPr>
              <w:jc w:val="right"/>
              <w:ind w:right="419"/>
              <w:spacing w:after="0"/>
              <w:rPr>
                <w:sz w:val="20"/>
                <w:szCs w:val="20"/>
                <w:color w:val="auto"/>
              </w:rPr>
            </w:pPr>
            <w:r>
              <w:rPr>
                <w:rFonts w:ascii="Arial" w:cs="Arial" w:eastAsia="Arial" w:hAnsi="Arial"/>
                <w:sz w:val="16"/>
                <w:szCs w:val="16"/>
                <w:color w:val="auto"/>
              </w:rPr>
              <w:t>30,006</w:t>
            </w: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w w:val="92"/>
              </w:rPr>
              <w:t>—%</w:t>
            </w:r>
          </w:p>
        </w:tc>
      </w:tr>
      <w:tr>
        <w:trPr>
          <w:trHeight w:val="81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124,557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128,083</w:t>
            </w:r>
          </w:p>
        </w:tc>
        <w:tc>
          <w:tcPr>
            <w:tcW w:w="1280" w:type="dxa"/>
            <w:vAlign w:val="bottom"/>
          </w:tcPr>
          <w:p>
            <w:pPr>
              <w:jc w:val="center"/>
              <w:ind w:right="79"/>
              <w:spacing w:after="0"/>
              <w:rPr>
                <w:sz w:val="20"/>
                <w:szCs w:val="20"/>
                <w:color w:val="auto"/>
              </w:rPr>
            </w:pPr>
            <w:r>
              <w:rPr>
                <w:rFonts w:ascii="Arial" w:cs="Arial" w:eastAsia="Arial" w:hAnsi="Arial"/>
                <w:sz w:val="16"/>
                <w:szCs w:val="16"/>
                <w:color w:val="auto"/>
                <w:w w:val="94"/>
              </w:rPr>
              <w:t>(3)%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243,806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9"/>
              <w:spacing w:after="0"/>
              <w:rPr>
                <w:sz w:val="20"/>
                <w:szCs w:val="20"/>
                <w:color w:val="auto"/>
              </w:rPr>
            </w:pPr>
            <w:r>
              <w:rPr>
                <w:rFonts w:ascii="Arial" w:cs="Arial" w:eastAsia="Arial" w:hAnsi="Arial"/>
                <w:sz w:val="16"/>
                <w:szCs w:val="16"/>
                <w:color w:val="auto"/>
              </w:rPr>
              <w:t>259,262</w:t>
            </w: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w w:val="94"/>
              </w:rPr>
              <w:t>(6)%</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53,303</w:t>
            </w:r>
          </w:p>
        </w:tc>
        <w:tc>
          <w:tcPr>
            <w:tcW w:w="340" w:type="dxa"/>
            <w:vAlign w:val="bottom"/>
          </w:tcPr>
          <w:p>
            <w:pPr>
              <w:spacing w:after="0"/>
              <w:rPr>
                <w:sz w:val="23"/>
                <w:szCs w:val="23"/>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41,622</w:t>
            </w:r>
          </w:p>
        </w:tc>
        <w:tc>
          <w:tcPr>
            <w:tcW w:w="1280" w:type="dxa"/>
            <w:vAlign w:val="bottom"/>
          </w:tcPr>
          <w:p>
            <w:pPr>
              <w:jc w:val="center"/>
              <w:ind w:right="79"/>
              <w:spacing w:after="0"/>
              <w:rPr>
                <w:sz w:val="20"/>
                <w:szCs w:val="20"/>
                <w:color w:val="auto"/>
              </w:rPr>
            </w:pPr>
            <w:r>
              <w:rPr>
                <w:rFonts w:ascii="Arial" w:cs="Arial" w:eastAsia="Arial" w:hAnsi="Arial"/>
                <w:sz w:val="16"/>
                <w:szCs w:val="16"/>
                <w:color w:val="auto"/>
                <w:w w:val="87"/>
              </w:rPr>
              <w:t>28%</w:t>
            </w:r>
          </w:p>
        </w:tc>
        <w:tc>
          <w:tcPr>
            <w:tcW w:w="30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91,279</w:t>
            </w:r>
          </w:p>
        </w:tc>
        <w:tc>
          <w:tcPr>
            <w:tcW w:w="420" w:type="dxa"/>
            <w:vAlign w:val="bottom"/>
          </w:tcPr>
          <w:p>
            <w:pPr>
              <w:spacing w:after="0"/>
              <w:rPr>
                <w:sz w:val="23"/>
                <w:szCs w:val="23"/>
                <w:color w:val="auto"/>
              </w:rPr>
            </w:pPr>
          </w:p>
        </w:tc>
        <w:tc>
          <w:tcPr>
            <w:tcW w:w="1260" w:type="dxa"/>
            <w:vAlign w:val="bottom"/>
          </w:tcPr>
          <w:p>
            <w:pPr>
              <w:jc w:val="right"/>
              <w:ind w:right="419"/>
              <w:spacing w:after="0"/>
              <w:rPr>
                <w:sz w:val="20"/>
                <w:szCs w:val="20"/>
                <w:color w:val="auto"/>
              </w:rPr>
            </w:pPr>
            <w:r>
              <w:rPr>
                <w:rFonts w:ascii="Arial" w:cs="Arial" w:eastAsia="Arial" w:hAnsi="Arial"/>
                <w:sz w:val="16"/>
                <w:szCs w:val="16"/>
                <w:color w:val="auto"/>
              </w:rPr>
              <w:t>73,646</w:t>
            </w: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w w:val="87"/>
              </w:rPr>
              <w:t>24%</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27,924</w:t>
            </w:r>
          </w:p>
        </w:tc>
        <w:tc>
          <w:tcPr>
            <w:tcW w:w="340" w:type="dxa"/>
            <w:vAlign w:val="bottom"/>
          </w:tcPr>
          <w:p>
            <w:pPr>
              <w:spacing w:after="0"/>
              <w:rPr>
                <w:sz w:val="23"/>
                <w:szCs w:val="23"/>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25,144</w:t>
            </w:r>
          </w:p>
        </w:tc>
        <w:tc>
          <w:tcPr>
            <w:tcW w:w="1280" w:type="dxa"/>
            <w:vAlign w:val="bottom"/>
          </w:tcPr>
          <w:p>
            <w:pPr>
              <w:jc w:val="center"/>
              <w:ind w:right="79"/>
              <w:spacing w:after="0"/>
              <w:rPr>
                <w:sz w:val="20"/>
                <w:szCs w:val="20"/>
                <w:color w:val="auto"/>
              </w:rPr>
            </w:pPr>
            <w:r>
              <w:rPr>
                <w:rFonts w:ascii="Arial" w:cs="Arial" w:eastAsia="Arial" w:hAnsi="Arial"/>
                <w:sz w:val="16"/>
                <w:szCs w:val="16"/>
                <w:color w:val="auto"/>
                <w:w w:val="87"/>
              </w:rPr>
              <w:t>11%</w:t>
            </w:r>
          </w:p>
        </w:tc>
        <w:tc>
          <w:tcPr>
            <w:tcW w:w="30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50,110</w:t>
            </w:r>
          </w:p>
        </w:tc>
        <w:tc>
          <w:tcPr>
            <w:tcW w:w="420" w:type="dxa"/>
            <w:vAlign w:val="bottom"/>
          </w:tcPr>
          <w:p>
            <w:pPr>
              <w:spacing w:after="0"/>
              <w:rPr>
                <w:sz w:val="23"/>
                <w:szCs w:val="23"/>
                <w:color w:val="auto"/>
              </w:rPr>
            </w:pPr>
          </w:p>
        </w:tc>
        <w:tc>
          <w:tcPr>
            <w:tcW w:w="1260" w:type="dxa"/>
            <w:vAlign w:val="bottom"/>
          </w:tcPr>
          <w:p>
            <w:pPr>
              <w:jc w:val="right"/>
              <w:ind w:right="419"/>
              <w:spacing w:after="0"/>
              <w:rPr>
                <w:sz w:val="20"/>
                <w:szCs w:val="20"/>
                <w:color w:val="auto"/>
              </w:rPr>
            </w:pPr>
            <w:r>
              <w:rPr>
                <w:rFonts w:ascii="Arial" w:cs="Arial" w:eastAsia="Arial" w:hAnsi="Arial"/>
                <w:sz w:val="16"/>
                <w:szCs w:val="16"/>
                <w:color w:val="auto"/>
              </w:rPr>
              <w:t>41,975</w:t>
            </w: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w w:val="87"/>
              </w:rPr>
              <w:t>19%</w:t>
            </w: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59,664</w:t>
            </w:r>
          </w:p>
        </w:tc>
        <w:tc>
          <w:tcPr>
            <w:tcW w:w="340" w:type="dxa"/>
            <w:vAlign w:val="bottom"/>
          </w:tcPr>
          <w:p>
            <w:pPr>
              <w:spacing w:after="0"/>
              <w:rPr>
                <w:sz w:val="23"/>
                <w:szCs w:val="23"/>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51,784</w:t>
            </w:r>
          </w:p>
        </w:tc>
        <w:tc>
          <w:tcPr>
            <w:tcW w:w="1280" w:type="dxa"/>
            <w:vAlign w:val="bottom"/>
          </w:tcPr>
          <w:p>
            <w:pPr>
              <w:jc w:val="center"/>
              <w:ind w:right="79"/>
              <w:spacing w:after="0"/>
              <w:rPr>
                <w:sz w:val="20"/>
                <w:szCs w:val="20"/>
                <w:color w:val="auto"/>
              </w:rPr>
            </w:pPr>
            <w:r>
              <w:rPr>
                <w:rFonts w:ascii="Arial" w:cs="Arial" w:eastAsia="Arial" w:hAnsi="Arial"/>
                <w:sz w:val="16"/>
                <w:szCs w:val="16"/>
                <w:color w:val="auto"/>
                <w:w w:val="87"/>
              </w:rPr>
              <w:t>15%</w:t>
            </w:r>
          </w:p>
        </w:tc>
        <w:tc>
          <w:tcPr>
            <w:tcW w:w="30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104,724</w:t>
            </w:r>
          </w:p>
        </w:tc>
        <w:tc>
          <w:tcPr>
            <w:tcW w:w="420" w:type="dxa"/>
            <w:vAlign w:val="bottom"/>
          </w:tcPr>
          <w:p>
            <w:pPr>
              <w:spacing w:after="0"/>
              <w:rPr>
                <w:sz w:val="23"/>
                <w:szCs w:val="23"/>
                <w:color w:val="auto"/>
              </w:rPr>
            </w:pPr>
          </w:p>
        </w:tc>
        <w:tc>
          <w:tcPr>
            <w:tcW w:w="1260" w:type="dxa"/>
            <w:vAlign w:val="bottom"/>
          </w:tcPr>
          <w:p>
            <w:pPr>
              <w:jc w:val="right"/>
              <w:ind w:right="419"/>
              <w:spacing w:after="0"/>
              <w:rPr>
                <w:sz w:val="20"/>
                <w:szCs w:val="20"/>
                <w:color w:val="auto"/>
              </w:rPr>
            </w:pPr>
            <w:r>
              <w:rPr>
                <w:rFonts w:ascii="Arial" w:cs="Arial" w:eastAsia="Arial" w:hAnsi="Arial"/>
                <w:sz w:val="16"/>
                <w:szCs w:val="16"/>
                <w:color w:val="auto"/>
              </w:rPr>
              <w:t>92,060</w:t>
            </w: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w w:val="87"/>
              </w:rPr>
              <w:t>14%</w:t>
            </w:r>
          </w:p>
        </w:tc>
      </w:tr>
      <w:tr>
        <w:trPr>
          <w:trHeight w:val="810"/>
        </w:trPr>
        <w:tc>
          <w:tcPr>
            <w:tcW w:w="860" w:type="dxa"/>
            <w:vAlign w:val="bottom"/>
          </w:tcPr>
          <w:p>
            <w:pPr>
              <w:jc w:val="right"/>
              <w:spacing w:after="0"/>
              <w:rPr>
                <w:sz w:val="20"/>
                <w:szCs w:val="20"/>
                <w:color w:val="auto"/>
              </w:rPr>
            </w:pPr>
            <w:r>
              <w:rPr>
                <w:rFonts w:ascii="Arial" w:cs="Arial" w:eastAsia="Arial" w:hAnsi="Arial"/>
                <w:sz w:val="16"/>
                <w:szCs w:val="16"/>
                <w:color w:val="auto"/>
              </w:rPr>
              <w:t>35.4%</w:t>
            </w:r>
          </w:p>
        </w:tc>
        <w:tc>
          <w:tcPr>
            <w:tcW w:w="340" w:type="dxa"/>
            <w:vAlign w:val="bottom"/>
          </w:tcPr>
          <w:p>
            <w:pPr>
              <w:spacing w:after="0"/>
              <w:rPr>
                <w:sz w:val="24"/>
                <w:szCs w:val="24"/>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33.1%</w:t>
            </w: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34.2%</w:t>
            </w:r>
          </w:p>
        </w:tc>
        <w:tc>
          <w:tcPr>
            <w:tcW w:w="420" w:type="dxa"/>
            <w:vAlign w:val="bottom"/>
          </w:tcPr>
          <w:p>
            <w:pPr>
              <w:spacing w:after="0"/>
              <w:rPr>
                <w:sz w:val="24"/>
                <w:szCs w:val="24"/>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32.9%</w:t>
            </w:r>
          </w:p>
        </w:tc>
        <w:tc>
          <w:tcPr>
            <w:tcW w:w="1020" w:type="dxa"/>
            <w:vAlign w:val="bottom"/>
          </w:tcPr>
          <w:p>
            <w:pPr>
              <w:spacing w:after="0"/>
              <w:rPr>
                <w:sz w:val="24"/>
                <w:szCs w:val="24"/>
                <w:color w:val="auto"/>
              </w:rPr>
            </w:pPr>
          </w:p>
        </w:tc>
      </w:tr>
      <w:tr>
        <w:trPr>
          <w:trHeight w:val="270"/>
        </w:trPr>
        <w:tc>
          <w:tcPr>
            <w:tcW w:w="860" w:type="dxa"/>
            <w:vAlign w:val="bottom"/>
          </w:tcPr>
          <w:p>
            <w:pPr>
              <w:jc w:val="right"/>
              <w:spacing w:after="0"/>
              <w:rPr>
                <w:sz w:val="20"/>
                <w:szCs w:val="20"/>
                <w:color w:val="auto"/>
              </w:rPr>
            </w:pPr>
            <w:r>
              <w:rPr>
                <w:rFonts w:ascii="Arial" w:cs="Arial" w:eastAsia="Arial" w:hAnsi="Arial"/>
                <w:sz w:val="16"/>
                <w:szCs w:val="16"/>
                <w:color w:val="auto"/>
              </w:rPr>
              <w:t>7.3%</w:t>
            </w:r>
          </w:p>
        </w:tc>
        <w:tc>
          <w:tcPr>
            <w:tcW w:w="340" w:type="dxa"/>
            <w:vAlign w:val="bottom"/>
          </w:tcPr>
          <w:p>
            <w:pPr>
              <w:spacing w:after="0"/>
              <w:rPr>
                <w:sz w:val="23"/>
                <w:szCs w:val="23"/>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6.9%</w:t>
            </w: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w:t>
            </w:r>
          </w:p>
        </w:tc>
        <w:tc>
          <w:tcPr>
            <w:tcW w:w="420" w:type="dxa"/>
            <w:vAlign w:val="bottom"/>
          </w:tcPr>
          <w:p>
            <w:pPr>
              <w:spacing w:after="0"/>
              <w:rPr>
                <w:sz w:val="23"/>
                <w:szCs w:val="23"/>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5.8%</w:t>
            </w:r>
          </w:p>
        </w:tc>
        <w:tc>
          <w:tcPr>
            <w:tcW w:w="1020" w:type="dxa"/>
            <w:vAlign w:val="bottom"/>
          </w:tcPr>
          <w:p>
            <w:pPr>
              <w:spacing w:after="0"/>
              <w:rPr>
                <w:sz w:val="23"/>
                <w:szCs w:val="23"/>
                <w:color w:val="auto"/>
              </w:rPr>
            </w:pP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0.36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0.52</w:t>
            </w:r>
          </w:p>
        </w:tc>
        <w:tc>
          <w:tcPr>
            <w:tcW w:w="128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0.78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9"/>
              <w:spacing w:after="0"/>
              <w:rPr>
                <w:sz w:val="20"/>
                <w:szCs w:val="20"/>
                <w:color w:val="auto"/>
              </w:rPr>
            </w:pPr>
            <w:r>
              <w:rPr>
                <w:rFonts w:ascii="Arial" w:cs="Arial" w:eastAsia="Arial" w:hAnsi="Arial"/>
                <w:sz w:val="16"/>
                <w:szCs w:val="16"/>
                <w:color w:val="auto"/>
              </w:rPr>
              <w:t>0.79</w:t>
            </w:r>
          </w:p>
        </w:tc>
        <w:tc>
          <w:tcPr>
            <w:tcW w:w="1020" w:type="dxa"/>
            <w:vAlign w:val="bottom"/>
          </w:tcPr>
          <w:p>
            <w:pPr>
              <w:spacing w:after="0"/>
              <w:rPr>
                <w:sz w:val="23"/>
                <w:szCs w:val="23"/>
                <w:color w:val="auto"/>
              </w:rPr>
            </w:pPr>
          </w:p>
        </w:tc>
      </w:tr>
      <w:tr>
        <w:trPr>
          <w:trHeight w:val="27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0.36</w:t>
            </w:r>
          </w:p>
        </w:tc>
        <w:tc>
          <w:tcPr>
            <w:tcW w:w="340" w:type="dxa"/>
            <w:vAlign w:val="bottom"/>
          </w:tcPr>
          <w:p>
            <w:pPr>
              <w:spacing w:after="0"/>
              <w:rPr>
                <w:sz w:val="23"/>
                <w:szCs w:val="23"/>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0.52</w:t>
            </w:r>
          </w:p>
        </w:tc>
        <w:tc>
          <w:tcPr>
            <w:tcW w:w="1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0.76</w:t>
            </w:r>
          </w:p>
        </w:tc>
        <w:tc>
          <w:tcPr>
            <w:tcW w:w="420" w:type="dxa"/>
            <w:vAlign w:val="bottom"/>
          </w:tcPr>
          <w:p>
            <w:pPr>
              <w:spacing w:after="0"/>
              <w:rPr>
                <w:sz w:val="23"/>
                <w:szCs w:val="23"/>
                <w:color w:val="auto"/>
              </w:rPr>
            </w:pPr>
          </w:p>
        </w:tc>
        <w:tc>
          <w:tcPr>
            <w:tcW w:w="1260" w:type="dxa"/>
            <w:vAlign w:val="bottom"/>
          </w:tcPr>
          <w:p>
            <w:pPr>
              <w:jc w:val="right"/>
              <w:ind w:right="419"/>
              <w:spacing w:after="0"/>
              <w:rPr>
                <w:sz w:val="20"/>
                <w:szCs w:val="20"/>
                <w:color w:val="auto"/>
              </w:rPr>
            </w:pPr>
            <w:r>
              <w:rPr>
                <w:rFonts w:ascii="Arial" w:cs="Arial" w:eastAsia="Arial" w:hAnsi="Arial"/>
                <w:sz w:val="16"/>
                <w:szCs w:val="16"/>
                <w:color w:val="auto"/>
              </w:rPr>
              <w:t>0.78</w:t>
            </w:r>
          </w:p>
        </w:tc>
        <w:tc>
          <w:tcPr>
            <w:tcW w:w="1020" w:type="dxa"/>
            <w:vAlign w:val="bottom"/>
          </w:tcPr>
          <w:p>
            <w:pPr>
              <w:spacing w:after="0"/>
              <w:rPr>
                <w:sz w:val="23"/>
                <w:szCs w:val="23"/>
                <w:color w:val="auto"/>
              </w:rPr>
            </w:pPr>
          </w:p>
        </w:tc>
      </w:tr>
      <w:tr>
        <w:trPr>
          <w:trHeight w:val="810"/>
        </w:trPr>
        <w:tc>
          <w:tcPr>
            <w:tcW w:w="860" w:type="dxa"/>
            <w:vAlign w:val="bottom"/>
          </w:tcPr>
          <w:p>
            <w:pPr>
              <w:jc w:val="right"/>
              <w:ind w:right="139"/>
              <w:spacing w:after="0"/>
              <w:rPr>
                <w:sz w:val="20"/>
                <w:szCs w:val="20"/>
                <w:color w:val="auto"/>
              </w:rPr>
            </w:pPr>
            <w:r>
              <w:rPr>
                <w:rFonts w:ascii="Arial" w:cs="Arial" w:eastAsia="Arial" w:hAnsi="Arial"/>
                <w:sz w:val="16"/>
                <w:szCs w:val="16"/>
                <w:color w:val="auto"/>
              </w:rPr>
              <w:t>0.71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59"/>
              <w:spacing w:after="0"/>
              <w:rPr>
                <w:sz w:val="20"/>
                <w:szCs w:val="20"/>
                <w:color w:val="auto"/>
              </w:rPr>
            </w:pPr>
            <w:r>
              <w:rPr>
                <w:rFonts w:ascii="Arial" w:cs="Arial" w:eastAsia="Arial" w:hAnsi="Arial"/>
                <w:sz w:val="16"/>
                <w:szCs w:val="16"/>
                <w:color w:val="auto"/>
              </w:rPr>
              <w:t>0.65</w:t>
            </w:r>
          </w:p>
        </w:tc>
        <w:tc>
          <w:tcPr>
            <w:tcW w:w="128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1.28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9"/>
              <w:spacing w:after="0"/>
              <w:rPr>
                <w:sz w:val="20"/>
                <w:szCs w:val="20"/>
                <w:color w:val="auto"/>
              </w:rPr>
            </w:pPr>
            <w:r>
              <w:rPr>
                <w:rFonts w:ascii="Arial" w:cs="Arial" w:eastAsia="Arial" w:hAnsi="Arial"/>
                <w:sz w:val="16"/>
                <w:szCs w:val="16"/>
                <w:color w:val="auto"/>
              </w:rPr>
              <w:t>1.09</w:t>
            </w: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-3751580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-3408680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-3065780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-2722880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-2379345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-2036445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-1693545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-1350645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-1007745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-664210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-321310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-4094480</wp:posOffset>
            </wp:positionV>
            <wp:extent cx="51968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96840" cy="889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-4274820</wp:posOffset>
            </wp:positionV>
            <wp:extent cx="25558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380"/>
            <w:col w:w="7700"/>
          </w:cols>
          <w:pgMar w:left="240" w:top="125" w:right="239" w:bottom="1440" w:gutter="0" w:footer="0" w:header="0"/>
          <w:type w:val="continuous"/>
        </w:sectPr>
      </w:pPr>
    </w:p>
    <w:p>
      <w:pPr>
        <w:spacing w:after="0" w:line="39" w:lineRule="exact"/>
        <w:rPr>
          <w:sz w:val="20"/>
          <w:szCs w:val="20"/>
          <w:color w:val="auto"/>
        </w:rPr>
      </w:pPr>
    </w:p>
    <w:p>
      <w:pPr>
        <w:ind w:left="340" w:right="20" w:hanging="332"/>
        <w:spacing w:after="0" w:line="217"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42-44 for information about these non-GAAP measures and reconciliations to the most comparable GAAP measures.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two categories:</w:t>
      </w:r>
    </w:p>
    <w:p>
      <w:pPr>
        <w:spacing w:after="0" w:line="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technology</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Smart metering – one-way communication of meter data or two-way communication including remote meter configuration and upgrade (consisting primarily of our OpenWay® technology)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smart meter communication modules can be sold separately from the meter.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revenue is driven significantly by sales of meters and communication modules. A summary of our meter and communication module shipments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90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Three Months Ended June 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6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w w:val="98"/>
              </w:rPr>
              <w:t>Six Months Ended June 30,</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5360" w:type="dxa"/>
            <w:vAlign w:val="bottom"/>
            <w:gridSpan w:val="2"/>
          </w:tcPr>
          <w:p>
            <w:pPr>
              <w:ind w:left="4940"/>
              <w:spacing w:after="0"/>
              <w:rPr>
                <w:sz w:val="20"/>
                <w:szCs w:val="20"/>
                <w:color w:val="auto"/>
              </w:rPr>
            </w:pPr>
            <w:r>
              <w:rPr>
                <w:rFonts w:ascii="Arial" w:cs="Arial" w:eastAsia="Arial" w:hAnsi="Arial"/>
                <w:sz w:val="16"/>
                <w:szCs w:val="16"/>
                <w:b w:val="1"/>
                <w:bCs w:val="1"/>
                <w:color w:val="auto"/>
              </w:rPr>
              <w:t>2017</w:t>
            </w:r>
          </w:p>
        </w:tc>
        <w:tc>
          <w:tcPr>
            <w:tcW w:w="17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61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17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r>
      <w:tr>
        <w:trPr>
          <w:trHeight w:val="33"/>
        </w:trPr>
        <w:tc>
          <w:tcPr>
            <w:tcW w:w="4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6"/>
                <w:szCs w:val="16"/>
                <w:b w:val="1"/>
                <w:bCs w:val="1"/>
                <w:color w:val="auto"/>
                <w:w w:val="90"/>
              </w:rPr>
              <w:t>(units 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70"/>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Meters</w:t>
            </w: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33"/>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Standard</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8,360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8,500</w:t>
            </w:r>
          </w:p>
        </w:tc>
      </w:tr>
      <w:tr>
        <w:trPr>
          <w:trHeight w:val="237"/>
        </w:trPr>
        <w:tc>
          <w:tcPr>
            <w:tcW w:w="5360" w:type="dxa"/>
            <w:vAlign w:val="bottom"/>
            <w:gridSpan w:val="2"/>
          </w:tcPr>
          <w:p>
            <w:pPr>
              <w:ind w:left="380"/>
              <w:spacing w:after="0"/>
              <w:rPr>
                <w:sz w:val="20"/>
                <w:szCs w:val="20"/>
                <w:color w:val="auto"/>
              </w:rPr>
            </w:pPr>
            <w:r>
              <w:rPr>
                <w:rFonts w:ascii="Arial" w:cs="Arial" w:eastAsia="Arial" w:hAnsi="Arial"/>
                <w:sz w:val="16"/>
                <w:szCs w:val="16"/>
                <w:color w:val="auto"/>
              </w:rPr>
              <w:t>Smart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2,570</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2,320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5,010</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4,510</w:t>
            </w:r>
          </w:p>
        </w:tc>
      </w:tr>
      <w:tr>
        <w:trPr>
          <w:trHeight w:val="33"/>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3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 meters</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6,920</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6,450</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13,370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13,010</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50"/>
        </w:trPr>
        <w:tc>
          <w:tcPr>
            <w:tcW w:w="5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Stand-alone communication modules</w:t>
            </w: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50"/>
        </w:trPr>
        <w:tc>
          <w:tcPr>
            <w:tcW w:w="5360" w:type="dxa"/>
            <w:vAlign w:val="bottom"/>
            <w:gridSpan w:val="2"/>
          </w:tcPr>
          <w:p>
            <w:pPr>
              <w:ind w:left="380"/>
              <w:spacing w:after="0"/>
              <w:rPr>
                <w:sz w:val="20"/>
                <w:szCs w:val="20"/>
                <w:color w:val="auto"/>
              </w:rPr>
            </w:pPr>
            <w:r>
              <w:rPr>
                <w:rFonts w:ascii="Arial" w:cs="Arial" w:eastAsia="Arial" w:hAnsi="Arial"/>
                <w:sz w:val="16"/>
                <w:szCs w:val="16"/>
                <w:color w:val="auto"/>
              </w:rPr>
              <w:t>Smart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1,530</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2,930</w:t>
            </w:r>
          </w:p>
        </w:tc>
        <w:tc>
          <w:tcPr>
            <w:tcW w:w="100" w:type="dxa"/>
            <w:vAlign w:val="bottom"/>
          </w:tcPr>
          <w:p>
            <w:pPr>
              <w:spacing w:after="0"/>
              <w:rPr>
                <w:sz w:val="21"/>
                <w:szCs w:val="21"/>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2,900</w:t>
            </w:r>
          </w:p>
        </w:tc>
      </w:tr>
      <w:tr>
        <w:trPr>
          <w:trHeight w:val="20"/>
        </w:trPr>
        <w:tc>
          <w:tcPr>
            <w:tcW w:w="4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Gross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revenues and gross profit were as follows: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3480" w:type="dxa"/>
            <w:vAlign w:val="bottom"/>
            <w:gridSpan w:val="4"/>
            <w:vMerge w:val="restart"/>
          </w:tcPr>
          <w:p>
            <w:pPr>
              <w:jc w:val="right"/>
              <w:ind w:right="599"/>
              <w:spacing w:after="0"/>
              <w:rPr>
                <w:sz w:val="20"/>
                <w:szCs w:val="20"/>
                <w:color w:val="auto"/>
              </w:rPr>
            </w:pPr>
            <w:r>
              <w:rPr>
                <w:rFonts w:ascii="Arial" w:cs="Arial" w:eastAsia="Arial" w:hAnsi="Arial"/>
                <w:sz w:val="16"/>
                <w:szCs w:val="16"/>
                <w:b w:val="1"/>
                <w:bCs w:val="1"/>
                <w:color w:val="auto"/>
              </w:rPr>
              <w:t>Three Months Ended June 30,</w:t>
            </w: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w w:val="94"/>
              </w:rPr>
              <w:t>Effect of Changes in</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348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503,082</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513,024</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(6,439)</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(9,942)</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177,860</w:t>
            </w:r>
          </w:p>
        </w:tc>
        <w:tc>
          <w:tcPr>
            <w:tcW w:w="4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169,705</w:t>
            </w:r>
          </w:p>
        </w:tc>
        <w:tc>
          <w:tcPr>
            <w:tcW w:w="2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(1,992)</w:t>
            </w:r>
          </w:p>
        </w:tc>
        <w:tc>
          <w:tcPr>
            <w:tcW w:w="30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10,147</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8,155</w:t>
            </w:r>
          </w:p>
        </w:tc>
        <w:tc>
          <w:tcPr>
            <w:tcW w:w="0" w:type="dxa"/>
            <w:vAlign w:val="bottom"/>
          </w:tcPr>
          <w:p>
            <w:pPr>
              <w:spacing w:after="0"/>
              <w:rPr>
                <w:sz w:val="1"/>
                <w:szCs w:val="1"/>
                <w:color w:val="auto"/>
              </w:rPr>
            </w:pPr>
          </w:p>
        </w:tc>
      </w:tr>
      <w:tr>
        <w:trPr>
          <w:trHeight w:val="681"/>
        </w:trPr>
        <w:tc>
          <w:tcPr>
            <w:tcW w:w="3240" w:type="dxa"/>
            <w:vAlign w:val="bottom"/>
          </w:tcPr>
          <w:p>
            <w:pPr>
              <w:spacing w:after="0"/>
              <w:rPr>
                <w:sz w:val="24"/>
                <w:szCs w:val="24"/>
                <w:color w:val="auto"/>
              </w:rPr>
            </w:pPr>
          </w:p>
        </w:tc>
        <w:tc>
          <w:tcPr>
            <w:tcW w:w="3480" w:type="dxa"/>
            <w:vAlign w:val="bottom"/>
            <w:gridSpan w:val="4"/>
            <w:vMerge w:val="restart"/>
          </w:tcPr>
          <w:p>
            <w:pPr>
              <w:jc w:val="right"/>
              <w:ind w:right="699"/>
              <w:spacing w:after="0"/>
              <w:rPr>
                <w:sz w:val="20"/>
                <w:szCs w:val="20"/>
                <w:color w:val="auto"/>
              </w:rPr>
            </w:pPr>
            <w:r>
              <w:rPr>
                <w:rFonts w:ascii="Arial" w:cs="Arial" w:eastAsia="Arial" w:hAnsi="Arial"/>
                <w:sz w:val="16"/>
                <w:szCs w:val="16"/>
                <w:b w:val="1"/>
                <w:bCs w:val="1"/>
                <w:color w:val="auto"/>
              </w:rPr>
              <w:t>Six Months Ended June 30,</w:t>
            </w: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w w:val="94"/>
              </w:rPr>
              <w:t>Effect of Changes in</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348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vMerge w:val="restart"/>
          </w:tcPr>
          <w:p>
            <w:pPr>
              <w:jc w:val="center"/>
              <w:ind w:right="7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20" w:type="dxa"/>
            <w:vAlign w:val="bottom"/>
            <w:gridSpan w:val="2"/>
          </w:tcPr>
          <w:p>
            <w:pPr>
              <w:ind w:left="1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Revenues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980,674</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1,010,614</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(11,724)</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(29,940)</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Gross profit</w:t>
            </w:r>
          </w:p>
        </w:tc>
        <w:tc>
          <w:tcPr>
            <w:tcW w:w="102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335,085</w:t>
            </w:r>
          </w:p>
        </w:tc>
        <w:tc>
          <w:tcPr>
            <w:tcW w:w="4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332,908</w:t>
            </w:r>
          </w:p>
        </w:tc>
        <w:tc>
          <w:tcPr>
            <w:tcW w:w="2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(4,268)</w:t>
            </w:r>
          </w:p>
        </w:tc>
        <w:tc>
          <w:tcPr>
            <w:tcW w:w="30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6,445</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2,177</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40" w:hanging="332"/>
        <w:spacing w:after="0" w:line="217" w:lineRule="auto"/>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22222"/>
        </w:rPr>
        <w:t xml:space="preserve">Revenues decreased </w:t>
      </w:r>
      <w:r>
        <w:rPr>
          <w:rFonts w:ascii="Arial" w:cs="Arial" w:eastAsia="Arial" w:hAnsi="Arial"/>
          <w:sz w:val="17"/>
          <w:szCs w:val="17"/>
          <w:color w:val="000000"/>
        </w:rPr>
        <w:t>$9.9 million</w:t>
      </w:r>
      <w:r>
        <w:rPr>
          <w:rFonts w:ascii="Arial" w:cs="Arial" w:eastAsia="Arial" w:hAnsi="Arial"/>
          <w:sz w:val="17"/>
          <w:szCs w:val="17"/>
          <w:color w:val="222222"/>
        </w:rPr>
        <w:t xml:space="preserve"> and $29.9 million, or 2% and 3%, for the </w:t>
      </w:r>
      <w:r>
        <w:rPr>
          <w:rFonts w:ascii="Arial" w:cs="Arial" w:eastAsia="Arial" w:hAnsi="Arial"/>
          <w:sz w:val="17"/>
          <w:szCs w:val="17"/>
          <w:color w:val="000000"/>
        </w:rPr>
        <w:t>three and six</w:t>
      </w:r>
      <w:r>
        <w:rPr>
          <w:rFonts w:ascii="Arial" w:cs="Arial" w:eastAsia="Arial" w:hAnsi="Arial"/>
          <w:sz w:val="17"/>
          <w:szCs w:val="17"/>
          <w:color w:val="222222"/>
        </w:rPr>
        <w:t xml:space="preserve"> months ended </w:t>
      </w:r>
      <w:r>
        <w:rPr>
          <w:rFonts w:ascii="Arial" w:cs="Arial" w:eastAsia="Arial" w:hAnsi="Arial"/>
          <w:sz w:val="17"/>
          <w:szCs w:val="17"/>
          <w:color w:val="000000"/>
        </w:rPr>
        <w:t>June 30, 2017</w:t>
      </w:r>
      <w:r>
        <w:rPr>
          <w:rFonts w:ascii="Arial" w:cs="Arial" w:eastAsia="Arial" w:hAnsi="Arial"/>
          <w:sz w:val="17"/>
          <w:szCs w:val="17"/>
          <w:color w:val="222222"/>
        </w:rPr>
        <w:t xml:space="preserve">, compared with the same periods in </w:t>
      </w:r>
      <w:r>
        <w:rPr>
          <w:rFonts w:ascii="Arial" w:cs="Arial" w:eastAsia="Arial" w:hAnsi="Arial"/>
          <w:sz w:val="17"/>
          <w:szCs w:val="17"/>
          <w:color w:val="000000"/>
        </w:rPr>
        <w:t>2016</w:t>
      </w:r>
      <w:r>
        <w:rPr>
          <w:rFonts w:ascii="Arial" w:cs="Arial" w:eastAsia="Arial" w:hAnsi="Arial"/>
          <w:sz w:val="17"/>
          <w:szCs w:val="17"/>
          <w:color w:val="222222"/>
        </w:rPr>
        <w:t>. For the three months ended</w:t>
      </w:r>
      <w:r>
        <w:rPr>
          <w:rFonts w:ascii="Arial" w:cs="Arial" w:eastAsia="Arial" w:hAnsi="Arial"/>
          <w:sz w:val="17"/>
          <w:szCs w:val="17"/>
          <w:color w:val="000000"/>
        </w:rPr>
        <w:t xml:space="preserve"> June 30, 2017</w:t>
      </w:r>
      <w:r>
        <w:rPr>
          <w:rFonts w:ascii="Arial" w:cs="Arial" w:eastAsia="Arial" w:hAnsi="Arial"/>
          <w:sz w:val="17"/>
          <w:szCs w:val="17"/>
          <w:color w:val="222222"/>
        </w:rPr>
        <w:t>, revenues in the Electricity segment increased by $17.5 million, while revenues decreased in the Gas and</w:t>
      </w:r>
      <w:r>
        <w:rPr>
          <w:rFonts w:ascii="Arial" w:cs="Arial" w:eastAsia="Arial" w:hAnsi="Arial"/>
          <w:sz w:val="17"/>
          <w:szCs w:val="17"/>
          <w:color w:val="000000"/>
        </w:rPr>
        <w:t xml:space="preserve"> </w:t>
      </w:r>
      <w:r>
        <w:rPr>
          <w:rFonts w:ascii="Arial" w:cs="Arial" w:eastAsia="Arial" w:hAnsi="Arial"/>
          <w:sz w:val="17"/>
          <w:szCs w:val="17"/>
          <w:color w:val="222222"/>
        </w:rPr>
        <w:t xml:space="preserve">Water segments $11.6 million and $15.9 million, respectively, compared with the same period in </w:t>
      </w:r>
      <w:r>
        <w:rPr>
          <w:rFonts w:ascii="Arial" w:cs="Arial" w:eastAsia="Arial" w:hAnsi="Arial"/>
          <w:sz w:val="17"/>
          <w:szCs w:val="17"/>
          <w:color w:val="000000"/>
        </w:rPr>
        <w:t>2016</w:t>
      </w:r>
      <w:r>
        <w:rPr>
          <w:rFonts w:ascii="Arial" w:cs="Arial" w:eastAsia="Arial" w:hAnsi="Arial"/>
          <w:sz w:val="17"/>
          <w:szCs w:val="17"/>
          <w:color w:val="222222"/>
        </w:rPr>
        <w:t xml:space="preserve">. For the </w:t>
      </w:r>
      <w:r>
        <w:rPr>
          <w:rFonts w:ascii="Arial" w:cs="Arial" w:eastAsia="Arial" w:hAnsi="Arial"/>
          <w:sz w:val="17"/>
          <w:szCs w:val="17"/>
          <w:color w:val="000000"/>
        </w:rPr>
        <w:t>six</w:t>
      </w:r>
      <w:r>
        <w:rPr>
          <w:rFonts w:ascii="Arial" w:cs="Arial" w:eastAsia="Arial" w:hAnsi="Arial"/>
          <w:sz w:val="17"/>
          <w:szCs w:val="17"/>
          <w:color w:val="222222"/>
        </w:rPr>
        <w:t xml:space="preserve"> months ended </w:t>
      </w:r>
      <w:r>
        <w:rPr>
          <w:rFonts w:ascii="Arial" w:cs="Arial" w:eastAsia="Arial" w:hAnsi="Arial"/>
          <w:sz w:val="17"/>
          <w:szCs w:val="17"/>
          <w:color w:val="000000"/>
        </w:rPr>
        <w:t>June 30, 2017</w:t>
      </w:r>
      <w:r>
        <w:rPr>
          <w:rFonts w:ascii="Arial" w:cs="Arial" w:eastAsia="Arial" w:hAnsi="Arial"/>
          <w:sz w:val="17"/>
          <w:szCs w:val="17"/>
          <w:color w:val="222222"/>
        </w:rPr>
        <w:t xml:space="preserve">, revenues in the Electricity segment increased by $39.0 million, while revenues decreased in the Gas and Water segments $26.6 million and $42.3 million, respectively, compared with the same period in </w:t>
      </w:r>
      <w:r>
        <w:rPr>
          <w:rFonts w:ascii="Arial" w:cs="Arial" w:eastAsia="Arial" w:hAnsi="Arial"/>
          <w:sz w:val="17"/>
          <w:szCs w:val="17"/>
          <w:color w:val="000000"/>
        </w:rPr>
        <w:t>2016</w:t>
      </w:r>
      <w:r>
        <w:rPr>
          <w:rFonts w:ascii="Arial" w:cs="Arial" w:eastAsia="Arial" w:hAnsi="Arial"/>
          <w:sz w:val="17"/>
          <w:szCs w:val="17"/>
          <w:color w:val="222222"/>
        </w:rPr>
        <w:t xml:space="preserve">. The effect of changes in foreign currency exchange rates unfavorably impacted revenues for the </w:t>
      </w:r>
      <w:r>
        <w:rPr>
          <w:rFonts w:ascii="Arial" w:cs="Arial" w:eastAsia="Arial" w:hAnsi="Arial"/>
          <w:sz w:val="17"/>
          <w:szCs w:val="17"/>
          <w:color w:val="000000"/>
        </w:rPr>
        <w:t>three and six</w:t>
      </w:r>
      <w:r>
        <w:rPr>
          <w:rFonts w:ascii="Arial" w:cs="Arial" w:eastAsia="Arial" w:hAnsi="Arial"/>
          <w:sz w:val="17"/>
          <w:szCs w:val="17"/>
          <w:color w:val="222222"/>
        </w:rPr>
        <w:t xml:space="preserve"> months ended </w:t>
      </w:r>
      <w:r>
        <w:rPr>
          <w:rFonts w:ascii="Arial" w:cs="Arial" w:eastAsia="Arial" w:hAnsi="Arial"/>
          <w:sz w:val="17"/>
          <w:szCs w:val="17"/>
          <w:color w:val="000000"/>
        </w:rPr>
        <w:t>June 30, 2017</w:t>
      </w:r>
      <w:r>
        <w:rPr>
          <w:rFonts w:ascii="Arial" w:cs="Arial" w:eastAsia="Arial" w:hAnsi="Arial"/>
          <w:sz w:val="17"/>
          <w:szCs w:val="17"/>
          <w:color w:val="222222"/>
        </w:rPr>
        <w:t xml:space="preserve"> by $6.4 million and $11.7 million, respectively.</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For the three months ended June 30, 2017, one customer represented 11% of total company revenues. No customer represented more than 10% of total revenues for the six months ended June 30, 2017 or the three and six months ended June 30, 2016. Our 10 largest customers accounted for 35% and 33% of total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and six </w:t>
      </w:r>
      <w:r>
        <w:rPr>
          <w:rFonts w:ascii="Arial" w:cs="Arial" w:eastAsia="Arial" w:hAnsi="Arial"/>
          <w:sz w:val="18"/>
          <w:szCs w:val="18"/>
          <w:color w:val="222222"/>
        </w:rPr>
        <w:t>months ended</w:t>
      </w:r>
      <w:r>
        <w:rPr>
          <w:rFonts w:ascii="Arial" w:cs="Arial" w:eastAsia="Arial" w:hAnsi="Arial"/>
          <w:sz w:val="18"/>
          <w:szCs w:val="18"/>
          <w:color w:val="auto"/>
        </w:rPr>
        <w:t xml:space="preserve"> June 30, 2017, respectively, and 32% and 30% of total revenues during </w:t>
      </w:r>
      <w:r>
        <w:rPr>
          <w:rFonts w:ascii="Arial" w:cs="Arial" w:eastAsia="Arial" w:hAnsi="Arial"/>
          <w:sz w:val="18"/>
          <w:szCs w:val="18"/>
          <w:color w:val="222222"/>
        </w:rPr>
        <w:t>the</w:t>
      </w:r>
      <w:r>
        <w:rPr>
          <w:rFonts w:ascii="Arial" w:cs="Arial" w:eastAsia="Arial" w:hAnsi="Arial"/>
          <w:sz w:val="18"/>
          <w:szCs w:val="18"/>
          <w:color w:val="auto"/>
        </w:rPr>
        <w:t xml:space="preserve"> three and six </w:t>
      </w:r>
      <w:r>
        <w:rPr>
          <w:rFonts w:ascii="Arial" w:cs="Arial" w:eastAsia="Arial" w:hAnsi="Arial"/>
          <w:sz w:val="18"/>
          <w:szCs w:val="18"/>
          <w:color w:val="222222"/>
        </w:rPr>
        <w:t>months ended</w:t>
      </w:r>
      <w:r>
        <w:rPr>
          <w:rFonts w:ascii="Arial" w:cs="Arial" w:eastAsia="Arial" w:hAnsi="Arial"/>
          <w:sz w:val="18"/>
          <w:szCs w:val="18"/>
          <w:color w:val="auto"/>
        </w:rPr>
        <w:t xml:space="preserve"> June 30, 2016, respectively.</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22222"/>
        </w:rPr>
        <w:t xml:space="preserve">Gross margin for the </w:t>
      </w:r>
      <w:r>
        <w:rPr>
          <w:rFonts w:ascii="Arial" w:cs="Arial" w:eastAsia="Arial" w:hAnsi="Arial"/>
          <w:sz w:val="18"/>
          <w:szCs w:val="18"/>
          <w:color w:val="000000"/>
        </w:rPr>
        <w:t>second</w:t>
      </w:r>
      <w:r>
        <w:rPr>
          <w:rFonts w:ascii="Arial" w:cs="Arial" w:eastAsia="Arial" w:hAnsi="Arial"/>
          <w:sz w:val="18"/>
          <w:szCs w:val="18"/>
          <w:color w:val="222222"/>
        </w:rPr>
        <w:t xml:space="preserve"> quarter of </w:t>
      </w:r>
      <w:r>
        <w:rPr>
          <w:rFonts w:ascii="Arial" w:cs="Arial" w:eastAsia="Arial" w:hAnsi="Arial"/>
          <w:sz w:val="18"/>
          <w:szCs w:val="18"/>
          <w:color w:val="000000"/>
        </w:rPr>
        <w:t>2017</w:t>
      </w:r>
      <w:r>
        <w:rPr>
          <w:rFonts w:ascii="Arial" w:cs="Arial" w:eastAsia="Arial" w:hAnsi="Arial"/>
          <w:sz w:val="18"/>
          <w:szCs w:val="18"/>
          <w:color w:val="222222"/>
        </w:rPr>
        <w:t xml:space="preserve"> was 35.4%, compared with 33.1% for the same period in </w:t>
      </w:r>
      <w:r>
        <w:rPr>
          <w:rFonts w:ascii="Arial" w:cs="Arial" w:eastAsia="Arial" w:hAnsi="Arial"/>
          <w:sz w:val="18"/>
          <w:szCs w:val="18"/>
          <w:color w:val="000000"/>
        </w:rPr>
        <w:t>2016</w:t>
      </w:r>
      <w:r>
        <w:rPr>
          <w:rFonts w:ascii="Arial" w:cs="Arial" w:eastAsia="Arial" w:hAnsi="Arial"/>
          <w:sz w:val="18"/>
          <w:szCs w:val="18"/>
          <w:color w:val="222222"/>
        </w:rPr>
        <w:t>. The increased gross margin was primarily driven by an $8.0 million insurance recovery in our Water segment and improved product mix. This recovery relates to warranty costs previously recognized as a result of the 2015 product replacement notification to customers who had purchased certain communication modules, which favorably impacted second quarter margins by approximately 160 basis points.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22222"/>
        </w:rPr>
        <w:t xml:space="preserve">Gross margin for the six months ended June 30, 2017 was 34.2%, compared with 32.9% for the same period in </w:t>
      </w:r>
      <w:r>
        <w:rPr>
          <w:rFonts w:ascii="Arial" w:cs="Arial" w:eastAsia="Arial" w:hAnsi="Arial"/>
          <w:sz w:val="18"/>
          <w:szCs w:val="18"/>
          <w:color w:val="000000"/>
        </w:rPr>
        <w:t>2016</w:t>
      </w:r>
      <w:r>
        <w:rPr>
          <w:rFonts w:ascii="Arial" w:cs="Arial" w:eastAsia="Arial" w:hAnsi="Arial"/>
          <w:sz w:val="18"/>
          <w:szCs w:val="18"/>
          <w:color w:val="222222"/>
        </w:rPr>
        <w:t>. Gross margin improved due to the Water segment insurance recovery and improved product mix in our Gas and Water segments. The Water segment insurance recovery contributed approximately 80 basis points to the margin improvement.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and effects of changes in foreign currency exchange rates in operating expenses were as follows:</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Pr>
          <w:p>
            <w:pPr>
              <w:spacing w:after="0"/>
              <w:rPr>
                <w:sz w:val="17"/>
                <w:szCs w:val="17"/>
                <w:color w:val="auto"/>
              </w:rPr>
            </w:pPr>
          </w:p>
        </w:tc>
        <w:tc>
          <w:tcPr>
            <w:tcW w:w="282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Effect of Changes in</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282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and marketing</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44,753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5,377</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43,111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43,354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43,161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(2,167)</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4,970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7,796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(2,826)</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5,043</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6,665</w:t>
            </w:r>
          </w:p>
        </w:tc>
        <w:tc>
          <w:tcPr>
            <w:tcW w:w="0" w:type="dxa"/>
            <w:vAlign w:val="bottom"/>
          </w:tcPr>
          <w:p>
            <w:pPr>
              <w:spacing w:after="0"/>
              <w:rPr>
                <w:sz w:val="1"/>
                <w:szCs w:val="1"/>
                <w:color w:val="auto"/>
              </w:rPr>
            </w:pPr>
          </w:p>
        </w:tc>
      </w:tr>
      <w:tr>
        <w:trPr>
          <w:trHeight w:val="217"/>
        </w:trPr>
        <w:tc>
          <w:tcPr>
            <w:tcW w:w="3240" w:type="dxa"/>
            <w:vAlign w:val="bottom"/>
          </w:tcPr>
          <w:p>
            <w:pPr>
              <w:ind w:left="42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141,038</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134,232</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8,646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6,806</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240" w:type="dxa"/>
            <w:vAlign w:val="bottom"/>
          </w:tcPr>
          <w:p>
            <w:pPr>
              <w:spacing w:after="0"/>
              <w:rPr>
                <w:sz w:val="24"/>
                <w:szCs w:val="24"/>
                <w:color w:val="auto"/>
              </w:rPr>
            </w:pPr>
          </w:p>
        </w:tc>
        <w:tc>
          <w:tcPr>
            <w:tcW w:w="2820" w:type="dxa"/>
            <w:vAlign w:val="bottom"/>
            <w:gridSpan w:val="4"/>
            <w:vMerge w:val="restart"/>
          </w:tcPr>
          <w:p>
            <w:pPr>
              <w:jc w:val="right"/>
              <w:ind w:right="39"/>
              <w:spacing w:after="0"/>
              <w:rPr>
                <w:sz w:val="20"/>
                <w:szCs w:val="20"/>
                <w:color w:val="auto"/>
              </w:rPr>
            </w:pPr>
            <w:r>
              <w:rPr>
                <w:rFonts w:ascii="Arial" w:cs="Arial" w:eastAsia="Arial" w:hAnsi="Arial"/>
                <w:sz w:val="16"/>
                <w:szCs w:val="16"/>
                <w:b w:val="1"/>
                <w:bCs w:val="1"/>
                <w:color w:val="auto"/>
              </w:rPr>
              <w:t>Six Months Ended June 30,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Effect of Changes in</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40" w:type="dxa"/>
            <w:vAlign w:val="bottom"/>
          </w:tcPr>
          <w:p>
            <w:pPr>
              <w:spacing w:after="0"/>
              <w:rPr>
                <w:sz w:val="11"/>
                <w:szCs w:val="11"/>
                <w:color w:val="auto"/>
              </w:rPr>
            </w:pPr>
          </w:p>
        </w:tc>
        <w:tc>
          <w:tcPr>
            <w:tcW w:w="2820" w:type="dxa"/>
            <w:vAlign w:val="bottom"/>
            <w:gridSpan w:val="4"/>
            <w:vMerge w:val="continue"/>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vMerge w:val="restart"/>
          </w:tcPr>
          <w:p>
            <w:pPr>
              <w:jc w:val="center"/>
              <w:ind w:right="220"/>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88"/>
              </w:rPr>
              <w:t>Exchange Rates</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ind w:left="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Total Company</w:t>
            </w: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and marketing</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86,221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80,143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6,078</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83,979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88,700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(4,721)</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80,407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(9,990)</w:t>
            </w:r>
          </w:p>
        </w:tc>
        <w:tc>
          <w:tcPr>
            <w:tcW w:w="0" w:type="dxa"/>
            <w:vAlign w:val="bottom"/>
          </w:tcPr>
          <w:p>
            <w:pPr>
              <w:spacing w:after="0"/>
              <w:rPr>
                <w:sz w:val="1"/>
                <w:szCs w:val="1"/>
                <w:color w:val="auto"/>
              </w:rPr>
            </w:pPr>
          </w:p>
        </w:tc>
      </w:tr>
      <w:tr>
        <w:trPr>
          <w:trHeight w:val="237"/>
        </w:trPr>
        <w:tc>
          <w:tcPr>
            <w:tcW w:w="324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9,519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14,006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(4,487)</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Restructuring</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8,095</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7,480</w:t>
            </w:r>
          </w:p>
        </w:tc>
        <w:tc>
          <w:tcPr>
            <w:tcW w:w="0" w:type="dxa"/>
            <w:vAlign w:val="bottom"/>
          </w:tcPr>
          <w:p>
            <w:pPr>
              <w:spacing w:after="0"/>
              <w:rPr>
                <w:sz w:val="1"/>
                <w:szCs w:val="1"/>
                <w:color w:val="auto"/>
              </w:rPr>
            </w:pPr>
          </w:p>
        </w:tc>
      </w:tr>
      <w:tr>
        <w:trPr>
          <w:trHeight w:val="217"/>
        </w:trPr>
        <w:tc>
          <w:tcPr>
            <w:tcW w:w="3240" w:type="dxa"/>
            <w:vAlign w:val="bottom"/>
          </w:tcPr>
          <w:p>
            <w:pPr>
              <w:ind w:left="420"/>
              <w:spacing w:after="0"/>
              <w:rPr>
                <w:sz w:val="20"/>
                <w:szCs w:val="20"/>
                <w:color w:val="auto"/>
              </w:rPr>
            </w:pPr>
            <w:r>
              <w:rPr>
                <w:rFonts w:ascii="Arial" w:cs="Arial" w:eastAsia="Arial" w:hAnsi="Arial"/>
                <w:sz w:val="16"/>
                <w:szCs w:val="16"/>
                <w:color w:val="auto"/>
              </w:rPr>
              <w:t>Total Operating expenses</w:t>
            </w: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268,221</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273,861</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(5,640)</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increased $6.8 million for the three months ended June 30, 2017 as compared with the same period in 2016. The increase was primarily due to increases in restructuring and sales and marketing expenses. During the same period in 2016, there were higher legal and professional services fees, which partially offset expenses associated with the acquisition and integration of Comverge in 2017. These expenses were recognized as general and administrative expenses.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decreased $5.6 million for the six months ended June 30, 2017 as compared with the same period in 2016. The decrease was primarily related to decreases in general and administrative and product development expenses, partially offset by increases in restructuring and sales and marketing expenses. General and administrative expenses decreased due to reduced legal and professional services fees as compared with 2016, more than offsetting acquisition and integration expenses associated with Comverge in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2780" w:type="dxa"/>
            <w:vAlign w:val="bottom"/>
            <w:gridSpan w:val="4"/>
          </w:tcPr>
          <w:p>
            <w:pPr>
              <w:ind w:left="640"/>
              <w:spacing w:after="0"/>
              <w:rPr>
                <w:sz w:val="20"/>
                <w:szCs w:val="20"/>
                <w:color w:val="auto"/>
              </w:rPr>
            </w:pPr>
            <w:r>
              <w:rPr>
                <w:rFonts w:ascii="Arial" w:cs="Arial" w:eastAsia="Arial" w:hAnsi="Arial"/>
                <w:sz w:val="16"/>
                <w:szCs w:val="16"/>
                <w:b w:val="1"/>
                <w:bCs w:val="1"/>
                <w:color w:val="auto"/>
                <w:w w:val="93"/>
              </w:rPr>
              <w:t>Three Months Ended June 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28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1"/>
        </w:trPr>
        <w:tc>
          <w:tcPr>
            <w:tcW w:w="2880" w:type="dxa"/>
            <w:vAlign w:val="bottom"/>
          </w:tcPr>
          <w:p>
            <w:pPr>
              <w:spacing w:after="0"/>
              <w:rPr>
                <w:sz w:val="20"/>
                <w:szCs w:val="20"/>
                <w:color w:val="auto"/>
              </w:rPr>
            </w:pPr>
          </w:p>
        </w:tc>
        <w:tc>
          <w:tcPr>
            <w:tcW w:w="1020" w:type="dxa"/>
            <w:vAlign w:val="bottom"/>
          </w:tcPr>
          <w:p>
            <w:pPr>
              <w:ind w:left="640"/>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 Change</w:t>
            </w:r>
          </w:p>
        </w:tc>
        <w:tc>
          <w:tcPr>
            <w:tcW w:w="380" w:type="dxa"/>
            <w:vAlign w:val="bottom"/>
          </w:tcPr>
          <w:p>
            <w:pPr>
              <w:spacing w:after="0"/>
              <w:rPr>
                <w:sz w:val="20"/>
                <w:szCs w:val="20"/>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28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2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6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(in thousands)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(in thousands)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2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w:t>
            </w:r>
          </w:p>
        </w:tc>
        <w:tc>
          <w:tcPr>
            <w:tcW w:w="9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7"/>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50%</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(2,609)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4"/>
              </w:rPr>
              <w:t>(2,477)</w:t>
            </w:r>
          </w:p>
        </w:tc>
        <w:tc>
          <w:tcPr>
            <w:tcW w:w="900" w:type="dxa"/>
            <w:vAlign w:val="bottom"/>
            <w:gridSpan w:val="2"/>
          </w:tcPr>
          <w:p>
            <w:pPr>
              <w:jc w:val="center"/>
              <w:ind w:left="19"/>
              <w:spacing w:after="0"/>
              <w:rPr>
                <w:sz w:val="20"/>
                <w:szCs w:val="20"/>
                <w:color w:val="auto"/>
              </w:rPr>
            </w:pPr>
            <w:r>
              <w:rPr>
                <w:rFonts w:ascii="Arial" w:cs="Arial" w:eastAsia="Arial" w:hAnsi="Arial"/>
                <w:sz w:val="16"/>
                <w:szCs w:val="16"/>
                <w:color w:val="auto"/>
                <w:w w:val="86"/>
              </w:rPr>
              <w:t>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(5,017)</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(5,119)</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4"/>
              </w:rPr>
              <w:t>(2)%</w:t>
            </w:r>
          </w:p>
        </w:tc>
      </w:tr>
      <w:tr>
        <w:trPr>
          <w:trHeight w:val="33"/>
        </w:trPr>
        <w:tc>
          <w:tcPr>
            <w:tcW w:w="2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9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6"/>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8"/>
              </w:rPr>
              <w:t>(2,849)</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(264)</w:t>
            </w:r>
          </w:p>
        </w:tc>
        <w:tc>
          <w:tcPr>
            <w:tcW w:w="900" w:type="dxa"/>
            <w:vAlign w:val="bottom"/>
            <w:gridSpan w:val="2"/>
          </w:tcPr>
          <w:p>
            <w:pPr>
              <w:jc w:val="center"/>
              <w:ind w:left="19"/>
              <w:spacing w:after="0"/>
              <w:rPr>
                <w:sz w:val="20"/>
                <w:szCs w:val="20"/>
                <w:color w:val="auto"/>
              </w:rPr>
            </w:pPr>
            <w:r>
              <w:rPr>
                <w:rFonts w:ascii="Arial" w:cs="Arial" w:eastAsia="Arial" w:hAnsi="Arial"/>
                <w:sz w:val="16"/>
                <w:szCs w:val="16"/>
                <w:color w:val="auto"/>
                <w:w w:val="87"/>
              </w:rPr>
              <w:t>979%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(5,425)</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(1,781)</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2"/>
              </w:rPr>
              <w:t>205%</w:t>
            </w:r>
          </w:p>
        </w:tc>
      </w:tr>
      <w:tr>
        <w:trPr>
          <w:trHeight w:val="33"/>
        </w:trPr>
        <w:tc>
          <w:tcPr>
            <w:tcW w:w="28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r>
      <w:tr>
        <w:trPr>
          <w:trHeight w:val="257"/>
        </w:trPr>
        <w:tc>
          <w:tcPr>
            <w:tcW w:w="2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(5,255)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(2,778)</w:t>
            </w:r>
          </w:p>
        </w:tc>
        <w:tc>
          <w:tcPr>
            <w:tcW w:w="9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7"/>
              </w:rPr>
              <w:t>89%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(10,236)</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(6,942)</w:t>
            </w:r>
          </w:p>
        </w:tc>
        <w:tc>
          <w:tcPr>
            <w:tcW w:w="1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47%</w:t>
            </w:r>
          </w:p>
        </w:tc>
      </w:tr>
      <w:tr>
        <w:trPr>
          <w:trHeight w:val="20"/>
        </w:trPr>
        <w:tc>
          <w:tcPr>
            <w:tcW w:w="28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other income (expense) for the three and six months ended June 30, 2017 was a net expense of $5.3 million and $10.2 million, respectively, compared with $2.8 million and $6.9 million in the same period in 2016. The change in other income (expense), net, for the three and six months ended June 30, 2017 as compared with the same period in 2016 was a result of fluctuations in the recognized foreign currency exchange gains and losses due to balances denominated in a currency other than the reporting entity's functional currency.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and six months ended June 30, 2017, our income tax provision was $16.6 million and $25.6 million compared with $12.2 million and $20.8 million for the same period in 2016. Our tax rate for the three and six months ended June 30, 2017 of 52% and 45% differed from the federal statutory rate of 35% due to the forecasted mix of earnings in domestic and international jurisdictions, a benefit related to excess tax benefits under ASU 2016-09, and losses experienced in jurisdictions with valuation allowances on deferred tax assets. Our tax rate for the three and six months ended June 30, 2016 of 37% and 40% differed from the federal statutory rate of 35% due to the forecasted mix of earnings in domestic and international jurisdictions and losses experienced in jurisdictions with valuation allowances on deferred tax assets.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operating segments, refer to Item 1: “Financial Statements Note 15: Segment Information.”</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Six Months Ended June 30,</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7"/>
              </w:rPr>
              <w:t>% Change</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Segment Revenues</w:t>
            </w:r>
          </w:p>
        </w:tc>
        <w:tc>
          <w:tcPr>
            <w:tcW w:w="120" w:type="dxa"/>
            <w:vAlign w:val="bottom"/>
          </w:tcPr>
          <w:p>
            <w:pPr>
              <w:spacing w:after="0"/>
              <w:rPr>
                <w:sz w:val="22"/>
                <w:szCs w:val="22"/>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87"/>
              </w:rPr>
              <w:t>(in thousands)</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84"/>
              </w:rPr>
              <w:t>(in thousands)</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250,332</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232,823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8"/>
              </w:rPr>
              <w:t>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489,083</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450,118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88"/>
              </w:rPr>
              <w:t>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Gas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138,700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150,266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color w:val="auto"/>
                <w:w w:val="94"/>
              </w:rPr>
              <w:t>(8)%</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262,911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289,522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114,050</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129,935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6"/>
              </w:rPr>
              <w:t>(12)%</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228,680</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270,974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6"/>
              </w:rPr>
              <w:t>(16)%</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660"/>
              <w:spacing w:after="0"/>
              <w:rPr>
                <w:sz w:val="20"/>
                <w:szCs w:val="20"/>
                <w:color w:val="auto"/>
              </w:rPr>
            </w:pPr>
            <w:r>
              <w:rPr>
                <w:rFonts w:ascii="Arial" w:cs="Arial" w:eastAsia="Arial" w:hAnsi="Arial"/>
                <w:sz w:val="14"/>
                <w:szCs w:val="14"/>
                <w:color w:val="auto"/>
              </w:rPr>
              <w:t>Total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503,082</w:t>
            </w: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513,024</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color w:val="auto"/>
                <w:w w:val="94"/>
              </w:rPr>
              <w:t>(2)%</w:t>
            </w: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980,674</w:t>
            </w: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1,010,614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gridSpan w:val="5"/>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94"/>
              </w:rPr>
              <w:t>Three Months Ended 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w w:val="95"/>
              </w:rPr>
              <w:t>Six Months Ended June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9"/>
              </w:rPr>
              <w:t>2017</w:t>
            </w: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2017</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i w:val="1"/>
                <w:iCs w:val="1"/>
                <w:color w:val="auto"/>
                <w:w w:val="88"/>
              </w:rPr>
              <w:t>Gross</w:t>
            </w:r>
          </w:p>
        </w:tc>
        <w:tc>
          <w:tcPr>
            <w:tcW w:w="102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i w:val="1"/>
                <w:iCs w:val="1"/>
                <w:color w:val="auto"/>
                <w:w w:val="88"/>
              </w:rPr>
              <w:t>Gross</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83"/>
              </w:rPr>
              <w:t>Gross</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2"/>
              </w:rPr>
              <w:t>Profit</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i w:val="1"/>
                <w:iCs w:val="1"/>
                <w:color w:val="auto"/>
                <w:w w:val="95"/>
              </w:rPr>
              <w:t>Margin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i w:val="1"/>
                <w:iCs w:val="1"/>
                <w:color w:val="auto"/>
                <w:w w:val="98"/>
              </w:rPr>
              <w:t>Profit</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2"/>
              </w:rPr>
              <w:t>Profit</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i w:val="1"/>
                <w:iCs w:val="1"/>
                <w:color w:val="auto"/>
                <w:w w:val="92"/>
              </w:rPr>
              <w:t>Profit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Margin</w:t>
            </w:r>
          </w:p>
        </w:tc>
        <w:tc>
          <w:tcPr>
            <w:tcW w:w="0" w:type="dxa"/>
            <w:vAlign w:val="bottom"/>
          </w:tcPr>
          <w:p>
            <w:pPr>
              <w:spacing w:after="0"/>
              <w:rPr>
                <w:sz w:val="1"/>
                <w:szCs w:val="1"/>
                <w:color w:val="auto"/>
              </w:rPr>
            </w:pPr>
          </w:p>
        </w:tc>
      </w:tr>
      <w:tr>
        <w:trPr>
          <w:trHeight w:val="143"/>
        </w:trPr>
        <w:tc>
          <w:tcPr>
            <w:tcW w:w="1960" w:type="dxa"/>
            <w:vAlign w:val="bottom"/>
          </w:tcPr>
          <w:p>
            <w:pPr>
              <w:ind w:left="40"/>
              <w:spacing w:after="0" w:line="143" w:lineRule="exact"/>
              <w:rPr>
                <w:sz w:val="20"/>
                <w:szCs w:val="20"/>
                <w:color w:val="auto"/>
              </w:rPr>
            </w:pPr>
            <w:r>
              <w:rPr>
                <w:rFonts w:ascii="Arial" w:cs="Arial" w:eastAsia="Arial" w:hAnsi="Arial"/>
                <w:sz w:val="14"/>
                <w:szCs w:val="14"/>
                <w:b w:val="1"/>
                <w:bCs w:val="1"/>
                <w:i w:val="1"/>
                <w:iCs w:val="1"/>
                <w:color w:val="auto"/>
              </w:rPr>
              <w:t>Segment Gross Profit and</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Margin</w:t>
            </w: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78,595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0"/>
              </w:rPr>
              <w:t>31.4%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70,892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145,787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0"/>
              </w:rPr>
              <w:t>29.8%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135,478</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30.1%</w:t>
            </w: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Gas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50,272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color w:val="auto"/>
                <w:w w:val="90"/>
              </w:rPr>
              <w:t>36.2%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53,483</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100,776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center"/>
              <w:ind w:right="88"/>
              <w:spacing w:after="0"/>
              <w:rPr>
                <w:sz w:val="20"/>
                <w:szCs w:val="20"/>
                <w:color w:val="auto"/>
              </w:rPr>
            </w:pPr>
            <w:r>
              <w:rPr>
                <w:rFonts w:ascii="Arial" w:cs="Arial" w:eastAsia="Arial" w:hAnsi="Arial"/>
                <w:sz w:val="14"/>
                <w:szCs w:val="14"/>
                <w:color w:val="auto"/>
                <w:w w:val="90"/>
              </w:rPr>
              <w:t>38.3%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102,060</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35.3%</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48,993</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0"/>
              </w:rPr>
              <w:t>43.0%</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45,330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34.9%</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88,522</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0"/>
              </w:rPr>
              <w:t>38.7%</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95,370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35.2%</w:t>
            </w:r>
          </w:p>
        </w:tc>
        <w:tc>
          <w:tcPr>
            <w:tcW w:w="0" w:type="dxa"/>
            <w:vAlign w:val="bottom"/>
          </w:tcPr>
          <w:p>
            <w:pPr>
              <w:spacing w:after="0"/>
              <w:rPr>
                <w:sz w:val="1"/>
                <w:szCs w:val="1"/>
                <w:color w:val="auto"/>
              </w:rPr>
            </w:pPr>
          </w:p>
        </w:tc>
      </w:tr>
      <w:tr>
        <w:trPr>
          <w:trHeight w:val="137"/>
        </w:trPr>
        <w:tc>
          <w:tcPr>
            <w:tcW w:w="1960" w:type="dxa"/>
            <w:vAlign w:val="bottom"/>
          </w:tcPr>
          <w:p>
            <w:pPr>
              <w:ind w:left="660"/>
              <w:spacing w:after="0" w:line="137" w:lineRule="exact"/>
              <w:rPr>
                <w:sz w:val="20"/>
                <w:szCs w:val="20"/>
                <w:color w:val="auto"/>
              </w:rPr>
            </w:pPr>
            <w:r>
              <w:rPr>
                <w:rFonts w:ascii="Arial" w:cs="Arial" w:eastAsia="Arial" w:hAnsi="Arial"/>
                <w:sz w:val="14"/>
                <w:szCs w:val="14"/>
                <w:color w:val="auto"/>
                <w:w w:val="97"/>
              </w:rPr>
              <w:t>Total gross profit and</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177,860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9"/>
              <w:spacing w:after="0"/>
              <w:rPr>
                <w:sz w:val="20"/>
                <w:szCs w:val="20"/>
                <w:color w:val="auto"/>
              </w:rPr>
            </w:pPr>
            <w:r>
              <w:rPr>
                <w:rFonts w:ascii="Arial" w:cs="Arial" w:eastAsia="Arial" w:hAnsi="Arial"/>
                <w:sz w:val="14"/>
                <w:szCs w:val="14"/>
                <w:color w:val="auto"/>
              </w:rPr>
              <w:t>169,705</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335,085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332,908</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660"/>
              <w:spacing w:after="0"/>
              <w:rPr>
                <w:sz w:val="20"/>
                <w:szCs w:val="20"/>
                <w:color w:val="auto"/>
              </w:rPr>
            </w:pPr>
            <w:r>
              <w:rPr>
                <w:rFonts w:ascii="Arial" w:cs="Arial" w:eastAsia="Arial" w:hAnsi="Arial"/>
                <w:sz w:val="14"/>
                <w:szCs w:val="14"/>
                <w:color w:val="auto"/>
              </w:rPr>
              <w:t>margin</w:t>
            </w:r>
          </w:p>
        </w:tc>
        <w:tc>
          <w:tcPr>
            <w:tcW w:w="1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0"/>
              </w:rPr>
              <w:t>35.4%</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33.1%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88"/>
              <w:spacing w:after="0"/>
              <w:rPr>
                <w:sz w:val="20"/>
                <w:szCs w:val="20"/>
                <w:color w:val="auto"/>
              </w:rPr>
            </w:pPr>
            <w:r>
              <w:rPr>
                <w:rFonts w:ascii="Arial" w:cs="Arial" w:eastAsia="Arial" w:hAnsi="Arial"/>
                <w:sz w:val="14"/>
                <w:szCs w:val="14"/>
                <w:color w:val="auto"/>
                <w:w w:val="90"/>
              </w:rPr>
              <w:t>34.2%</w:t>
            </w: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32.9%</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gridSpan w:val="6"/>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Six Months Ended June 30,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96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7"/>
              </w:rPr>
              <w:t>% Change</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b w:val="1"/>
                <w:bCs w:val="1"/>
                <w:i w:val="1"/>
                <w:iCs w:val="1"/>
                <w:color w:val="auto"/>
                <w:w w:val="95"/>
              </w:rPr>
              <w:t>Segment Operating Expenses</w:t>
            </w:r>
          </w:p>
        </w:tc>
        <w:tc>
          <w:tcPr>
            <w:tcW w:w="120" w:type="dxa"/>
            <w:vAlign w:val="bottom"/>
          </w:tcPr>
          <w:p>
            <w:pPr>
              <w:spacing w:after="0"/>
              <w:rPr>
                <w:sz w:val="22"/>
                <w:szCs w:val="22"/>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87"/>
              </w:rPr>
              <w:t>(in thousands)</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w w:val="84"/>
              </w:rPr>
              <w:t>(in thousands)</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60,942</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50,884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9"/>
              </w:rPr>
              <w:t>20%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111,272</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104,838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w w:val="88"/>
              </w:rPr>
              <w:t>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Gas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33,709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28,107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center"/>
              <w:ind w:right="49"/>
              <w:spacing w:after="0"/>
              <w:rPr>
                <w:sz w:val="20"/>
                <w:szCs w:val="20"/>
                <w:color w:val="auto"/>
              </w:rPr>
            </w:pPr>
            <w:r>
              <w:rPr>
                <w:rFonts w:ascii="Arial" w:cs="Arial" w:eastAsia="Arial" w:hAnsi="Arial"/>
                <w:sz w:val="14"/>
                <w:szCs w:val="14"/>
                <w:color w:val="auto"/>
                <w:w w:val="99"/>
              </w:rPr>
              <w:t>20%</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62,957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60,385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29"/>
              <w:spacing w:after="0"/>
              <w:rPr>
                <w:sz w:val="20"/>
                <w:szCs w:val="20"/>
                <w:color w:val="auto"/>
              </w:rPr>
            </w:pPr>
            <w:r>
              <w:rPr>
                <w:rFonts w:ascii="Arial" w:cs="Arial" w:eastAsia="Arial" w:hAnsi="Arial"/>
                <w:sz w:val="14"/>
                <w:szCs w:val="14"/>
                <w:color w:val="auto"/>
                <w:w w:val="88"/>
              </w:rPr>
              <w:t>4%</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32,307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31,153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8"/>
              </w:rPr>
              <w:t>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63,101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63,117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8"/>
              </w:rPr>
              <w:t>—%</w:t>
            </w: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Corporate unallocated</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14,080</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24,088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jc w:val="center"/>
              <w:ind w:right="49"/>
              <w:spacing w:after="0"/>
              <w:rPr>
                <w:sz w:val="20"/>
                <w:szCs w:val="20"/>
                <w:color w:val="auto"/>
              </w:rPr>
            </w:pPr>
            <w:r>
              <w:rPr>
                <w:rFonts w:ascii="Arial" w:cs="Arial" w:eastAsia="Arial" w:hAnsi="Arial"/>
                <w:sz w:val="14"/>
                <w:szCs w:val="14"/>
                <w:color w:val="auto"/>
                <w:w w:val="96"/>
              </w:rPr>
              <w:t>(42)%</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30,891</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45,521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center"/>
              <w:ind w:right="49"/>
              <w:spacing w:after="0"/>
              <w:rPr>
                <w:sz w:val="20"/>
                <w:szCs w:val="20"/>
                <w:color w:val="auto"/>
              </w:rPr>
            </w:pPr>
            <w:r>
              <w:rPr>
                <w:rFonts w:ascii="Arial" w:cs="Arial" w:eastAsia="Arial" w:hAnsi="Arial"/>
                <w:sz w:val="14"/>
                <w:szCs w:val="14"/>
                <w:color w:val="auto"/>
                <w:w w:val="96"/>
              </w:rPr>
              <w:t>(32)%</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Total operating expenses $</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141,038</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134,232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center"/>
              <w:ind w:right="49"/>
              <w:spacing w:after="0"/>
              <w:rPr>
                <w:sz w:val="20"/>
                <w:szCs w:val="20"/>
                <w:color w:val="auto"/>
              </w:rPr>
            </w:pPr>
            <w:r>
              <w:rPr>
                <w:rFonts w:ascii="Arial" w:cs="Arial" w:eastAsia="Arial" w:hAnsi="Arial"/>
                <w:sz w:val="14"/>
                <w:szCs w:val="14"/>
                <w:color w:val="auto"/>
                <w:w w:val="98"/>
              </w:rPr>
              <w:t>5%</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268,221</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273,861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ind w:right="2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gridSpan w:val="5"/>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gridSpan w:val="5"/>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1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94"/>
              </w:rPr>
              <w:t>Three Months Ended 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w w:val="95"/>
              </w:rPr>
              <w:t>Six Months Ended June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9"/>
              </w:rPr>
              <w:t>2017</w:t>
            </w: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2017</w:t>
            </w: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02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2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20" w:type="dxa"/>
            <w:vAlign w:val="bottom"/>
          </w:tcPr>
          <w:p>
            <w:pPr>
              <w:spacing w:after="0"/>
              <w:rPr>
                <w:sz w:val="13"/>
                <w:szCs w:val="13"/>
                <w:color w:val="auto"/>
              </w:rPr>
            </w:pPr>
          </w:p>
        </w:tc>
        <w:tc>
          <w:tcPr>
            <w:tcW w:w="1120" w:type="dxa"/>
            <w:vAlign w:val="bottom"/>
            <w:gridSpan w:val="2"/>
          </w:tcPr>
          <w:p>
            <w:pPr>
              <w:jc w:val="center"/>
              <w:ind w:right="24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0" w:type="dxa"/>
            <w:vAlign w:val="bottom"/>
          </w:tcPr>
          <w:p>
            <w:pPr>
              <w:spacing w:after="0"/>
              <w:rPr>
                <w:sz w:val="1"/>
                <w:szCs w:val="1"/>
                <w:color w:val="auto"/>
              </w:rPr>
            </w:pPr>
          </w:p>
        </w:tc>
      </w:tr>
      <w:tr>
        <w:trPr>
          <w:trHeight w:val="188"/>
        </w:trPr>
        <w:tc>
          <w:tcPr>
            <w:tcW w:w="1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Income (Loss)</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i w:val="1"/>
                <w:iCs w:val="1"/>
                <w:color w:val="auto"/>
                <w:w w:val="95"/>
              </w:rPr>
              <w:t>Margin</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i w:val="1"/>
                <w:iCs w:val="1"/>
                <w:color w:val="auto"/>
                <w:w w:val="88"/>
              </w:rPr>
              <w:t>Income (Loss)</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90"/>
              </w:rPr>
              <w:t>Income (Loss)</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i w:val="1"/>
                <w:iCs w:val="1"/>
                <w:color w:val="auto"/>
                <w:w w:val="95"/>
              </w:rPr>
              <w:t>Margin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i w:val="1"/>
                <w:iCs w:val="1"/>
                <w:color w:val="auto"/>
                <w:w w:val="90"/>
              </w:rPr>
              <w:t>Income (Loss)</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Margin</w:t>
            </w:r>
          </w:p>
        </w:tc>
        <w:tc>
          <w:tcPr>
            <w:tcW w:w="0" w:type="dxa"/>
            <w:vAlign w:val="bottom"/>
          </w:tcPr>
          <w:p>
            <w:pPr>
              <w:spacing w:after="0"/>
              <w:rPr>
                <w:sz w:val="1"/>
                <w:szCs w:val="1"/>
                <w:color w:val="auto"/>
              </w:rPr>
            </w:pPr>
          </w:p>
        </w:tc>
      </w:tr>
      <w:tr>
        <w:trPr>
          <w:trHeight w:val="143"/>
        </w:trPr>
        <w:tc>
          <w:tcPr>
            <w:tcW w:w="1960" w:type="dxa"/>
            <w:vAlign w:val="bottom"/>
          </w:tcPr>
          <w:p>
            <w:pPr>
              <w:ind w:left="40"/>
              <w:spacing w:after="0" w:line="143" w:lineRule="exact"/>
              <w:rPr>
                <w:sz w:val="20"/>
                <w:szCs w:val="20"/>
                <w:color w:val="auto"/>
              </w:rPr>
            </w:pPr>
            <w:r>
              <w:rPr>
                <w:rFonts w:ascii="Arial" w:cs="Arial" w:eastAsia="Arial" w:hAnsi="Arial"/>
                <w:sz w:val="14"/>
                <w:szCs w:val="14"/>
                <w:b w:val="1"/>
                <w:bCs w:val="1"/>
                <w:i w:val="1"/>
                <w:iCs w:val="1"/>
                <w:color w:val="auto"/>
              </w:rPr>
              <w:t>Segment Operating Income</w:t>
            </w:r>
          </w:p>
        </w:tc>
        <w:tc>
          <w:tcPr>
            <w:tcW w:w="1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4"/>
              </w:rPr>
              <w:t>(in thousands)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96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w w:val="99"/>
              </w:rPr>
              <w:t>(Loss) and Operating Margin</w:t>
            </w:r>
          </w:p>
        </w:tc>
        <w:tc>
          <w:tcPr>
            <w:tcW w:w="1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Electricity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3"/>
              </w:rPr>
              <w:t>7.1%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20,008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34,515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3"/>
              </w:rPr>
              <w:t>7.1%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30,640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6.8%</w:t>
            </w:r>
          </w:p>
        </w:tc>
        <w:tc>
          <w:tcPr>
            <w:tcW w:w="0" w:type="dxa"/>
            <w:vAlign w:val="bottom"/>
          </w:tcPr>
          <w:p>
            <w:pPr>
              <w:spacing w:after="0"/>
              <w:rPr>
                <w:sz w:val="1"/>
                <w:szCs w:val="1"/>
                <w:color w:val="auto"/>
              </w:rPr>
            </w:pPr>
          </w:p>
        </w:tc>
      </w:tr>
      <w:tr>
        <w:trPr>
          <w:trHeight w:val="264"/>
        </w:trPr>
        <w:tc>
          <w:tcPr>
            <w:tcW w:w="1960" w:type="dxa"/>
            <w:vAlign w:val="bottom"/>
          </w:tcPr>
          <w:p>
            <w:pPr>
              <w:ind w:left="180"/>
              <w:spacing w:after="0"/>
              <w:rPr>
                <w:sz w:val="20"/>
                <w:szCs w:val="20"/>
                <w:color w:val="auto"/>
              </w:rPr>
            </w:pPr>
            <w:r>
              <w:rPr>
                <w:rFonts w:ascii="Arial" w:cs="Arial" w:eastAsia="Arial" w:hAnsi="Arial"/>
                <w:sz w:val="14"/>
                <w:szCs w:val="14"/>
                <w:color w:val="auto"/>
              </w:rPr>
              <w:t>Gas</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16,563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center"/>
              <w:ind w:right="68"/>
              <w:spacing w:after="0"/>
              <w:rPr>
                <w:sz w:val="20"/>
                <w:szCs w:val="20"/>
                <w:color w:val="auto"/>
              </w:rPr>
            </w:pPr>
            <w:r>
              <w:rPr>
                <w:rFonts w:ascii="Arial" w:cs="Arial" w:eastAsia="Arial" w:hAnsi="Arial"/>
                <w:sz w:val="14"/>
                <w:szCs w:val="14"/>
                <w:color w:val="auto"/>
                <w:w w:val="90"/>
              </w:rPr>
              <w:t>11.9%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25,376</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16.9%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37,819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center"/>
              <w:ind w:right="88"/>
              <w:spacing w:after="0"/>
              <w:rPr>
                <w:sz w:val="20"/>
                <w:szCs w:val="20"/>
                <w:color w:val="auto"/>
              </w:rPr>
            </w:pPr>
            <w:r>
              <w:rPr>
                <w:rFonts w:ascii="Arial" w:cs="Arial" w:eastAsia="Arial" w:hAnsi="Arial"/>
                <w:sz w:val="14"/>
                <w:szCs w:val="14"/>
                <w:color w:val="auto"/>
                <w:w w:val="90"/>
              </w:rPr>
              <w:t>14.4%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41,675</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14.4%</w:t>
            </w:r>
          </w:p>
        </w:tc>
        <w:tc>
          <w:tcPr>
            <w:tcW w:w="0" w:type="dxa"/>
            <w:vAlign w:val="bottom"/>
          </w:tcPr>
          <w:p>
            <w:pPr>
              <w:spacing w:after="0"/>
              <w:rPr>
                <w:sz w:val="1"/>
                <w:szCs w:val="1"/>
                <w:color w:val="auto"/>
              </w:rPr>
            </w:pPr>
          </w:p>
        </w:tc>
      </w:tr>
      <w:tr>
        <w:trPr>
          <w:trHeight w:val="276"/>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Water</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16,686</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0"/>
              </w:rPr>
              <w:t>14.6%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14,177</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25,421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0"/>
              </w:rPr>
              <w:t>11.1%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32,253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11.9%</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Corporate unallocated</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(14,080)</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(24,088)</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(30,891)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(45,521)</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Company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36,822</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88"/>
              <w:spacing w:after="0"/>
              <w:rPr>
                <w:sz w:val="20"/>
                <w:szCs w:val="20"/>
                <w:color w:val="auto"/>
              </w:rPr>
            </w:pPr>
            <w:r>
              <w:rPr>
                <w:rFonts w:ascii="Arial" w:cs="Arial" w:eastAsia="Arial" w:hAnsi="Arial"/>
                <w:sz w:val="14"/>
                <w:szCs w:val="14"/>
                <w:color w:val="auto"/>
                <w:w w:val="93"/>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35,473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66,864</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right="108"/>
              <w:spacing w:after="0"/>
              <w:rPr>
                <w:sz w:val="20"/>
                <w:szCs w:val="20"/>
                <w:color w:val="auto"/>
              </w:rPr>
            </w:pPr>
            <w:r>
              <w:rPr>
                <w:rFonts w:ascii="Arial" w:cs="Arial" w:eastAsia="Arial" w:hAnsi="Arial"/>
                <w:sz w:val="14"/>
                <w:szCs w:val="14"/>
                <w:color w:val="auto"/>
                <w:w w:val="93"/>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59,047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5.8%</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Electricity segment financial results were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9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90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4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Electricity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250,332</w:t>
            </w:r>
          </w:p>
        </w:tc>
        <w:tc>
          <w:tcPr>
            <w:tcW w:w="11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232,823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(2,426)</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19,935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17,509</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78,595</w:t>
            </w:r>
          </w:p>
        </w:tc>
        <w:tc>
          <w:tcPr>
            <w:tcW w:w="11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70,892</w:t>
            </w:r>
          </w:p>
        </w:tc>
        <w:tc>
          <w:tcPr>
            <w:tcW w:w="2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(769)</w:t>
            </w:r>
          </w:p>
        </w:tc>
        <w:tc>
          <w:tcPr>
            <w:tcW w:w="3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8,472</w:t>
            </w:r>
          </w:p>
        </w:tc>
        <w:tc>
          <w:tcPr>
            <w:tcW w:w="2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7,703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60,942</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50,884</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10,736</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10,058</w:t>
            </w:r>
          </w:p>
        </w:tc>
        <w:tc>
          <w:tcPr>
            <w:tcW w:w="0" w:type="dxa"/>
            <w:vAlign w:val="bottom"/>
          </w:tcPr>
          <w:p>
            <w:pPr>
              <w:spacing w:after="0"/>
              <w:rPr>
                <w:sz w:val="1"/>
                <w:szCs w:val="1"/>
                <w:color w:val="auto"/>
              </w:rPr>
            </w:pPr>
          </w:p>
        </w:tc>
      </w:tr>
      <w:tr>
        <w:trPr>
          <w:trHeight w:val="648"/>
        </w:trPr>
        <w:tc>
          <w:tcPr>
            <w:tcW w:w="3100" w:type="dxa"/>
            <w:vAlign w:val="bottom"/>
          </w:tcPr>
          <w:p>
            <w:pPr>
              <w:spacing w:after="0"/>
              <w:rPr>
                <w:sz w:val="24"/>
                <w:szCs w:val="24"/>
                <w:color w:val="auto"/>
              </w:rPr>
            </w:pPr>
          </w:p>
        </w:tc>
        <w:tc>
          <w:tcPr>
            <w:tcW w:w="2900" w:type="dxa"/>
            <w:vAlign w:val="bottom"/>
            <w:gridSpan w:val="3"/>
            <w:vMerge w:val="restart"/>
          </w:tcPr>
          <w:p>
            <w:pPr>
              <w:jc w:val="right"/>
              <w:ind w:right="59"/>
              <w:spacing w:after="0"/>
              <w:rPr>
                <w:sz w:val="20"/>
                <w:szCs w:val="20"/>
                <w:color w:val="auto"/>
              </w:rPr>
            </w:pPr>
            <w:r>
              <w:rPr>
                <w:rFonts w:ascii="Arial" w:cs="Arial" w:eastAsia="Arial" w:hAnsi="Arial"/>
                <w:sz w:val="16"/>
                <w:szCs w:val="16"/>
                <w:b w:val="1"/>
                <w:bCs w:val="1"/>
                <w:color w:val="auto"/>
              </w:rPr>
              <w:t>Six Months Ended June 30,</w:t>
            </w:r>
          </w:p>
        </w:tc>
        <w:tc>
          <w:tcPr>
            <w:tcW w:w="680" w:type="dxa"/>
            <w:vAlign w:val="bottom"/>
          </w:tcPr>
          <w:p>
            <w:pPr>
              <w:spacing w:after="0"/>
              <w:rPr>
                <w:sz w:val="24"/>
                <w:szCs w:val="24"/>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90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4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Electricity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489,083</w:t>
            </w:r>
          </w:p>
        </w:tc>
        <w:tc>
          <w:tcPr>
            <w:tcW w:w="11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450,118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(3,726)</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42,691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38,965</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w w:val="89"/>
              </w:rPr>
              <w:t>145,787</w:t>
            </w:r>
          </w:p>
        </w:tc>
        <w:tc>
          <w:tcPr>
            <w:tcW w:w="11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135,478</w:t>
            </w:r>
          </w:p>
        </w:tc>
        <w:tc>
          <w:tcPr>
            <w:tcW w:w="2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(1,810)</w:t>
            </w:r>
          </w:p>
        </w:tc>
        <w:tc>
          <w:tcPr>
            <w:tcW w:w="30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12,119</w:t>
            </w:r>
          </w:p>
        </w:tc>
        <w:tc>
          <w:tcPr>
            <w:tcW w:w="26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10,309</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111,272</w:t>
            </w:r>
          </w:p>
        </w:tc>
        <w:tc>
          <w:tcPr>
            <w:tcW w:w="11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3"/>
              </w:rPr>
              <w:t>104,838</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(1,014)</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7,448</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6,434</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2017 vs. Three months ended June 30, 2016</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$17.5 million, or 8%, for the three months ended June 30, 2017, compared with the same period in 2016. This increase was primarily driven by increased product and services revenue in North America, partially offset by decreased revenues in our Europe, Middle East, and Africa (EMEA) region.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June 30, 2017 and 2016, one customer represented 22% and 12%, respectively, of total Electricity segment revenues.</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2017 vs. Six months ended June 30, 2016</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increased $39.0 million, or 9%, for the six months ended June 30, 2017, compared with the same period in 2016. This increase was primarily driven by increased product revenues in our North America and Asia/Pacific regions, partially offset by decreased revenues in EMEA.</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For the six months ended June 30, 2017 and 2016, one customer represented 20% and 13%, respectively, of total Electricity segment revenues.</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2017 vs. Three months ended June 30, 2016</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31.4% for the three months ended June 30, 2017, compared with 30.4% for the same period in 2016. The 100 basis point increase over the prior year was primarily the result of favorable product mix.</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2017 vs. Six months ended June 30, 2016</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margin was 29.8% for the six months ended June 30, 2017, compared with 30.1% for the same period in 2016. The 30 basis point decrease over the prior year was primarily the result of unfavorable product mix in the first quarter of 2017.</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2017 vs. Three months ended June 30, 2016</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Operating expenses increased $10.1 million, or 20%, for the three months ended June 30, 2017, compared with the same period in 2016. The increase was primarily a result of expenses associated with the acquisition and integration of Comverge included within general and administrative expenses.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2017 vs. Six months ended June 30, 2016</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Operating expenses increased $6.4 million, or 6%, for the six months ended June 30, 2017, compared with the same period in 2016. The increase was primarily a result of acquisition and integration expenses related to the acquisition of Comverge.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effects of changes in foreign currency exchange rates and the constant currency changes in certain Gas segment financial results were as follows: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9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90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Gas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138,700</w:t>
            </w:r>
          </w:p>
        </w:tc>
        <w:tc>
          <w:tcPr>
            <w:tcW w:w="11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150,266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(1,821)</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(11,566)</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50,272</w:t>
            </w:r>
          </w:p>
        </w:tc>
        <w:tc>
          <w:tcPr>
            <w:tcW w:w="11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53,483</w:t>
            </w:r>
          </w:p>
        </w:tc>
        <w:tc>
          <w:tcPr>
            <w:tcW w:w="2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(336)</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(2,875)</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(3,211)</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33,709</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28,107</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6,215</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5,602</w:t>
            </w:r>
          </w:p>
        </w:tc>
        <w:tc>
          <w:tcPr>
            <w:tcW w:w="0" w:type="dxa"/>
            <w:vAlign w:val="bottom"/>
          </w:tcPr>
          <w:p>
            <w:pPr>
              <w:spacing w:after="0"/>
              <w:rPr>
                <w:sz w:val="1"/>
                <w:szCs w:val="1"/>
                <w:color w:val="auto"/>
              </w:rPr>
            </w:pPr>
          </w:p>
        </w:tc>
      </w:tr>
      <w:tr>
        <w:trPr>
          <w:trHeight w:val="648"/>
        </w:trPr>
        <w:tc>
          <w:tcPr>
            <w:tcW w:w="3100" w:type="dxa"/>
            <w:vAlign w:val="bottom"/>
          </w:tcPr>
          <w:p>
            <w:pPr>
              <w:spacing w:after="0"/>
              <w:rPr>
                <w:sz w:val="24"/>
                <w:szCs w:val="24"/>
                <w:color w:val="auto"/>
              </w:rPr>
            </w:pPr>
          </w:p>
        </w:tc>
        <w:tc>
          <w:tcPr>
            <w:tcW w:w="2900" w:type="dxa"/>
            <w:vAlign w:val="bottom"/>
            <w:gridSpan w:val="3"/>
            <w:vMerge w:val="restart"/>
          </w:tcPr>
          <w:p>
            <w:pPr>
              <w:jc w:val="right"/>
              <w:ind w:right="59"/>
              <w:spacing w:after="0"/>
              <w:rPr>
                <w:sz w:val="20"/>
                <w:szCs w:val="20"/>
                <w:color w:val="auto"/>
              </w:rPr>
            </w:pPr>
            <w:r>
              <w:rPr>
                <w:rFonts w:ascii="Arial" w:cs="Arial" w:eastAsia="Arial" w:hAnsi="Arial"/>
                <w:sz w:val="16"/>
                <w:szCs w:val="16"/>
                <w:b w:val="1"/>
                <w:bCs w:val="1"/>
                <w:color w:val="auto"/>
              </w:rPr>
              <w:t>Six Months Ended June 30,</w:t>
            </w:r>
          </w:p>
        </w:tc>
        <w:tc>
          <w:tcPr>
            <w:tcW w:w="680" w:type="dxa"/>
            <w:vAlign w:val="bottom"/>
          </w:tcPr>
          <w:p>
            <w:pPr>
              <w:spacing w:after="0"/>
              <w:rPr>
                <w:sz w:val="24"/>
                <w:szCs w:val="24"/>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90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Gas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262,911</w:t>
            </w:r>
          </w:p>
        </w:tc>
        <w:tc>
          <w:tcPr>
            <w:tcW w:w="11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289,522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(3,215)</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(23,396)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(26,611)</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w w:val="89"/>
              </w:rPr>
              <w:t>100,776</w:t>
            </w:r>
          </w:p>
        </w:tc>
        <w:tc>
          <w:tcPr>
            <w:tcW w:w="11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102,060</w:t>
            </w:r>
          </w:p>
        </w:tc>
        <w:tc>
          <w:tcPr>
            <w:tcW w:w="2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(524)</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(760)</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62,957</w:t>
            </w:r>
          </w:p>
        </w:tc>
        <w:tc>
          <w:tcPr>
            <w:tcW w:w="11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60,385</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(1,143)</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3,715</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2,572</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2017 vs. Three months ended June 30, 2016</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Revenues decreased $11.6 million, or 8%, for the three months ended June 30, 2017 compared with the same period in 2016. This was primarily related to decreases in product revenues in our EMEA region, partially offset by higher module shipments in North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the Gas operating segment revenues for the three months ended June 30, 2017 and 2016.</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2017 vs. Six months ended June 30, 2016</w:t>
      </w: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Revenues decreased $26.6 million, or 9%, for the six months ended June 30, 2017 compared with the same period in 2016. This was primarily related to decreases in product revenues in our North America and EMEA regions, partially offset by an increase in product revenue in our Latin America region.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the Gas operating segment revenues for the six months ended June 30, 2017 and 2016.</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2017 vs. Three months ended June 30, 2016</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Gross margin was 36.2% for the three months ended June 30, 2017, compared with 35.6% for the same period in 2016. The 60 basis point increase was related to favorable product mix.</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2017 vs. Six months ended June 30, 2016</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Gross margin was 38.3% for the six months ended June 30, 2017, compared with 35.3% for the same period in 2016. The 300 basis point increase was related to favorable product mix, partially offset by increased warranty expenses.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2017 vs. Three months ended June 30, 2016</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Operating expenses increased $5.6 million, or 20%, for the three months ended June 30, 2017, compared with the same period in 2016. The increase was primarily driven by an increase in restructuring expense.</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2017 vs. Six months ended June 30, 2016</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Operating expenses increased $2.6 million, or 4%, for the six months ended June 30, 2017, compared with the same period in 2016. The increase was primarily due to increased restructuring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Water segment financial results were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9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90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Water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114,050</w:t>
            </w:r>
          </w:p>
        </w:tc>
        <w:tc>
          <w:tcPr>
            <w:tcW w:w="11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129,935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(2,192)</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(13,693)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(15,885)</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48,993</w:t>
            </w:r>
          </w:p>
        </w:tc>
        <w:tc>
          <w:tcPr>
            <w:tcW w:w="11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45,330</w:t>
            </w:r>
          </w:p>
        </w:tc>
        <w:tc>
          <w:tcPr>
            <w:tcW w:w="2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(886)</w:t>
            </w:r>
          </w:p>
        </w:tc>
        <w:tc>
          <w:tcPr>
            <w:tcW w:w="30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4,549</w:t>
            </w:r>
          </w:p>
        </w:tc>
        <w:tc>
          <w:tcPr>
            <w:tcW w:w="24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3,663</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32,307</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31,153</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1,527</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1,154</w:t>
            </w:r>
          </w:p>
        </w:tc>
        <w:tc>
          <w:tcPr>
            <w:tcW w:w="0" w:type="dxa"/>
            <w:vAlign w:val="bottom"/>
          </w:tcPr>
          <w:p>
            <w:pPr>
              <w:spacing w:after="0"/>
              <w:rPr>
                <w:sz w:val="1"/>
                <w:szCs w:val="1"/>
                <w:color w:val="auto"/>
              </w:rPr>
            </w:pPr>
          </w:p>
        </w:tc>
      </w:tr>
      <w:tr>
        <w:trPr>
          <w:trHeight w:val="648"/>
        </w:trPr>
        <w:tc>
          <w:tcPr>
            <w:tcW w:w="3100" w:type="dxa"/>
            <w:vAlign w:val="bottom"/>
          </w:tcPr>
          <w:p>
            <w:pPr>
              <w:spacing w:after="0"/>
              <w:rPr>
                <w:sz w:val="24"/>
                <w:szCs w:val="24"/>
                <w:color w:val="auto"/>
              </w:rPr>
            </w:pPr>
          </w:p>
        </w:tc>
        <w:tc>
          <w:tcPr>
            <w:tcW w:w="2900" w:type="dxa"/>
            <w:vAlign w:val="bottom"/>
            <w:gridSpan w:val="3"/>
            <w:vMerge w:val="restart"/>
          </w:tcPr>
          <w:p>
            <w:pPr>
              <w:jc w:val="right"/>
              <w:ind w:right="59"/>
              <w:spacing w:after="0"/>
              <w:rPr>
                <w:sz w:val="20"/>
                <w:szCs w:val="20"/>
                <w:color w:val="auto"/>
              </w:rPr>
            </w:pPr>
            <w:r>
              <w:rPr>
                <w:rFonts w:ascii="Arial" w:cs="Arial" w:eastAsia="Arial" w:hAnsi="Arial"/>
                <w:sz w:val="16"/>
                <w:szCs w:val="16"/>
                <w:b w:val="1"/>
                <w:bCs w:val="1"/>
                <w:color w:val="auto"/>
              </w:rPr>
              <w:t>Six Months Ended June 30,</w:t>
            </w:r>
          </w:p>
        </w:tc>
        <w:tc>
          <w:tcPr>
            <w:tcW w:w="680" w:type="dxa"/>
            <w:vAlign w:val="bottom"/>
          </w:tcPr>
          <w:p>
            <w:pPr>
              <w:spacing w:after="0"/>
              <w:rPr>
                <w:sz w:val="24"/>
                <w:szCs w:val="24"/>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Effect of Changes in</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290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restart"/>
          </w:tcPr>
          <w:p>
            <w:pPr>
              <w:jc w:val="center"/>
              <w:ind w:right="99"/>
              <w:spacing w:after="0" w:line="142" w:lineRule="exact"/>
              <w:rPr>
                <w:sz w:val="20"/>
                <w:szCs w:val="20"/>
                <w:color w:val="auto"/>
              </w:rPr>
            </w:pPr>
            <w:r>
              <w:rPr>
                <w:rFonts w:ascii="Arial" w:cs="Arial" w:eastAsia="Arial" w:hAnsi="Arial"/>
                <w:sz w:val="16"/>
                <w:szCs w:val="16"/>
                <w:b w:val="1"/>
                <w:bCs w:val="1"/>
                <w:color w:val="auto"/>
                <w:w w:val="92"/>
              </w:rPr>
              <w:t>Foreign Currency</w:t>
            </w:r>
          </w:p>
        </w:tc>
        <w:tc>
          <w:tcPr>
            <w:tcW w:w="156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3"/>
              </w:rPr>
              <w:t>Constant Currency</w:t>
            </w:r>
          </w:p>
        </w:tc>
        <w:tc>
          <w:tcPr>
            <w:tcW w:w="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continue"/>
          </w:tcPr>
          <w:p>
            <w:pPr>
              <w:spacing w:after="0"/>
              <w:rPr>
                <w:sz w:val="2"/>
                <w:szCs w:val="2"/>
                <w:color w:val="auto"/>
              </w:rPr>
            </w:pPr>
          </w:p>
        </w:tc>
        <w:tc>
          <w:tcPr>
            <w:tcW w:w="15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Exchange Rates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7"/>
              </w:rPr>
              <w:t>Change</w:t>
            </w:r>
            <w:r>
              <w:rPr>
                <w:rFonts w:ascii="Arial" w:cs="Arial" w:eastAsia="Arial" w:hAnsi="Arial"/>
                <w:sz w:val="21"/>
                <w:szCs w:val="21"/>
                <w:b w:val="1"/>
                <w:bCs w:val="1"/>
                <w:color w:val="auto"/>
                <w:w w:val="87"/>
                <w:vertAlign w:val="superscript"/>
              </w:rPr>
              <w:t>(1)</w:t>
            </w:r>
          </w:p>
        </w:tc>
        <w:tc>
          <w:tcPr>
            <w:tcW w:w="2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6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w w:val="96"/>
              </w:rPr>
              <w:t>(in thousands)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1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Water Segment</w:t>
            </w:r>
          </w:p>
        </w:tc>
        <w:tc>
          <w:tcPr>
            <w:tcW w:w="10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10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228,680</w:t>
            </w:r>
          </w:p>
        </w:tc>
        <w:tc>
          <w:tcPr>
            <w:tcW w:w="11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270,974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(4,783)</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(42,294)</w:t>
            </w:r>
          </w:p>
        </w:tc>
        <w:tc>
          <w:tcPr>
            <w:tcW w:w="0" w:type="dxa"/>
            <w:vAlign w:val="bottom"/>
          </w:tcPr>
          <w:p>
            <w:pPr>
              <w:spacing w:after="0"/>
              <w:rPr>
                <w:sz w:val="1"/>
                <w:szCs w:val="1"/>
                <w:color w:val="auto"/>
              </w:rPr>
            </w:pPr>
          </w:p>
        </w:tc>
      </w:tr>
      <w:tr>
        <w:trPr>
          <w:trHeight w:val="237"/>
        </w:trPr>
        <w:tc>
          <w:tcPr>
            <w:tcW w:w="3100" w:type="dxa"/>
            <w:vAlign w:val="bottom"/>
          </w:tcPr>
          <w:p>
            <w:pPr>
              <w:ind w:left="160"/>
              <w:spacing w:after="0"/>
              <w:rPr>
                <w:sz w:val="20"/>
                <w:szCs w:val="20"/>
                <w:color w:val="auto"/>
              </w:rPr>
            </w:pPr>
            <w:r>
              <w:rPr>
                <w:rFonts w:ascii="Arial" w:cs="Arial" w:eastAsia="Arial" w:hAnsi="Arial"/>
                <w:sz w:val="16"/>
                <w:szCs w:val="16"/>
                <w:color w:val="auto"/>
              </w:rPr>
              <w:t>Gross profit</w:t>
            </w:r>
          </w:p>
        </w:tc>
        <w:tc>
          <w:tcPr>
            <w:tcW w:w="106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88,522</w:t>
            </w:r>
          </w:p>
        </w:tc>
        <w:tc>
          <w:tcPr>
            <w:tcW w:w="11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95,370</w:t>
            </w:r>
          </w:p>
        </w:tc>
        <w:tc>
          <w:tcPr>
            <w:tcW w:w="24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(1,934)</w:t>
            </w:r>
          </w:p>
        </w:tc>
        <w:tc>
          <w:tcPr>
            <w:tcW w:w="3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(4,914)</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(6,848)</w:t>
            </w: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expenses</w:t>
            </w: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63,101</w:t>
            </w:r>
          </w:p>
        </w:tc>
        <w:tc>
          <w:tcPr>
            <w:tcW w:w="11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63,117</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(692)</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676</w:t>
            </w: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3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2017 vs. Three months ended June 30, 2016</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decreased $15.9 million, or 12%, for the three months ended June 30, 2017, compared with the second quarter of 2016. This was primarily due to lower product revenues in North America and EMEA and the timing of new tenders and customer orders in 2017.</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No single customer represented more than 10% of the Water operating segment revenues for the three months ended June 30, 2017 and 2016.</w:t>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2017 vs. Six months ended June 30, 2016</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Revenues decreased $42.3 million, or 16%, for the six months ended June 30, 2017, compared with the same period of 2016. This was primarily due to lower product revenues in North America and EMEA and the timing of new tenders and customer orders in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the Water operating segment revenues for the six months ended June 30, 2017 and 2016.</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2017 vs. Three months ended June 30, 2016</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second quarter of 2017, gross margin increased to 43.0%, compared with 34.9% in 2016. The 810 basis point increase in gross margin was driven primarily by an insurance recovery in North America associated with warranty costs previously recognized as a result of our 2015 product replacement notification to customers who had purchased certain communication modules. This insurance recovery increased gross margin by 700 basis points.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2017 vs. Six months ended June 30, 2016</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the first half of 2017, gross margin increased to 38.7%, compared with 35.2% in 2016. The increase in gross margin was driven by an insurance recovery in North America associated with warranty costs previously recognized as a result of our 2015 product replacement notification to customers who had purchased certain communication modules. This insurance recovery increased gross margin by 350 basis points.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2017 vs. Three months ended June 30, 2016</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for the three months ended June 30, 2017 increased by $1.2 million, or 4%, compared with the second quarter of 2016. This was primarily due to increases in sales and marketing, restructuring, and general and administrative expenses.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2017 vs. Six months ended June 30,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six months ended June 30, 2017 were consistent with the same period of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Three months ended June 30, 2017 vs. Three months ended June 30, 2016</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decreased by $10.0 million, or 42%, for the three months ended June 30, 2017 compared with the same period in 2016. The decrease was primarily due to lower professional service fees associated with audit, accounting, and legal services.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Unallocated Expenses - Six months ended June 30, 2017 vs. Six months ended June 30, 2016</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Corporate unallocated expenses decreased by $14.6 million, or 32%, for the six months ended June 30, 2017 compared with the same period in 2016. The decrease was primarily due to lower professional service fees associated with audit, accounting, and legal services as compared with the same period in 2016.</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Bookings for a reported period represent customer contracts and purchase orders received during the period that have met certain conditions, such as regulatory and/or contractual approval. Total backlog represents committed but undelivered products and services for contracts and purchase orders at period end. Twelve-month backlog represents the portion of total backlog that we estimate will be recognized as revenue over the next 12 months. Backlog is not a complete measure of our future revenues as we also receive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fluctuations in foreign currency exchange rates, and other factors.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Arial" w:cs="Arial" w:eastAsia="Arial" w:hAnsi="Arial"/>
                <w:sz w:val="16"/>
                <w:szCs w:val="16"/>
                <w:b w:val="1"/>
                <w:bCs w:val="1"/>
                <w:color w:val="auto"/>
                <w:w w:val="98"/>
              </w:rPr>
              <w:t>Quarterly</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95"/>
              </w:rPr>
              <w:t>12-Month</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Arial" w:cs="Arial" w:eastAsia="Arial" w:hAnsi="Arial"/>
                <w:sz w:val="16"/>
                <w:szCs w:val="16"/>
                <w:b w:val="1"/>
                <w:bCs w:val="1"/>
                <w:color w:val="auto"/>
                <w:w w:val="87"/>
              </w:rPr>
              <w:t>Bookings</w:t>
            </w: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 xml:space="preserve">Backlog </w:t>
            </w:r>
            <w:r>
              <w:rPr>
                <w:rFonts w:ascii="Arial" w:cs="Arial" w:eastAsia="Arial" w:hAnsi="Arial"/>
                <w:sz w:val="21"/>
                <w:szCs w:val="21"/>
                <w:b w:val="1"/>
                <w:bCs w:val="1"/>
                <w:color w:val="auto"/>
                <w:w w:val="88"/>
                <w:vertAlign w:val="superscript"/>
              </w:rPr>
              <w:t>(1)</w:t>
            </w:r>
          </w:p>
        </w:tc>
        <w:tc>
          <w:tcPr>
            <w:tcW w:w="540" w:type="dxa"/>
            <w:vAlign w:val="bottom"/>
          </w:tcPr>
          <w:p>
            <w:pPr>
              <w:spacing w:after="0"/>
              <w:rPr>
                <w:sz w:val="21"/>
                <w:szCs w:val="21"/>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85"/>
              </w:rPr>
              <w:t xml:space="preserve">Backlog </w:t>
            </w:r>
            <w:r>
              <w:rPr>
                <w:rFonts w:ascii="Arial" w:cs="Arial" w:eastAsia="Arial" w:hAnsi="Arial"/>
                <w:sz w:val="21"/>
                <w:szCs w:val="21"/>
                <w:b w:val="1"/>
                <w:bCs w:val="1"/>
                <w:color w:val="auto"/>
                <w:w w:val="85"/>
                <w:vertAlign w:val="superscript"/>
              </w:rPr>
              <w:t>(2)</w:t>
            </w:r>
          </w:p>
        </w:tc>
      </w:tr>
      <w:tr>
        <w:trPr>
          <w:trHeight w:val="231"/>
        </w:trPr>
        <w:tc>
          <w:tcPr>
            <w:tcW w:w="4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30, 2017</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416</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1,629</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March 31, 2017</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424</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1,605</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819</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653</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1,652</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761</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September 30, 2016</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670</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1,511</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731</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June 30, 2016</w:t>
            </w:r>
          </w:p>
        </w:tc>
        <w:tc>
          <w:tcPr>
            <w:tcW w:w="17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349</w:t>
            </w:r>
          </w:p>
        </w:tc>
        <w:tc>
          <w:tcPr>
            <w:tcW w:w="5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1,345</w:t>
            </w: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688</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15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Ending total backlog includes $112.8 million related to Comverge as of June 30, 2017.</w:t>
      </w:r>
    </w:p>
    <w:p>
      <w:pPr>
        <w:ind w:left="340" w:hanging="332"/>
        <w:spacing w:after="0" w:line="182"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Ending 12-month backlog includes $43.9 million related to Comverge as of June 30, 2017.</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by our operating segments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380" w:type="dxa"/>
            <w:vAlign w:val="bottom"/>
          </w:tcPr>
          <w:p>
            <w:pPr>
              <w:spacing w:after="0"/>
              <w:rPr>
                <w:sz w:val="18"/>
                <w:szCs w:val="18"/>
                <w:color w:val="auto"/>
              </w:rPr>
            </w:pPr>
          </w:p>
        </w:tc>
        <w:tc>
          <w:tcPr>
            <w:tcW w:w="1940" w:type="dxa"/>
            <w:vAlign w:val="bottom"/>
          </w:tcPr>
          <w:p>
            <w:pPr>
              <w:jc w:val="right"/>
              <w:ind w:right="559"/>
              <w:spacing w:after="0"/>
              <w:rPr>
                <w:sz w:val="20"/>
                <w:szCs w:val="20"/>
                <w:color w:val="auto"/>
              </w:rPr>
            </w:pPr>
            <w:r>
              <w:rPr>
                <w:rFonts w:ascii="Arial" w:cs="Arial" w:eastAsia="Arial" w:hAnsi="Arial"/>
                <w:sz w:val="16"/>
                <w:szCs w:val="16"/>
                <w:b w:val="1"/>
                <w:bCs w:val="1"/>
                <w:color w:val="auto"/>
              </w:rPr>
              <w:t>Total Bookings</w:t>
            </w:r>
          </w:p>
        </w:tc>
        <w:tc>
          <w:tcPr>
            <w:tcW w:w="560" w:type="dxa"/>
            <w:vAlign w:val="bottom"/>
          </w:tcPr>
          <w:p>
            <w:pPr>
              <w:spacing w:after="0"/>
              <w:rPr>
                <w:sz w:val="18"/>
                <w:szCs w:val="18"/>
                <w:color w:val="auto"/>
              </w:rPr>
            </w:pPr>
          </w:p>
        </w:tc>
        <w:tc>
          <w:tcPr>
            <w:tcW w:w="1840" w:type="dxa"/>
            <w:vAlign w:val="bottom"/>
          </w:tcPr>
          <w:p>
            <w:pPr>
              <w:jc w:val="right"/>
              <w:ind w:right="699"/>
              <w:spacing w:after="0"/>
              <w:rPr>
                <w:sz w:val="20"/>
                <w:szCs w:val="20"/>
                <w:color w:val="auto"/>
              </w:rPr>
            </w:pPr>
            <w:r>
              <w:rPr>
                <w:rFonts w:ascii="Arial" w:cs="Arial" w:eastAsia="Arial" w:hAnsi="Arial"/>
                <w:sz w:val="16"/>
                <w:szCs w:val="16"/>
                <w:b w:val="1"/>
                <w:bCs w:val="1"/>
                <w:color w:val="auto"/>
              </w:rPr>
              <w:t>Electricity</w:t>
            </w:r>
          </w:p>
        </w:tc>
        <w:tc>
          <w:tcPr>
            <w:tcW w:w="760" w:type="dxa"/>
            <w:vAlign w:val="bottom"/>
          </w:tcPr>
          <w:p>
            <w:pPr>
              <w:spacing w:after="0"/>
              <w:rPr>
                <w:sz w:val="18"/>
                <w:szCs w:val="18"/>
                <w:color w:val="auto"/>
              </w:rPr>
            </w:pPr>
          </w:p>
        </w:tc>
        <w:tc>
          <w:tcPr>
            <w:tcW w:w="1620" w:type="dxa"/>
            <w:vAlign w:val="bottom"/>
          </w:tcPr>
          <w:p>
            <w:pPr>
              <w:jc w:val="right"/>
              <w:ind w:right="939"/>
              <w:spacing w:after="0"/>
              <w:rPr>
                <w:sz w:val="20"/>
                <w:szCs w:val="20"/>
                <w:color w:val="auto"/>
              </w:rPr>
            </w:pPr>
            <w:r>
              <w:rPr>
                <w:rFonts w:ascii="Arial" w:cs="Arial" w:eastAsia="Arial" w:hAnsi="Arial"/>
                <w:sz w:val="16"/>
                <w:szCs w:val="16"/>
                <w:b w:val="1"/>
                <w:bCs w:val="1"/>
                <w:color w:val="auto"/>
              </w:rPr>
              <w:t>Gas</w:t>
            </w:r>
          </w:p>
        </w:tc>
        <w:tc>
          <w:tcPr>
            <w:tcW w:w="600" w:type="dxa"/>
            <w:vAlign w:val="bottom"/>
          </w:tcPr>
          <w:p>
            <w:pPr>
              <w:spacing w:after="0"/>
              <w:rPr>
                <w:sz w:val="18"/>
                <w:szCs w:val="18"/>
                <w:color w:val="auto"/>
              </w:rPr>
            </w:pPr>
          </w:p>
        </w:tc>
        <w:tc>
          <w:tcPr>
            <w:tcW w:w="1760" w:type="dxa"/>
            <w:vAlign w:val="bottom"/>
          </w:tcPr>
          <w:p>
            <w:pPr>
              <w:jc w:val="right"/>
              <w:ind w:right="839"/>
              <w:spacing w:after="0"/>
              <w:rPr>
                <w:sz w:val="20"/>
                <w:szCs w:val="20"/>
                <w:color w:val="auto"/>
              </w:rPr>
            </w:pPr>
            <w:r>
              <w:rPr>
                <w:rFonts w:ascii="Arial" w:cs="Arial" w:eastAsia="Arial" w:hAnsi="Arial"/>
                <w:sz w:val="16"/>
                <w:szCs w:val="16"/>
                <w:b w:val="1"/>
                <w:bCs w:val="1"/>
                <w:color w:val="auto"/>
              </w:rPr>
              <w:t>Water</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(in millions)</w:t>
            </w:r>
          </w:p>
        </w:tc>
        <w:tc>
          <w:tcPr>
            <w:tcW w:w="1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30, 2017</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w:t>
            </w:r>
          </w:p>
        </w:tc>
        <w:tc>
          <w:tcPr>
            <w:tcW w:w="7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c>
          <w:tcPr>
            <w:tcW w:w="6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March 31, 2017</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424</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174</w:t>
            </w:r>
          </w:p>
        </w:tc>
        <w:tc>
          <w:tcPr>
            <w:tcW w:w="7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125</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3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653</w:t>
            </w:r>
          </w:p>
        </w:tc>
        <w:tc>
          <w:tcPr>
            <w:tcW w:w="5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w:t>
            </w:r>
          </w:p>
        </w:tc>
        <w:tc>
          <w:tcPr>
            <w:tcW w:w="7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r>
      <w:tr>
        <w:trPr>
          <w:trHeight w:val="237"/>
        </w:trPr>
        <w:tc>
          <w:tcPr>
            <w:tcW w:w="1960" w:type="dxa"/>
            <w:vAlign w:val="bottom"/>
            <w:gridSpan w:val="2"/>
          </w:tcPr>
          <w:p>
            <w:pPr>
              <w:ind w:left="40"/>
              <w:spacing w:after="0"/>
              <w:rPr>
                <w:sz w:val="20"/>
                <w:szCs w:val="20"/>
                <w:color w:val="auto"/>
              </w:rPr>
            </w:pPr>
            <w:r>
              <w:rPr>
                <w:rFonts w:ascii="Arial" w:cs="Arial" w:eastAsia="Arial" w:hAnsi="Arial"/>
                <w:sz w:val="16"/>
                <w:szCs w:val="16"/>
                <w:color w:val="auto"/>
              </w:rPr>
              <w:t>September 30, 2016</w:t>
            </w:r>
          </w:p>
        </w:tc>
        <w:tc>
          <w:tcPr>
            <w:tcW w:w="38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670</w:t>
            </w:r>
          </w:p>
        </w:tc>
        <w:tc>
          <w:tcPr>
            <w:tcW w:w="56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372</w:t>
            </w:r>
          </w:p>
        </w:tc>
        <w:tc>
          <w:tcPr>
            <w:tcW w:w="760" w:type="dxa"/>
            <w:vAlign w:val="bottom"/>
          </w:tcPr>
          <w:p>
            <w:pPr>
              <w:spacing w:after="0"/>
              <w:rPr>
                <w:sz w:val="20"/>
                <w:szCs w:val="20"/>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176</w:t>
            </w:r>
          </w:p>
        </w:tc>
        <w:tc>
          <w:tcPr>
            <w:tcW w:w="6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122</w:t>
            </w:r>
          </w:p>
        </w:tc>
      </w:tr>
      <w:tr>
        <w:trPr>
          <w:trHeight w:val="33"/>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June 30, 2016</w:t>
            </w:r>
          </w:p>
        </w:tc>
        <w:tc>
          <w:tcPr>
            <w:tcW w:w="38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349</w:t>
            </w:r>
          </w:p>
        </w:tc>
        <w:tc>
          <w:tcPr>
            <w:tcW w:w="560" w:type="dxa"/>
            <w:vAlign w:val="bottom"/>
            <w:shd w:val="clear" w:color="auto" w:fill="CCEEFF"/>
          </w:tcPr>
          <w:p>
            <w:pPr>
              <w:spacing w:after="0"/>
              <w:rPr>
                <w:sz w:val="20"/>
                <w:szCs w:val="20"/>
                <w:color w:val="auto"/>
              </w:rPr>
            </w:pPr>
          </w:p>
        </w:tc>
        <w:tc>
          <w:tcPr>
            <w:tcW w:w="1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76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60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r>
      <w:tr>
        <w:trPr>
          <w:trHeight w:val="33"/>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8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Six Months Ended June 30,</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6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(in thousands)</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93,444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51,127</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0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0"/>
              </w:rPr>
              <w:t>(121,831)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(21,809)</w:t>
            </w:r>
          </w:p>
        </w:tc>
      </w:tr>
      <w:tr>
        <w:trPr>
          <w:trHeight w:val="33"/>
        </w:trPr>
        <w:tc>
          <w:tcPr>
            <w:tcW w:w="7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17,525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(28,941)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0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5,177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619</w:t>
            </w:r>
          </w:p>
        </w:tc>
      </w:tr>
      <w:tr>
        <w:trPr>
          <w:trHeight w:val="33"/>
        </w:trPr>
        <w:tc>
          <w:tcPr>
            <w:tcW w:w="7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5"/>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cash and cash equivalents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was $127.9 million at June 30, 2017, compared with $133.6 million at December 31, 2016.</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provided by operating activities during the six months ended June 30, 2017 was $93.4 million compared with $51.1 million during the same period in 2016. The increase in cash provided was primarily due to changes in operating assets and liabilities. These adjustments include a $35.3 million increase in accounts receivable during six months ended June 30, 2016 related to significant billings for customer projects, and a $36.9 million increase in certain payables and liabilities primarily caused by the timing of cash payments made between the quarters ended March 31, 2017 and December 31, 2016. This increase was partially offset by a $29.5 million increase in inventory during the six months ended June 30, 2017 caused by buildups in North America and EMEA for production and anticipated shipments.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used by investing activities during the six months ended June 30, 2017 was $100.0 million higher compared with the same period in 2016. This increased use of cash was related to our acquisition of Comverge during the six months ended June 30, 2017.</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cash provided by financing activities during the six months ended June 30, 2017 was $17.5 million, compared with a net use of cash of $28.9 million for the same period in 2016. The increase in cash provided by financing activities was primarily caused by the utilization of net proceeds from borrowings of $14.4 million primarily for the acquisition of Comverge during the six months ended June 30, 2017, while net debt repayments were $26.2 million in 2016.</w:t>
      </w:r>
    </w:p>
    <w:p>
      <w:pPr>
        <w:spacing w:after="0" w:line="15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six months ended June 30, 2017 was an increase of $5.2 million, compared with an increase of $0.6 million for the same period in 2016.</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provided by operating activities as a measure of liquidity. We calculate free cash flows, using amounts from our Consolidated Statements of Cash Flows,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8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Six Months Ended June 30,</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20" w:type="dxa"/>
            <w:vAlign w:val="bottom"/>
            <w:gridSpan w:val="3"/>
          </w:tcPr>
          <w:p>
            <w:pPr>
              <w:jc w:val="right"/>
              <w:ind w:right="539"/>
              <w:spacing w:after="0"/>
              <w:rPr>
                <w:sz w:val="20"/>
                <w:szCs w:val="20"/>
                <w:color w:val="auto"/>
              </w:rPr>
            </w:pPr>
            <w:r>
              <w:rPr>
                <w:rFonts w:ascii="Arial" w:cs="Arial" w:eastAsia="Arial" w:hAnsi="Arial"/>
                <w:sz w:val="16"/>
                <w:szCs w:val="16"/>
                <w:b w:val="1"/>
                <w:bCs w:val="1"/>
                <w:color w:val="auto"/>
              </w:rPr>
              <w:t>(in thousands)</w:t>
            </w:r>
          </w:p>
        </w:tc>
        <w:tc>
          <w:tcPr>
            <w:tcW w:w="64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93,444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51,127</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Acquisitions of property, plant, and equipment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(21,898)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(19,884)</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Free cash flow</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71,546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31,243</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Free cash flow increased primarily as a result of higher cash provided by operating activities. See the cash flow discussion of operating activities above.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off-balance sheet financing agreements or guarantees as defined by Item 303 of Regulation S-K at June 30, 2017 and December 31, 2016 that we believe are reasonably likely to have a current or future effect on our financial condition, results of operations,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of debt. Working capital, which represents current assets less current liabilities, was $294.2 million at June 30, 2017, compared with $319.4 million at December 31, 2016.</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credit facility consists of a $225 million U.S. dollar term loan and a multicurrency revolving line of credit (the revolver) with a principal amount of up to $500 million. The revolver also contains a $250 million letter of credit sub-facility and a $50 million swingline sub-facility (available for immediate cash needs at a higher interest rate). At June 30, 2017, $122.5 million was outstanding under the revolver, and $348.8 million was available for additional borrowings or standby letters of credit. At June 30, 2017, $28.7 million was utilized by outstanding standby letters of credit, resulting in $221.3 million available for additional letters of credit.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For further description of the term loan and the revolver under our 2015 credit facility, refer to Item 1: “Financial Statements, Note 6: Debt.”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letters of credit and performance bonds, and the amounts available for additional borrowings or letters of credit under our lines of credit, including the revolver that is part of our credit facility, refer to Item 1: “Financial Statements, Note 11: Commitments and Contingencies.”</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expect pre-tax restructuring charges associated with the 2016 Projects of approximately $68 million, with expected annualized savings of approximately $40 million upon completion.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2017, $49.3 million was accrued for the restructuring projects, of which $35.7 million is expected to be paid over the next 12 months. We also expect to recognize approximately $12 million in future restructuring costs, which will result in cash expenditures.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regarding our restructuring activities, refer to Item 1: “Financial Statements, Note 12: Restructuring.”</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Repurchases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23, 2017, Itron's Board of Directors authorized the Company to repurchase up to $50 million of our common stock over a 12-month period, beginning February 23, 2017. Any repurchases will be made in the open market or in privately negotiated transactions and in accordance with applicable securities laws. Repurchases are subject to the Company's alternative uses of capital as well as financial, market, and industry conditions. We did not repurchase any shares of common stock during the three and six months ended June 30, 2017.</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tax credits and net operating loss carryforwards in various jurisdictions that are available to reduce cash taxes. However, utilization of tax credits and net operating losses are limited in certain jurisdictions. Based on current projections, we expect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 net of refunds, approximately $6 million in state taxes, $20 million in U.S federal taxes, and $15 million in local and foreign taxes during 2017. For a discussion of our tax provision and unrecognized tax benefits, see Item 1: “Financial Statements, Note 10: Income Taxes.”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June 30, 2017, we are under examination by certain tax authorities for the 2000 to 2015 tax years. The material jurisdictions where we are subject to examination include, among others, the United States, France, Germany, Italy, Brazil, and the United Kingdom. No material changes have occurred to previously disclosed assessments. We believe we have appropriately accrued for the expected outcome of all tax matters and do not currently anticipate that the ultimate resolution of these examinations will have a material adverse effect on our financial condition, future results of operations, or liquidity.</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provided for U.S. deferred taxes related to the cash in certain foreign subsidiaries because our investment is considered permanent in duration. As of June 30, 2017, there was $44.0 million of cash and short-term investments held by certain foreign subsidiaries in which we are permanently reinvested for tax purposes. If this cash were repatriated to fund U.S. operations, additional tax costs may be required. Tax is one of the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several of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June 30, 2017, $11.6 million of our consolidated cash balance is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expect to grow through a combination of internal new product development, licensing technology from and to others, distribution agreements, partnering arrangements, and acquisitions of technology or other companies. We expect these activities to be funded with existing cash, cash flow from operations, borrowings, or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changes in estimated liabilities for product warranties and/or litigation, future business combinations, capital market fluctuations, international risks, and other factors described under “Risk Factors” within Item 1A of Part I of our Annual Report on Form 10-K for the fiscal year ended December 31, 2016, which was filed with the SEC on March 1, 2017, as well as “Quantitative and Qualitative Disclosures About Market Risk” within Item 3 of Part I included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our consolidated financial statements in conformity with GAAP requires us to make estimates and assumptions that affect amounts reported in the consolidated financial statements. Changes in these estimates and assumptions are considered reasonably possible and may have a material effect on our consolidated financial statements and thus actual results could differ from the amounts reported and disclosed herein. Our critical accounting policies that require the use of estimates and assumptions were discussed in detail in the 2016 Annual Report on Form 10-K and have not changed materially from that discussion.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consolidated financial statements are prepared in accordance with GAAP, which we supplement with certain non-GAAP financial information. These non-GAAP measures should not be considered in isolation or as a substitute for the related GAAP measures, and other companies may define such measures differently. We encourage investors to review our financial statements and publicly-filed reports in their entirety and not to rely on any single financial measure. These non-GAAP measures exclude the impact of certain expenses that we do not believe are indicative of our core operating results. We use these non-GAAP financial measures for financial and operational decision making and/or as a means for determining executive compensation.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purchase accounting adjustments,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u w:val="single" w:color="auto"/>
          <w:color w:val="auto"/>
        </w:rPr>
        <w:t>Non-GAAP operating expenses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non-GAAP operating income</w:t>
      </w:r>
      <w:r>
        <w:rPr>
          <w:rFonts w:ascii="Arial" w:cs="Arial" w:eastAsia="Arial" w:hAnsi="Arial"/>
          <w:sz w:val="16"/>
          <w:szCs w:val="16"/>
          <w:color w:val="auto"/>
        </w:rPr>
        <w:t xml:space="preserve"> – We define non-GAAP operating expenses as operating expenses excluding certain expenses related to the amortization of intangible assets, restructuring, acquisition and integration, and goodwill impairment. We define non-GAAP operating income as operating income excluding the expenses related to the amortization of intangible assets, restructuring, acquisition and integration, and goodwill impairment. We consider these non-GAAP financial measures to be useful metrics for management and investors because they exclude the effect of expenses that are related to previous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GAAP operating income.</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Non-GAAP net income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non-GAAP diluted EPS</w:t>
      </w:r>
      <w:r>
        <w:rPr>
          <w:rFonts w:ascii="Arial" w:cs="Arial" w:eastAsia="Arial" w:hAnsi="Arial"/>
          <w:sz w:val="18"/>
          <w:szCs w:val="18"/>
          <w:color w:val="auto"/>
        </w:rPr>
        <w:t xml:space="preserve"> – We define non-GAAP net income as net income attributable to Itron, Inc. excluding the expenses associated with amortization of intangible assets, restructuring, acquisition and integration, goodwill impairment, amortization of debt placement fees,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Adjusted EBITDA</w:t>
      </w:r>
      <w:r>
        <w:rPr>
          <w:rFonts w:ascii="Arial" w:cs="Arial" w:eastAsia="Arial" w:hAnsi="Arial"/>
          <w:sz w:val="17"/>
          <w:szCs w:val="17"/>
          <w:color w:val="auto"/>
        </w:rPr>
        <w:t xml:space="preserve"> – We define adjusted EBITDA as net income (a) minus interest income, (b) plus interest expense, depreciation and amortization, restructuring, acquisition and integration related expense, goodwill impairment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Free cash flow</w:t>
      </w:r>
      <w:r>
        <w:rPr>
          <w:rFonts w:ascii="Arial" w:cs="Arial" w:eastAsia="Arial" w:hAnsi="Arial"/>
          <w:sz w:val="18"/>
          <w:szCs w:val="18"/>
          <w:color w:val="auto"/>
        </w:rPr>
        <w:t xml:space="preserve"> – We define free cash flow as net cash provided by operating activities less cash used for acquisitions of property, 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u w:val="single" w:color="auto"/>
          <w:color w:val="auto"/>
        </w:rPr>
        <w:t>Constant currency</w:t>
      </w:r>
      <w:r>
        <w:rPr>
          <w:rFonts w:ascii="Arial" w:cs="Arial" w:eastAsia="Arial" w:hAnsi="Arial"/>
          <w:sz w:val="18"/>
          <w:szCs w:val="18"/>
          <w:color w:val="auto"/>
        </w:rPr>
        <w:t xml:space="preserve"> – We refer to the impact of foreign currency exchange rate fluctuations in our discussions of financial results, which references the differences between the foreign currency exchange rates used to translate operating results from local currencies into U.S. dollars for financial reporting purposes. We also use the term “constant currency,” which represents financial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Measures to Non-GAAP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reconciles the non-GAAP financial measures of operating expenses, operating income, net income, diluted EPS, adjusted EBITDA, free cash flow, and operating income by segment with the most directly comparable GAAP financial measures.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ind w:left="40"/>
              <w:spacing w:after="0"/>
              <w:rPr>
                <w:sz w:val="20"/>
                <w:szCs w:val="20"/>
                <w:color w:val="auto"/>
              </w:rPr>
            </w:pPr>
            <w:r>
              <w:rPr>
                <w:rFonts w:ascii="Arial" w:cs="Arial" w:eastAsia="Arial" w:hAnsi="Arial"/>
                <w:sz w:val="16"/>
                <w:szCs w:val="16"/>
                <w:b w:val="1"/>
                <w:bCs w:val="1"/>
                <w:color w:val="auto"/>
              </w:rPr>
              <w:t>TOTAL COMPANY RECONCILIATIONS</w:t>
            </w:r>
          </w:p>
        </w:tc>
        <w:tc>
          <w:tcPr>
            <w:tcW w:w="400" w:type="dxa"/>
            <w:vAlign w:val="bottom"/>
          </w:tcPr>
          <w:p>
            <w:pPr>
              <w:spacing w:after="0"/>
              <w:rPr>
                <w:sz w:val="18"/>
                <w:szCs w:val="18"/>
                <w:color w:val="auto"/>
              </w:rPr>
            </w:pPr>
          </w:p>
        </w:tc>
        <w:tc>
          <w:tcPr>
            <w:tcW w:w="318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Three Months Ended June 30,</w:t>
            </w:r>
          </w:p>
        </w:tc>
        <w:tc>
          <w:tcPr>
            <w:tcW w:w="400" w:type="dxa"/>
            <w:vAlign w:val="bottom"/>
          </w:tcPr>
          <w:p>
            <w:pPr>
              <w:spacing w:after="0"/>
              <w:rPr>
                <w:sz w:val="18"/>
                <w:szCs w:val="18"/>
                <w:color w:val="auto"/>
              </w:rPr>
            </w:pPr>
          </w:p>
        </w:tc>
        <w:tc>
          <w:tcPr>
            <w:tcW w:w="30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00" w:type="dxa"/>
            <w:vAlign w:val="bottom"/>
            <w:gridSpan w:val="5"/>
          </w:tcPr>
          <w:p>
            <w:pPr>
              <w:ind w:left="180"/>
              <w:spacing w:after="0"/>
              <w:rPr>
                <w:sz w:val="20"/>
                <w:szCs w:val="20"/>
                <w:color w:val="auto"/>
              </w:rPr>
            </w:pPr>
            <w:r>
              <w:rPr>
                <w:rFonts w:ascii="Arial" w:cs="Arial" w:eastAsia="Arial" w:hAnsi="Arial"/>
                <w:sz w:val="16"/>
                <w:szCs w:val="16"/>
                <w:b w:val="1"/>
                <w:bCs w:val="1"/>
                <w:color w:val="auto"/>
              </w:rPr>
              <w:t>(in thousands, except per share data)</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80" w:type="dxa"/>
            <w:vAlign w:val="bottom"/>
          </w:tcPr>
          <w:p>
            <w:pPr>
              <w:ind w:left="140"/>
              <w:spacing w:after="0"/>
              <w:rPr>
                <w:sz w:val="20"/>
                <w:szCs w:val="20"/>
                <w:color w:val="auto"/>
              </w:rPr>
            </w:pPr>
            <w:r>
              <w:rPr>
                <w:rFonts w:ascii="Arial" w:cs="Arial" w:eastAsia="Arial" w:hAnsi="Arial"/>
                <w:sz w:val="16"/>
                <w:szCs w:val="16"/>
                <w:b w:val="1"/>
                <w:bCs w:val="1"/>
                <w:color w:val="auto"/>
              </w:rPr>
              <w:t>NON-GAAP OPERATING EXPENSES</w:t>
            </w: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operating expenses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141,038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134,232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268,221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273,861</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(7,796)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(14,006)</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Acquisition and integration related expenses</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(6,468)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operating expenses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124,557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128,083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243,806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259,262</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3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operating income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66,864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59,047</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4,970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7,796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9,519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14,006</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Acquisition and integration related expenses</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6,468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6,801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operating income</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53,303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41,622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91,279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73,646</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NET INCOME &amp; DILUTED EPS</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3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net income attributable to Itron, Inc.</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30,006</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4,970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7,796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9,519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14,006</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Amortization of debt placement fees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Restructuring</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8,095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Acquisition and integration related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70"/>
        </w:trPr>
        <w:tc>
          <w:tcPr>
            <w:tcW w:w="43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Income tax effect of non-GAAP adjustments</w:t>
            </w:r>
            <w:r>
              <w:rPr>
                <w:rFonts w:ascii="Arial" w:cs="Arial" w:eastAsia="Arial" w:hAnsi="Arial"/>
                <w:sz w:val="21"/>
                <w:szCs w:val="21"/>
                <w:color w:val="auto"/>
                <w:vertAlign w:val="superscript"/>
              </w:rPr>
              <w:t>(1)</w:t>
            </w:r>
          </w:p>
        </w:tc>
        <w:tc>
          <w:tcPr>
            <w:tcW w:w="4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(2,896)</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(4,730)</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(3,125)</w:t>
            </w: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net income attributable to Itron, Inc.</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27,924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25,144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50,110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41,975</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diluted EPS</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Weighted average common shares outstanding - Diluted</w:t>
            </w: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38,516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39,274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38,446</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ADJUSTED EBITDA</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3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GAAP net income attributable to Itron, Inc.</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29,942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30,006</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Interest income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Interest expense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5,653</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Income tax provision</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16,560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12,193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25,607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20,819</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29,468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35,481</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Restructuring</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(1,622)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8,095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615</w:t>
            </w: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Acquisition and integration related expenses</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44"/>
        </w:trPr>
        <w:tc>
          <w:tcPr>
            <w:tcW w:w="4380" w:type="dxa"/>
            <w:vAlign w:val="bottom"/>
          </w:tcPr>
          <w:p>
            <w:pPr>
              <w:ind w:left="340"/>
              <w:spacing w:after="0"/>
              <w:rPr>
                <w:sz w:val="20"/>
                <w:szCs w:val="20"/>
                <w:color w:val="auto"/>
              </w:rPr>
            </w:pPr>
            <w:r>
              <w:rPr>
                <w:rFonts w:ascii="Arial" w:cs="Arial" w:eastAsia="Arial" w:hAnsi="Arial"/>
                <w:sz w:val="16"/>
                <w:szCs w:val="16"/>
                <w:color w:val="auto"/>
              </w:rPr>
              <w:t>Adjusted EBITDA</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59,664</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51,784</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104,724</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92,060</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FREE CASH FLOW</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3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93,444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51,127</w:t>
            </w:r>
          </w:p>
        </w:tc>
        <w:tc>
          <w:tcPr>
            <w:tcW w:w="0" w:type="dxa"/>
            <w:vAlign w:val="bottom"/>
          </w:tcPr>
          <w:p>
            <w:pPr>
              <w:spacing w:after="0"/>
              <w:rPr>
                <w:sz w:val="1"/>
                <w:szCs w:val="1"/>
                <w:color w:val="auto"/>
              </w:rPr>
            </w:pPr>
          </w:p>
        </w:tc>
      </w:tr>
      <w:tr>
        <w:trPr>
          <w:trHeight w:val="237"/>
        </w:trPr>
        <w:tc>
          <w:tcPr>
            <w:tcW w:w="4380" w:type="dxa"/>
            <w:vAlign w:val="bottom"/>
          </w:tcPr>
          <w:p>
            <w:pPr>
              <w:ind w:left="460"/>
              <w:spacing w:after="0"/>
              <w:rPr>
                <w:sz w:val="20"/>
                <w:szCs w:val="20"/>
                <w:color w:val="auto"/>
              </w:rPr>
            </w:pPr>
            <w:r>
              <w:rPr>
                <w:rFonts w:ascii="Arial" w:cs="Arial" w:eastAsia="Arial" w:hAnsi="Arial"/>
                <w:sz w:val="16"/>
                <w:szCs w:val="16"/>
                <w:color w:val="auto"/>
              </w:rPr>
              <w:t>Acquisitions of property, plant, and equipment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(11,093)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(21,898)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(19,884)</w:t>
            </w:r>
          </w:p>
        </w:tc>
        <w:tc>
          <w:tcPr>
            <w:tcW w:w="0" w:type="dxa"/>
            <w:vAlign w:val="bottom"/>
          </w:tcPr>
          <w:p>
            <w:pPr>
              <w:spacing w:after="0"/>
              <w:rPr>
                <w:sz w:val="1"/>
                <w:szCs w:val="1"/>
                <w:color w:val="auto"/>
              </w:rPr>
            </w:pPr>
          </w:p>
        </w:tc>
      </w:tr>
      <w:tr>
        <w:trPr>
          <w:trHeight w:val="33"/>
        </w:trPr>
        <w:tc>
          <w:tcPr>
            <w:tcW w:w="43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Free Cash Flow</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17,411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71,546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31,243</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17" w:lineRule="auto"/>
        <w:tabs>
          <w:tab w:leader="none" w:pos="34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 income tax effect of non-GAAP adjustments is calculated using the statutory tax rates for the relevant jurisdictions if no valuation allowance exists. If a valuation allowance exists, there is no tax impact to the non-GAAP adjustment.</w:t>
      </w:r>
    </w:p>
    <w:p>
      <w:pPr>
        <w:sectPr>
          <w:pgSz w:w="11900" w:h="16838" w:orient="portrait"/>
          <w:cols w:equalWidth="0" w:num="1">
            <w:col w:w="11420"/>
          </w:cols>
          <w:pgMar w:left="240" w:top="125" w:right="239" w:bottom="433"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433"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ind w:left="40"/>
              <w:spacing w:after="0"/>
              <w:rPr>
                <w:sz w:val="20"/>
                <w:szCs w:val="20"/>
                <w:color w:val="auto"/>
              </w:rPr>
            </w:pPr>
            <w:r>
              <w:rPr>
                <w:rFonts w:ascii="Arial" w:cs="Arial" w:eastAsia="Arial" w:hAnsi="Arial"/>
                <w:sz w:val="16"/>
                <w:szCs w:val="16"/>
                <w:b w:val="1"/>
                <w:bCs w:val="1"/>
                <w:color w:val="auto"/>
              </w:rPr>
              <w:t>SEGMENT RECONCILIATIONS</w:t>
            </w:r>
          </w:p>
        </w:tc>
        <w:tc>
          <w:tcPr>
            <w:tcW w:w="380" w:type="dxa"/>
            <w:vAlign w:val="bottom"/>
          </w:tcPr>
          <w:p>
            <w:pPr>
              <w:spacing w:after="0"/>
              <w:rPr>
                <w:sz w:val="18"/>
                <w:szCs w:val="18"/>
                <w:color w:val="auto"/>
              </w:rPr>
            </w:pPr>
          </w:p>
        </w:tc>
        <w:tc>
          <w:tcPr>
            <w:tcW w:w="318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Three Months Ended June 30,</w:t>
            </w:r>
          </w:p>
        </w:tc>
        <w:tc>
          <w:tcPr>
            <w:tcW w:w="560" w:type="dxa"/>
            <w:vAlign w:val="bottom"/>
          </w:tcPr>
          <w:p>
            <w:pPr>
              <w:spacing w:after="0"/>
              <w:rPr>
                <w:sz w:val="18"/>
                <w:szCs w:val="18"/>
                <w:color w:val="auto"/>
              </w:rPr>
            </w:pPr>
          </w:p>
        </w:tc>
        <w:tc>
          <w:tcPr>
            <w:tcW w:w="290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00" w:type="dxa"/>
            <w:vAlign w:val="bottom"/>
          </w:tcPr>
          <w:p>
            <w:pPr>
              <w:ind w:left="140"/>
              <w:spacing w:after="0"/>
              <w:rPr>
                <w:sz w:val="20"/>
                <w:szCs w:val="20"/>
                <w:color w:val="auto"/>
              </w:rPr>
            </w:pPr>
            <w:r>
              <w:rPr>
                <w:rFonts w:ascii="Arial" w:cs="Arial" w:eastAsia="Arial" w:hAnsi="Arial"/>
                <w:sz w:val="16"/>
                <w:szCs w:val="16"/>
                <w:b w:val="1"/>
                <w:bCs w:val="1"/>
                <w:color w:val="auto"/>
              </w:rPr>
              <w:t>NON-GAAP OPERATING INCOME - ELECTRICITY</w:t>
            </w: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Electricity - GAAP operating income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30,640</w:t>
            </w:r>
          </w:p>
        </w:tc>
        <w:tc>
          <w:tcPr>
            <w:tcW w:w="0" w:type="dxa"/>
            <w:vAlign w:val="bottom"/>
          </w:tcPr>
          <w:p>
            <w:pPr>
              <w:spacing w:after="0"/>
              <w:rPr>
                <w:sz w:val="1"/>
                <w:szCs w:val="1"/>
                <w:color w:val="auto"/>
              </w:rPr>
            </w:pPr>
          </w:p>
        </w:tc>
      </w:tr>
      <w:tr>
        <w:trPr>
          <w:trHeight w:val="237"/>
        </w:trPr>
        <w:tc>
          <w:tcPr>
            <w:tcW w:w="440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2,728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4,617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5,090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7,867</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0" w:type="dxa"/>
            <w:vAlign w:val="bottom"/>
          </w:tcPr>
          <w:p>
            <w:pPr>
              <w:spacing w:after="0"/>
              <w:rPr>
                <w:sz w:val="1"/>
                <w:szCs w:val="1"/>
                <w:color w:val="auto"/>
              </w:rPr>
            </w:pPr>
          </w:p>
        </w:tc>
      </w:tr>
      <w:tr>
        <w:trPr>
          <w:trHeight w:val="237"/>
        </w:trPr>
        <w:tc>
          <w:tcPr>
            <w:tcW w:w="4400" w:type="dxa"/>
            <w:vAlign w:val="bottom"/>
          </w:tcPr>
          <w:p>
            <w:pPr>
              <w:ind w:left="360"/>
              <w:spacing w:after="0"/>
              <w:rPr>
                <w:sz w:val="20"/>
                <w:szCs w:val="20"/>
                <w:color w:val="auto"/>
              </w:rPr>
            </w:pPr>
            <w:r>
              <w:rPr>
                <w:rFonts w:ascii="Arial" w:cs="Arial" w:eastAsia="Arial" w:hAnsi="Arial"/>
                <w:sz w:val="16"/>
                <w:szCs w:val="16"/>
                <w:color w:val="auto"/>
              </w:rPr>
              <w:t>Acquisition and integration related expenses</w:t>
            </w:r>
          </w:p>
        </w:tc>
        <w:tc>
          <w:tcPr>
            <w:tcW w:w="3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6,201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4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Electricity - Non-GAAP operating income</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27,088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23,040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46,136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37,453</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 - GAS</w:t>
            </w: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4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Gas - GAAP operating income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25,376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41,675</w:t>
            </w:r>
          </w:p>
        </w:tc>
        <w:tc>
          <w:tcPr>
            <w:tcW w:w="0" w:type="dxa"/>
            <w:vAlign w:val="bottom"/>
          </w:tcPr>
          <w:p>
            <w:pPr>
              <w:spacing w:after="0"/>
              <w:rPr>
                <w:sz w:val="1"/>
                <w:szCs w:val="1"/>
                <w:color w:val="auto"/>
              </w:rPr>
            </w:pPr>
          </w:p>
        </w:tc>
      </w:tr>
      <w:tr>
        <w:trPr>
          <w:trHeight w:val="237"/>
        </w:trPr>
        <w:tc>
          <w:tcPr>
            <w:tcW w:w="440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1,756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2,586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3,375</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0" w:type="dxa"/>
            <w:vAlign w:val="bottom"/>
          </w:tcPr>
          <w:p>
            <w:pPr>
              <w:spacing w:after="0"/>
              <w:rPr>
                <w:sz w:val="1"/>
                <w:szCs w:val="1"/>
                <w:color w:val="auto"/>
              </w:rPr>
            </w:pPr>
          </w:p>
        </w:tc>
      </w:tr>
      <w:tr>
        <w:trPr>
          <w:trHeight w:val="244"/>
        </w:trPr>
        <w:tc>
          <w:tcPr>
            <w:tcW w:w="4400" w:type="dxa"/>
            <w:vAlign w:val="bottom"/>
          </w:tcPr>
          <w:p>
            <w:pPr>
              <w:ind w:left="260"/>
              <w:spacing w:after="0"/>
              <w:rPr>
                <w:sz w:val="20"/>
                <w:szCs w:val="20"/>
                <w:color w:val="auto"/>
              </w:rPr>
            </w:pPr>
            <w:r>
              <w:rPr>
                <w:rFonts w:ascii="Arial" w:cs="Arial" w:eastAsia="Arial" w:hAnsi="Arial"/>
                <w:sz w:val="16"/>
                <w:szCs w:val="16"/>
                <w:color w:val="auto"/>
              </w:rPr>
              <w:t>Gas - Non-GAAP operating income</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22,211</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27,120</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45,828</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46,302</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 - WATER</w:t>
            </w: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4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Water - GAAP operating income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14,177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32,253</w:t>
            </w:r>
          </w:p>
        </w:tc>
        <w:tc>
          <w:tcPr>
            <w:tcW w:w="0" w:type="dxa"/>
            <w:vAlign w:val="bottom"/>
          </w:tcPr>
          <w:p>
            <w:pPr>
              <w:spacing w:after="0"/>
              <w:rPr>
                <w:sz w:val="1"/>
                <w:szCs w:val="1"/>
                <w:color w:val="auto"/>
              </w:rPr>
            </w:pPr>
          </w:p>
        </w:tc>
      </w:tr>
      <w:tr>
        <w:trPr>
          <w:trHeight w:val="237"/>
        </w:trPr>
        <w:tc>
          <w:tcPr>
            <w:tcW w:w="440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38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1,843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2,764</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44"/>
        </w:trPr>
        <w:tc>
          <w:tcPr>
            <w:tcW w:w="4400" w:type="dxa"/>
            <w:vAlign w:val="bottom"/>
          </w:tcPr>
          <w:p>
            <w:pPr>
              <w:ind w:left="260"/>
              <w:spacing w:after="0"/>
              <w:rPr>
                <w:sz w:val="20"/>
                <w:szCs w:val="20"/>
                <w:color w:val="auto"/>
              </w:rPr>
            </w:pPr>
            <w:r>
              <w:rPr>
                <w:rFonts w:ascii="Arial" w:cs="Arial" w:eastAsia="Arial" w:hAnsi="Arial"/>
                <w:sz w:val="16"/>
                <w:szCs w:val="16"/>
                <w:color w:val="auto"/>
              </w:rPr>
              <w:t>Water - Non-GAAP operating income</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18,614</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15,715</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29,277</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35,068</w:t>
            </w:r>
          </w:p>
        </w:tc>
        <w:tc>
          <w:tcPr>
            <w:tcW w:w="0" w:type="dxa"/>
            <w:vAlign w:val="bottom"/>
          </w:tcPr>
          <w:p>
            <w:pPr>
              <w:spacing w:after="0"/>
              <w:rPr>
                <w:sz w:val="1"/>
                <w:szCs w:val="1"/>
                <w:color w:val="auto"/>
              </w:rPr>
            </w:pPr>
          </w:p>
        </w:tc>
      </w:tr>
      <w:tr>
        <w:trPr>
          <w:trHeight w:val="20"/>
        </w:trPr>
        <w:tc>
          <w:tcPr>
            <w:tcW w:w="440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NON-GAAP OPERATING INCOME - CORPORATE</w:t>
            </w: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4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140"/>
              <w:spacing w:after="0"/>
              <w:rPr>
                <w:sz w:val="20"/>
                <w:szCs w:val="20"/>
                <w:color w:val="auto"/>
              </w:rPr>
            </w:pPr>
            <w:r>
              <w:rPr>
                <w:rFonts w:ascii="Arial" w:cs="Arial" w:eastAsia="Arial" w:hAnsi="Arial"/>
                <w:sz w:val="16"/>
                <w:szCs w:val="16"/>
                <w:b w:val="1"/>
                <w:bCs w:val="1"/>
                <w:color w:val="auto"/>
              </w:rPr>
              <w:t>UNALLOCATED</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Corporate unallocated - GAAP operating loss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(24,088)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(45,521)</w:t>
            </w:r>
          </w:p>
        </w:tc>
        <w:tc>
          <w:tcPr>
            <w:tcW w:w="0" w:type="dxa"/>
            <w:vAlign w:val="bottom"/>
          </w:tcPr>
          <w:p>
            <w:pPr>
              <w:spacing w:after="0"/>
              <w:rPr>
                <w:sz w:val="1"/>
                <w:szCs w:val="1"/>
                <w:color w:val="auto"/>
              </w:rPr>
            </w:pPr>
          </w:p>
        </w:tc>
      </w:tr>
      <w:tr>
        <w:trPr>
          <w:trHeight w:val="237"/>
        </w:trPr>
        <w:tc>
          <w:tcPr>
            <w:tcW w:w="4400" w:type="dxa"/>
            <w:vAlign w:val="bottom"/>
          </w:tcPr>
          <w:p>
            <w:pPr>
              <w:ind w:left="360"/>
              <w:spacing w:after="0"/>
              <w:rPr>
                <w:sz w:val="20"/>
                <w:szCs w:val="20"/>
                <w:color w:val="auto"/>
              </w:rPr>
            </w:pPr>
            <w:r>
              <w:rPr>
                <w:rFonts w:ascii="Arial" w:cs="Arial" w:eastAsia="Arial" w:hAnsi="Arial"/>
                <w:sz w:val="16"/>
                <w:szCs w:val="16"/>
                <w:color w:val="auto"/>
              </w:rPr>
              <w:t>Restructuring</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33"/>
        </w:trPr>
        <w:tc>
          <w:tcPr>
            <w:tcW w:w="4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Acquisition and integration related expenses</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400" w:type="dxa"/>
            <w:vAlign w:val="bottom"/>
          </w:tcPr>
          <w:p>
            <w:pPr>
              <w:ind w:left="260"/>
              <w:spacing w:after="0"/>
              <w:rPr>
                <w:sz w:val="20"/>
                <w:szCs w:val="20"/>
                <w:color w:val="auto"/>
              </w:rPr>
            </w:pPr>
            <w:r>
              <w:rPr>
                <w:rFonts w:ascii="Arial" w:cs="Arial" w:eastAsia="Arial" w:hAnsi="Arial"/>
                <w:sz w:val="16"/>
                <w:szCs w:val="16"/>
                <w:color w:val="auto"/>
              </w:rPr>
              <w:t>Corporate unallocated - Non-GAAP operating loss</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(14,610)</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(24,253)</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(29,962)</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(45,177)</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interest rate risk through our variable rate debt instruments. In October 2015, we entered into an interest rate swap, which is effective from August 31, 2016 to June 23, 2020, and converts $214 million of our LIBOR-based debt from a floating LIBOR interest rate to a fixed interest rate of 1.42% (excluding the applicable margin on the debt). The notional balance will amortize to maturity at the same rate as required minimum payments on our term loan. At June 30, 2017, our LIBOR-based debt balance was $262.5 million.</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LIBOR-based debt up to 2.00%. In the event LIBOR is higher than 2.00%, we will pay interest at the capped rate of 2.00% with respect to the $100 million notional amount of such agreements. The interest rate cap contracts do not include the effect of the applicable margin.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table below provides information about our financial instruments that are sensitive to changes in interest rates and the scheduled minimum repayment of principal and the weighted average interest rates at June 30, 2017. Weighted average variable rates in the table are based on implied forward rates in the Reuters U.S. dollar yield curve as of June 30, 2017 and our estimated leverage ratio, which determines our additional interest rate margin at June 30, 2017.</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Fair Value</w:t>
            </w:r>
          </w:p>
        </w:tc>
      </w:tr>
      <w:tr>
        <w:trPr>
          <w:trHeight w:val="244"/>
        </w:trPr>
        <w:tc>
          <w:tcPr>
            <w:tcW w:w="3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6"/>
        </w:trPr>
        <w:tc>
          <w:tcPr>
            <w:tcW w:w="3460" w:type="dxa"/>
            <w:vAlign w:val="bottom"/>
          </w:tcPr>
          <w:p>
            <w:pPr>
              <w:ind w:left="40"/>
              <w:spacing w:after="0"/>
              <w:rPr>
                <w:sz w:val="20"/>
                <w:szCs w:val="20"/>
                <w:color w:val="auto"/>
              </w:rPr>
            </w:pPr>
            <w:r>
              <w:rPr>
                <w:rFonts w:ascii="Arial" w:cs="Arial" w:eastAsia="Arial" w:hAnsi="Arial"/>
                <w:sz w:val="14"/>
                <w:szCs w:val="14"/>
                <w:i w:val="1"/>
                <w:iCs w:val="1"/>
                <w:color w:val="auto"/>
              </w:rPr>
              <w:t>Variable Rate Debt</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6"/>
        </w:trPr>
        <w:tc>
          <w:tcPr>
            <w:tcW w:w="34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Principal: U.S. dollar term loan</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8,437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19,688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22,500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151,875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202,500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200,309</w:t>
            </w:r>
          </w:p>
        </w:tc>
      </w:tr>
      <w:tr>
        <w:trPr>
          <w:trHeight w:val="264"/>
        </w:trPr>
        <w:tc>
          <w:tcPr>
            <w:tcW w:w="3460" w:type="dxa"/>
            <w:vAlign w:val="bottom"/>
          </w:tcPr>
          <w:p>
            <w:pPr>
              <w:ind w:left="620"/>
              <w:spacing w:after="0"/>
              <w:rPr>
                <w:sz w:val="20"/>
                <w:szCs w:val="20"/>
                <w:color w:val="auto"/>
              </w:rPr>
            </w:pPr>
            <w:r>
              <w:rPr>
                <w:rFonts w:ascii="Arial" w:cs="Arial" w:eastAsia="Arial" w:hAnsi="Arial"/>
                <w:sz w:val="14"/>
                <w:szCs w:val="14"/>
                <w:color w:val="auto"/>
              </w:rPr>
              <w:t>Average interest rate</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2.53 %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3700" w:type="dxa"/>
            <w:vAlign w:val="bottom"/>
            <w:gridSpan w:val="2"/>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3700" w:type="dxa"/>
            <w:vAlign w:val="bottom"/>
            <w:gridSpan w:val="2"/>
          </w:tcPr>
          <w:p>
            <w:pPr>
              <w:ind w:left="620"/>
              <w:spacing w:after="0"/>
              <w:rPr>
                <w:sz w:val="20"/>
                <w:szCs w:val="20"/>
                <w:color w:val="auto"/>
              </w:rPr>
            </w:pPr>
            <w:r>
              <w:rPr>
                <w:rFonts w:ascii="Arial" w:cs="Arial" w:eastAsia="Arial" w:hAnsi="Arial"/>
                <w:sz w:val="14"/>
                <w:szCs w:val="14"/>
                <w:color w:val="auto"/>
              </w:rPr>
              <w:t>Principal: Multicurrency revolving line of credit $</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122,497</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122,497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120,688</w:t>
            </w:r>
          </w:p>
        </w:tc>
      </w:tr>
      <w:tr>
        <w:trPr>
          <w:trHeight w:val="276"/>
        </w:trPr>
        <w:tc>
          <w:tcPr>
            <w:tcW w:w="34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Average interest rate</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70"/>
        </w:trPr>
        <w:tc>
          <w:tcPr>
            <w:tcW w:w="3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3460" w:type="dxa"/>
            <w:vAlign w:val="bottom"/>
            <w:shd w:val="clear" w:color="auto" w:fill="CCEEFF"/>
          </w:tcPr>
          <w:p>
            <w:pPr>
              <w:ind w:left="620"/>
              <w:spacing w:after="0"/>
              <w:rPr>
                <w:sz w:val="20"/>
                <w:szCs w:val="20"/>
                <w:color w:val="auto"/>
              </w:rPr>
            </w:pPr>
            <w:r>
              <w:rPr>
                <w:rFonts w:ascii="Arial" w:cs="Arial" w:eastAsia="Arial" w:hAnsi="Arial"/>
                <w:sz w:val="14"/>
                <w:szCs w:val="14"/>
                <w:color w:val="auto"/>
              </w:rPr>
              <w:t>Interest rate swap on LIBOR-based debt</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3460" w:type="dxa"/>
            <w:vAlign w:val="bottom"/>
          </w:tcPr>
          <w:p>
            <w:pPr>
              <w:ind w:left="380"/>
              <w:spacing w:after="0"/>
              <w:rPr>
                <w:sz w:val="20"/>
                <w:szCs w:val="20"/>
                <w:color w:val="auto"/>
              </w:rPr>
            </w:pPr>
            <w:r>
              <w:rPr>
                <w:rFonts w:ascii="Arial" w:cs="Arial" w:eastAsia="Arial" w:hAnsi="Arial"/>
                <w:sz w:val="14"/>
                <w:szCs w:val="14"/>
                <w:color w:val="auto"/>
              </w:rPr>
              <w:t>Average interest rate (pay)</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34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Average interest rate (receive)</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1.29 %</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4"/>
        </w:trPr>
        <w:tc>
          <w:tcPr>
            <w:tcW w:w="3460" w:type="dxa"/>
            <w:vAlign w:val="bottom"/>
          </w:tcPr>
          <w:p>
            <w:pPr>
              <w:ind w:left="380"/>
              <w:spacing w:after="0"/>
              <w:rPr>
                <w:sz w:val="20"/>
                <w:szCs w:val="20"/>
                <w:color w:val="auto"/>
              </w:rPr>
            </w:pPr>
            <w:r>
              <w:rPr>
                <w:rFonts w:ascii="Arial" w:cs="Arial" w:eastAsia="Arial" w:hAnsi="Arial"/>
                <w:sz w:val="14"/>
                <w:szCs w:val="14"/>
                <w:color w:val="auto"/>
              </w:rPr>
              <w:t>Net/Spread</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ind w:left="5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June 30, 2017, we estimate that, if market interest rates average one percentage point higher in 2017 than in the table above, our financial results in 2017 would not be materially impacted.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business in a number of countries. As a result, approximately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44% and 45% of total revenues for the three and six months ended June 30, 2017 compared with 48% and 49% for the same respective periods in 2016.</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exposed to foreign exchange risk when we enter into non-functional currency transactions, both intercompany and third party. At each period-end, non-functional currency monetary assets and liabilities are revalued with the change recognized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other income and expense. We enter into monthly foreign exchange forward contracts, which are not designated for hedge accounting, with the intent to reduce earnings volatility associated with currency exposures. As of June 30, 2017, a total of 53 contracts were offsetting our exposures from the euro, Saudi Riyal, Indian Rupee, Chinese Yuan, Indonesian Rupiah, and various other currencies, with notional amounts ranging from $118,000 to $45.5 million. Based on a sensitivity analysis as of June 30, 2017, we estimate that, if foreign currency exchange rates average ten percentage points higher in 2017 for these financial instruments, our financial results in 2017 would not be materially impacted.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June 30, 2017,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the ordinary course of business, we review our system of internal control over financial reporting and make changes to our applications and processes to improve such controls and increase efficiency, while ensuring that we maintain an effective internal control environment. Changes may include such activities as implementing new, more efficient applications and automating manual processes. We are currently upgrading our global enterprise resource software applications at certain of our locations outside of the United States. We will continue to upgrade our financial applications in stages, and we believe the related changes to processes and internal controls will allow us to be more efficient and further enhance our internal control over financial reporting.</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we have established a shared services center in Europe, and we are currently transitioning certain finance and accounting activities to the shared services center in a staged approach. The transition to shared services is ongoing, and we believe the related changes to processes and internal control will allow us to be more efficient and further enhance our internal control over financial reporting.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these changes, there have been no other changes in our internal control over financial reporting during the three months ended June 30, 2017 that materially affected, or are reasonably likely to materially affect, internal control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to risk factors during the second quarter of 2017 from those previously disclosed in Item 1A: “Risk Factors” of Part I of our Annual Report on Form 10-K for the fiscal year ended December 31, 2016, which was filed with the SEC on March 1, 2017.</w:t>
      </w:r>
    </w:p>
    <w:p>
      <w:pPr>
        <w:spacing w:after="0" w:line="3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second quarter of 2017 that was not reported.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18"/>
                <w:szCs w:val="18"/>
                <w:color w:val="auto"/>
              </w:rPr>
            </w:pPr>
          </w:p>
        </w:tc>
      </w:tr>
      <w:tr>
        <w:trPr>
          <w:trHeight w:val="234"/>
        </w:trPr>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1004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561"/>
        </w:trPr>
        <w:tc>
          <w:tcPr>
            <w:tcW w:w="1260" w:type="dxa"/>
            <w:vAlign w:val="bottom"/>
          </w:tcPr>
          <w:p>
            <w:pPr>
              <w:jc w:val="right"/>
              <w:ind w:right="3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Computation of Ratio of Earnings to Fixed Charges. (filed with this report)</w:t>
            </w:r>
          </w:p>
        </w:tc>
      </w:tr>
      <w:tr>
        <w:trPr>
          <w:trHeight w:val="567"/>
        </w:trPr>
        <w:tc>
          <w:tcPr>
            <w:tcW w:w="1260" w:type="dxa"/>
            <w:vAlign w:val="bottom"/>
          </w:tcPr>
          <w:p>
            <w:pPr>
              <w:jc w:val="right"/>
              <w:ind w:right="31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260" w:type="dxa"/>
            <w:vAlign w:val="bottom"/>
          </w:tcPr>
          <w:p>
            <w:pPr>
              <w:jc w:val="right"/>
              <w:ind w:right="31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260" w:type="dxa"/>
            <w:vAlign w:val="bottom"/>
          </w:tcPr>
          <w:p>
            <w:pPr>
              <w:jc w:val="right"/>
              <w:ind w:right="31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94"/>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101.INS</w:t>
            </w:r>
          </w:p>
        </w:tc>
        <w:tc>
          <w:tcPr>
            <w:tcW w:w="100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101.SCH</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r>
      <w:tr>
        <w:trPr>
          <w:trHeight w:val="594"/>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101.CAL</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594"/>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101.DEF</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r>
        <w:trPr>
          <w:trHeight w:val="594"/>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101.LAB</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r>
      <w:tr>
        <w:trPr>
          <w:trHeight w:val="594"/>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101.PRE</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r>
      <w:tr>
        <w:trPr>
          <w:trHeight w:val="783"/>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4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Arial" w:cs="Arial" w:eastAsia="Arial" w:hAnsi="Arial"/>
                <w:sz w:val="18"/>
                <w:szCs w:val="18"/>
                <w:color w:val="auto"/>
              </w:rPr>
              <w:t>ITRON, INC.</w:t>
            </w:r>
          </w:p>
        </w:tc>
      </w:tr>
      <w:tr>
        <w:trPr>
          <w:trHeight w:val="567"/>
        </w:trPr>
        <w:tc>
          <w:tcPr>
            <w:tcW w:w="3660" w:type="dxa"/>
            <w:vAlign w:val="bottom"/>
          </w:tcPr>
          <w:p>
            <w:pPr>
              <w:jc w:val="center"/>
              <w:spacing w:after="0"/>
              <w:rPr>
                <w:sz w:val="20"/>
                <w:szCs w:val="20"/>
                <w:color w:val="auto"/>
              </w:rPr>
            </w:pPr>
            <w:r>
              <w:rPr>
                <w:rFonts w:ascii="Arial" w:cs="Arial" w:eastAsia="Arial" w:hAnsi="Arial"/>
                <w:sz w:val="18"/>
                <w:szCs w:val="18"/>
                <w:color w:val="auto"/>
                <w:w w:val="92"/>
              </w:rPr>
              <w:t>August 2, 2017</w:t>
            </w:r>
          </w:p>
        </w:tc>
        <w:tc>
          <w:tcPr>
            <w:tcW w:w="1260" w:type="dxa"/>
            <w:vAlign w:val="bottom"/>
          </w:tcPr>
          <w:p>
            <w:pPr>
              <w:ind w:left="500"/>
              <w:spacing w:after="0"/>
              <w:rPr>
                <w:sz w:val="20"/>
                <w:szCs w:val="20"/>
                <w:color w:val="auto"/>
              </w:rPr>
            </w:pPr>
            <w:r>
              <w:rPr>
                <w:rFonts w:ascii="Arial" w:cs="Arial" w:eastAsia="Arial" w:hAnsi="Arial"/>
                <w:sz w:val="18"/>
                <w:szCs w:val="18"/>
                <w:color w:val="auto"/>
              </w:rPr>
              <w:t>By:</w:t>
            </w:r>
          </w:p>
        </w:tc>
        <w:tc>
          <w:tcPr>
            <w:tcW w:w="6500" w:type="dxa"/>
            <w:vAlign w:val="bottom"/>
          </w:tcPr>
          <w:p>
            <w:pPr>
              <w:jc w:val="center"/>
              <w:spacing w:after="0"/>
              <w:rPr>
                <w:sz w:val="20"/>
                <w:szCs w:val="20"/>
                <w:color w:val="auto"/>
              </w:rPr>
            </w:pPr>
            <w:r>
              <w:rPr>
                <w:rFonts w:ascii="Arial" w:cs="Arial" w:eastAsia="Arial" w:hAnsi="Arial"/>
                <w:sz w:val="18"/>
                <w:szCs w:val="18"/>
                <w:color w:val="auto"/>
                <w:w w:val="91"/>
              </w:rPr>
              <w:t>/s/ JOAN S. HOOPER</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89"/>
              </w:rPr>
              <w:t>Joan S. Hooper</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1"/>
              </w:rPr>
              <w:t>Senior Vice President and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Arial" w:cs="Arial" w:eastAsia="Arial" w:hAnsi="Arial"/>
                <w:sz w:val="18"/>
                <w:szCs w:val="18"/>
                <w:color w:val="auto"/>
              </w:rPr>
              <w:t>49</w:t>
            </w:r>
          </w:p>
        </w:tc>
      </w:tr>
    </w:tbl>
    <w:p>
      <w:pPr>
        <w:sectPr>
          <w:pgSz w:w="11900" w:h="16838" w:orient="portrait"/>
          <w:cols w:equalWidth="0" w:num="1">
            <w:col w:w="11420"/>
          </w:cols>
          <w:pgMar w:left="240" w:top="125" w:right="2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676"/>
        </w:trPr>
        <w:tc>
          <w:tcPr>
            <w:tcW w:w="3200" w:type="dxa"/>
            <w:vAlign w:val="bottom"/>
          </w:tcPr>
          <w:p>
            <w:pPr>
              <w:spacing w:after="0"/>
              <w:rPr>
                <w:sz w:val="24"/>
                <w:szCs w:val="24"/>
                <w:color w:val="auto"/>
              </w:rPr>
            </w:pPr>
          </w:p>
        </w:tc>
        <w:tc>
          <w:tcPr>
            <w:tcW w:w="5620" w:type="dxa"/>
            <w:vAlign w:val="bottom"/>
            <w:gridSpan w:val="13"/>
          </w:tcPr>
          <w:p>
            <w:pPr>
              <w:spacing w:after="0"/>
              <w:rPr>
                <w:sz w:val="20"/>
                <w:szCs w:val="20"/>
                <w:color w:val="auto"/>
              </w:rPr>
            </w:pPr>
            <w:r>
              <w:rPr>
                <w:rFonts w:ascii="Arial" w:cs="Arial" w:eastAsia="Arial" w:hAnsi="Arial"/>
                <w:sz w:val="16"/>
                <w:szCs w:val="16"/>
                <w:b w:val="1"/>
                <w:bCs w:val="1"/>
                <w:color w:val="auto"/>
              </w:rPr>
              <w:t xml:space="preserve">COMPUTATION OF RATIO OF EARNINGS TO FIXED CHARGES </w:t>
            </w:r>
            <w:r>
              <w:rPr>
                <w:rFonts w:ascii="Arial" w:cs="Arial" w:eastAsia="Arial" w:hAnsi="Arial"/>
                <w:sz w:val="21"/>
                <w:szCs w:val="21"/>
                <w:b w:val="1"/>
                <w:bCs w:val="1"/>
                <w:color w:val="auto"/>
                <w:vertAlign w:val="superscript"/>
              </w:rPr>
              <w:t>(1)</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Six Months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gridSpan w:val="6"/>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Ended</w:t>
            </w: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20" w:type="dxa"/>
            <w:vAlign w:val="bottom"/>
            <w:gridSpan w:val="6"/>
            <w:vMerge w:val="continue"/>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 2017</w:t>
            </w:r>
          </w:p>
        </w:tc>
        <w:tc>
          <w:tcPr>
            <w:tcW w:w="28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78"/>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00" w:type="dxa"/>
            <w:vAlign w:val="bottom"/>
            <w:gridSpan w:val="5"/>
          </w:tcPr>
          <w:p>
            <w:pPr>
              <w:ind w:left="100"/>
              <w:spacing w:after="0"/>
              <w:rPr>
                <w:sz w:val="20"/>
                <w:szCs w:val="20"/>
                <w:color w:val="auto"/>
              </w:rPr>
            </w:pPr>
            <w:r>
              <w:rPr>
                <w:rFonts w:ascii="Arial" w:cs="Arial" w:eastAsia="Arial" w:hAnsi="Arial"/>
                <w:sz w:val="16"/>
                <w:szCs w:val="16"/>
                <w:b w:val="1"/>
                <w:bCs w:val="1"/>
                <w:color w:val="auto"/>
              </w:rPr>
              <w:t>(in thousands, except ratios)</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Pre-tax income (loss)</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84,627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(153,400)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125,194</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w w:val="92"/>
              </w:rPr>
              <w:t>Add: dividends received from equity investees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noncontrolling 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(1,949)</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6"/>
                <w:szCs w:val="16"/>
                <w:color w:val="auto"/>
              </w:rPr>
              <w:t>Less: income from equity investees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(19,224)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(155,866)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123,299</w:t>
            </w:r>
          </w:p>
        </w:tc>
        <w:tc>
          <w:tcPr>
            <w:tcW w:w="0" w:type="dxa"/>
            <w:vAlign w:val="bottom"/>
          </w:tcPr>
          <w:p>
            <w:pPr>
              <w:spacing w:after="0"/>
              <w:rPr>
                <w:sz w:val="1"/>
                <w:szCs w:val="1"/>
                <w:color w:val="auto"/>
              </w:rPr>
            </w:pPr>
          </w:p>
        </w:tc>
      </w:tr>
      <w:tr>
        <w:trPr>
          <w:trHeight w:val="270"/>
        </w:trPr>
        <w:tc>
          <w:tcPr>
            <w:tcW w:w="3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 charges:</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Interest expense, gross</w:t>
            </w:r>
            <w:r>
              <w:rPr>
                <w:rFonts w:ascii="Arial" w:cs="Arial" w:eastAsia="Arial" w:hAnsi="Arial"/>
                <w:sz w:val="21"/>
                <w:szCs w:val="21"/>
                <w:color w:val="auto"/>
                <w:vertAlign w:val="superscript"/>
              </w:rPr>
              <w:t>(3)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5,550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10,948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12,289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11,602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10,686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10,115</w:t>
            </w: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portion of rent expense</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5,405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6,462</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 Fixed charges</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18,434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16,577</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 Earnings for ratio</w:t>
            </w:r>
            <w:r>
              <w:rPr>
                <w:rFonts w:ascii="Arial" w:cs="Arial" w:eastAsia="Arial" w:hAnsi="Arial"/>
                <w:sz w:val="21"/>
                <w:szCs w:val="21"/>
                <w:color w:val="auto"/>
                <w:vertAlign w:val="superscript"/>
              </w:rPr>
              <w:t>(4)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62,954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97,192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52,108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(138,529)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139,876</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Ratios:</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00" w:type="dxa"/>
            <w:vAlign w:val="bottom"/>
          </w:tcPr>
          <w:p>
            <w:pPr>
              <w:ind w:left="180"/>
              <w:spacing w:after="0"/>
              <w:rPr>
                <w:sz w:val="20"/>
                <w:szCs w:val="20"/>
                <w:color w:val="auto"/>
              </w:rPr>
            </w:pPr>
            <w:r>
              <w:rPr>
                <w:rFonts w:ascii="Arial" w:cs="Arial" w:eastAsia="Arial" w:hAnsi="Arial"/>
                <w:sz w:val="16"/>
                <w:szCs w:val="16"/>
                <w:color w:val="auto"/>
              </w:rPr>
              <w:t>Earnings to fixed charges (b/a)</w:t>
            </w:r>
            <w:r>
              <w:rPr>
                <w:rFonts w:ascii="Arial" w:cs="Arial" w:eastAsia="Arial" w:hAnsi="Arial"/>
                <w:sz w:val="21"/>
                <w:szCs w:val="21"/>
                <w:color w:val="auto"/>
                <w:vertAlign w:val="superscript"/>
              </w:rPr>
              <w:t>(5)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ind w:left="580"/>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23"/>
                <w:szCs w:val="23"/>
                <w:color w:val="auto"/>
              </w:rPr>
            </w:pPr>
          </w:p>
        </w:tc>
        <w:tc>
          <w:tcPr>
            <w:tcW w:w="1040" w:type="dxa"/>
            <w:vAlign w:val="bottom"/>
            <w:gridSpan w:val="2"/>
          </w:tcPr>
          <w:p>
            <w:pPr>
              <w:ind w:left="540"/>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23"/>
                <w:szCs w:val="23"/>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70"/>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Deficit of earnings to fixed charges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76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0"/>
                <w:szCs w:val="20"/>
                <w:color w:val="auto"/>
              </w:rPr>
            </w:pPr>
          </w:p>
        </w:tc>
        <w:tc>
          <w:tcPr>
            <w:tcW w:w="1100" w:type="dxa"/>
            <w:vAlign w:val="bottom"/>
            <w:gridSpan w:val="2"/>
          </w:tcPr>
          <w:p>
            <w:pPr>
              <w:ind w:left="600"/>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20"/>
                <w:szCs w:val="20"/>
                <w:color w:val="auto"/>
              </w:rPr>
            </w:pPr>
          </w:p>
        </w:tc>
        <w:tc>
          <w:tcPr>
            <w:tcW w:w="1160" w:type="dxa"/>
            <w:vAlign w:val="bottom"/>
            <w:gridSpan w:val="2"/>
          </w:tcPr>
          <w:p>
            <w:pPr>
              <w:ind w:left="660"/>
              <w:spacing w:after="0"/>
              <w:rPr>
                <w:sz w:val="20"/>
                <w:szCs w:val="20"/>
                <w:color w:val="auto"/>
              </w:rPr>
            </w:pPr>
            <w:r>
              <w:rPr>
                <w:rFonts w:ascii="Arial" w:cs="Arial" w:eastAsia="Arial" w:hAnsi="Arial"/>
                <w:sz w:val="16"/>
                <w:szCs w:val="16"/>
                <w:color w:val="auto"/>
              </w:rPr>
              <w:t>N/A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(19,224)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(155,866)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340" w:hanging="332"/>
        <w:spacing w:after="0" w:line="216"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We had no preferred stock outstanding for any period presented and accordingly our ratio of earnings to combined fixed charges and preferred stock dividends is the same as our ratio of earnings to fixed charges for all periods presented.</w:t>
      </w:r>
    </w:p>
    <w:p>
      <w:pPr>
        <w:spacing w:after="0" w:line="203"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Fixed charges </w:t>
      </w:r>
      <w:r>
        <w:rPr>
          <w:rFonts w:ascii="Arial" w:cs="Arial" w:eastAsia="Arial" w:hAnsi="Arial"/>
          <w:sz w:val="18"/>
          <w:szCs w:val="18"/>
          <w:color w:val="auto"/>
        </w:rPr>
        <w:t>consist of interest on indebtedness and amortization of debt issuance costs plus that portion of lease rental expense representative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factor.</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i w:val="1"/>
          <w:iCs w:val="1"/>
          <w:color w:val="auto"/>
        </w:rPr>
        <w:t>Interest expense, gross</w:t>
      </w:r>
      <w:r>
        <w:rPr>
          <w:rFonts w:ascii="Arial" w:cs="Arial" w:eastAsia="Arial" w:hAnsi="Arial"/>
          <w:sz w:val="18"/>
          <w:szCs w:val="18"/>
          <w:color w:val="auto"/>
        </w:rPr>
        <w:t>, includes amortization of prepaid debt fees.</w:t>
      </w:r>
    </w:p>
    <w:p>
      <w:pPr>
        <w:spacing w:after="0" w:line="20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Earnings for ratio </w:t>
      </w:r>
      <w:r>
        <w:rPr>
          <w:rFonts w:ascii="Arial" w:cs="Arial" w:eastAsia="Arial" w:hAnsi="Arial"/>
          <w:sz w:val="18"/>
          <w:szCs w:val="18"/>
          <w:color w:val="auto"/>
        </w:rPr>
        <w:t>consists of income (loss) from continuing operations before income taxes, plus dividends received from equity method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less income from equity investees, less income attributable to noncontrolling interests.</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Earnings to fixed charges ratio </w:t>
      </w:r>
      <w:r>
        <w:rPr>
          <w:rFonts w:ascii="Arial" w:cs="Arial" w:eastAsia="Arial" w:hAnsi="Arial"/>
          <w:sz w:val="18"/>
          <w:szCs w:val="18"/>
          <w:color w:val="auto"/>
        </w:rPr>
        <w:t>is not calculated for years with a</w:t>
      </w:r>
      <w:r>
        <w:rPr>
          <w:rFonts w:ascii="Arial" w:cs="Arial" w:eastAsia="Arial" w:hAnsi="Arial"/>
          <w:sz w:val="18"/>
          <w:szCs w:val="18"/>
          <w:i w:val="1"/>
          <w:iCs w:val="1"/>
          <w:color w:val="auto"/>
        </w:rPr>
        <w:t xml:space="preserve"> Deficit of earnings to fixed charges </w:t>
      </w:r>
      <w:r>
        <w:rPr>
          <w:rFonts w:ascii="Arial" w:cs="Arial" w:eastAsia="Arial" w:hAnsi="Arial"/>
          <w:sz w:val="18"/>
          <w:szCs w:val="18"/>
          <w:color w:val="auto"/>
        </w:rPr>
        <w:t>amount as the ratio is less than 1:1.</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Philip C. Mezey,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2017</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Joan S. Hooper,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480"/>
        <w:spacing w:after="0"/>
        <w:tabs>
          <w:tab w:leader="none" w:pos="7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3395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3"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2, 2017</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June 30, 2017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Philip C. Mezey, the Chief Executive Officer and Joan S. Hooper, the Chief Financial Officer of the Company, each certifies that to the best of his knowledge:</w:t>
      </w:r>
    </w:p>
    <w:p>
      <w:pPr>
        <w:spacing w:after="0" w:line="248" w:lineRule="exact"/>
        <w:rPr>
          <w:sz w:val="20"/>
          <w:szCs w:val="20"/>
          <w:color w:val="auto"/>
        </w:rPr>
      </w:pPr>
    </w:p>
    <w:p>
      <w:pPr>
        <w:ind w:left="880" w:hanging="46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 C. MEZEY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Philip C. Mezey</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August 2, 2017</w:t>
      </w:r>
    </w:p>
    <w:p>
      <w:pPr>
        <w:spacing w:after="0" w:line="31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August 2, 2017</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2019-12-29T06:13:52Z</dcterms:created>
  <dcterms:modified xsi:type="dcterms:W3CDTF">2019-12-29T06:13:52Z</dcterms:modified>
</cp:coreProperties>
</file>