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637540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2016</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57"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1057"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1057"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1057"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1057"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1057"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July 31, 2016 there were outstanding 38,242,461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0">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5">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47">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48">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8">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48">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48">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48">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49">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50">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7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7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18"/>
        </w:trPr>
        <w:tc>
          <w:tcPr>
            <w:tcW w:w="7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87"/>
              </w:rPr>
              <w:t>(in thousands, except</w:t>
            </w:r>
          </w:p>
        </w:tc>
      </w:tr>
      <w:tr>
        <w:trPr>
          <w:trHeight w:val="234"/>
        </w:trPr>
        <w:tc>
          <w:tcPr>
            <w:tcW w:w="7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9"/>
              </w:rPr>
              <w:t>per share data)</w:t>
            </w:r>
          </w:p>
        </w:tc>
        <w:tc>
          <w:tcPr>
            <w:tcW w:w="108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497,590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446,746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334,387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308,324</w:t>
            </w:r>
          </w:p>
        </w:tc>
      </w:tr>
      <w:tr>
        <w:trPr>
          <w:trHeight w:val="27"/>
        </w:trPr>
        <w:tc>
          <w:tcPr>
            <w:tcW w:w="7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163,203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138,422</w:t>
            </w:r>
          </w:p>
        </w:tc>
      </w:tr>
      <w:tr>
        <w:trPr>
          <w:trHeight w:val="297"/>
        </w:trPr>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40,767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41,027</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41,522</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45,069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39,585</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7,973</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(5,181)</w:t>
            </w:r>
          </w:p>
        </w:tc>
      </w:tr>
      <w:tr>
        <w:trPr>
          <w:trHeight w:val="27"/>
        </w:trPr>
        <w:tc>
          <w:tcPr>
            <w:tcW w:w="7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139,629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124,926</w:t>
            </w:r>
          </w:p>
        </w:tc>
      </w:tr>
      <w:tr>
        <w:trPr>
          <w:trHeight w:val="291"/>
        </w:trPr>
        <w:tc>
          <w:tcPr>
            <w:tcW w:w="77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(2,682)</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37"/>
        </w:trPr>
        <w:tc>
          <w:tcPr>
            <w:tcW w:w="77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w:t>
            </w:r>
          </w:p>
        </w:tc>
      </w:tr>
      <w:tr>
        <w:trPr>
          <w:trHeight w:val="27"/>
        </w:trPr>
        <w:tc>
          <w:tcPr>
            <w:tcW w:w="7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7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19,410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10,883</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10,784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5,853</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Net income attributable to Itron, Inc.</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10,089</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5,398</w:t>
            </w:r>
          </w:p>
        </w:tc>
      </w:tr>
      <w:tr>
        <w:trPr>
          <w:trHeight w:val="67"/>
        </w:trPr>
        <w:tc>
          <w:tcPr>
            <w:tcW w:w="77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78"/>
        </w:trPr>
        <w:tc>
          <w:tcPr>
            <w:tcW w:w="7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Earnings per common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0.14</w:t>
            </w:r>
          </w:p>
        </w:tc>
      </w:tr>
      <w:tr>
        <w:trPr>
          <w:trHeight w:val="67"/>
        </w:trPr>
        <w:tc>
          <w:tcPr>
            <w:tcW w:w="77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6"/>
        </w:trPr>
        <w:tc>
          <w:tcPr>
            <w:tcW w:w="7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38,442</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38,376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38,758</w:t>
            </w:r>
          </w:p>
        </w:tc>
      </w:tr>
    </w:tbl>
    <w:p>
      <w:pPr>
        <w:spacing w:after="0" w:line="175"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125" w:right="4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5,853</w:t>
            </w:r>
          </w:p>
        </w:tc>
      </w:tr>
      <w:tr>
        <w:trPr>
          <w:trHeight w:val="297"/>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(60,319)</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unrealized gain (loss) on derivative instruments, designated as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(59,929)</w:t>
            </w:r>
          </w:p>
        </w:tc>
      </w:tr>
      <w:tr>
        <w:trPr>
          <w:trHeight w:val="291"/>
        </w:trPr>
        <w:tc>
          <w:tcPr>
            <w:tcW w:w="79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(54,076)</w:t>
            </w:r>
          </w:p>
        </w:tc>
      </w:tr>
      <w:tr>
        <w:trPr>
          <w:trHeight w:val="291"/>
        </w:trPr>
        <w:tc>
          <w:tcPr>
            <w:tcW w:w="79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(loss) attributable to noncontrolling interests,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97"/>
        </w:trPr>
        <w:tc>
          <w:tcPr>
            <w:tcW w:w="79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17,271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(54,531)</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4"/>
          </w:tcPr>
          <w:p>
            <w:pPr>
              <w:ind w:left="2140"/>
              <w:spacing w:after="0"/>
              <w:rPr>
                <w:sz w:val="20"/>
                <w:szCs w:val="20"/>
                <w:color w:val="auto"/>
              </w:rPr>
            </w:pPr>
            <w:r>
              <w:rPr>
                <w:rFonts w:ascii="Arial" w:cs="Arial" w:eastAsia="Arial" w:hAnsi="Arial"/>
                <w:sz w:val="18"/>
                <w:szCs w:val="18"/>
                <w:i w:val="1"/>
                <w:iCs w:val="1"/>
                <w:color w:val="auto"/>
                <w:w w:val="95"/>
              </w:rPr>
              <w:t>The accompanying notes are an integral part of these condensed consolidated financial statements.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7900" w:type="dxa"/>
            <w:vAlign w:val="bottom"/>
          </w:tcPr>
          <w:p>
            <w:pPr>
              <w:ind w:left="56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3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ITRON, INC.</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CONSOLIDATED BALANCE SHEETS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(UNAUDITED)</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4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26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3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131,018</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368,432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330,895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190,465</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110,996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106,562</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758,940</w:t>
            </w:r>
          </w:p>
        </w:tc>
      </w:tr>
      <w:tr>
        <w:trPr>
          <w:trHeight w:val="297"/>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190,256</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Deferred tax assets noncurrent,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108,161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109,387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51,679</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96,386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101,932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475,872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468,122</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28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1,719,677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1,680,316</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gridSpan w:val="2"/>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1280" w:type="dxa"/>
            <w:vAlign w:val="bottom"/>
          </w:tcPr>
          <w:p>
            <w:pPr>
              <w:spacing w:after="0"/>
              <w:rPr>
                <w:sz w:val="21"/>
                <w:szCs w:val="21"/>
                <w:color w:val="auto"/>
              </w:rPr>
            </w:pPr>
          </w:p>
        </w:tc>
        <w:tc>
          <w:tcPr>
            <w:tcW w:w="60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LIABILITIES AND EQUITY</w:t>
            </w: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3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201,001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185,827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78,630</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Wages and benefits payable</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86,827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76,980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Taxes payable</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14,859</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Current portion of debt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11,250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warranty</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36,927</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96,808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73,301</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477,774</w:t>
            </w:r>
          </w:p>
        </w:tc>
      </w:tr>
      <w:tr>
        <w:trPr>
          <w:trHeight w:val="297"/>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358,915</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Long-term warranty</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17,585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benefit obligation</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85,971</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1,723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1,074,449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1,057,613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97"/>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97"/>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Equity</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1,246,671</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(193,425)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(200,607)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(441,306)</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626,589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604,758</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645,228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622,703</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3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1,719,677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1,680,316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ITRON, INC.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5,853</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19,355</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4,108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Deferred taxes, net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(4,932)</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Restructuring, non-cash</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Other adjustments, net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(33,308)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(23,732)</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10,161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3,760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14,343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14,582</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operating, net</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(5,305)</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(9,472)</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128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63,000</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Payments on debt</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(22,373)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(16,341)</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r>
      <w:tr>
        <w:trPr>
          <w:trHeight w:val="237"/>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25,923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128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(6,665)</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131,018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112,371</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132,615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118,084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19,245</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Interest, net of amounts capitalized</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2016 and 2015, the Consolidated Balance Sheets as of March 31, 2016 and December 31, 2015, and the Consolidated Statements of Cash Flows for the three months ended March 31, 2016 and 2015 of Itron, Inc. and its subsidiaries. All entries required for the fair presentation of the financial statements are of a normal recurring nature, except as disclosed. The results of operations for the three months ended March 31, 2016 are not necessarily indicative of the results expected for the full fiscal year or for any other fiscal period.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2015 audited financial statements and notes included in our Annual Report on Form 10-K filed with the SEC on June 30, 2016. There have been no significant changes in financial statement preparation or significant accounting policies since December 31, 2015, with the following exceptions.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Revision of Prior Period Financial Statements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revised our previously reported consolidated financial statements for the first three quarters of fiscal 2015 as reported in our Annual Report on Form 10-K filed with the SEC on June 30, 2016. These revisions primarily impacted the timing of revenue and cost recognition associated with contracts involving certain software products that we were unable to demonstrate vendor specific objective evidence (VSOE) of fair value for certain undelivered elements or determine whether software was essential to the functionality of certain hardware. All impacted financial statement line items and related notes to condensed consolidated financial statements reflect these revisions.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debt fees for term debt represent the capitalized direct costs incurred related to the issuance of debt and are recorded as a direct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 various stock-based compensation awards to its officers, employees and Board of Directors with service, market, and/or performance vesting conditions. Beginning with the fiscal quarter ending March 31, 2016, we granted phantom stock units, which are settled in cash upon vesting and accounted for as liability-based awards.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employees are eligible to participate in our Employee Stock Purchase Plan (ESPP). The discount provided for ESPP purchases is 5% from the fair market value of the stock at the end of each fiscal quarter and is not considered compensatory.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to supersede nearly all existing revenue recognition guidance under U.S. GAAP. The core principle of ASU 2014-09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recognize revenues when promised goods or services are transferred to customers in an amount that reflects the consideration that is expected to be received for those goods or services. In August 2015, the FASB issued ASU 2015-14, </w:t>
      </w:r>
      <w:r>
        <w:rPr>
          <w:rFonts w:ascii="Arial" w:cs="Arial" w:eastAsia="Arial" w:hAnsi="Arial"/>
          <w:sz w:val="16"/>
          <w:szCs w:val="16"/>
          <w:i w:val="1"/>
          <w:iCs w:val="1"/>
          <w:color w:val="auto"/>
        </w:rPr>
        <w:t>Revenue from Contracts with Customers: Deferral of the Effective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which deferred the effective date for implementation of ASU 2014-09 by one year and are now effective for annual reporting periods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15, 2017, with early adoption permitted but not earlier than the original effective date. In March 2016, the FASB issued ASU 2016-08, </w:t>
      </w:r>
      <w:r>
        <w:rPr>
          <w:rFonts w:ascii="Arial" w:cs="Arial" w:eastAsia="Arial" w:hAnsi="Arial"/>
          <w:sz w:val="16"/>
          <w:szCs w:val="16"/>
          <w:i w:val="1"/>
          <w:iCs w:val="1"/>
          <w:color w:val="auto"/>
        </w:rPr>
        <w:t>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Agent Considerations (Reporting Revenue Gross versus Net) </w:t>
      </w:r>
      <w:r>
        <w:rPr>
          <w:rFonts w:ascii="Arial" w:cs="Arial" w:eastAsia="Arial" w:hAnsi="Arial"/>
          <w:sz w:val="16"/>
          <w:szCs w:val="16"/>
          <w:color w:val="auto"/>
        </w:rPr>
        <w:t>(ASU 2016-08), which clarifies the implementation guidance of principal versus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considerations. In April 2016, the FASB issued ASU 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xml:space="preserve"> (ASU 2016-10), which clarifies the identification of performance obligations and licensing implementation guidance. In May 2016, the FASB issued ASU 2016-12, </w:t>
      </w:r>
      <w:r>
        <w:rPr>
          <w:rFonts w:ascii="Arial" w:cs="Arial" w:eastAsia="Arial" w:hAnsi="Arial"/>
          <w:sz w:val="16"/>
          <w:szCs w:val="16"/>
          <w:i w:val="1"/>
          <w:iCs w:val="1"/>
          <w:color w:val="auto"/>
        </w:rPr>
        <w:t>Narrow-Scope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Practical Expedients </w:t>
      </w:r>
      <w:r>
        <w:rPr>
          <w:rFonts w:ascii="Arial" w:cs="Arial" w:eastAsia="Arial" w:hAnsi="Arial"/>
          <w:sz w:val="16"/>
          <w:szCs w:val="16"/>
          <w:color w:val="auto"/>
        </w:rPr>
        <w:t>(ASU 2016-12), to improve guidance on assessing collectability, presentation of sales taxes, noncash consideration, and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contract modifications at transition. The effective date and transition requirements in ASU 2016-08, ASU 2016-10, and ASU 2016-12 are the same as the effective date and transition requirements of ASU 2015-14. We have not yet selected a transition method, and we are currently evaluating the effect that the updated standard will have on our consolidated results of operations, financial position, cash flows, and related financial statement disclosures.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 - Imputation of Interes</w:t>
      </w:r>
      <w:r>
        <w:rPr>
          <w:rFonts w:ascii="Arial" w:cs="Arial" w:eastAsia="Arial" w:hAnsi="Arial"/>
          <w:sz w:val="17"/>
          <w:szCs w:val="17"/>
          <w:color w:val="auto"/>
        </w:rPr>
        <w:t xml:space="preserve">t (ASU 2015-03). ASU 2015-03 requires that debt issuance costs related to a recognized debt liability be presented in the balance sheet as a direct deduction from the carrying amount of the corresponding debt liability. In August 2015, the FASB issued ASU 2015-15, </w:t>
      </w:r>
      <w:r>
        <w:rPr>
          <w:rFonts w:ascii="Arial" w:cs="Arial" w:eastAsia="Arial" w:hAnsi="Arial"/>
          <w:sz w:val="17"/>
          <w:szCs w:val="17"/>
          <w:i w:val="1"/>
          <w:iCs w:val="1"/>
          <w:color w:val="auto"/>
        </w:rPr>
        <w:t xml:space="preserve">Interest - Imputation of Interest: Presentation and Subsequent Measurement of Debt Issuance Costs Associated with Line-of-Credit Arrangements </w:t>
      </w:r>
      <w:r>
        <w:rPr>
          <w:rFonts w:ascii="Arial" w:cs="Arial" w:eastAsia="Arial" w:hAnsi="Arial"/>
          <w:sz w:val="17"/>
          <w:szCs w:val="17"/>
          <w:color w:val="auto"/>
        </w:rPr>
        <w:t>(ASU 2015-15). ASU 2015-15 provides additional guidance on the presentation and subsequent measurement of debt issuance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line-of-credit arrangements. ASU 2015-03 and ASU 2015-15 are effective for interim and annual periods beginning after December 15, 2015, with early adoption permitted, and is to be applied on a retrospective basis. We adopted this standard on January 1, 2016, and it did not materially impact our consolidated results of operations, financial position, cash flows, and related financial statement disclosures.</w:t>
      </w:r>
    </w:p>
    <w:p>
      <w:pPr>
        <w:spacing w:after="0" w:line="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 - Goodwill and Other - Internal-Use Software (Subtopic 350-40), Customer's Accounting for Fees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Paid in a Cloud Computing Arrangement </w:t>
      </w:r>
      <w:r>
        <w:rPr>
          <w:rFonts w:ascii="Arial" w:cs="Arial" w:eastAsia="Arial" w:hAnsi="Arial"/>
          <w:sz w:val="16"/>
          <w:szCs w:val="16"/>
          <w:color w:val="auto"/>
        </w:rPr>
        <w:t>(ASU 2015-05), which provides guidance about whether a cloud computing arrangement includes a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us on January 1, 2016. We adopted this standard on January 1, 2016, and it did not materially impact our consolidated results of operations, financial position, cash flows, and related financial statement disclosures.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 Simplifying the Measurement of Inventory</w:t>
      </w:r>
      <w:r>
        <w:rPr>
          <w:rFonts w:ascii="Arial" w:cs="Arial" w:eastAsia="Arial" w:hAnsi="Arial"/>
          <w:sz w:val="18"/>
          <w:szCs w:val="18"/>
          <w:color w:val="auto"/>
        </w:rPr>
        <w:t xml:space="preserve"> (ASU 2015-11). The amendments in ASU 2015-11 apply to inventory measured using first-in, first-out (FIFO) or average cost and will require entities to measure inventory at the lower of cost and net realizable value. Net realizable value is the estimated selling price in the normal course of business, minus the cost of completion, disposal and transportation. Replacement cost and net realizable value less a normal profit margin will no longer be considered. ASU 2015-11 is effective for us on January 1, 2017. We are currently assessing the impact of adoption on our consolidated results of operations, financial position, cash flows, and related financial statement disclosures.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We are currently assessing the impact of adoption on our consolidated results of operations, financial position, cash flows, and related financial statement disclosures.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2016-07, </w:t>
      </w:r>
      <w:r>
        <w:rPr>
          <w:rFonts w:ascii="Arial" w:cs="Arial" w:eastAsia="Arial" w:hAnsi="Arial"/>
          <w:sz w:val="18"/>
          <w:szCs w:val="18"/>
          <w:i w:val="1"/>
          <w:iCs w:val="1"/>
          <w:color w:val="auto"/>
        </w:rPr>
        <w:t>Investments - Equity Method and Joint Ventures (Topic 323)</w:t>
      </w:r>
      <w:r>
        <w:rPr>
          <w:rFonts w:ascii="Arial" w:cs="Arial" w:eastAsia="Arial" w:hAnsi="Arial"/>
          <w:sz w:val="18"/>
          <w:szCs w:val="18"/>
          <w:color w:val="auto"/>
        </w:rPr>
        <w:t xml:space="preserve"> (ASU 2016-07), which simplified the accounting for equity method investments by eliminating the requirement that an entity retroactively adopt the equity method of accounting if an investment qualifies for use of the equity method as a result of an increase in the level of ownership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ASU 2016-07 is effective for us on January 1, 2017. The adoption of this guidance is not expected to have a material impact on our consolidated results of operations, financial position, cash flows, and related financial statement disclosures.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(ASU 2016-09), which simplifies several areas within Topic 718. These include the income tax consequences, classification of awards as either equity or liabilities, and classification on the statement of cash flows. ASU 2016-09 is effective for us on January 1, 2017, with early adoption permitted. We are currently assessing the basis of adoption and evaluating the impact of the adoption of the update on our consolidated results of operations, financial position, cash flows, and related financial statement disclosures.</w:t>
      </w:r>
    </w:p>
    <w:p>
      <w:pPr>
        <w:spacing w:after="0" w:line="1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5"/>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52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(in thousands, except per share data)</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shareholders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5,398</w:t>
            </w:r>
          </w:p>
        </w:tc>
      </w:tr>
      <w:tr>
        <w:trPr>
          <w:trHeight w:val="270"/>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38,059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38,442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316</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38,376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38,758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per common share - Basic</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0.14</w:t>
            </w:r>
          </w:p>
        </w:tc>
      </w:tr>
      <w:tr>
        <w:trPr>
          <w:trHeight w:val="73"/>
        </w:trPr>
        <w:tc>
          <w:tcPr>
            <w:tcW w:w="79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r>
      <w:tr>
        <w:trPr>
          <w:trHeight w:val="242"/>
        </w:trPr>
        <w:tc>
          <w:tcPr>
            <w:tcW w:w="79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per common share - Diluted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1.2 million and 1.3 million stock-based awards were excluded from the calculation of diluted EPS for the three months ended March 31, 2016, and 2015 because they were anti-dilutive. These stock-based awards could be dilutive in future periods.</w:t>
      </w:r>
    </w:p>
    <w:p>
      <w:pPr>
        <w:spacing w:after="0" w:line="19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2016</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$4,541 and $5,949)</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321,814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298,550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46,618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32,345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368,432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330,895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2016 and December 31, 2015, $1.5 million and $0.7 million, respectively, were recorded as contract retainage receivables within trade receivables, in accordance with contract retainage provisions. At March 31, 2016 and December 31, 2015, contract retainage receivables that were unbilled and classified as unbilled receivables were $4.6 million and $3.5 million, respectively. These contract retainage receivables within trade receivables and unbilled receivables are expected to be collected within the following 12 months.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2016 and December 31, 2015, long-term billed contract retainage receivables were $0.4 million. At March 31, 2016 and December 31, 2015, long-term unbilled contract retainage receivables were $3.8 million and $3.6 million, respectively. These long-term billed and unbilled contract retainage receivables are classified within other long-term assets, as collection is not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anticipated within the following 12 months. We consider whether collectability of such retainage is reasonably assured in connection with our overall assessment of the collectability of amounts due or that will become due under our contracts.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380" w:type="dxa"/>
            <w:vAlign w:val="bottom"/>
          </w:tcPr>
          <w:p>
            <w:pPr>
              <w:spacing w:after="0"/>
              <w:rPr>
                <w:sz w:val="20"/>
                <w:szCs w:val="20"/>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27"/>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Provision (release) for doubtful accounts, net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5,939</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2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2016</w:t>
            </w:r>
          </w:p>
        </w:tc>
        <w:tc>
          <w:tcPr>
            <w:tcW w:w="260" w:type="dxa"/>
            <w:vAlign w:val="bottom"/>
          </w:tcPr>
          <w:p>
            <w:pPr>
              <w:spacing w:after="0"/>
              <w:rPr>
                <w:sz w:val="20"/>
                <w:szCs w:val="20"/>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2015</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4"/>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111,191</w:t>
            </w:r>
          </w:p>
        </w:tc>
      </w:tr>
      <w:tr>
        <w:trPr>
          <w:trHeight w:val="237"/>
        </w:trPr>
        <w:tc>
          <w:tcPr>
            <w:tcW w:w="698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10,836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9,400</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69,874</w:t>
            </w:r>
          </w:p>
        </w:tc>
      </w:tr>
      <w:tr>
        <w:trPr>
          <w:trHeight w:val="244"/>
        </w:trPr>
        <w:tc>
          <w:tcPr>
            <w:tcW w:w="698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189,010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190,465</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Consigned inventory is held at third party locations; however, we retain title to the inventory until it is purchased by the third party. Consigned inventory, consisting of raw materials and finished goods, was $2.3 million and $2.6 million at March 31, 2016 and December 31, 2015, respectively.</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2016</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289,411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289,015</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104,795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104,310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128,437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127,531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20,009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19,882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32,567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32,639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575,219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573,377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(385,215)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(383,121)</w:t>
            </w:r>
          </w:p>
        </w:tc>
      </w:tr>
      <w:tr>
        <w:trPr>
          <w:trHeight w:val="244"/>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190,004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190,256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380" w:type="dxa"/>
            <w:vAlign w:val="bottom"/>
          </w:tcPr>
          <w:p>
            <w:pPr>
              <w:spacing w:after="0"/>
              <w:rPr>
                <w:sz w:val="20"/>
                <w:szCs w:val="20"/>
                <w:color w:val="auto"/>
              </w:rPr>
            </w:pPr>
          </w:p>
        </w:tc>
        <w:tc>
          <w:tcPr>
            <w:tcW w:w="314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7"/>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8"/>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10,464</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11,382</w:t>
            </w:r>
          </w:p>
        </w:tc>
      </w:tr>
      <w:tr>
        <w:trPr>
          <w:trHeight w:val="33"/>
        </w:trPr>
        <w:tc>
          <w:tcPr>
            <w:tcW w:w="7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2016</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2015</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Gross Assets</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393,957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(365,728)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388,981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30,889</w:t>
            </w: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239,560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(172,592)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66,968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(168,885)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69,494</w:t>
            </w:r>
          </w:p>
        </w:tc>
      </w:tr>
      <w:tr>
        <w:trPr>
          <w:trHeight w:val="33"/>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64,385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1,498</w:t>
            </w: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11,079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w:t>
            </w:r>
          </w:p>
        </w:tc>
      </w:tr>
      <w:tr>
        <w:trPr>
          <w:trHeight w:val="33"/>
        </w:trPr>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708,981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(612,595)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96,386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702,507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101,932</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94"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894"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asset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767080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intangible assets, gross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Effect of change in exchange rates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intangible assets, gross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702,507</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748,148</w:t>
            </w:r>
          </w:p>
        </w:tc>
      </w:tr>
      <w:tr>
        <w:trPr>
          <w:trHeight w:val="270"/>
        </w:trPr>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6,474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(42,038)</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708,981</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705,613</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25" w:right="239" w:bottom="624" w:gutter="0" w:footer="0" w:header="0"/>
        </w:sectPr>
      </w:pP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Intangible assets impaired during the three months ended March 31, 2015 includes purchased software licenses to be sold to others. This amount was expensed as part of cost of revenues in the Consolidated Statement of Operations.</w:t>
      </w:r>
    </w:p>
    <w:p>
      <w:pPr>
        <w:sectPr>
          <w:pgSz w:w="11900" w:h="16838" w:orient="portrait"/>
          <w:cols w:equalWidth="0" w:num="1">
            <w:col w:w="11420"/>
          </w:cols>
          <w:pgMar w:left="240" w:top="125" w:right="239" w:bottom="624"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annual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6089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2016 (amount remaining at March 31, 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Beyond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intangible assets subject to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Estimated Annual</w:t>
      </w:r>
    </w:p>
    <w:p>
      <w:pPr>
        <w:spacing w:after="0" w:line="26"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1080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58" w:lineRule="exact"/>
        <w:rPr>
          <w:sz w:val="20"/>
          <w:szCs w:val="20"/>
          <w:color w:val="auto"/>
        </w:rPr>
      </w:pPr>
    </w:p>
    <w:p>
      <w:pPr>
        <w:ind w:left="335"/>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ind w:left="1115" w:hanging="1115"/>
        <w:spacing w:after="0"/>
        <w:tabs>
          <w:tab w:leader="none" w:pos="1115" w:val="left"/>
        </w:tabs>
        <w:numPr>
          <w:ilvl w:val="0"/>
          <w:numId w:val="3"/>
        </w:numPr>
        <w:rPr>
          <w:rFonts w:ascii="Arial" w:cs="Arial" w:eastAsia="Arial" w:hAnsi="Arial"/>
          <w:sz w:val="15"/>
          <w:szCs w:val="15"/>
          <w:color w:val="auto"/>
        </w:rPr>
      </w:pPr>
      <w:r>
        <w:rPr>
          <w:rFonts w:ascii="Arial" w:cs="Arial" w:eastAsia="Arial" w:hAnsi="Arial"/>
          <w:sz w:val="15"/>
          <w:szCs w:val="15"/>
          <w:color w:val="auto"/>
        </w:rPr>
        <w:t>19,031</w:t>
      </w:r>
    </w:p>
    <w:p>
      <w:pPr>
        <w:spacing w:after="0" w:line="97" w:lineRule="exact"/>
        <w:rPr>
          <w:rFonts w:ascii="Arial" w:cs="Arial" w:eastAsia="Arial" w:hAnsi="Arial"/>
          <w:sz w:val="15"/>
          <w:szCs w:val="15"/>
          <w:color w:val="auto"/>
        </w:rPr>
      </w:pPr>
    </w:p>
    <w:p>
      <w:pPr>
        <w:ind w:left="1115"/>
        <w:spacing w:after="0"/>
        <w:rPr>
          <w:rFonts w:ascii="Arial" w:cs="Arial" w:eastAsia="Arial" w:hAnsi="Arial"/>
          <w:sz w:val="15"/>
          <w:szCs w:val="15"/>
          <w:color w:val="auto"/>
        </w:rPr>
      </w:pPr>
      <w:r>
        <w:rPr>
          <w:rFonts w:ascii="Arial" w:cs="Arial" w:eastAsia="Arial" w:hAnsi="Arial"/>
          <w:sz w:val="15"/>
          <w:szCs w:val="15"/>
          <w:color w:val="auto"/>
        </w:rPr>
        <w:t>18,841</w:t>
      </w:r>
    </w:p>
    <w:p>
      <w:pPr>
        <w:spacing w:after="0" w:line="97" w:lineRule="exact"/>
        <w:rPr>
          <w:rFonts w:ascii="Arial" w:cs="Arial" w:eastAsia="Arial" w:hAnsi="Arial"/>
          <w:sz w:val="15"/>
          <w:szCs w:val="15"/>
          <w:color w:val="auto"/>
        </w:rPr>
      </w:pPr>
    </w:p>
    <w:p>
      <w:pPr>
        <w:ind w:left="1115"/>
        <w:spacing w:after="0"/>
        <w:rPr>
          <w:rFonts w:ascii="Arial" w:cs="Arial" w:eastAsia="Arial" w:hAnsi="Arial"/>
          <w:sz w:val="15"/>
          <w:szCs w:val="15"/>
          <w:color w:val="auto"/>
        </w:rPr>
      </w:pPr>
      <w:r>
        <w:rPr>
          <w:rFonts w:ascii="Arial" w:cs="Arial" w:eastAsia="Arial" w:hAnsi="Arial"/>
          <w:sz w:val="15"/>
          <w:szCs w:val="15"/>
          <w:color w:val="auto"/>
        </w:rPr>
        <w:t>13,132</w:t>
      </w:r>
    </w:p>
    <w:p>
      <w:pPr>
        <w:spacing w:after="0" w:line="97" w:lineRule="exact"/>
        <w:rPr>
          <w:rFonts w:ascii="Arial" w:cs="Arial" w:eastAsia="Arial" w:hAnsi="Arial"/>
          <w:sz w:val="15"/>
          <w:szCs w:val="15"/>
          <w:color w:val="auto"/>
        </w:rPr>
      </w:pPr>
    </w:p>
    <w:p>
      <w:pPr>
        <w:ind w:left="1115"/>
        <w:spacing w:after="0"/>
        <w:rPr>
          <w:rFonts w:ascii="Arial" w:cs="Arial" w:eastAsia="Arial" w:hAnsi="Arial"/>
          <w:sz w:val="15"/>
          <w:szCs w:val="15"/>
          <w:color w:val="auto"/>
        </w:rPr>
      </w:pPr>
      <w:r>
        <w:rPr>
          <w:rFonts w:ascii="Arial" w:cs="Arial" w:eastAsia="Arial" w:hAnsi="Arial"/>
          <w:sz w:val="15"/>
          <w:szCs w:val="15"/>
          <w:color w:val="auto"/>
        </w:rPr>
        <w:t>10,325</w:t>
      </w:r>
    </w:p>
    <w:p>
      <w:pPr>
        <w:spacing w:after="0" w:line="97" w:lineRule="exact"/>
        <w:rPr>
          <w:rFonts w:ascii="Arial" w:cs="Arial" w:eastAsia="Arial" w:hAnsi="Arial"/>
          <w:sz w:val="15"/>
          <w:szCs w:val="15"/>
          <w:color w:val="auto"/>
        </w:rPr>
      </w:pPr>
    </w:p>
    <w:p>
      <w:pPr>
        <w:ind w:left="1195"/>
        <w:spacing w:after="0"/>
        <w:rPr>
          <w:rFonts w:ascii="Arial" w:cs="Arial" w:eastAsia="Arial" w:hAnsi="Arial"/>
          <w:sz w:val="15"/>
          <w:szCs w:val="15"/>
          <w:color w:val="auto"/>
        </w:rPr>
      </w:pPr>
      <w:r>
        <w:rPr>
          <w:rFonts w:ascii="Arial" w:cs="Arial" w:eastAsia="Arial" w:hAnsi="Arial"/>
          <w:sz w:val="15"/>
          <w:szCs w:val="15"/>
          <w:color w:val="auto"/>
        </w:rPr>
        <w:t>8,423</w:t>
      </w:r>
    </w:p>
    <w:p>
      <w:pPr>
        <w:spacing w:after="0" w:line="97" w:lineRule="exact"/>
        <w:rPr>
          <w:rFonts w:ascii="Arial" w:cs="Arial" w:eastAsia="Arial" w:hAnsi="Arial"/>
          <w:sz w:val="15"/>
          <w:szCs w:val="15"/>
          <w:color w:val="auto"/>
        </w:rPr>
      </w:pPr>
    </w:p>
    <w:p>
      <w:pPr>
        <w:ind w:left="1115"/>
        <w:spacing w:after="0"/>
        <w:rPr>
          <w:rFonts w:ascii="Arial" w:cs="Arial" w:eastAsia="Arial" w:hAnsi="Arial"/>
          <w:sz w:val="15"/>
          <w:szCs w:val="15"/>
          <w:color w:val="auto"/>
        </w:rPr>
      </w:pPr>
      <w:r>
        <w:rPr>
          <w:rFonts w:ascii="Arial" w:cs="Arial" w:eastAsia="Arial" w:hAnsi="Arial"/>
          <w:sz w:val="15"/>
          <w:szCs w:val="15"/>
          <w:color w:val="auto"/>
        </w:rPr>
        <w:t>26,634</w:t>
      </w:r>
    </w:p>
    <w:p>
      <w:pPr>
        <w:spacing w:after="0" w:line="98" w:lineRule="exact"/>
        <w:rPr>
          <w:sz w:val="20"/>
          <w:szCs w:val="20"/>
          <w:color w:val="auto"/>
        </w:rPr>
      </w:pPr>
    </w:p>
    <w:p>
      <w:pPr>
        <w:ind w:left="1115" w:hanging="1115"/>
        <w:spacing w:after="0"/>
        <w:tabs>
          <w:tab w:leader="none" w:pos="1115" w:val="left"/>
        </w:tabs>
        <w:numPr>
          <w:ilvl w:val="0"/>
          <w:numId w:val="4"/>
        </w:numPr>
        <w:rPr>
          <w:rFonts w:ascii="Arial" w:cs="Arial" w:eastAsia="Arial" w:hAnsi="Arial"/>
          <w:sz w:val="15"/>
          <w:szCs w:val="15"/>
          <w:color w:val="auto"/>
        </w:rPr>
      </w:pPr>
      <w:r>
        <w:rPr>
          <w:rFonts w:ascii="Arial" w:cs="Arial" w:eastAsia="Arial" w:hAnsi="Arial"/>
          <w:sz w:val="15"/>
          <w:szCs w:val="15"/>
          <w:color w:val="auto"/>
        </w:rPr>
        <w:t>96,386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59690</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5" w:space="720"/>
            <w:col w:w="1675"/>
          </w:cols>
          <w:pgMar w:left="240" w:top="125" w:right="239" w:bottom="624" w:gutter="0" w:footer="0" w:header="0"/>
          <w:type w:val="continuous"/>
        </w:sectPr>
      </w:pPr>
    </w:p>
    <w:p>
      <w:pPr>
        <w:spacing w:after="0" w:line="10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unit: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January 1, 2016</w:t>
            </w: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
        </w:trPr>
        <w:tc>
          <w:tcPr>
            <w:tcW w:w="2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414,910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1,096,660</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(362,177)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(266,361)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(628,538)</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52,733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468,122</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7,750</w:t>
            </w:r>
          </w:p>
        </w:tc>
      </w:tr>
      <w:tr>
        <w:trPr>
          <w:trHeight w:val="270"/>
        </w:trPr>
        <w:tc>
          <w:tcPr>
            <w:tcW w:w="2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2016</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422,011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337,192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357,930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1,117,133</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(368,678)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(641,261)</w:t>
            </w:r>
          </w:p>
        </w:tc>
      </w:tr>
      <w:tr>
        <w:trPr>
          <w:trHeight w:val="244"/>
        </w:trPr>
        <w:tc>
          <w:tcPr>
            <w:tcW w:w="288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53,333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337,192</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85,347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475,872</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624" w:gutter="0" w:footer="0" w:header="0"/>
          <w:type w:val="continuous"/>
        </w:sect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unamortized prepaid debt fees - term loan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Long-term debt less unamortized prepaid debt fees - term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2016</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216,563</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219,375</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132,572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151,837</w:t>
            </w:r>
          </w:p>
        </w:tc>
      </w:tr>
      <w:tr>
        <w:trPr>
          <w:trHeight w:val="47"/>
        </w:trPr>
        <w:tc>
          <w:tcPr>
            <w:tcW w:w="3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360" w:type="dxa"/>
            <w:vAlign w:val="bottom"/>
          </w:tcPr>
          <w:p>
            <w:pPr>
              <w:spacing w:after="0"/>
              <w:rPr>
                <w:sz w:val="18"/>
                <w:szCs w:val="18"/>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349,135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371,212</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11,250</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1,047</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336,908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358,915</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-1054100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624"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624"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$300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0.175% to 0.30% per annum depending on our total leverage ratio as of the most recently ended fiscal quarter. Amounts repaid on the term loan may not be reborrowed. The 2015 credit facility permits us and certain of our foreign subsidiaries to borrow in U.S. dollars, euros, British pounds, or, with lender approval, other currencies readily convertible 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2015 credit facility includes debt covenants, which contain certain financial ratio thresholds, place certain restrictions on the incurrence of debt, investments, and the issuance of dividends, and require quarterly unaudited and annual audited financial reporting. We were not in compliance with the financial reporting portion of these covenants under the 2015 credit facility at March 31, 2016. On April 1, 2016 and June 13, 2016, we entered into the first and second amendments to the 2015 credit facility. As a result of these amendments, we have been granted waivers which extend the due dates for annual audited financial statements for the year ended December 31, 2015 and quarterly unaudited financial statements for the periods ended March 31, 2016 and June 30, 2016 through September 12, 2016, and our $300 million standby letter of credit sub-facility was reduced to $250 million.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 of $2.8 million through June 2017, $4.2 million from September 2017 through June 2018, $5.6 million from September 2018 through March 2020, and the remainder due at maturity on June 23, 2020. The term loan may be repaid early in whole or in part, subject to certain minimum thresholds, without penalty.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March 31, 2016, the interest rate for both the term loan and the USD revolver was 2.19% (the LIBOR rate plus a margin of 1.75%), and the interest rate for the EUR revolver was 1.75% (the EURIBOR floor rate plus a margin of 1.75%).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20,593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14,873</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23,406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22,373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2016, $132.6 million was outstanding under the credit facility revolver, and $321.5 million was available for additional borrowings or standby letters of credit. At March 31, 2016, $45.9 million was utilized by outstanding standby letters of credit, resulting in $254.1 million available for additional standby letters of credit. This availability decreases to $204.1 million as a result of the amendments discussed above. No amounts were outstanding under the swingline sub-facility.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Upon entering into the 2015 credit facility, a portion of our unamortized prepaid debt fees, totaling $0.8 million, were written-off to interest expense. Prepaid debt fees of approximately $3.9 million were capitalized associated with the 2015 credit facility. Unamortized prepaid debt fees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2016</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Unamortized prepaid debt fees - revolver</w:t>
            </w:r>
          </w:p>
        </w:tc>
        <w:tc>
          <w:tcPr>
            <w:tcW w:w="1760" w:type="dxa"/>
            <w:vAlign w:val="bottom"/>
            <w:tcBorders>
              <w:bottom w:val="single" w:sz="8" w:color="CCEEFF"/>
            </w:tcBorders>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2,951</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Unamortized prepaid debt fees - term loan</w:t>
            </w:r>
          </w:p>
        </w:tc>
        <w:tc>
          <w:tcPr>
            <w:tcW w:w="17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977</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1,047</w:t>
            </w:r>
          </w:p>
        </w:tc>
      </w:tr>
    </w:tbl>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3740" w:type="dxa"/>
            <w:vAlign w:val="bottom"/>
            <w:gridSpan w:val="2"/>
          </w:tcPr>
          <w:p>
            <w:pPr>
              <w:ind w:left="1000"/>
              <w:spacing w:after="0"/>
              <w:rPr>
                <w:sz w:val="20"/>
                <w:szCs w:val="20"/>
                <w:color w:val="auto"/>
              </w:rPr>
            </w:pPr>
            <w:r>
              <w:rPr>
                <w:rFonts w:ascii="Arial" w:cs="Arial" w:eastAsia="Arial" w:hAnsi="Arial"/>
                <w:sz w:val="16"/>
                <w:szCs w:val="16"/>
                <w:b w:val="1"/>
                <w:bCs w:val="1"/>
                <w:color w:val="auto"/>
              </w:rPr>
              <w:t>Balance Sheet Location</w:t>
            </w:r>
          </w:p>
        </w:tc>
        <w:tc>
          <w:tcPr>
            <w:tcW w:w="28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2016</w:t>
            </w:r>
          </w:p>
        </w:tc>
        <w:tc>
          <w:tcPr>
            <w:tcW w:w="340" w:type="dxa"/>
            <w:vAlign w:val="bottom"/>
          </w:tcPr>
          <w:p>
            <w:pPr>
              <w:spacing w:after="0"/>
              <w:rPr>
                <w:sz w:val="20"/>
                <w:szCs w:val="20"/>
                <w:color w:val="auto"/>
              </w:rPr>
            </w:pPr>
          </w:p>
        </w:tc>
        <w:tc>
          <w:tcPr>
            <w:tcW w:w="1700" w:type="dxa"/>
            <w:vAlign w:val="bottom"/>
          </w:tcPr>
          <w:p>
            <w:pPr>
              <w:jc w:val="right"/>
              <w:ind w:right="279"/>
              <w:spacing w:after="0"/>
              <w:rPr>
                <w:sz w:val="20"/>
                <w:szCs w:val="20"/>
                <w:color w:val="auto"/>
              </w:rPr>
            </w:pPr>
            <w:r>
              <w:rPr>
                <w:rFonts w:ascii="Arial" w:cs="Arial" w:eastAsia="Arial" w:hAnsi="Arial"/>
                <w:sz w:val="16"/>
                <w:szCs w:val="16"/>
                <w:b w:val="1"/>
                <w:bCs w:val="1"/>
                <w:color w:val="auto"/>
                <w:w w:val="91"/>
              </w:rPr>
              <w:t>December 31, 2015</w:t>
            </w:r>
          </w:p>
        </w:tc>
        <w:tc>
          <w:tcPr>
            <w:tcW w:w="0" w:type="dxa"/>
            <w:vAlign w:val="bottom"/>
          </w:tcPr>
          <w:p>
            <w:pPr>
              <w:spacing w:after="0"/>
              <w:rPr>
                <w:sz w:val="1"/>
                <w:szCs w:val="1"/>
                <w:color w:val="auto"/>
              </w:rPr>
            </w:pP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280" w:type="dxa"/>
            <w:vAlign w:val="bottom"/>
          </w:tcPr>
          <w:p>
            <w:pPr>
              <w:spacing w:after="0"/>
              <w:rPr>
                <w:sz w:val="18"/>
                <w:szCs w:val="18"/>
                <w:color w:val="auto"/>
              </w:rPr>
            </w:pPr>
          </w:p>
        </w:tc>
        <w:tc>
          <w:tcPr>
            <w:tcW w:w="3900" w:type="dxa"/>
            <w:vAlign w:val="bottom"/>
            <w:gridSpan w:val="4"/>
          </w:tcPr>
          <w:p>
            <w:pPr>
              <w:jc w:val="right"/>
              <w:ind w:right="14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cap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19"/>
                <w:szCs w:val="19"/>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47"/>
        </w:trPr>
        <w:tc>
          <w:tcPr>
            <w:tcW w:w="71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9"/>
                <w:szCs w:val="19"/>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asset derivatives</w:t>
            </w:r>
          </w:p>
        </w:tc>
        <w:tc>
          <w:tcPr>
            <w:tcW w:w="3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Liability Derivatives</w:t>
            </w: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0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712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long-term obligations</w:t>
            </w:r>
          </w:p>
        </w:tc>
        <w:tc>
          <w:tcPr>
            <w:tcW w:w="280" w:type="dxa"/>
            <w:vAlign w:val="bottom"/>
          </w:tcPr>
          <w:p>
            <w:pPr>
              <w:spacing w:after="0"/>
              <w:rPr>
                <w:sz w:val="19"/>
                <w:szCs w:val="19"/>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1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9"/>
                <w:szCs w:val="19"/>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3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(OCI) during the reporting periods for our derivative and nonderivative hedging instruments, net of tax, was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loss on hedging instruments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(14,062)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(15,148)</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Unrealized loss on hedging instruments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(2,782)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losses reclassified into net income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unrealized loss on hedging instruments at March 31,</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(16,668)</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(15,262)</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March 31, 2016 and 2015. Included in the net unrealized loss on hedging instruments at March 31, 2016 and 2015 is a loss of $14.4 million, net of tax, related to our nonderivative net investment hedge, which terminated in 2011. This loss on our net investment hedge will remain in accumulated OCI until such time when earnings are impacted by a sale or liquidation of the associated foreign operation.</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8"/>
                <w:szCs w:val="18"/>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Assets</w:t>
            </w:r>
          </w:p>
        </w:tc>
        <w:tc>
          <w:tcPr>
            <w:tcW w:w="2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Recognized Assets Presented</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gridSpan w:val="3"/>
          </w:tcPr>
          <w:p>
            <w:pPr>
              <w:jc w:val="center"/>
              <w:ind w:right="79"/>
              <w:spacing w:after="0" w:line="162" w:lineRule="exact"/>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8"/>
              </w:rPr>
              <w:t>in</w:t>
            </w:r>
          </w:p>
        </w:tc>
        <w:tc>
          <w:tcPr>
            <w:tcW w:w="16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the Consolidated</w:t>
            </w:r>
          </w:p>
        </w:tc>
        <w:tc>
          <w:tcPr>
            <w:tcW w:w="160" w:type="dxa"/>
            <w:vAlign w:val="bottom"/>
          </w:tcPr>
          <w:p>
            <w:pPr>
              <w:spacing w:after="0"/>
              <w:rPr>
                <w:sz w:val="17"/>
                <w:szCs w:val="17"/>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6"/>
              </w:rPr>
              <w:t>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8"/>
              </w:rPr>
              <w:t>Cash Collateral Received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3,082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567"/>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Liabilities</w:t>
            </w:r>
          </w:p>
        </w:tc>
        <w:tc>
          <w:tcPr>
            <w:tcW w:w="180" w:type="dxa"/>
            <w:vAlign w:val="bottom"/>
          </w:tcPr>
          <w:p>
            <w:pPr>
              <w:spacing w:after="0"/>
              <w:rPr>
                <w:sz w:val="24"/>
                <w:szCs w:val="2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24"/>
                <w:szCs w:val="24"/>
                <w:color w:val="auto"/>
              </w:rPr>
            </w:pPr>
          </w:p>
        </w:tc>
        <w:tc>
          <w:tcPr>
            <w:tcW w:w="40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vMerge w:val="restart"/>
          </w:tcPr>
          <w:p>
            <w:pPr>
              <w:jc w:val="center"/>
              <w:ind w:right="239"/>
              <w:spacing w:after="0" w:line="176" w:lineRule="exact"/>
              <w:rPr>
                <w:sz w:val="20"/>
                <w:szCs w:val="20"/>
                <w:color w:val="auto"/>
              </w:rPr>
            </w:pPr>
            <w:r>
              <w:rPr>
                <w:rFonts w:ascii="Arial" w:cs="Arial" w:eastAsia="Arial" w:hAnsi="Arial"/>
                <w:sz w:val="16"/>
                <w:szCs w:val="16"/>
                <w:b w:val="1"/>
                <w:bCs w:val="1"/>
                <w:color w:val="auto"/>
                <w:w w:val="91"/>
              </w:rPr>
              <w:t>Recognized Liabilities</w:t>
            </w:r>
          </w:p>
        </w:tc>
        <w:tc>
          <w:tcPr>
            <w:tcW w:w="160" w:type="dxa"/>
            <w:vAlign w:val="bottom"/>
          </w:tcPr>
          <w:p>
            <w:pPr>
              <w:spacing w:after="0"/>
              <w:rPr>
                <w:sz w:val="12"/>
                <w:szCs w:val="12"/>
                <w:color w:val="auto"/>
              </w:rPr>
            </w:pPr>
          </w:p>
        </w:tc>
        <w:tc>
          <w:tcPr>
            <w:tcW w:w="40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b w:val="1"/>
                <w:bCs w:val="1"/>
                <w:color w:val="auto"/>
              </w:rPr>
              <w:t>Cash Collateral Pledged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3,235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subject to netting arrangements consist of foreign exchange forward and interest rate contracts with nine counterparties at March 31, 2016 and December 31, 2015. No derivative asset or liability balance with any of our counterparties was individually significant at March 31, 2016 or December 31, 2015.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a portion of our debt in order to increase our ability to forecast interest expense. The objective of these swaps is to reduce the variability of cash flows from increases in the LIBOR 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six interest rate swaps, which were effective July 31, 2013 to August 8, 2016, to convert $200 million of our LIBOR based debt from a floating LIBOR interest rate to a fixed interest rate of 1.00% (excluding the applicable margin on the debt). The cash flow hedges are expected to be highly effective in achieving offsetting cash flows attributable to the hedged risk through the term of the hedge. Consequently, effective changes in the fair value of the interest rate swaps are recorded as a component of OCI and will be recognized in earnings when the hedged item affects earnings. The amounts paid or received on the hedges will be recognized as adjustments to interest expense. The amount of net losses expected to be reclassified into earnings in the next 12 months is $0.4 million.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The cash flow hedge is expected to be highly effective in achieving offsetting cash flows attributable to the hedged risk through the term of the hedge. Consequently, effective changes in the fair value of the interest rate swap is recorded as a component of OCI and will be recognized in earnings when the hedged item affects earnings. The amounts paid or received on the hedge will be recognized as an adjustment to interest expense. The amount of net losses expected to be reclassified into earnings in the next 12 months is $0.9 million. At March 31, 2016, our LIBOR based debt balance was $296.6 million.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LIBOR-based debt up to 2.00%. In the event LIBOR is higher than 2.00%, we will pay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capped rate of 2.00% with respect to the $100 million notional amount of such agreements. The interest rate cap contracts do not include the effect of the applicable margin. The amount of net losses expected to be reclassified into earnings in the next 12 months is insignificant.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2016, our LIBOR based debt balance was $296.6 million. The amount of cash flow hedge ineffectiveness was insignificant for the three months ended March 31, 2016 and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cash flow derivative instruments on the Consolidated Balance Sheets and the Consolidated Statements of Operations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7"/>
              </w:rPr>
              <w:t>Amount of Gain (Loss)</w:t>
            </w:r>
          </w:p>
        </w:tc>
        <w:tc>
          <w:tcPr>
            <w:tcW w:w="120" w:type="dxa"/>
            <w:vAlign w:val="bottom"/>
          </w:tcPr>
          <w:p>
            <w:pPr>
              <w:spacing w:after="0"/>
              <w:rPr>
                <w:sz w:val="13"/>
                <w:szCs w:val="13"/>
                <w:color w:val="auto"/>
              </w:rPr>
            </w:pPr>
          </w:p>
        </w:tc>
        <w:tc>
          <w:tcPr>
            <w:tcW w:w="3400" w:type="dxa"/>
            <w:vAlign w:val="bottom"/>
            <w:gridSpan w:val="6"/>
          </w:tcPr>
          <w:p>
            <w:pPr>
              <w:ind w:left="540"/>
              <w:spacing w:after="0"/>
              <w:rPr>
                <w:sz w:val="20"/>
                <w:szCs w:val="20"/>
                <w:color w:val="auto"/>
              </w:rPr>
            </w:pPr>
            <w:r>
              <w:rPr>
                <w:rFonts w:ascii="Arial" w:cs="Arial" w:eastAsia="Arial" w:hAnsi="Arial"/>
                <w:sz w:val="13"/>
                <w:szCs w:val="13"/>
                <w:b w:val="1"/>
                <w:bCs w:val="1"/>
                <w:color w:val="auto"/>
              </w:rPr>
              <w:t>Gain (Loss) Reclassified from Accumulated</w:t>
            </w:r>
          </w:p>
        </w:tc>
        <w:tc>
          <w:tcPr>
            <w:tcW w:w="120" w:type="dxa"/>
            <w:vAlign w:val="bottom"/>
          </w:tcPr>
          <w:p>
            <w:pPr>
              <w:spacing w:after="0"/>
              <w:rPr>
                <w:sz w:val="13"/>
                <w:szCs w:val="13"/>
                <w:color w:val="auto"/>
              </w:rPr>
            </w:pPr>
          </w:p>
        </w:tc>
        <w:tc>
          <w:tcPr>
            <w:tcW w:w="3080" w:type="dxa"/>
            <w:vAlign w:val="bottom"/>
            <w:gridSpan w:val="5"/>
          </w:tcPr>
          <w:p>
            <w:pPr>
              <w:jc w:val="center"/>
              <w:ind w:left="217"/>
              <w:spacing w:after="0"/>
              <w:rPr>
                <w:sz w:val="20"/>
                <w:szCs w:val="20"/>
                <w:color w:val="auto"/>
              </w:rPr>
            </w:pPr>
            <w:r>
              <w:rPr>
                <w:rFonts w:ascii="Arial" w:cs="Arial" w:eastAsia="Arial" w:hAnsi="Arial"/>
                <w:sz w:val="13"/>
                <w:szCs w:val="13"/>
                <w:b w:val="1"/>
                <w:bCs w:val="1"/>
                <w:color w:val="auto"/>
                <w:w w:val="86"/>
              </w:rPr>
              <w:t>Gain (Loss) Recognized in Income on</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20" w:type="dxa"/>
            <w:vAlign w:val="bottom"/>
          </w:tcPr>
          <w:p>
            <w:pPr>
              <w:spacing w:after="0"/>
              <w:rPr>
                <w:sz w:val="12"/>
                <w:szCs w:val="12"/>
                <w:color w:val="auto"/>
              </w:rPr>
            </w:pPr>
          </w:p>
        </w:tc>
        <w:tc>
          <w:tcPr>
            <w:tcW w:w="1780" w:type="dxa"/>
            <w:vAlign w:val="bottom"/>
            <w:gridSpan w:val="3"/>
          </w:tcPr>
          <w:p>
            <w:pPr>
              <w:jc w:val="center"/>
              <w:ind w:right="137"/>
              <w:spacing w:after="0" w:line="144" w:lineRule="exact"/>
              <w:rPr>
                <w:sz w:val="20"/>
                <w:szCs w:val="20"/>
                <w:color w:val="auto"/>
              </w:rPr>
            </w:pPr>
            <w:r>
              <w:rPr>
                <w:rFonts w:ascii="Arial" w:cs="Arial" w:eastAsia="Arial" w:hAnsi="Arial"/>
                <w:sz w:val="13"/>
                <w:szCs w:val="13"/>
                <w:b w:val="1"/>
                <w:bCs w:val="1"/>
                <w:color w:val="auto"/>
                <w:w w:val="87"/>
              </w:rPr>
              <w:t>Recognized in OCI on</w:t>
            </w:r>
          </w:p>
        </w:tc>
        <w:tc>
          <w:tcPr>
            <w:tcW w:w="120" w:type="dxa"/>
            <w:vAlign w:val="bottom"/>
          </w:tcPr>
          <w:p>
            <w:pPr>
              <w:spacing w:after="0"/>
              <w:rPr>
                <w:sz w:val="12"/>
                <w:szCs w:val="12"/>
                <w:color w:val="auto"/>
              </w:rPr>
            </w:pPr>
          </w:p>
        </w:tc>
        <w:tc>
          <w:tcPr>
            <w:tcW w:w="2760" w:type="dxa"/>
            <w:vAlign w:val="bottom"/>
            <w:gridSpan w:val="5"/>
          </w:tcPr>
          <w:p>
            <w:pPr>
              <w:ind w:left="740"/>
              <w:spacing w:after="0" w:line="144" w:lineRule="exact"/>
              <w:rPr>
                <w:sz w:val="20"/>
                <w:szCs w:val="20"/>
                <w:color w:val="auto"/>
              </w:rPr>
            </w:pPr>
            <w:r>
              <w:rPr>
                <w:rFonts w:ascii="Arial" w:cs="Arial" w:eastAsia="Arial" w:hAnsi="Arial"/>
                <w:sz w:val="13"/>
                <w:szCs w:val="13"/>
                <w:b w:val="1"/>
                <w:bCs w:val="1"/>
                <w:color w:val="auto"/>
                <w:w w:val="92"/>
              </w:rPr>
              <w:t>OCI into Income (Effective Portion)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5"/>
          </w:tcPr>
          <w:p>
            <w:pPr>
              <w:jc w:val="center"/>
              <w:ind w:left="21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4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22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Hedging Relationships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3"/>
                <w:szCs w:val="13"/>
                <w:b w:val="1"/>
                <w:bCs w:val="1"/>
                <w:color w:val="auto"/>
                <w:w w:val="92"/>
              </w:rPr>
              <w:t>Portion)</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Location</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17"/>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auto"/>
              </w:rPr>
              <w:t>2016</w:t>
            </w:r>
          </w:p>
        </w:tc>
        <w:tc>
          <w:tcPr>
            <w:tcW w:w="420" w:type="dxa"/>
            <w:vAlign w:val="bottom"/>
          </w:tcPr>
          <w:p>
            <w:pPr>
              <w:spacing w:after="0"/>
              <w:rPr>
                <w:sz w:val="22"/>
                <w:szCs w:val="22"/>
                <w:color w:val="auto"/>
              </w:rPr>
            </w:pPr>
          </w:p>
        </w:tc>
        <w:tc>
          <w:tcPr>
            <w:tcW w:w="600" w:type="dxa"/>
            <w:vAlign w:val="bottom"/>
          </w:tcPr>
          <w:p>
            <w:pPr>
              <w:jc w:val="right"/>
              <w:ind w:right="277"/>
              <w:spacing w:after="0"/>
              <w:rPr>
                <w:sz w:val="20"/>
                <w:szCs w:val="20"/>
                <w:color w:val="auto"/>
              </w:rPr>
            </w:pPr>
            <w:r>
              <w:rPr>
                <w:rFonts w:ascii="Arial" w:cs="Arial" w:eastAsia="Arial" w:hAnsi="Arial"/>
                <w:sz w:val="13"/>
                <w:szCs w:val="13"/>
                <w:b w:val="1"/>
                <w:bCs w:val="1"/>
                <w:color w:val="auto"/>
                <w:w w:val="82"/>
              </w:rPr>
              <w:t>2015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97"/>
              <w:spacing w:after="0"/>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22"/>
                <w:szCs w:val="22"/>
                <w:color w:val="auto"/>
              </w:rPr>
            </w:pPr>
          </w:p>
        </w:tc>
        <w:tc>
          <w:tcPr>
            <w:tcW w:w="640" w:type="dxa"/>
            <w:vAlign w:val="bottom"/>
          </w:tcPr>
          <w:p>
            <w:pPr>
              <w:jc w:val="right"/>
              <w:ind w:right="257"/>
              <w:spacing w:after="0"/>
              <w:rPr>
                <w:sz w:val="20"/>
                <w:szCs w:val="20"/>
                <w:color w:val="auto"/>
              </w:rPr>
            </w:pPr>
            <w:r>
              <w:rPr>
                <w:rFonts w:ascii="Arial" w:cs="Arial" w:eastAsia="Arial" w:hAnsi="Arial"/>
                <w:sz w:val="13"/>
                <w:szCs w:val="13"/>
                <w:b w:val="1"/>
                <w:bCs w:val="1"/>
                <w:color w:val="auto"/>
              </w:rPr>
              <w:t>2015</w:t>
            </w:r>
          </w:p>
        </w:tc>
        <w:tc>
          <w:tcPr>
            <w:tcW w:w="216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2016</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center"/>
              <w:ind w:left="337"/>
              <w:spacing w:after="0"/>
              <w:rPr>
                <w:sz w:val="20"/>
                <w:szCs w:val="20"/>
                <w:color w:val="auto"/>
              </w:rPr>
            </w:pPr>
            <w:r>
              <w:rPr>
                <w:rFonts w:ascii="Arial" w:cs="Arial" w:eastAsia="Arial" w:hAnsi="Arial"/>
                <w:sz w:val="13"/>
                <w:szCs w:val="13"/>
                <w:b w:val="1"/>
                <w:bCs w:val="1"/>
                <w:color w:val="auto"/>
                <w:w w:val="87"/>
              </w:rPr>
              <w:t>(in thousands)</w:t>
            </w: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3"/>
          </w:tcPr>
          <w:p>
            <w:pPr>
              <w:jc w:val="right"/>
              <w:ind w:right="497"/>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center"/>
              <w:ind w:right="197"/>
              <w:spacing w:after="0"/>
              <w:rPr>
                <w:sz w:val="20"/>
                <w:szCs w:val="20"/>
                <w:color w:val="auto"/>
              </w:rPr>
            </w:pPr>
            <w:r>
              <w:rPr>
                <w:rFonts w:ascii="Arial" w:cs="Arial" w:eastAsia="Arial" w:hAnsi="Arial"/>
                <w:sz w:val="13"/>
                <w:szCs w:val="13"/>
                <w:b w:val="1"/>
                <w:bCs w:val="1"/>
                <w:color w:val="auto"/>
                <w:w w:val="87"/>
              </w:rPr>
              <w:t>(in thousands)</w:t>
            </w: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90"/>
              </w:rPr>
              <w:t>Three Months Ended March 31,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(3,779)</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(597)</w:t>
            </w:r>
          </w:p>
        </w:tc>
        <w:tc>
          <w:tcPr>
            <w:tcW w:w="12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Interest expense   $</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(286)</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5"/>
                <w:szCs w:val="15"/>
                <w:color w:val="auto"/>
              </w:rPr>
            </w:pPr>
          </w:p>
        </w:tc>
        <w:tc>
          <w:tcPr>
            <w:tcW w:w="204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Interest expense   $</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80"/>
              <w:spacing w:after="0"/>
              <w:rPr>
                <w:sz w:val="20"/>
                <w:szCs w:val="20"/>
                <w:color w:val="auto"/>
              </w:rPr>
            </w:pPr>
            <w:r>
              <w:rPr>
                <w:rFonts w:ascii="Arial" w:cs="Arial" w:eastAsia="Arial" w:hAnsi="Arial"/>
                <w:sz w:val="13"/>
                <w:szCs w:val="13"/>
                <w:color w:val="auto"/>
              </w:rPr>
              <w:t>Interest rate cap contracts</w:t>
            </w:r>
          </w:p>
        </w:tc>
        <w:tc>
          <w:tcPr>
            <w:tcW w:w="2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(734)</w:t>
            </w:r>
          </w:p>
        </w:tc>
        <w:tc>
          <w:tcPr>
            <w:tcW w:w="42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700" w:type="dxa"/>
            <w:vAlign w:val="bottom"/>
            <w:gridSpan w:val="3"/>
          </w:tcPr>
          <w:p>
            <w:pPr>
              <w:ind w:left="520"/>
              <w:spacing w:after="0"/>
              <w:rPr>
                <w:sz w:val="20"/>
                <w:szCs w:val="20"/>
                <w:color w:val="auto"/>
              </w:rPr>
            </w:pPr>
            <w:r>
              <w:rPr>
                <w:rFonts w:ascii="Arial" w:cs="Arial" w:eastAsia="Arial" w:hAnsi="Arial"/>
                <w:sz w:val="13"/>
                <w:szCs w:val="13"/>
                <w:color w:val="auto"/>
              </w:rPr>
              <w:t>Interest expense</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040" w:type="dxa"/>
            <w:vAlign w:val="bottom"/>
            <w:gridSpan w:val="3"/>
          </w:tcPr>
          <w:p>
            <w:pPr>
              <w:ind w:left="520"/>
              <w:spacing w:after="0"/>
              <w:rPr>
                <w:sz w:val="20"/>
                <w:szCs w:val="20"/>
                <w:color w:val="auto"/>
              </w:rPr>
            </w:pPr>
            <w:r>
              <w:rPr>
                <w:rFonts w:ascii="Arial" w:cs="Arial" w:eastAsia="Arial" w:hAnsi="Arial"/>
                <w:sz w:val="13"/>
                <w:szCs w:val="13"/>
                <w:color w:val="auto"/>
              </w:rPr>
              <w:t>Interest expense</w:t>
            </w: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recorded to other income and expense. We enter into monthly foreign exchange forward contracts (a total of 122 contracts were entered into during the three months ended March 31, 2016), which are not designated for hedge accounting, with the intent to reduce earnings volatility associated with currency exposures. The notional amounts of the contracts ranged from $100,000 to $31.0 million, offsetting our exposures from the euro, British pound, Canadian dollar, Australian dollar, Mexican peso, and various other currencies.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foreign exchange forward derivative instruments on the Consolidated Statements of Operations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gridSpan w:val="2"/>
          </w:tcPr>
          <w:p>
            <w:pPr>
              <w:ind w:left="900"/>
              <w:spacing w:after="0"/>
              <w:rPr>
                <w:sz w:val="20"/>
                <w:szCs w:val="20"/>
                <w:color w:val="auto"/>
              </w:rPr>
            </w:pPr>
            <w:r>
              <w:rPr>
                <w:rFonts w:ascii="Arial" w:cs="Arial" w:eastAsia="Arial" w:hAnsi="Arial"/>
                <w:sz w:val="16"/>
                <w:szCs w:val="16"/>
                <w:b w:val="1"/>
                <w:bCs w:val="1"/>
                <w:color w:val="auto"/>
              </w:rPr>
              <w:t>Derivatives Not Designated as Hedging Instrument under ASC 815-20</w:t>
            </w:r>
          </w:p>
        </w:tc>
        <w:tc>
          <w:tcPr>
            <w:tcW w:w="46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(Loss) Recognized on Derivatives in Other Income (Expense)</w:t>
            </w:r>
          </w:p>
        </w:tc>
      </w:tr>
      <w:tr>
        <w:trPr>
          <w:trHeight w:val="33"/>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93"/>
              </w:rPr>
              <w:t>Three Months Ended March 31,</w:t>
            </w:r>
          </w:p>
        </w:tc>
        <w:tc>
          <w:tcPr>
            <w:tcW w:w="74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740" w:type="dxa"/>
            <w:vAlign w:val="bottom"/>
          </w:tcPr>
          <w:p>
            <w:pPr>
              <w:spacing w:after="0"/>
              <w:rPr>
                <w:sz w:val="20"/>
                <w:szCs w:val="20"/>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40" w:type="dxa"/>
            <w:vAlign w:val="bottom"/>
            <w:gridSpan w:val="2"/>
          </w:tcPr>
          <w:p>
            <w:pPr>
              <w:jc w:val="center"/>
              <w:ind w:right="719"/>
              <w:spacing w:after="0"/>
              <w:rPr>
                <w:sz w:val="20"/>
                <w:szCs w:val="20"/>
                <w:color w:val="auto"/>
              </w:rPr>
            </w:pPr>
            <w:r>
              <w:rPr>
                <w:rFonts w:ascii="Arial" w:cs="Arial" w:eastAsia="Arial" w:hAnsi="Arial"/>
                <w:sz w:val="16"/>
                <w:szCs w:val="16"/>
                <w:b w:val="1"/>
                <w:bCs w:val="1"/>
                <w:color w:val="auto"/>
                <w:w w:val="88"/>
              </w:rPr>
              <w:t>(in thousands)</w:t>
            </w:r>
          </w:p>
        </w:tc>
        <w:tc>
          <w:tcPr>
            <w:tcW w:w="74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160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r>
      <w:tr>
        <w:trPr>
          <w:trHeight w:val="33"/>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March 31, 2016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1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 assets in other long-term assets</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r>
      <w:tr>
        <w:trPr>
          <w:trHeight w:val="270"/>
        </w:trPr>
        <w:tc>
          <w:tcPr>
            <w:tcW w:w="67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17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3,159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3,493</w:t>
            </w: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pension benefit obligation</w:t>
            </w:r>
          </w:p>
        </w:tc>
        <w:tc>
          <w:tcPr>
            <w:tcW w:w="1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88,312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85,971</w:t>
            </w:r>
          </w:p>
        </w:tc>
      </w:tr>
      <w:tr>
        <w:trPr>
          <w:trHeight w:val="270"/>
        </w:trPr>
        <w:tc>
          <w:tcPr>
            <w:tcW w:w="674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benefit obligation, net</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90,960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620</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2,084</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record stock-based compensation expense for awards of stock options, restricted stock units, unrestricted stock, and phantom stock units. We expense stock-based compensation primarily using the straight-line method over the requisite service period. Stock-based compensation expense and the related tax benefit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3,096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3,326</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4,108</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1,149</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stock splits, dividends, and other similar events, 7,473,956 shares of common stock are reserved and authorized for issuance under our Amended and Restated 2010 Stock Incentive Plan (Stock Incentive Plan). Awards consist of stock options, restricted stock units, and unrestricted stock awards. At March 31, 2016, 2,063,770 shares were available for grant under the Stock Incentive Plan. The Stock Incentive Plan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33"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37465</wp:posOffset>
            </wp:positionV>
            <wp:extent cx="2298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80" w:type="dxa"/>
            <w:vAlign w:val="bottom"/>
            <w:gridSpan w:val="2"/>
          </w:tcPr>
          <w:p>
            <w:pPr>
              <w:ind w:left="8520"/>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r>
      <w:tr>
        <w:trPr>
          <w:trHeight w:val="33"/>
        </w:trPr>
        <w:tc>
          <w:tcPr>
            <w:tcW w:w="78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98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58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33"/>
        </w:trPr>
        <w:tc>
          <w:tcPr>
            <w:tcW w:w="7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8980" w:type="dxa"/>
            <w:vAlign w:val="bottom"/>
            <w:gridSpan w:val="2"/>
          </w:tcPr>
          <w:p>
            <w:pPr>
              <w:ind w:left="40"/>
              <w:spacing w:after="0"/>
              <w:rPr>
                <w:sz w:val="20"/>
                <w:szCs w:val="20"/>
                <w:color w:val="auto"/>
              </w:rPr>
            </w:pPr>
            <w:r>
              <w:rPr>
                <w:rFonts w:ascii="Arial" w:cs="Arial" w:eastAsia="Arial" w:hAnsi="Arial"/>
                <w:sz w:val="16"/>
                <w:szCs w:val="16"/>
                <w:color w:val="auto"/>
              </w:rPr>
              <w:t>Expected term (years)</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Intrinsic Value</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(years)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12.15</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37.40</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March 31,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40.04</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13.15</w:t>
            </w: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48.51</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March 31, 2016</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47.61</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Exercisable March 31, 2016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52.46</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Expected to vest, March 31, 2016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37.42</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30"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our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2016, total unrecognized stock-based compensation expense related to nonvested stock options was approximately $4.9 million, which is expected to be recognized over a weighted average period of approximately 2.4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in 2013, the performance-based restricted stock units to be issued under the Long-Term Performance Restricted Stock Unit Award Agreement (Performance Award Agreement) were determined based on (1) our achievement of specified non-GAAP EPS targets, as established by the Board at the beginning of each year for each of the three 1-year calendar years contained in the performance period (the performance condition) and (2) our total shareholder return (TSR) relative to the TSR attained by companies that are included in the Russell 3000 Index during the 3-year performance period (the market condition). Compensation expense, net of forfeitures, is recognized on a straight-line basis, and the restricted stock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Depending on the level of achievement of the performance condition, the actual number of shares to be earned ranges between 0% and 160% of the awards originally granted.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 multiplier market condition, we utilize a Monte Carlo valuation model to determine the fair value of the awards at the grant date.</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 value are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000" w:type="dxa"/>
            <w:vAlign w:val="bottom"/>
            <w:gridSpan w:val="4"/>
          </w:tcPr>
          <w:p>
            <w:pPr>
              <w:ind w:left="700"/>
              <w:spacing w:after="0"/>
              <w:rPr>
                <w:sz w:val="20"/>
                <w:szCs w:val="20"/>
                <w:color w:val="auto"/>
              </w:rPr>
            </w:pPr>
            <w:r>
              <w:rPr>
                <w:rFonts w:ascii="Arial" w:cs="Arial" w:eastAsia="Arial" w:hAnsi="Arial"/>
                <w:sz w:val="16"/>
                <w:szCs w:val="16"/>
                <w:b w:val="1"/>
                <w:bCs w:val="1"/>
                <w:color w:val="auto"/>
                <w:w w:val="96"/>
              </w:rPr>
              <w:t>Three Months Ended March 31,</w:t>
            </w:r>
          </w:p>
        </w:tc>
        <w:tc>
          <w:tcPr>
            <w:tcW w:w="60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820" w:type="dxa"/>
            <w:vAlign w:val="bottom"/>
          </w:tcPr>
          <w:p>
            <w:pPr>
              <w:spacing w:after="0"/>
              <w:rPr>
                <w:sz w:val="20"/>
                <w:szCs w:val="20"/>
                <w:color w:val="auto"/>
              </w:rPr>
            </w:pPr>
          </w:p>
        </w:tc>
        <w:tc>
          <w:tcPr>
            <w:tcW w:w="1140" w:type="dxa"/>
            <w:vAlign w:val="bottom"/>
          </w:tcPr>
          <w:p>
            <w:pPr>
              <w:ind w:left="72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82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47"/>
        </w:trPr>
        <w:tc>
          <w:tcPr>
            <w:tcW w:w="7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24"/>
        </w:trPr>
        <w:tc>
          <w:tcPr>
            <w:tcW w:w="7820" w:type="dxa"/>
            <w:vAlign w:val="bottom"/>
          </w:tcPr>
          <w:p>
            <w:pPr>
              <w:ind w:left="40"/>
              <w:spacing w:after="0"/>
              <w:rPr>
                <w:sz w:val="20"/>
                <w:szCs w:val="20"/>
                <w:color w:val="auto"/>
              </w:rPr>
            </w:pPr>
            <w:r>
              <w:rPr>
                <w:rFonts w:ascii="Arial" w:cs="Arial" w:eastAsia="Arial" w:hAnsi="Arial"/>
                <w:sz w:val="16"/>
                <w:szCs w:val="16"/>
                <w:color w:val="auto"/>
              </w:rPr>
              <w:t>Expected term (years)</w:t>
            </w:r>
          </w:p>
        </w:tc>
        <w:tc>
          <w:tcPr>
            <w:tcW w:w="114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47"/>
        </w:trPr>
        <w:tc>
          <w:tcPr>
            <w:tcW w:w="7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70"/>
        </w:trPr>
        <w:tc>
          <w:tcPr>
            <w:tcW w:w="78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Weighted average fair value</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44.77</w:t>
            </w:r>
          </w:p>
        </w:tc>
        <w:tc>
          <w:tcPr>
            <w:tcW w:w="120" w:type="dxa"/>
            <w:vAlign w:val="bottom"/>
          </w:tcPr>
          <w:p>
            <w:pPr>
              <w:spacing w:after="0"/>
              <w:rPr>
                <w:sz w:val="20"/>
                <w:szCs w:val="20"/>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33.46</w:t>
            </w:r>
          </w:p>
        </w:tc>
      </w:tr>
    </w:tbl>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10,888</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March 31,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40.02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10,098</w:t>
            </w:r>
          </w:p>
        </w:tc>
      </w:tr>
      <w:tr>
        <w:trPr>
          <w:trHeight w:val="224"/>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March 31,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March 31,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March 31, 2016</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21,106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64"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Restricted stock units granted in 2015 and 2016 do not include awards under the Performance Award Agreement for the respective years, as these awards are not granted until attainment of annual performance goals has been determined at the conclusion of the performance period, which had not occurred as of March 31, 2015 and 2016,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2016, total unrecognized compensation expense on restricted stock units was $31.8 million, which is expected to be recognized over a weighted average period of approximately 2.2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Phantom stock units are a form of share-based award that are indexed to our stock price and are settled in cash upon vesting. Since phantom stock units are settled in cash, compensation expense recognized over the vesting period will vary based on changes in fair value. Fair value is remeasured at the end of each reporting period based on the market close price of our common stock.</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phantom stock unit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2016</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March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210"/>
        </w:trPr>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Average Fair Value</w:t>
            </w:r>
          </w:p>
        </w:tc>
        <w:tc>
          <w:tcPr>
            <w:tcW w:w="0" w:type="dxa"/>
            <w:vAlign w:val="bottom"/>
          </w:tcPr>
          <w:p>
            <w:pPr>
              <w:spacing w:after="0"/>
              <w:rPr>
                <w:sz w:val="1"/>
                <w:szCs w:val="1"/>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960" w:type="dxa"/>
            <w:vAlign w:val="bottom"/>
          </w:tcPr>
          <w:p>
            <w:pPr>
              <w:ind w:left="1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960" w:type="dxa"/>
            <w:vAlign w:val="bottom"/>
          </w:tcPr>
          <w:p>
            <w:pPr>
              <w:ind w:left="1680"/>
              <w:spacing w:after="0"/>
              <w:rPr>
                <w:sz w:val="20"/>
                <w:szCs w:val="20"/>
                <w:color w:val="auto"/>
              </w:rPr>
            </w:pPr>
            <w:r>
              <w:rPr>
                <w:rFonts w:ascii="Arial" w:cs="Arial" w:eastAsia="Arial" w:hAnsi="Arial"/>
                <w:sz w:val="16"/>
                <w:szCs w:val="16"/>
                <w:color w:val="auto"/>
              </w:rPr>
              <w:t>61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47"/>
        </w:trPr>
        <w:tc>
          <w:tcPr>
            <w:tcW w:w="1960" w:type="dxa"/>
            <w:vAlign w:val="bottom"/>
            <w:tcBorders>
              <w:bottom w:val="single" w:sz="8" w:color="auto"/>
            </w:tcBorders>
          </w:tcPr>
          <w:p>
            <w:pPr>
              <w:spacing w:after="0"/>
              <w:rPr>
                <w:sz w:val="4"/>
                <w:szCs w:val="4"/>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jc w:val="right"/>
              <w:ind w:right="19"/>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17"/>
        </w:trPr>
        <w:tc>
          <w:tcPr>
            <w:tcW w:w="1960" w:type="dxa"/>
            <w:vAlign w:val="bottom"/>
          </w:tcPr>
          <w:p>
            <w:pPr>
              <w:ind w:left="1680"/>
              <w:spacing w:after="0"/>
              <w:rPr>
                <w:sz w:val="20"/>
                <w:szCs w:val="20"/>
                <w:color w:val="auto"/>
              </w:rPr>
            </w:pPr>
            <w:r>
              <w:rPr>
                <w:rFonts w:ascii="Arial" w:cs="Arial" w:eastAsia="Arial" w:hAnsi="Arial"/>
                <w:sz w:val="16"/>
                <w:szCs w:val="16"/>
                <w:color w:val="auto"/>
              </w:rPr>
              <w:t>61</w:t>
            </w:r>
          </w:p>
        </w:tc>
        <w:tc>
          <w:tcPr>
            <w:tcW w:w="300" w:type="dxa"/>
            <w:vAlign w:val="bottom"/>
            <w:gridSpan w:val="2"/>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960" w:type="dxa"/>
            <w:vAlign w:val="bottom"/>
          </w:tcPr>
          <w:p>
            <w:pPr>
              <w:ind w:left="1680"/>
              <w:spacing w:after="0"/>
              <w:rPr>
                <w:sz w:val="20"/>
                <w:szCs w:val="20"/>
                <w:color w:val="auto"/>
              </w:rPr>
            </w:pPr>
            <w:r>
              <w:rPr>
                <w:rFonts w:ascii="Arial" w:cs="Arial" w:eastAsia="Arial" w:hAnsi="Arial"/>
                <w:sz w:val="16"/>
                <w:szCs w:val="16"/>
                <w:color w:val="auto"/>
              </w:rPr>
              <w:t>53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125" w:right="239" w:bottom="1440" w:gutter="0" w:footer="0" w:header="0"/>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2016, total unrecognized compensation expense on phantom stock units was $2.5 million, which is expected to be recognized over a weighted average period of approximately 2.9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4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93"/>
              </w:rPr>
              <w:t>Three Months Ended March 31,</w:t>
            </w:r>
          </w:p>
        </w:tc>
        <w:tc>
          <w:tcPr>
            <w:tcW w:w="4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04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89"/>
              </w:rPr>
              <w:t>(in thousands, except per share data)</w:t>
            </w:r>
          </w:p>
        </w:tc>
        <w:tc>
          <w:tcPr>
            <w:tcW w:w="4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7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35.61</w:t>
            </w:r>
          </w:p>
        </w:tc>
        <w:tc>
          <w:tcPr>
            <w:tcW w:w="13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41.56</w:t>
            </w:r>
          </w:p>
        </w:tc>
      </w:tr>
      <w:tr>
        <w:trPr>
          <w:trHeight w:val="33"/>
        </w:trPr>
        <w:tc>
          <w:tcPr>
            <w:tcW w:w="79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w:t>
      </w:r>
    </w:p>
    <w:p>
      <w:pPr>
        <w:spacing w:after="0" w:line="388"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40" w:type="dxa"/>
            <w:vAlign w:val="bottom"/>
            <w:gridSpan w:val="2"/>
            <w:shd w:val="clear" w:color="auto" w:fill="CCEEFF"/>
          </w:tcPr>
          <w:p>
            <w:pPr>
              <w:jc w:val="right"/>
              <w:ind w:right="6680"/>
              <w:spacing w:after="0"/>
              <w:rPr>
                <w:sz w:val="20"/>
                <w:szCs w:val="20"/>
                <w:color w:val="auto"/>
              </w:rPr>
            </w:pPr>
            <w:r>
              <w:rPr>
                <w:rFonts w:ascii="Arial" w:cs="Arial" w:eastAsia="Arial" w:hAnsi="Arial"/>
                <w:sz w:val="16"/>
                <w:szCs w:val="16"/>
                <w:color w:val="auto"/>
                <w:w w:val="89"/>
              </w:rPr>
              <w:t>Shares of stock sold to employees</w:t>
            </w:r>
            <w:r>
              <w:rPr>
                <w:rFonts w:ascii="Arial" w:cs="Arial" w:eastAsia="Arial" w:hAnsi="Arial"/>
                <w:sz w:val="21"/>
                <w:szCs w:val="21"/>
                <w:color w:val="auto"/>
                <w:w w:val="89"/>
                <w:vertAlign w:val="superscript"/>
              </w:rPr>
              <w:t>(1)</w:t>
            </w:r>
          </w:p>
        </w:tc>
        <w:tc>
          <w:tcPr>
            <w:tcW w:w="12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11</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bl>
    <w:p>
      <w:pPr>
        <w:spacing w:after="0" w:line="17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381,000 shares of common stock available for future issuance under the ESPP at March 31,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 as a percentage of income before tax typically differs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expense for the three months ended March 31, 2016 differed from the federal statutory rate of 35% due to the forecasted mix of earnings in domestic and international jurisdictions and losses experienced in jurisdictions with valuation allowances on deferred tax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expense for the three months ended March 31, 2015 differed from the federal statutory rate of 35% due to the forecasted mix of earnings in domestic and international jurisdictions, valuation allowances, and discrete tax items.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2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3"/>
              </w:rPr>
              <w:t>Three Months Ended March 31,</w:t>
            </w:r>
          </w:p>
        </w:tc>
        <w:tc>
          <w:tcPr>
            <w:tcW w:w="5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2"/>
          </w:tcPr>
          <w:p>
            <w:pPr>
              <w:jc w:val="center"/>
              <w:ind w:right="539"/>
              <w:spacing w:after="0"/>
              <w:rPr>
                <w:sz w:val="20"/>
                <w:szCs w:val="20"/>
                <w:color w:val="auto"/>
              </w:rPr>
            </w:pPr>
            <w:r>
              <w:rPr>
                <w:rFonts w:ascii="Arial" w:cs="Arial" w:eastAsia="Arial" w:hAnsi="Arial"/>
                <w:sz w:val="16"/>
                <w:szCs w:val="16"/>
                <w:b w:val="1"/>
                <w:bCs w:val="1"/>
                <w:color w:val="auto"/>
                <w:w w:val="88"/>
              </w:rPr>
              <w:t>(in thousands)</w:t>
            </w:r>
          </w:p>
        </w:tc>
        <w:tc>
          <w:tcPr>
            <w:tcW w:w="5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w:t>
            </w:r>
          </w:p>
        </w:tc>
        <w:tc>
          <w:tcPr>
            <w:tcW w:w="12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r>
      <w:tr>
        <w:trPr>
          <w:trHeight w:val="33"/>
        </w:trPr>
        <w:tc>
          <w:tcPr>
            <w:tcW w:w="7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recorded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2016</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760" w:type="dxa"/>
            <w:vAlign w:val="bottom"/>
            <w:tcBorders>
              <w:bottom w:val="single" w:sz="8" w:color="CCEEFF"/>
            </w:tcBorders>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2,229</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7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2,649</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2,577</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March 31, 2016</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54,978</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54,880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17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53,670</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53,602</w:t>
            </w:r>
          </w:p>
        </w:tc>
      </w:tr>
    </w:tbl>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2016, we are under examination by certain tax authorities for the 2000 to 2013 tax years. The material jurisdictions where we are subject to examination for the 2000 to 2013 tax years include, among others, the U.S.,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recorded within the next twelve months. However, at this time, an estimate of the range of reasonably possible adjustments to the balance of unrecognized tax benefits cannot be made.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performance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2016</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03"/>
        </w:trPr>
        <w:tc>
          <w:tcPr>
            <w:tcW w:w="674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(132,572)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(151,837)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(46,574)</w:t>
            </w: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301,589</w:t>
            </w:r>
          </w:p>
        </w:tc>
      </w:tr>
      <w:tr>
        <w:trPr>
          <w:trHeight w:val="270"/>
        </w:trPr>
        <w:tc>
          <w:tcPr>
            <w:tcW w:w="674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254,072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253,426</w:t>
            </w: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97,989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(26,392)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(31,122)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(3)</w:t>
            </w:r>
          </w:p>
        </w:tc>
        <w:tc>
          <w:tcPr>
            <w:tcW w:w="36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(3,884)</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72,659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62,983</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131,617</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87,558</w:t>
            </w:r>
          </w:p>
        </w:tc>
      </w:tr>
    </w:tbl>
    <w:p>
      <w:pPr>
        <w:spacing w:after="0" w:line="19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spacing w:after="0" w:line="74" w:lineRule="exact"/>
        <w:rPr>
          <w:rFonts w:ascii="Arial" w:cs="Arial" w:eastAsia="Arial" w:hAnsi="Arial"/>
          <w:sz w:val="22"/>
          <w:szCs w:val="22"/>
          <w:color w:val="auto"/>
          <w:vertAlign w:val="superscript"/>
        </w:rPr>
      </w:pPr>
    </w:p>
    <w:p>
      <w:pPr>
        <w:ind w:left="340" w:hanging="332"/>
        <w:spacing w:after="0" w:line="211"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Subsequent to March 31, 2016, as a result of entering into the first and second amendments to the 2015 credit facility, the maximum limit available for additional standby LOCs under sub-facility was reduced from $300 million to $250 million.</w:t>
      </w:r>
    </w:p>
    <w:p>
      <w:pPr>
        <w:spacing w:after="0" w:line="17"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14, 2016, we entered into a confidential settlement agreement with Transdata Incorporated (Transdata) under which Transdata agreed to dismiss with prejudice all pending litigation in various United States District Courts against us and certain of our customers. As a part of the settlement, we will receive a patent license from Transdata for the use of the patents in future meter production and sales.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Brazil, the Conselha Administravo de Defensa Economica commenced an investigation of water meter suppliers, including a subsidiary of the Company, to determine whether such suppliers participated in agreements or concerted practices to coordinate their commercial policy in Brazil. Although the Company is unable to determine the final amount of any fine at this time, we believe that we have made adequate provisions based on information available to us. Consequently, we do not believe that the actual fine and ultimate outcome of this matter will have a material adverse effect on our operations or financial condition.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and its subsidiaries are parties to various employment-related proceedings in jurisdictions where it does business. None of the proceedings are individually material to Itron, and we believe that we have made adequate provision such that the ultimate disposition of the proceedings will not materially affect Itron's business or financial condition.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54,512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36,548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2,404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1,800</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(7,390)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(2,773)</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(1,955)</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50,742</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37,065</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32,244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22,256</w:t>
            </w:r>
          </w:p>
        </w:tc>
      </w:tr>
      <w:tr>
        <w:trPr>
          <w:trHeight w:val="244"/>
        </w:trPr>
        <w:tc>
          <w:tcPr>
            <w:tcW w:w="790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18,498</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14,809</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was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8"/>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3,438</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5,245</w:t>
            </w:r>
          </w:p>
        </w:tc>
      </w:tr>
      <w:tr>
        <w:trPr>
          <w:trHeight w:val="33"/>
        </w:trPr>
        <w:tc>
          <w:tcPr>
            <w:tcW w:w="7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33,654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34,138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605</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33,498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33,900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3,750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2,971</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29,748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30,929</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8"/>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6,774</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6,513</w:t>
            </w:r>
          </w:p>
        </w:tc>
      </w:tr>
      <w:tr>
        <w:trPr>
          <w:trHeight w:val="33"/>
        </w:trPr>
        <w:tc>
          <w:tcPr>
            <w:tcW w:w="7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2016</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6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2,013</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2,051</w:t>
            </w:r>
          </w:p>
        </w:tc>
      </w:tr>
      <w:tr>
        <w:trPr>
          <w:trHeight w:val="33"/>
        </w:trPr>
        <w:tc>
          <w:tcPr>
            <w:tcW w:w="6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began implementing these projects in the fourth quarter of 2014, and we expect to substantially complete these projects by the fourth quarter of 2016. Certain aspects of the projects are subject to a variety of labor and employment laws, rules, and regulations, which could result in a delay in completing the projects at some locations.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total expected restructuring costs, the restructuring costs recognized in prior periods, the restructuring costs recognized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the remaining expected restructuring costs as of March 31, 2016 related to the 2014 Projects were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Costs Recognized During</w:t>
            </w:r>
          </w:p>
        </w:tc>
        <w:tc>
          <w:tcPr>
            <w:tcW w:w="140" w:type="dxa"/>
            <w:vAlign w:val="bottom"/>
          </w:tcPr>
          <w:p>
            <w:pPr>
              <w:spacing w:after="0"/>
              <w:rPr>
                <w:sz w:val="17"/>
                <w:szCs w:val="17"/>
                <w:color w:val="auto"/>
              </w:rPr>
            </w:pPr>
          </w:p>
        </w:tc>
        <w:tc>
          <w:tcPr>
            <w:tcW w:w="19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Remaining Costs to be</w:t>
            </w: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10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Costs Recognized in Prior</w:t>
            </w:r>
          </w:p>
        </w:tc>
        <w:tc>
          <w:tcPr>
            <w:tcW w:w="2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the Three Months Ended</w:t>
            </w:r>
          </w:p>
        </w:tc>
        <w:tc>
          <w:tcPr>
            <w:tcW w:w="140" w:type="dxa"/>
            <w:vAlign w:val="bottom"/>
          </w:tcPr>
          <w:p>
            <w:pPr>
              <w:spacing w:after="0"/>
              <w:rPr>
                <w:sz w:val="17"/>
                <w:szCs w:val="17"/>
                <w:color w:val="auto"/>
              </w:rPr>
            </w:pPr>
          </w:p>
        </w:tc>
        <w:tc>
          <w:tcPr>
            <w:tcW w:w="190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Recognized at March 31,</w:t>
            </w: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2016</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Periods</w:t>
            </w:r>
          </w:p>
        </w:tc>
        <w:tc>
          <w:tcPr>
            <w:tcW w:w="40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March 31, 2016</w:t>
            </w:r>
          </w:p>
        </w:tc>
        <w:tc>
          <w:tcPr>
            <w:tcW w:w="140" w:type="dxa"/>
            <w:vAlign w:val="bottom"/>
          </w:tcPr>
          <w:p>
            <w:pPr>
              <w:spacing w:after="0"/>
              <w:rPr>
                <w:sz w:val="18"/>
                <w:szCs w:val="18"/>
                <w:color w:val="auto"/>
              </w:rPr>
            </w:pPr>
          </w:p>
        </w:tc>
        <w:tc>
          <w:tcPr>
            <w:tcW w:w="19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296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06"/>
        </w:trPr>
        <w:tc>
          <w:tcPr>
            <w:tcW w:w="296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9,994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8,880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2,020</w:t>
            </w:r>
          </w:p>
        </w:tc>
      </w:tr>
      <w:tr>
        <w:trPr>
          <w:trHeight w:val="284"/>
        </w:trPr>
        <w:tc>
          <w:tcPr>
            <w:tcW w:w="29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51,439</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47,182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2,237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2,020</w:t>
            </w:r>
          </w:p>
        </w:tc>
      </w:tr>
      <w:tr>
        <w:trPr>
          <w:trHeight w:val="257"/>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1,827</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13,206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11,855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87</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12,244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11,644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91</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51,439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2,020</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2013, our management approved projects (the 2013 Projects) to restructure our operations to improve profitability and increase efficiencies. We began implementing these projects in the third quarter of 2013, and we expect to substantially complete project activities by the fourth quarter of 2016 and begin recognizing full savings in 2017. While project activities are expected to continue through September 2016, no further costs are expected to be recognized.</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2013 Projects resulted in approximately $26.2 million of restructuring expense, which was recognized from the third quarter of 2013 through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2014 and 2013 Projects during the three months ended March 31, 2016: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Asset Impairments &amp;</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Loss on Sale or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Accrued Costs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11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29,581</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2,237</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(5,511)</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(1,114)</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44"/>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 March 31,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22,589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2,866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25,455</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current portions of the restructuring related liability balances were $21.6 million and $25.2 million as of March 31, 2016 and December 31, 2015. The current portion of the liability is classified within other current liabilities on the Consolidated Balance Sheets. The long-term portions of the restructuring related liability balances were $3.9 million and $4.4 million as of March 31, 2016 and December 31, 2015. The long-term portion of the restructuring liability is classified within other long-term obligations on the Consolidated Balance Sheets, and includes facility exit costs and severance accruals.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March 31, 2016 and December 31, 2015.</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before-tax amount, income tax (provision) benefit, and net-of-tax amount related to each component of other comprehensive income (loss)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(60,773)</w:t>
            </w: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(4,513)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Pension benefit obligation adjustment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511</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5,776</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(60,447)</w:t>
            </w:r>
          </w:p>
        </w:tc>
      </w:tr>
      <w:tr>
        <w:trPr>
          <w:trHeight w:val="270"/>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454</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(60,319)</w:t>
            </w: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(2,782)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Pension benefit obligation adjustment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504</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7,182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(59,929)</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accumulated other comprehensive income (loss)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Obligation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(135,060)</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(60,319)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(60,689)</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(60,319)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(59,929)</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(194,989)</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(200,607)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10,106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7,245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10,106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7,182</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(193,425)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8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081"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Details about the AOCI components reclassified to the Consolidated Statements of Operations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Amount Reclassified from AOCI</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22860</wp:posOffset>
            </wp:positionV>
            <wp:extent cx="2246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8" w:lineRule="exact"/>
        <w:rPr>
          <w:sz w:val="20"/>
          <w:szCs w:val="20"/>
          <w:color w:val="auto"/>
        </w:rPr>
      </w:pPr>
    </w:p>
    <w:p>
      <w:pPr>
        <w:jc w:val="center"/>
        <w:ind w:left="54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28575</wp:posOffset>
            </wp:positionV>
            <wp:extent cx="2246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5" w:lineRule="exact"/>
        <w:rPr>
          <w:sz w:val="20"/>
          <w:szCs w:val="20"/>
          <w:color w:val="auto"/>
        </w:rPr>
      </w:pPr>
    </w:p>
    <w:p>
      <w:pPr>
        <w:ind w:left="5620"/>
        <w:spacing w:after="0"/>
        <w:tabs>
          <w:tab w:leader="none" w:pos="744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37465</wp:posOffset>
            </wp:positionV>
            <wp:extent cx="22466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622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Affected Line Item in the Consolidated</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33020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7940" w:space="720"/>
            <w:col w:w="27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Amortization of defined benefit pension items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72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9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920" w:type="dxa"/>
            <w:vAlign w:val="bottom"/>
            <w:tcBorders>
              <w:bottom w:val="single" w:sz="8" w:color="CCEEFF"/>
            </w:tcBorders>
            <w:vMerge w:val="continue"/>
            <w:shd w:val="clear" w:color="auto" w:fill="CCEEFF"/>
          </w:tcPr>
          <w:p>
            <w:pPr>
              <w:spacing w:after="0"/>
              <w:rPr>
                <w:sz w:val="7"/>
                <w:szCs w:val="7"/>
                <w:color w:val="auto"/>
              </w:rPr>
            </w:pPr>
          </w:p>
        </w:tc>
        <w:tc>
          <w:tcPr>
            <w:tcW w:w="720" w:type="dxa"/>
            <w:vAlign w:val="bottom"/>
            <w:tcBorders>
              <w:bottom w:val="single" w:sz="8" w:color="CCEEFF"/>
            </w:tcBorders>
            <w:vMerge w:val="continue"/>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29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920" w:type="dxa"/>
            <w:vAlign w:val="bottom"/>
            <w:vMerge w:val="restart"/>
          </w:tcPr>
          <w:p>
            <w:pPr>
              <w:ind w:left="200"/>
              <w:spacing w:after="0"/>
              <w:rPr>
                <w:sz w:val="20"/>
                <w:szCs w:val="20"/>
                <w:color w:val="auto"/>
              </w:rPr>
            </w:pPr>
            <w:r>
              <w:rPr>
                <w:rFonts w:ascii="Arial" w:cs="Arial" w:eastAsia="Arial" w:hAnsi="Arial"/>
                <w:sz w:val="16"/>
                <w:szCs w:val="16"/>
                <w:color w:val="auto"/>
              </w:rPr>
              <w:t>Actuarial losses</w:t>
            </w:r>
          </w:p>
        </w:tc>
        <w:tc>
          <w:tcPr>
            <w:tcW w:w="720" w:type="dxa"/>
            <w:vAlign w:val="bottom"/>
          </w:tcPr>
          <w:p>
            <w:pPr>
              <w:spacing w:after="0"/>
              <w:rPr>
                <w:sz w:val="14"/>
                <w:szCs w:val="14"/>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(497)</w:t>
            </w:r>
          </w:p>
        </w:tc>
        <w:tc>
          <w:tcPr>
            <w:tcW w:w="2960" w:type="dxa"/>
            <w:vAlign w:val="bottom"/>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9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92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Settlement and Other</w:t>
            </w:r>
          </w:p>
        </w:tc>
        <w:tc>
          <w:tcPr>
            <w:tcW w:w="7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9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03"/>
        </w:trPr>
        <w:tc>
          <w:tcPr>
            <w:tcW w:w="4920" w:type="dxa"/>
            <w:vAlign w:val="bottom"/>
            <w:tcBorders>
              <w:bottom w:val="single" w:sz="8" w:color="CCEEFF"/>
            </w:tcBorders>
            <w:vMerge w:val="continue"/>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gridSpan w:val="2"/>
            <w:vMerge w:val="continue"/>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29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920" w:type="dxa"/>
            <w:vAlign w:val="bottom"/>
          </w:tcPr>
          <w:p>
            <w:pPr>
              <w:ind w:left="360"/>
              <w:spacing w:after="0"/>
              <w:rPr>
                <w:sz w:val="20"/>
                <w:szCs w:val="20"/>
                <w:color w:val="auto"/>
              </w:rPr>
            </w:pPr>
            <w:r>
              <w:rPr>
                <w:rFonts w:ascii="Arial" w:cs="Arial" w:eastAsia="Arial" w:hAnsi="Arial"/>
                <w:sz w:val="16"/>
                <w:szCs w:val="16"/>
                <w:color w:val="auto"/>
              </w:rPr>
              <w:t>Total, before tax</w:t>
            </w:r>
          </w:p>
        </w:tc>
        <w:tc>
          <w:tcPr>
            <w:tcW w:w="7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296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Tax benefit (provision)</w:t>
            </w:r>
          </w:p>
        </w:tc>
        <w:tc>
          <w:tcPr>
            <w:tcW w:w="7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217"/>
        </w:trPr>
        <w:tc>
          <w:tcPr>
            <w:tcW w:w="4920" w:type="dxa"/>
            <w:vAlign w:val="bottom"/>
          </w:tcPr>
          <w:p>
            <w:pPr>
              <w:ind w:left="360"/>
              <w:spacing w:after="0"/>
              <w:rPr>
                <w:sz w:val="20"/>
                <w:szCs w:val="20"/>
                <w:color w:val="auto"/>
              </w:rPr>
            </w:pPr>
            <w:r>
              <w:rPr>
                <w:rFonts w:ascii="Arial" w:cs="Arial" w:eastAsia="Arial" w:hAnsi="Arial"/>
                <w:sz w:val="16"/>
                <w:szCs w:val="16"/>
                <w:color w:val="auto"/>
              </w:rPr>
              <w:t>Total, net of tax</w:t>
            </w:r>
          </w:p>
        </w:tc>
        <w:tc>
          <w:tcPr>
            <w:tcW w:w="7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29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reclassifications for the period, net of tax</w:t>
            </w:r>
          </w:p>
        </w:tc>
        <w:tc>
          <w:tcPr>
            <w:tcW w:w="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1"/>
                <w:szCs w:val="21"/>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29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Amounts in parentheses indicate debits to the Consolidated Statements of Operations.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March 31, 2016 and December 31, 2015 do not reflect subsequent changes in the economy, interest rates, and other variables that may affect the determination of fair value. The following table presents the fair values of our financial instruments: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2016</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2015</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8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rPr>
              <w:t>Fair</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rPr>
              <w:t>Fair</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8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8"/>
              </w:rPr>
              <w:t>Value</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132,615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132,615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131,018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caps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1,423</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216,563</w:t>
            </w:r>
          </w:p>
        </w:tc>
        <w:tc>
          <w:tcPr>
            <w:tcW w:w="120" w:type="dxa"/>
            <w:vAlign w:val="bottom"/>
          </w:tcPr>
          <w:p>
            <w:pPr>
              <w:spacing w:after="0"/>
              <w:rPr>
                <w:sz w:val="19"/>
                <w:szCs w:val="19"/>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215,089</w:t>
            </w:r>
          </w:p>
        </w:tc>
        <w:tc>
          <w:tcPr>
            <w:tcW w:w="1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219,375</w:t>
            </w:r>
          </w:p>
        </w:tc>
        <w:tc>
          <w:tcPr>
            <w:tcW w:w="12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217,830</w:t>
            </w: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132,572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131,442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150,570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2,730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2,730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868</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 valued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ectPr>
          <w:pgSz w:w="11900" w:h="16838" w:orient="portrait"/>
          <w:cols w:equalWidth="0" w:num="1">
            <w:col w:w="11420"/>
          </w:cols>
          <w:pgMar w:left="240" w:top="125"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 gross profit (margin), and operating income (margin). Our operating segments have distinct products, and, therefore, intersegment revenues are minimal. Certain operating expenses are allocated to the operating segments based upon internally established allocation methodologies. Corporate operating expenses, interest income, interest expense, other income (expense), and income tax provision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Standard electricity (electromechanical and electronic) meters; advanced electricity meters and communication modules; smart electricity meters; smart electricity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Standard gas meters; advanced gas meters and communication modules; smart gas meters; smart gas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Standard water and heat meters; advanced and smart water meters and communication modules; smart heat meters; advanced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7"/>
        </w:trPr>
        <w:tc>
          <w:tcPr>
            <w:tcW w:w="7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217,295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191,840</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139,256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125,081</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141,039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129,825</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497,590</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446,746</w:t>
            </w:r>
          </w:p>
        </w:tc>
      </w:tr>
      <w:tr>
        <w:trPr>
          <w:trHeight w:val="73"/>
        </w:trPr>
        <w:tc>
          <w:tcPr>
            <w:tcW w:w="79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51"/>
        </w:trPr>
        <w:tc>
          <w:tcPr>
            <w:tcW w:w="79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64,586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54,204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48,577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44,037</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50,040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40,181</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163,203</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138,422</w:t>
            </w:r>
          </w:p>
        </w:tc>
      </w:tr>
      <w:tr>
        <w:trPr>
          <w:trHeight w:val="73"/>
        </w:trPr>
        <w:tc>
          <w:tcPr>
            <w:tcW w:w="79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51"/>
        </w:trPr>
        <w:tc>
          <w:tcPr>
            <w:tcW w:w="79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10,632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16,299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14,491</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(21,433)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(10,824)</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23,574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(4,164)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(2,613)</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10,883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months ended March 31, 2016, one customer represented 13% of total Electricity segment revenues. For the three months ended March 31, 2016, no single customer represented more than 10% of the Gas and Water operating segment revenues or total Company revenues. For the three months ended March 31, 2015, no single customer represented more than 10% of total Company or the Electricity, Gas, or Water operating segment revenues.</w:t>
      </w:r>
    </w:p>
    <w:p>
      <w:pPr>
        <w:sectPr>
          <w:pgSz w:w="11900" w:h="16838" w:orient="portrait"/>
          <w:cols w:equalWidth="0" w:num="1">
            <w:col w:w="11420"/>
          </w:cols>
          <w:pgMar w:left="240" w:top="125" w:right="239" w:bottom="1149"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Revenues by region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States and Canada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262,037</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227,438</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195,710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176,187</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39,843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43,121</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497,590</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446,746</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-711200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-368300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180" w:space="720"/>
            <w:col w:w="3520"/>
          </w:cols>
          <w:pgMar w:left="240" w:top="125" w:right="239" w:bottom="1149" w:gutter="0" w:footer="0" w:header="0"/>
          <w:type w:val="continuous"/>
        </w:sect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Other region includes our operations in Latin America and Asia Pacific.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9,149</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4,921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5,341</w:t>
            </w:r>
          </w:p>
        </w:tc>
      </w:tr>
      <w:tr>
        <w:trPr>
          <w:trHeight w:val="47"/>
        </w:trPr>
        <w:tc>
          <w:tcPr>
            <w:tcW w:w="7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16,674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19,355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49"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149"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2015, filed with the Securities and Exchange Commission (SEC) on June 30,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Our operations involve risks and uncertainties which could materially affect our results of operations and whether the forward looking statements ultimately prove to be correct. These risks and uncertainties include 1) the rate and timing of customer demand for our products, 2) failure to meet performance or delivery milestones in customer contracts, 3) changes in estimated liabilities for product warranties and/or litigation, 4) changes in foreign currency exchange rates and interest rates, 5) rescheduling or cancellations of current customer orders and commitments, 6) our dependence on customers' acceptance of new products and their performance, 7) competition, 8) changes in domestic and international laws and regulations, 9) international business risks, 10) our own and our customers' or suppliers' access to and cost of capital, 11) future business combinations, and 12) other factors. </w:t>
      </w:r>
      <w:r>
        <w:rPr>
          <w:rFonts w:ascii="Arial" w:cs="Arial" w:eastAsia="Arial" w:hAnsi="Arial"/>
          <w:sz w:val="17"/>
          <w:szCs w:val="17"/>
          <w:i w:val="1"/>
          <w:iCs w:val="1"/>
          <w:color w:val="000000"/>
        </w:rPr>
        <w:t>For a more complete description of</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these and other risks, refer to Item 1A: “Risk Factors” included in our Annual Report on Form 10-K for the fiscal year ended December 31, 2015, which was filed with the SEC on June 30, 2016 and our other reports on file with the SEC. We do not have any obligation to update or revise any forward looking statement in this document.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discussions of the operating results below, we sometimes refer to the impact of foreign currency exchange rate fluctuations, which are references to the differences between the foreign currency exchange rates we use to convert operating results from local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currencies into U.S. dollars for reporting purposes. We also use the term </w:t>
      </w:r>
      <w:r>
        <w:rPr>
          <w:rFonts w:ascii="Arial" w:cs="Arial" w:eastAsia="Arial" w:hAnsi="Arial"/>
          <w:sz w:val="16"/>
          <w:szCs w:val="16"/>
          <w:color w:val="222222"/>
        </w:rPr>
        <w:t>“</w:t>
      </w:r>
      <w:r>
        <w:rPr>
          <w:rFonts w:ascii="Arial" w:cs="Arial" w:eastAsia="Arial" w:hAnsi="Arial"/>
          <w:sz w:val="16"/>
          <w:szCs w:val="16"/>
          <w:color w:val="auto"/>
        </w:rPr>
        <w:t>constant currency,</w:t>
      </w:r>
      <w:r>
        <w:rPr>
          <w:rFonts w:ascii="Arial" w:cs="Arial" w:eastAsia="Arial" w:hAnsi="Arial"/>
          <w:sz w:val="16"/>
          <w:szCs w:val="16"/>
          <w:color w:val="222222"/>
        </w:rPr>
        <w:t>”</w:t>
      </w:r>
      <w:r>
        <w:rPr>
          <w:rFonts w:ascii="Arial" w:cs="Arial" w:eastAsia="Arial" w:hAnsi="Arial"/>
          <w:sz w:val="16"/>
          <w:szCs w:val="16"/>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provides useful supplementary information to investors in light of fluctuations in foreign currency exchange rates.</w:t>
      </w:r>
    </w:p>
    <w:p>
      <w:pPr>
        <w:spacing w:after="0" w:line="15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Refer to the </w:t>
      </w:r>
      <w:r>
        <w:rPr>
          <w:rFonts w:ascii="Arial" w:cs="Arial" w:eastAsia="Arial" w:hAnsi="Arial"/>
          <w:sz w:val="17"/>
          <w:szCs w:val="17"/>
          <w:i w:val="1"/>
          <w:iCs w:val="1"/>
          <w:color w:val="auto"/>
        </w:rPr>
        <w:t>Non-GAAP Measures</w:t>
      </w:r>
      <w:r>
        <w:rPr>
          <w:rFonts w:ascii="Arial" w:cs="Arial" w:eastAsia="Arial" w:hAnsi="Arial"/>
          <w:sz w:val="17"/>
          <w:szCs w:val="17"/>
          <w:color w:val="auto"/>
        </w:rPr>
        <w:t xml:space="preserve"> section below on pages 40-42 for the detailed reconciliation of items that impacted free cash flow, non-GAAP operating expense, non-GAAP operating income, non-GAAP net income, adjusted EBITDA, and non-GAAP diluted EPS in the presented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 and Unit Shipments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highlights and significant developments for the three months ended March 31, 2016:</w:t>
      </w:r>
    </w:p>
    <w:p>
      <w:pPr>
        <w:spacing w:after="0" w:line="225"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 xml:space="preserve">Revenues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2016</w:t>
      </w:r>
      <w:r>
        <w:rPr>
          <w:rFonts w:ascii="Arial" w:cs="Arial" w:eastAsia="Arial" w:hAnsi="Arial"/>
          <w:sz w:val="18"/>
          <w:szCs w:val="18"/>
          <w:color w:val="222222"/>
        </w:rPr>
        <w:t xml:space="preserve"> were </w:t>
      </w:r>
      <w:r>
        <w:rPr>
          <w:rFonts w:ascii="Arial" w:cs="Arial" w:eastAsia="Arial" w:hAnsi="Arial"/>
          <w:sz w:val="18"/>
          <w:szCs w:val="18"/>
          <w:color w:val="000000"/>
        </w:rPr>
        <w:t>$497.6 million</w:t>
      </w:r>
      <w:r>
        <w:rPr>
          <w:rFonts w:ascii="Arial" w:cs="Arial" w:eastAsia="Arial" w:hAnsi="Arial"/>
          <w:sz w:val="18"/>
          <w:szCs w:val="18"/>
          <w:color w:val="222222"/>
        </w:rPr>
        <w:t xml:space="preserve"> compared with </w:t>
      </w:r>
      <w:r>
        <w:rPr>
          <w:rFonts w:ascii="Arial" w:cs="Arial" w:eastAsia="Arial" w:hAnsi="Arial"/>
          <w:sz w:val="18"/>
          <w:szCs w:val="18"/>
          <w:color w:val="000000"/>
        </w:rPr>
        <w:t>$446.7 million</w:t>
      </w:r>
      <w:r>
        <w:rPr>
          <w:rFonts w:ascii="Arial" w:cs="Arial" w:eastAsia="Arial" w:hAnsi="Arial"/>
          <w:sz w:val="18"/>
          <w:szCs w:val="18"/>
          <w:color w:val="222222"/>
        </w:rPr>
        <w:t xml:space="preserve"> in the same period last year, an increase of $50.8 million, or 11%. All operating segments experienced improved revenue in the first quarter of 2016.</w:t>
      </w:r>
    </w:p>
    <w:p>
      <w:pPr>
        <w:spacing w:after="0" w:line="170" w:lineRule="exact"/>
        <w:rPr>
          <w:rFonts w:ascii="Arial" w:cs="Arial" w:eastAsia="Arial" w:hAnsi="Arial"/>
          <w:sz w:val="18"/>
          <w:szCs w:val="18"/>
          <w:color w:val="222222"/>
        </w:rPr>
      </w:pPr>
    </w:p>
    <w:p>
      <w:pPr>
        <w:ind w:left="660" w:hanging="328"/>
        <w:spacing w:after="0" w:line="277" w:lineRule="auto"/>
        <w:tabs>
          <w:tab w:leader="none" w:pos="66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2016</w:t>
      </w:r>
      <w:r>
        <w:rPr>
          <w:rFonts w:ascii="Arial" w:cs="Arial" w:eastAsia="Arial" w:hAnsi="Arial"/>
          <w:sz w:val="18"/>
          <w:szCs w:val="18"/>
          <w:color w:val="222222"/>
        </w:rPr>
        <w:t xml:space="preserve"> was </w:t>
      </w:r>
      <w:r>
        <w:rPr>
          <w:rFonts w:ascii="Arial" w:cs="Arial" w:eastAsia="Arial" w:hAnsi="Arial"/>
          <w:sz w:val="18"/>
          <w:szCs w:val="18"/>
          <w:color w:val="000000"/>
        </w:rPr>
        <w:t>32.8%</w:t>
      </w:r>
      <w:r>
        <w:rPr>
          <w:rFonts w:ascii="Arial" w:cs="Arial" w:eastAsia="Arial" w:hAnsi="Arial"/>
          <w:sz w:val="18"/>
          <w:szCs w:val="18"/>
          <w:color w:val="222222"/>
        </w:rPr>
        <w:t xml:space="preserve">, compared with </w:t>
      </w:r>
      <w:r>
        <w:rPr>
          <w:rFonts w:ascii="Arial" w:cs="Arial" w:eastAsia="Arial" w:hAnsi="Arial"/>
          <w:sz w:val="18"/>
          <w:szCs w:val="18"/>
          <w:color w:val="000000"/>
        </w:rPr>
        <w:t>31.0%</w:t>
      </w:r>
      <w:r>
        <w:rPr>
          <w:rFonts w:ascii="Arial" w:cs="Arial" w:eastAsia="Arial" w:hAnsi="Arial"/>
          <w:sz w:val="18"/>
          <w:szCs w:val="18"/>
          <w:color w:val="222222"/>
        </w:rPr>
        <w:t xml:space="preserve"> in the same period last year, an increase of 180 basis points.</w:t>
      </w:r>
    </w:p>
    <w:p>
      <w:pPr>
        <w:spacing w:after="0" w:line="170" w:lineRule="exact"/>
        <w:rPr>
          <w:rFonts w:ascii="Arial" w:cs="Arial" w:eastAsia="Arial" w:hAnsi="Arial"/>
          <w:sz w:val="18"/>
          <w:szCs w:val="18"/>
          <w:color w:val="222222"/>
        </w:rPr>
      </w:pPr>
    </w:p>
    <w:p>
      <w:pPr>
        <w:ind w:left="660" w:hanging="328"/>
        <w:spacing w:after="0" w:line="277" w:lineRule="auto"/>
        <w:tabs>
          <w:tab w:leader="none" w:pos="66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 xml:space="preserve">Operating expenses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2016</w:t>
      </w:r>
      <w:r>
        <w:rPr>
          <w:rFonts w:ascii="Arial" w:cs="Arial" w:eastAsia="Arial" w:hAnsi="Arial"/>
          <w:sz w:val="18"/>
          <w:szCs w:val="18"/>
          <w:color w:val="222222"/>
        </w:rPr>
        <w:t xml:space="preserve"> were $14.7 million higher compared with the same period last year due to increased restructuring, general and administrative, and product development costs.</w:t>
      </w:r>
    </w:p>
    <w:p>
      <w:pPr>
        <w:spacing w:after="0" w:line="170" w:lineRule="exact"/>
        <w:rPr>
          <w:rFonts w:ascii="Arial" w:cs="Arial" w:eastAsia="Arial" w:hAnsi="Arial"/>
          <w:sz w:val="18"/>
          <w:szCs w:val="18"/>
          <w:color w:val="222222"/>
        </w:rPr>
      </w:pPr>
    </w:p>
    <w:p>
      <w:pPr>
        <w:ind w:left="660" w:right="20" w:hanging="328"/>
        <w:spacing w:after="0" w:line="277" w:lineRule="auto"/>
        <w:tabs>
          <w:tab w:leader="none" w:pos="66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Net income attributable to Itron, Inc. for the three months ended March 31, 2016 was $10.1 million compared with $5.4 million in the same period last year.</w:t>
      </w:r>
    </w:p>
    <w:p>
      <w:pPr>
        <w:spacing w:after="0" w:line="170" w:lineRule="exact"/>
        <w:rPr>
          <w:rFonts w:ascii="Arial" w:cs="Arial" w:eastAsia="Arial" w:hAnsi="Arial"/>
          <w:sz w:val="18"/>
          <w:szCs w:val="18"/>
          <w:color w:val="222222"/>
        </w:rPr>
      </w:pPr>
    </w:p>
    <w:p>
      <w:pPr>
        <w:ind w:left="660" w:hanging="328"/>
        <w:spacing w:after="0"/>
        <w:tabs>
          <w:tab w:leader="none" w:pos="66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 xml:space="preserve">Adjusted EBITDA for the first quarter ended </w:t>
      </w:r>
      <w:r>
        <w:rPr>
          <w:rFonts w:ascii="Arial" w:cs="Arial" w:eastAsia="Arial" w:hAnsi="Arial"/>
          <w:sz w:val="18"/>
          <w:szCs w:val="18"/>
          <w:color w:val="000000"/>
        </w:rPr>
        <w:t>March 31, 2016 improved $10.7 million or 36% compared with the same period last year.</w:t>
      </w:r>
    </w:p>
    <w:p>
      <w:pPr>
        <w:spacing w:after="0" w:line="225" w:lineRule="exact"/>
        <w:rPr>
          <w:rFonts w:ascii="Arial" w:cs="Arial" w:eastAsia="Arial" w:hAnsi="Arial"/>
          <w:sz w:val="18"/>
          <w:szCs w:val="18"/>
          <w:color w:val="222222"/>
        </w:rPr>
      </w:pPr>
    </w:p>
    <w:p>
      <w:pPr>
        <w:ind w:left="660" w:hanging="328"/>
        <w:spacing w:after="0"/>
        <w:tabs>
          <w:tab w:leader="none" w:pos="66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GAAP diluted EPS improved $0.12 to $0.26 for the first quarter of 2016 as compared to the same period last year.</w:t>
      </w:r>
    </w:p>
    <w:p>
      <w:pPr>
        <w:spacing w:after="0" w:line="225" w:lineRule="exact"/>
        <w:rPr>
          <w:rFonts w:ascii="Arial" w:cs="Arial" w:eastAsia="Arial" w:hAnsi="Arial"/>
          <w:sz w:val="18"/>
          <w:szCs w:val="18"/>
          <w:color w:val="222222"/>
        </w:rPr>
      </w:pPr>
    </w:p>
    <w:p>
      <w:pPr>
        <w:ind w:left="660" w:hanging="328"/>
        <w:spacing w:after="0"/>
        <w:tabs>
          <w:tab w:leader="none" w:pos="66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Non-GAAP diluted EPS improved $0.22 to $0.44 for the first quarter of 2016 as compared to the same period last year.</w:t>
      </w:r>
    </w:p>
    <w:p>
      <w:pPr>
        <w:spacing w:after="0" w:line="225" w:lineRule="exact"/>
        <w:rPr>
          <w:rFonts w:ascii="Arial" w:cs="Arial" w:eastAsia="Arial" w:hAnsi="Arial"/>
          <w:sz w:val="18"/>
          <w:szCs w:val="18"/>
          <w:color w:val="222222"/>
        </w:rPr>
      </w:pPr>
    </w:p>
    <w:p>
      <w:pPr>
        <w:ind w:left="660" w:hanging="328"/>
        <w:spacing w:after="0"/>
        <w:tabs>
          <w:tab w:leader="none" w:pos="66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 xml:space="preserve">Total backlog was $1.5 billion and twelve-month backlog was $785 million at </w:t>
      </w:r>
      <w:r>
        <w:rPr>
          <w:rFonts w:ascii="Arial" w:cs="Arial" w:eastAsia="Arial" w:hAnsi="Arial"/>
          <w:sz w:val="18"/>
          <w:szCs w:val="18"/>
          <w:color w:val="000000"/>
        </w:rPr>
        <w:t>March 31, 2016</w:t>
      </w:r>
      <w:r>
        <w:rPr>
          <w:rFonts w:ascii="Arial" w:cs="Arial" w:eastAsia="Arial" w:hAnsi="Arial"/>
          <w:sz w:val="18"/>
          <w:szCs w:val="18"/>
          <w:color w:val="222222"/>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22222"/>
        </w:rPr>
        <w:t>The following table summarizes the changes in GAAP and Non-GAAP financial measures: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6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93"/>
              </w:rPr>
              <w:t>Three Months Ended March 31,</w:t>
            </w:r>
          </w:p>
        </w:tc>
        <w:tc>
          <w:tcPr>
            <w:tcW w:w="14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20"/>
                <w:szCs w:val="20"/>
                <w:color w:val="auto"/>
              </w:rPr>
            </w:pPr>
          </w:p>
        </w:tc>
        <w:tc>
          <w:tcPr>
            <w:tcW w:w="1100" w:type="dxa"/>
            <w:vAlign w:val="bottom"/>
          </w:tcPr>
          <w:p>
            <w:pPr>
              <w:jc w:val="center"/>
              <w:ind w:left="659"/>
              <w:spacing w:after="0"/>
              <w:rPr>
                <w:sz w:val="20"/>
                <w:szCs w:val="20"/>
                <w:color w:val="auto"/>
              </w:rPr>
            </w:pPr>
            <w:r>
              <w:rPr>
                <w:rFonts w:ascii="Arial" w:cs="Arial" w:eastAsia="Arial" w:hAnsi="Arial"/>
                <w:sz w:val="16"/>
                <w:szCs w:val="16"/>
                <w:b w:val="1"/>
                <w:bCs w:val="1"/>
                <w:color w:val="auto"/>
                <w:w w:val="89"/>
              </w:rPr>
              <w:t>2015</w:t>
            </w:r>
          </w:p>
        </w:tc>
        <w:tc>
          <w:tcPr>
            <w:tcW w:w="1100" w:type="dxa"/>
            <w:vAlign w:val="bottom"/>
          </w:tcPr>
          <w:p>
            <w:pPr>
              <w:spacing w:after="0"/>
              <w:rPr>
                <w:sz w:val="20"/>
                <w:szCs w:val="20"/>
                <w:color w:val="auto"/>
              </w:rPr>
            </w:pPr>
          </w:p>
        </w:tc>
        <w:tc>
          <w:tcPr>
            <w:tcW w:w="1400" w:type="dxa"/>
            <w:vAlign w:val="bottom"/>
          </w:tcPr>
          <w:p>
            <w:pPr>
              <w:ind w:left="1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400" w:type="dxa"/>
            <w:vAlign w:val="bottom"/>
            <w:tcBorders>
              <w:bottom w:val="single" w:sz="8" w:color="auto"/>
            </w:tcBorders>
            <w:gridSpan w:val="5"/>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(in thousands, except margin and per share data)</w:t>
            </w:r>
          </w:p>
        </w:tc>
      </w:tr>
      <w:tr>
        <w:trPr>
          <w:trHeight w:val="222"/>
        </w:trPr>
        <w:tc>
          <w:tcPr>
            <w:tcW w:w="602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w:t>
            </w: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497,590</w:t>
            </w:r>
          </w:p>
        </w:tc>
        <w:tc>
          <w:tcPr>
            <w:tcW w:w="11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w w:val="86"/>
              </w:rPr>
              <w:t>446,746</w:t>
            </w:r>
          </w:p>
        </w:tc>
        <w:tc>
          <w:tcPr>
            <w:tcW w:w="140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3"/>
              </w:rPr>
              <w:t>11%</w:t>
            </w:r>
          </w:p>
        </w:tc>
      </w:tr>
      <w:tr>
        <w:trPr>
          <w:trHeight w:val="237"/>
        </w:trPr>
        <w:tc>
          <w:tcPr>
            <w:tcW w:w="6020" w:type="dxa"/>
            <w:vAlign w:val="bottom"/>
            <w:gridSpan w:val="6"/>
          </w:tcPr>
          <w:p>
            <w:pPr>
              <w:ind w:left="40"/>
              <w:spacing w:after="0"/>
              <w:rPr>
                <w:sz w:val="20"/>
                <w:szCs w:val="20"/>
                <w:color w:val="auto"/>
              </w:rPr>
            </w:pPr>
            <w:r>
              <w:rPr>
                <w:rFonts w:ascii="Arial" w:cs="Arial" w:eastAsia="Arial" w:hAnsi="Arial"/>
                <w:sz w:val="16"/>
                <w:szCs w:val="16"/>
                <w:color w:val="auto"/>
              </w:rPr>
              <w:t>Gross profit</w:t>
            </w:r>
          </w:p>
        </w:tc>
        <w:tc>
          <w:tcPr>
            <w:tcW w:w="1040" w:type="dxa"/>
            <w:vAlign w:val="bottom"/>
          </w:tcPr>
          <w:p>
            <w:pPr>
              <w:spacing w:after="0"/>
              <w:rPr>
                <w:sz w:val="20"/>
                <w:szCs w:val="20"/>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163,203</w:t>
            </w:r>
          </w:p>
        </w:tc>
        <w:tc>
          <w:tcPr>
            <w:tcW w:w="1100" w:type="dxa"/>
            <w:vAlign w:val="bottom"/>
          </w:tcPr>
          <w:p>
            <w:pPr>
              <w:spacing w:after="0"/>
              <w:rPr>
                <w:sz w:val="20"/>
                <w:szCs w:val="20"/>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color w:val="auto"/>
                <w:w w:val="86"/>
              </w:rPr>
              <w:t>138,422</w:t>
            </w:r>
          </w:p>
        </w:tc>
        <w:tc>
          <w:tcPr>
            <w:tcW w:w="1400" w:type="dxa"/>
            <w:vAlign w:val="bottom"/>
          </w:tcPr>
          <w:p>
            <w:pPr>
              <w:jc w:val="center"/>
              <w:ind w:right="219"/>
              <w:spacing w:after="0"/>
              <w:rPr>
                <w:sz w:val="20"/>
                <w:szCs w:val="20"/>
                <w:color w:val="auto"/>
              </w:rPr>
            </w:pPr>
            <w:r>
              <w:rPr>
                <w:rFonts w:ascii="Arial" w:cs="Arial" w:eastAsia="Arial" w:hAnsi="Arial"/>
                <w:sz w:val="16"/>
                <w:szCs w:val="16"/>
                <w:color w:val="auto"/>
                <w:w w:val="93"/>
              </w:rPr>
              <w:t>18%</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139,629</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w w:val="86"/>
              </w:rPr>
              <w:t>124,926</w:t>
            </w:r>
          </w:p>
        </w:tc>
        <w:tc>
          <w:tcPr>
            <w:tcW w:w="140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3"/>
              </w:rPr>
              <w:t>12%</w:t>
            </w:r>
          </w:p>
        </w:tc>
      </w:tr>
      <w:tr>
        <w:trPr>
          <w:trHeight w:val="237"/>
        </w:trPr>
        <w:tc>
          <w:tcPr>
            <w:tcW w:w="6020" w:type="dxa"/>
            <w:vAlign w:val="bottom"/>
            <w:gridSpan w:val="6"/>
          </w:tcPr>
          <w:p>
            <w:pPr>
              <w:ind w:left="40"/>
              <w:spacing w:after="0"/>
              <w:rPr>
                <w:sz w:val="20"/>
                <w:szCs w:val="20"/>
                <w:color w:val="auto"/>
              </w:rPr>
            </w:pPr>
            <w:r>
              <w:rPr>
                <w:rFonts w:ascii="Arial" w:cs="Arial" w:eastAsia="Arial" w:hAnsi="Arial"/>
                <w:sz w:val="16"/>
                <w:szCs w:val="16"/>
                <w:color w:val="auto"/>
              </w:rPr>
              <w:t>Operating income</w:t>
            </w:r>
          </w:p>
        </w:tc>
        <w:tc>
          <w:tcPr>
            <w:tcW w:w="1040" w:type="dxa"/>
            <w:vAlign w:val="bottom"/>
          </w:tcPr>
          <w:p>
            <w:pPr>
              <w:spacing w:after="0"/>
              <w:rPr>
                <w:sz w:val="20"/>
                <w:szCs w:val="20"/>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23,574</w:t>
            </w:r>
          </w:p>
        </w:tc>
        <w:tc>
          <w:tcPr>
            <w:tcW w:w="1100" w:type="dxa"/>
            <w:vAlign w:val="bottom"/>
          </w:tcPr>
          <w:p>
            <w:pPr>
              <w:spacing w:after="0"/>
              <w:rPr>
                <w:sz w:val="20"/>
                <w:szCs w:val="20"/>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color w:val="auto"/>
              </w:rPr>
              <w:t>13,496</w:t>
            </w:r>
          </w:p>
        </w:tc>
        <w:tc>
          <w:tcPr>
            <w:tcW w:w="1400" w:type="dxa"/>
            <w:vAlign w:val="bottom"/>
          </w:tcPr>
          <w:p>
            <w:pPr>
              <w:jc w:val="center"/>
              <w:ind w:right="219"/>
              <w:spacing w:after="0"/>
              <w:rPr>
                <w:sz w:val="20"/>
                <w:szCs w:val="20"/>
                <w:color w:val="auto"/>
              </w:rPr>
            </w:pPr>
            <w:r>
              <w:rPr>
                <w:rFonts w:ascii="Arial" w:cs="Arial" w:eastAsia="Arial" w:hAnsi="Arial"/>
                <w:sz w:val="16"/>
                <w:szCs w:val="16"/>
                <w:color w:val="auto"/>
                <w:w w:val="93"/>
              </w:rPr>
              <w:t>75%</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(4,164)</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(2,613)</w:t>
            </w:r>
          </w:p>
        </w:tc>
        <w:tc>
          <w:tcPr>
            <w:tcW w:w="140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3"/>
              </w:rPr>
              <w:t>59%</w:t>
            </w:r>
          </w:p>
        </w:tc>
      </w:tr>
      <w:tr>
        <w:trPr>
          <w:trHeight w:val="237"/>
        </w:trPr>
        <w:tc>
          <w:tcPr>
            <w:tcW w:w="6020" w:type="dxa"/>
            <w:vAlign w:val="bottom"/>
            <w:gridSpan w:val="6"/>
          </w:tcPr>
          <w:p>
            <w:pPr>
              <w:ind w:left="40"/>
              <w:spacing w:after="0"/>
              <w:rPr>
                <w:sz w:val="20"/>
                <w:szCs w:val="20"/>
                <w:color w:val="auto"/>
              </w:rPr>
            </w:pPr>
            <w:r>
              <w:rPr>
                <w:rFonts w:ascii="Arial" w:cs="Arial" w:eastAsia="Arial" w:hAnsi="Arial"/>
                <w:sz w:val="16"/>
                <w:szCs w:val="16"/>
                <w:color w:val="auto"/>
              </w:rPr>
              <w:t>Income tax provision</w:t>
            </w:r>
          </w:p>
        </w:tc>
        <w:tc>
          <w:tcPr>
            <w:tcW w:w="104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(8,626)</w:t>
            </w:r>
          </w:p>
        </w:tc>
        <w:tc>
          <w:tcPr>
            <w:tcW w:w="110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color w:val="auto"/>
              </w:rPr>
              <w:t>(5,030)</w:t>
            </w:r>
          </w:p>
        </w:tc>
        <w:tc>
          <w:tcPr>
            <w:tcW w:w="1400" w:type="dxa"/>
            <w:vAlign w:val="bottom"/>
          </w:tcPr>
          <w:p>
            <w:pPr>
              <w:jc w:val="center"/>
              <w:ind w:right="219"/>
              <w:spacing w:after="0"/>
              <w:rPr>
                <w:sz w:val="20"/>
                <w:szCs w:val="20"/>
                <w:color w:val="auto"/>
              </w:rPr>
            </w:pPr>
            <w:r>
              <w:rPr>
                <w:rFonts w:ascii="Arial" w:cs="Arial" w:eastAsia="Arial" w:hAnsi="Arial"/>
                <w:sz w:val="16"/>
                <w:szCs w:val="16"/>
                <w:color w:val="auto"/>
                <w:w w:val="93"/>
              </w:rPr>
              <w:t>71%</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Net income attributable to Itron, Inc.</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10,089</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5,398</w:t>
            </w:r>
          </w:p>
        </w:tc>
        <w:tc>
          <w:tcPr>
            <w:tcW w:w="140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3"/>
              </w:rPr>
              <w:t>87%</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89"/>
        </w:trPr>
        <w:tc>
          <w:tcPr>
            <w:tcW w:w="602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1"/>
                <w:szCs w:val="21"/>
                <w:b w:val="1"/>
                <w:bCs w:val="1"/>
                <w:color w:val="auto"/>
                <w:vertAlign w:val="superscript"/>
              </w:rPr>
              <w:t>(1)</w:t>
            </w:r>
          </w:p>
        </w:tc>
        <w:tc>
          <w:tcPr>
            <w:tcW w:w="10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r>
      <w:tr>
        <w:trPr>
          <w:trHeight w:val="237"/>
        </w:trPr>
        <w:tc>
          <w:tcPr>
            <w:tcW w:w="6020" w:type="dxa"/>
            <w:vAlign w:val="bottom"/>
            <w:gridSpan w:val="6"/>
          </w:tcPr>
          <w:p>
            <w:pPr>
              <w:ind w:left="40"/>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131,179</w:t>
            </w:r>
          </w:p>
        </w:tc>
        <w:tc>
          <w:tcPr>
            <w:tcW w:w="11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99"/>
              <w:spacing w:after="0"/>
              <w:rPr>
                <w:sz w:val="20"/>
                <w:szCs w:val="20"/>
                <w:color w:val="auto"/>
              </w:rPr>
            </w:pPr>
            <w:r>
              <w:rPr>
                <w:rFonts w:ascii="Arial" w:cs="Arial" w:eastAsia="Arial" w:hAnsi="Arial"/>
                <w:sz w:val="16"/>
                <w:szCs w:val="16"/>
                <w:color w:val="auto"/>
                <w:w w:val="86"/>
              </w:rPr>
              <w:t>119,810</w:t>
            </w:r>
          </w:p>
        </w:tc>
        <w:tc>
          <w:tcPr>
            <w:tcW w:w="1400" w:type="dxa"/>
            <w:vAlign w:val="bottom"/>
          </w:tcPr>
          <w:p>
            <w:pPr>
              <w:jc w:val="center"/>
              <w:ind w:right="219"/>
              <w:spacing w:after="0"/>
              <w:rPr>
                <w:sz w:val="20"/>
                <w:szCs w:val="20"/>
                <w:color w:val="auto"/>
              </w:rPr>
            </w:pPr>
            <w:r>
              <w:rPr>
                <w:rFonts w:ascii="Arial" w:cs="Arial" w:eastAsia="Arial" w:hAnsi="Arial"/>
                <w:sz w:val="16"/>
                <w:szCs w:val="16"/>
                <w:color w:val="auto"/>
                <w:w w:val="94"/>
              </w:rPr>
              <w:t>9%</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32,024</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18,612</w:t>
            </w:r>
          </w:p>
        </w:tc>
        <w:tc>
          <w:tcPr>
            <w:tcW w:w="140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3"/>
              </w:rPr>
              <w:t>72%</w:t>
            </w:r>
          </w:p>
        </w:tc>
      </w:tr>
      <w:tr>
        <w:trPr>
          <w:trHeight w:val="237"/>
        </w:trPr>
        <w:tc>
          <w:tcPr>
            <w:tcW w:w="6020" w:type="dxa"/>
            <w:vAlign w:val="bottom"/>
            <w:gridSpan w:val="6"/>
          </w:tcPr>
          <w:p>
            <w:pPr>
              <w:ind w:left="40"/>
              <w:spacing w:after="0"/>
              <w:rPr>
                <w:sz w:val="20"/>
                <w:szCs w:val="20"/>
                <w:color w:val="auto"/>
              </w:rPr>
            </w:pPr>
            <w:r>
              <w:rPr>
                <w:rFonts w:ascii="Arial" w:cs="Arial" w:eastAsia="Arial" w:hAnsi="Arial"/>
                <w:sz w:val="16"/>
                <w:szCs w:val="16"/>
                <w:color w:val="auto"/>
              </w:rPr>
              <w:t>Net income attributable to Itron, Inc.</w:t>
            </w:r>
          </w:p>
        </w:tc>
        <w:tc>
          <w:tcPr>
            <w:tcW w:w="1040" w:type="dxa"/>
            <w:vAlign w:val="bottom"/>
          </w:tcPr>
          <w:p>
            <w:pPr>
              <w:spacing w:after="0"/>
              <w:rPr>
                <w:sz w:val="20"/>
                <w:szCs w:val="20"/>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16,831</w:t>
            </w:r>
          </w:p>
        </w:tc>
        <w:tc>
          <w:tcPr>
            <w:tcW w:w="1100" w:type="dxa"/>
            <w:vAlign w:val="bottom"/>
          </w:tcPr>
          <w:p>
            <w:pPr>
              <w:spacing w:after="0"/>
              <w:rPr>
                <w:sz w:val="20"/>
                <w:szCs w:val="20"/>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color w:val="auto"/>
              </w:rPr>
              <w:t>8,549</w:t>
            </w:r>
          </w:p>
        </w:tc>
        <w:tc>
          <w:tcPr>
            <w:tcW w:w="1400" w:type="dxa"/>
            <w:vAlign w:val="bottom"/>
          </w:tcPr>
          <w:p>
            <w:pPr>
              <w:jc w:val="center"/>
              <w:ind w:right="219"/>
              <w:spacing w:after="0"/>
              <w:rPr>
                <w:sz w:val="20"/>
                <w:szCs w:val="20"/>
                <w:color w:val="auto"/>
              </w:rPr>
            </w:pPr>
            <w:r>
              <w:rPr>
                <w:rFonts w:ascii="Arial" w:cs="Arial" w:eastAsia="Arial" w:hAnsi="Arial"/>
                <w:sz w:val="16"/>
                <w:szCs w:val="16"/>
                <w:color w:val="auto"/>
                <w:w w:val="93"/>
              </w:rPr>
              <w:t>97%</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40,276</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29,560</w:t>
            </w:r>
          </w:p>
        </w:tc>
        <w:tc>
          <w:tcPr>
            <w:tcW w:w="140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3"/>
              </w:rPr>
              <w:t>36%</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89"/>
        </w:trPr>
        <w:tc>
          <w:tcPr>
            <w:tcW w:w="6020" w:type="dxa"/>
            <w:vAlign w:val="bottom"/>
            <w:gridSpan w:val="6"/>
            <w:shd w:val="clear" w:color="auto" w:fill="CCEEFF"/>
          </w:tcPr>
          <w:p>
            <w:pPr>
              <w:ind w:left="40"/>
              <w:spacing w:after="0"/>
              <w:rPr>
                <w:sz w:val="20"/>
                <w:szCs w:val="20"/>
                <w:color w:val="auto"/>
              </w:rPr>
            </w:pPr>
            <w:r>
              <w:rPr>
                <w:rFonts w:ascii="Arial" w:cs="Arial" w:eastAsia="Arial" w:hAnsi="Arial"/>
                <w:sz w:val="16"/>
                <w:szCs w:val="16"/>
                <w:b w:val="1"/>
                <w:bCs w:val="1"/>
                <w:color w:val="auto"/>
              </w:rPr>
              <w:t>GAAP Margins and Earnings Per Share</w:t>
            </w:r>
          </w:p>
        </w:tc>
        <w:tc>
          <w:tcPr>
            <w:tcW w:w="10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3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r>
      <w:tr>
        <w:trPr>
          <w:trHeight w:val="237"/>
        </w:trPr>
        <w:tc>
          <w:tcPr>
            <w:tcW w:w="6020" w:type="dxa"/>
            <w:vAlign w:val="bottom"/>
            <w:gridSpan w:val="6"/>
          </w:tcPr>
          <w:p>
            <w:pPr>
              <w:ind w:left="40"/>
              <w:spacing w:after="0"/>
              <w:rPr>
                <w:sz w:val="20"/>
                <w:szCs w:val="20"/>
                <w:color w:val="auto"/>
              </w:rPr>
            </w:pPr>
            <w:r>
              <w:rPr>
                <w:rFonts w:ascii="Arial" w:cs="Arial" w:eastAsia="Arial" w:hAnsi="Arial"/>
                <w:sz w:val="16"/>
                <w:szCs w:val="16"/>
                <w:color w:val="auto"/>
              </w:rPr>
              <w:t>Gross margin</w:t>
            </w:r>
          </w:p>
        </w:tc>
        <w:tc>
          <w:tcPr>
            <w:tcW w:w="10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32.8%</w:t>
            </w:r>
          </w:p>
        </w:tc>
        <w:tc>
          <w:tcPr>
            <w:tcW w:w="1100" w:type="dxa"/>
            <w:vAlign w:val="bottom"/>
          </w:tcPr>
          <w:p>
            <w:pPr>
              <w:spacing w:after="0"/>
              <w:rPr>
                <w:sz w:val="20"/>
                <w:szCs w:val="20"/>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31.0%</w:t>
            </w:r>
          </w:p>
        </w:tc>
        <w:tc>
          <w:tcPr>
            <w:tcW w:w="14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3.0%</w:t>
            </w: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gridSpan w:val="6"/>
          </w:tcPr>
          <w:p>
            <w:pPr>
              <w:ind w:left="40"/>
              <w:spacing w:after="0"/>
              <w:rPr>
                <w:sz w:val="20"/>
                <w:szCs w:val="20"/>
                <w:color w:val="auto"/>
              </w:rPr>
            </w:pPr>
            <w:r>
              <w:rPr>
                <w:rFonts w:ascii="Arial" w:cs="Arial" w:eastAsia="Arial" w:hAnsi="Arial"/>
                <w:sz w:val="16"/>
                <w:szCs w:val="16"/>
                <w:color w:val="auto"/>
              </w:rPr>
              <w:t>Basic EPS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0.27</w:t>
            </w:r>
          </w:p>
        </w:tc>
        <w:tc>
          <w:tcPr>
            <w:tcW w:w="11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99"/>
              <w:spacing w:after="0"/>
              <w:rPr>
                <w:sz w:val="20"/>
                <w:szCs w:val="20"/>
                <w:color w:val="auto"/>
              </w:rPr>
            </w:pPr>
            <w:r>
              <w:rPr>
                <w:rFonts w:ascii="Arial" w:cs="Arial" w:eastAsia="Arial" w:hAnsi="Arial"/>
                <w:sz w:val="16"/>
                <w:szCs w:val="16"/>
                <w:color w:val="auto"/>
              </w:rPr>
              <w:t>0.14</w:t>
            </w:r>
          </w:p>
        </w:tc>
        <w:tc>
          <w:tcPr>
            <w:tcW w:w="14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Diluted EPS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0.26</w:t>
            </w:r>
          </w:p>
        </w:tc>
        <w:tc>
          <w:tcPr>
            <w:tcW w:w="11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0.14</w:t>
            </w:r>
          </w:p>
        </w:tc>
        <w:tc>
          <w:tcPr>
            <w:tcW w:w="140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89"/>
        </w:trPr>
        <w:tc>
          <w:tcPr>
            <w:tcW w:w="602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 Earnings Per Share</w:t>
            </w:r>
            <w:r>
              <w:rPr>
                <w:rFonts w:ascii="Arial" w:cs="Arial" w:eastAsia="Arial" w:hAnsi="Arial"/>
                <w:sz w:val="21"/>
                <w:szCs w:val="21"/>
                <w:b w:val="1"/>
                <w:bCs w:val="1"/>
                <w:color w:val="auto"/>
                <w:vertAlign w:val="superscript"/>
              </w:rPr>
              <w:t>(1)</w:t>
            </w:r>
          </w:p>
        </w:tc>
        <w:tc>
          <w:tcPr>
            <w:tcW w:w="10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r>
      <w:tr>
        <w:trPr>
          <w:trHeight w:val="237"/>
        </w:trPr>
        <w:tc>
          <w:tcPr>
            <w:tcW w:w="6020" w:type="dxa"/>
            <w:vAlign w:val="bottom"/>
            <w:gridSpan w:val="6"/>
          </w:tcPr>
          <w:p>
            <w:pPr>
              <w:ind w:left="40"/>
              <w:spacing w:after="0"/>
              <w:rPr>
                <w:sz w:val="20"/>
                <w:szCs w:val="20"/>
                <w:color w:val="auto"/>
              </w:rPr>
            </w:pPr>
            <w:r>
              <w:rPr>
                <w:rFonts w:ascii="Arial" w:cs="Arial" w:eastAsia="Arial" w:hAnsi="Arial"/>
                <w:sz w:val="16"/>
                <w:szCs w:val="16"/>
                <w:color w:val="auto"/>
              </w:rPr>
              <w:t>Diluted EPS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0.44</w:t>
            </w:r>
          </w:p>
        </w:tc>
        <w:tc>
          <w:tcPr>
            <w:tcW w:w="11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99"/>
              <w:spacing w:after="0"/>
              <w:rPr>
                <w:sz w:val="20"/>
                <w:szCs w:val="20"/>
                <w:color w:val="auto"/>
              </w:rPr>
            </w:pPr>
            <w:r>
              <w:rPr>
                <w:rFonts w:ascii="Arial" w:cs="Arial" w:eastAsia="Arial" w:hAnsi="Arial"/>
                <w:sz w:val="16"/>
                <w:szCs w:val="16"/>
                <w:color w:val="auto"/>
              </w:rPr>
              <w:t>0.22</w:t>
            </w:r>
          </w:p>
        </w:tc>
        <w:tc>
          <w:tcPr>
            <w:tcW w:w="1400" w:type="dxa"/>
            <w:vAlign w:val="bottom"/>
          </w:tcPr>
          <w:p>
            <w:pPr>
              <w:spacing w:after="0"/>
              <w:rPr>
                <w:sz w:val="20"/>
                <w:szCs w:val="20"/>
                <w:color w:val="auto"/>
              </w:rPr>
            </w:pPr>
          </w:p>
        </w:tc>
      </w:tr>
    </w:tbl>
    <w:p>
      <w:pPr>
        <w:spacing w:after="0" w:line="239" w:lineRule="exact"/>
        <w:rPr>
          <w:sz w:val="20"/>
          <w:szCs w:val="20"/>
          <w:color w:val="auto"/>
        </w:rPr>
      </w:pPr>
    </w:p>
    <w:p>
      <w:pPr>
        <w:ind w:left="340" w:right="20" w:hanging="332"/>
        <w:spacing w:after="0" w:line="21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40-42 for information about these non-GAAP measures and reconciliations to the most comparable GAAP measures.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33"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60" w:type="dxa"/>
            <w:vAlign w:val="bottom"/>
            <w:gridSpan w:val="2"/>
          </w:tcPr>
          <w:p>
            <w:pPr>
              <w:ind w:left="8600"/>
              <w:spacing w:after="0"/>
              <w:rPr>
                <w:sz w:val="20"/>
                <w:szCs w:val="20"/>
                <w:color w:val="auto"/>
              </w:rPr>
            </w:pPr>
            <w:r>
              <w:rPr>
                <w:rFonts w:ascii="Arial" w:cs="Arial" w:eastAsia="Arial" w:hAnsi="Arial"/>
                <w:sz w:val="16"/>
                <w:szCs w:val="16"/>
                <w:b w:val="1"/>
                <w:bCs w:val="1"/>
                <w:color w:val="auto"/>
                <w:w w:val="95"/>
              </w:rPr>
              <w:t>2016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w w:val="95"/>
              </w:rPr>
              <w:t>2015</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(units in thousands)</w:t>
            </w:r>
          </w:p>
        </w:tc>
        <w:tc>
          <w:tcPr>
            <w:tcW w:w="1040" w:type="dxa"/>
            <w:vAlign w:val="bottom"/>
          </w:tcPr>
          <w:p>
            <w:pPr>
              <w:spacing w:after="0"/>
              <w:rPr>
                <w:sz w:val="18"/>
                <w:szCs w:val="18"/>
                <w:color w:val="auto"/>
              </w:rPr>
            </w:pPr>
          </w:p>
        </w:tc>
      </w:tr>
      <w:tr>
        <w:trPr>
          <w:trHeight w:val="270"/>
        </w:trPr>
        <w:tc>
          <w:tcPr>
            <w:tcW w:w="896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4,740</w:t>
            </w:r>
          </w:p>
        </w:tc>
      </w:tr>
      <w:tr>
        <w:trPr>
          <w:trHeight w:val="237"/>
        </w:trPr>
        <w:tc>
          <w:tcPr>
            <w:tcW w:w="896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1,540</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6,560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6,280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50"/>
        </w:trPr>
        <w:tc>
          <w:tcPr>
            <w:tcW w:w="896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1,310</w:t>
            </w:r>
          </w:p>
        </w:tc>
      </w:tr>
      <w:tr>
        <w:trPr>
          <w:trHeight w:val="20"/>
        </w:trPr>
        <w:tc>
          <w:tcPr>
            <w:tcW w:w="79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60" w:type="dxa"/>
            <w:vAlign w:val="bottom"/>
            <w:vMerge w:val="restart"/>
          </w:tcPr>
          <w:p>
            <w:pPr>
              <w:jc w:val="right"/>
              <w:ind w:right="3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Total Change</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497,590</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446,746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66,811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50,844</w:t>
            </w: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163,203</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138,422</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(3,607)</w:t>
            </w:r>
          </w:p>
        </w:tc>
        <w:tc>
          <w:tcPr>
            <w:tcW w:w="1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28,388</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24,781</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Revenues increased </w:t>
      </w:r>
      <w:r>
        <w:rPr>
          <w:rFonts w:ascii="Arial" w:cs="Arial" w:eastAsia="Arial" w:hAnsi="Arial"/>
          <w:sz w:val="18"/>
          <w:szCs w:val="18"/>
          <w:color w:val="000000"/>
        </w:rPr>
        <w:t>$50.8 million</w:t>
      </w:r>
      <w:r>
        <w:rPr>
          <w:rFonts w:ascii="Arial" w:cs="Arial" w:eastAsia="Arial" w:hAnsi="Arial"/>
          <w:sz w:val="18"/>
          <w:szCs w:val="18"/>
          <w:color w:val="222222"/>
        </w:rPr>
        <w:t xml:space="preserve">, or 11%,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2016</w:t>
      </w:r>
      <w:r>
        <w:rPr>
          <w:rFonts w:ascii="Arial" w:cs="Arial" w:eastAsia="Arial" w:hAnsi="Arial"/>
          <w:sz w:val="18"/>
          <w:szCs w:val="18"/>
          <w:color w:val="222222"/>
        </w:rPr>
        <w:t xml:space="preserve">, compared with the same period in 2015. Revenues in the Electricity, Gas, and Water segments increased by $25.5 million, $14.2 million, and $11.2 million, respectively. Total revenue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2016</w:t>
      </w:r>
      <w:r>
        <w:rPr>
          <w:rFonts w:ascii="Arial" w:cs="Arial" w:eastAsia="Arial" w:hAnsi="Arial"/>
          <w:sz w:val="18"/>
          <w:szCs w:val="18"/>
          <w:color w:val="222222"/>
        </w:rPr>
        <w:t xml:space="preserve"> was unfavorably impacted by $16.0 million due to changes in foreign exchange rates.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 single customer accounted for more than 10% of total Company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w:t>
      </w:r>
      <w:r>
        <w:rPr>
          <w:rFonts w:ascii="Arial" w:cs="Arial" w:eastAsia="Arial" w:hAnsi="Arial"/>
          <w:sz w:val="18"/>
          <w:szCs w:val="18"/>
          <w:color w:val="222222"/>
        </w:rPr>
        <w:t>months ended</w:t>
      </w:r>
      <w:r>
        <w:rPr>
          <w:rFonts w:ascii="Arial" w:cs="Arial" w:eastAsia="Arial" w:hAnsi="Arial"/>
          <w:sz w:val="18"/>
          <w:szCs w:val="18"/>
          <w:color w:val="auto"/>
        </w:rPr>
        <w:t xml:space="preserve"> March 31, 2016 and 2015. Our 10 largest customers accounted for 29%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w:t>
      </w:r>
      <w:r>
        <w:rPr>
          <w:rFonts w:ascii="Arial" w:cs="Arial" w:eastAsia="Arial" w:hAnsi="Arial"/>
          <w:sz w:val="18"/>
          <w:szCs w:val="18"/>
          <w:color w:val="222222"/>
        </w:rPr>
        <w:t>months ended</w:t>
      </w:r>
      <w:r>
        <w:rPr>
          <w:rFonts w:ascii="Arial" w:cs="Arial" w:eastAsia="Arial" w:hAnsi="Arial"/>
          <w:sz w:val="18"/>
          <w:szCs w:val="18"/>
          <w:color w:val="auto"/>
        </w:rPr>
        <w:t xml:space="preserve"> March 31, 2016 and 21%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w:t>
      </w:r>
      <w:r>
        <w:rPr>
          <w:rFonts w:ascii="Arial" w:cs="Arial" w:eastAsia="Arial" w:hAnsi="Arial"/>
          <w:sz w:val="18"/>
          <w:szCs w:val="18"/>
          <w:color w:val="222222"/>
        </w:rPr>
        <w:t>months ended</w:t>
      </w:r>
      <w:r>
        <w:rPr>
          <w:rFonts w:ascii="Arial" w:cs="Arial" w:eastAsia="Arial" w:hAnsi="Arial"/>
          <w:sz w:val="18"/>
          <w:szCs w:val="18"/>
          <w:color w:val="auto"/>
        </w:rPr>
        <w:t xml:space="preserve"> March 31, 2015.</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first</w:t>
      </w:r>
      <w:r>
        <w:rPr>
          <w:rFonts w:ascii="Arial" w:cs="Arial" w:eastAsia="Arial" w:hAnsi="Arial"/>
          <w:sz w:val="18"/>
          <w:szCs w:val="18"/>
          <w:color w:val="222222"/>
        </w:rPr>
        <w:t xml:space="preserve"> quarter of </w:t>
      </w:r>
      <w:r>
        <w:rPr>
          <w:rFonts w:ascii="Arial" w:cs="Arial" w:eastAsia="Arial" w:hAnsi="Arial"/>
          <w:sz w:val="18"/>
          <w:szCs w:val="18"/>
          <w:color w:val="000000"/>
        </w:rPr>
        <w:t>2016</w:t>
      </w:r>
      <w:r>
        <w:rPr>
          <w:rFonts w:ascii="Arial" w:cs="Arial" w:eastAsia="Arial" w:hAnsi="Arial"/>
          <w:sz w:val="18"/>
          <w:szCs w:val="18"/>
          <w:color w:val="222222"/>
        </w:rPr>
        <w:t xml:space="preserve"> was 32.8%, compared with 31.0% for the same period in </w:t>
      </w:r>
      <w:r>
        <w:rPr>
          <w:rFonts w:ascii="Arial" w:cs="Arial" w:eastAsia="Arial" w:hAnsi="Arial"/>
          <w:sz w:val="18"/>
          <w:szCs w:val="18"/>
          <w:color w:val="000000"/>
        </w:rPr>
        <w:t>2015</w:t>
      </w:r>
      <w:r>
        <w:rPr>
          <w:rFonts w:ascii="Arial" w:cs="Arial" w:eastAsia="Arial" w:hAnsi="Arial"/>
          <w:sz w:val="18"/>
          <w:szCs w:val="18"/>
          <w:color w:val="222222"/>
        </w:rPr>
        <w:t>. The improvement in the first quarter gross margin was primarily driven by improved revenue across all segments and reduced warranty charges in our Water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operating expenses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5"/>
            <w:vMerge w:val="restart"/>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2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45,346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41,522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6,210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7,418</w:t>
            </w:r>
          </w:p>
        </w:tc>
        <w:tc>
          <w:tcPr>
            <w:tcW w:w="0" w:type="dxa"/>
            <w:vAlign w:val="bottom"/>
          </w:tcPr>
          <w:p>
            <w:pPr>
              <w:spacing w:after="0"/>
              <w:rPr>
                <w:sz w:val="1"/>
                <w:szCs w:val="1"/>
                <w:color w:val="auto"/>
              </w:rPr>
            </w:pPr>
          </w:p>
        </w:tc>
      </w:tr>
      <w:tr>
        <w:trPr>
          <w:trHeight w:val="217"/>
        </w:trPr>
        <w:tc>
          <w:tcPr>
            <w:tcW w:w="33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139,629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124,926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18,503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14,703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Operating expenses increased $14.7 million for the three months ended March 31, 2016 as compared with the same period in 2015. The increase was primarily related to an increase in restructuring expenses of $7.4 million, an increase in general and administrative expense of $5.5 million, and an increase in product development of $3.8 million. </w:t>
      </w:r>
      <w:r>
        <w:rPr>
          <w:rFonts w:ascii="Arial" w:cs="Arial" w:eastAsia="Arial" w:hAnsi="Arial"/>
          <w:sz w:val="17"/>
          <w:szCs w:val="17"/>
          <w:color w:val="222222"/>
        </w:rPr>
        <w:t>A more detailed analysis of operating expenses fluctuations is provided in</w:t>
      </w:r>
      <w:r>
        <w:rPr>
          <w:rFonts w:ascii="Arial" w:cs="Arial" w:eastAsia="Arial" w:hAnsi="Arial"/>
          <w:sz w:val="17"/>
          <w:szCs w:val="17"/>
          <w:color w:val="auto"/>
        </w:rPr>
        <w:t xml:space="preserve"> </w:t>
      </w:r>
      <w:r>
        <w:rPr>
          <w:rFonts w:ascii="Arial" w:cs="Arial" w:eastAsia="Arial" w:hAnsi="Arial"/>
          <w:sz w:val="17"/>
          <w:szCs w:val="17"/>
          <w:i w:val="1"/>
          <w:iCs w:val="1"/>
          <w:color w:val="222222"/>
        </w:rPr>
        <w:t>Operating Segment Results</w:t>
      </w:r>
      <w:r>
        <w:rPr>
          <w:rFonts w:ascii="Arial" w:cs="Arial" w:eastAsia="Arial" w:hAnsi="Arial"/>
          <w:sz w:val="17"/>
          <w:szCs w:val="17"/>
          <w:color w:val="222222"/>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6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4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465%</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(2,292)</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15%</w:t>
            </w:r>
          </w:p>
        </w:tc>
      </w:tr>
      <w:tr>
        <w:trPr>
          <w:trHeight w:val="33"/>
        </w:trPr>
        <w:tc>
          <w:tcPr>
            <w:tcW w:w="6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(29)%</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33"/>
        </w:trPr>
        <w:tc>
          <w:tcPr>
            <w:tcW w:w="6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59%</w:t>
            </w:r>
          </w:p>
        </w:tc>
      </w:tr>
      <w:tr>
        <w:trPr>
          <w:trHeight w:val="20"/>
        </w:trPr>
        <w:tc>
          <w:tcPr>
            <w:tcW w:w="6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income (expense) decreased $1.6 million for the three months ended March 31, 2016 as compared with the same period in 2015. The decrease was primarily related to the unrealized and realized foreign currency gains and losses from balances denominated in currencies other than a reporting entity's functional currency. As a result of currency movements in certain markets in which we do business, foreign currency losses, net of hedging, were $1.1 million for the three months ended March 31, 2016, compared with foreign currency gains, net of hedging, of $0.2 million in the same period in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months ended March 31, 2016, the tax rate was 44% or an income tax provision of $8.6 million compared with a tax rate of 46% or an income tax provision of $5.0 million for the same period in 2015. Our tax expense for the three months ended March 31, 2016 differed from the federal statutory rate of 35% due to the forecasted mix of earnings in domestic and international jurisdictions and losses experienced in jurisdictions with valuation allowances on deferred tax assets. Our tax expense for the three months ended March 31, 2015 differed from the federal statutory rate of 35% due to the forecasted mix of earnings in domestic and international jurisdictions, valuation allowances, and discrete tax items.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68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3"/>
              </w:rPr>
              <w:t>Three Months Ended March 31,</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60" w:type="dxa"/>
            <w:vAlign w:val="bottom"/>
          </w:tcPr>
          <w:p>
            <w:pPr>
              <w:jc w:val="center"/>
              <w:ind w:left="579"/>
              <w:spacing w:after="0"/>
              <w:rPr>
                <w:sz w:val="20"/>
                <w:szCs w:val="20"/>
                <w:color w:val="auto"/>
              </w:rPr>
            </w:pPr>
            <w:r>
              <w:rPr>
                <w:rFonts w:ascii="Arial" w:cs="Arial" w:eastAsia="Arial" w:hAnsi="Arial"/>
                <w:sz w:val="16"/>
                <w:szCs w:val="16"/>
                <w:b w:val="1"/>
                <w:bCs w:val="1"/>
                <w:color w:val="auto"/>
                <w:w w:val="89"/>
              </w:rPr>
              <w:t>2016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center"/>
              <w:ind w:right="41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95"/>
              </w:rPr>
              <w:t>% Change</w:t>
            </w: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Segment Revenues</w:t>
            </w:r>
          </w:p>
        </w:tc>
        <w:tc>
          <w:tcPr>
            <w:tcW w:w="1060" w:type="dxa"/>
            <w:vAlign w:val="bottom"/>
          </w:tcPr>
          <w:p>
            <w:pPr>
              <w:spacing w:after="0"/>
              <w:rPr>
                <w:sz w:val="20"/>
                <w:szCs w:val="20"/>
                <w:color w:val="auto"/>
              </w:rPr>
            </w:pPr>
          </w:p>
        </w:tc>
        <w:tc>
          <w:tcPr>
            <w:tcW w:w="1280" w:type="dxa"/>
            <w:vAlign w:val="bottom"/>
            <w:gridSpan w:val="4"/>
          </w:tcPr>
          <w:p>
            <w:pPr>
              <w:jc w:val="center"/>
              <w:ind w:left="119"/>
              <w:spacing w:after="0"/>
              <w:rPr>
                <w:sz w:val="20"/>
                <w:szCs w:val="20"/>
                <w:color w:val="auto"/>
              </w:rPr>
            </w:pPr>
            <w:r>
              <w:rPr>
                <w:rFonts w:ascii="Arial" w:cs="Arial" w:eastAsia="Arial" w:hAnsi="Arial"/>
                <w:sz w:val="16"/>
                <w:szCs w:val="16"/>
                <w:b w:val="1"/>
                <w:bCs w:val="1"/>
                <w:color w:val="auto"/>
                <w:w w:val="90"/>
              </w:rPr>
              <w:t>(in thousands)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217,295</w:t>
            </w:r>
          </w:p>
        </w:tc>
        <w:tc>
          <w:tcPr>
            <w:tcW w:w="720" w:type="dxa"/>
            <w:vAlign w:val="bottom"/>
            <w:tcBorders>
              <w:bottom w:val="single" w:sz="8" w:color="CCEEFF"/>
            </w:tcBorders>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ind w:right="159"/>
              <w:spacing w:after="0"/>
              <w:rPr>
                <w:sz w:val="20"/>
                <w:szCs w:val="20"/>
                <w:color w:val="auto"/>
              </w:rPr>
            </w:pPr>
            <w:r>
              <w:rPr>
                <w:rFonts w:ascii="Arial" w:cs="Arial" w:eastAsia="Arial" w:hAnsi="Arial"/>
                <w:sz w:val="16"/>
                <w:szCs w:val="16"/>
                <w:color w:val="auto"/>
                <w:w w:val="93"/>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139,256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125,081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141,039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ind w:right="159"/>
              <w:spacing w:after="0"/>
              <w:rPr>
                <w:sz w:val="20"/>
                <w:szCs w:val="20"/>
                <w:color w:val="auto"/>
              </w:rPr>
            </w:pPr>
            <w:r>
              <w:rPr>
                <w:rFonts w:ascii="Arial" w:cs="Arial" w:eastAsia="Arial" w:hAnsi="Arial"/>
                <w:sz w:val="16"/>
                <w:szCs w:val="16"/>
                <w:color w:val="auto"/>
                <w:w w:val="94"/>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r>
      <w:tr>
        <w:trPr>
          <w:trHeight w:val="244"/>
        </w:trPr>
        <w:tc>
          <w:tcPr>
            <w:tcW w:w="4240" w:type="dxa"/>
            <w:vAlign w:val="bottom"/>
          </w:tcPr>
          <w:p>
            <w:pPr>
              <w:ind w:left="880"/>
              <w:spacing w:after="0"/>
              <w:rPr>
                <w:sz w:val="20"/>
                <w:szCs w:val="20"/>
                <w:color w:val="auto"/>
              </w:rPr>
            </w:pPr>
            <w:r>
              <w:rPr>
                <w:rFonts w:ascii="Arial" w:cs="Arial" w:eastAsia="Arial" w:hAnsi="Arial"/>
                <w:sz w:val="16"/>
                <w:szCs w:val="16"/>
                <w:color w:val="auto"/>
              </w:rPr>
              <w:t>Total revenues</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497,590</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446,746</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3"/>
              </w:rPr>
              <w:t>11%</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6"/>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94"/>
        </w:trPr>
        <w:tc>
          <w:tcPr>
            <w:tcW w:w="4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6"/>
          </w:tcPr>
          <w:p>
            <w:pPr>
              <w:jc w:val="right"/>
              <w:ind w:right="1080"/>
              <w:spacing w:after="0"/>
              <w:rPr>
                <w:sz w:val="20"/>
                <w:szCs w:val="20"/>
                <w:color w:val="auto"/>
              </w:rPr>
            </w:pPr>
            <w:r>
              <w:rPr>
                <w:rFonts w:ascii="Arial" w:cs="Arial" w:eastAsia="Arial" w:hAnsi="Arial"/>
                <w:sz w:val="16"/>
                <w:szCs w:val="16"/>
                <w:b w:val="1"/>
                <w:bCs w:val="1"/>
                <w:color w:val="auto"/>
                <w:w w:val="99"/>
              </w:rPr>
              <w:t>Three Months Ended March 31,</w:t>
            </w:r>
          </w:p>
        </w:tc>
        <w:tc>
          <w:tcPr>
            <w:tcW w:w="138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w w:val="89"/>
              </w:rPr>
              <w:t>2016</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13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3"/>
        </w:trPr>
        <w:tc>
          <w:tcPr>
            <w:tcW w:w="4240" w:type="dxa"/>
            <w:vAlign w:val="bottom"/>
          </w:tcPr>
          <w:p>
            <w:pPr>
              <w:spacing w:after="0"/>
              <w:rPr>
                <w:sz w:val="18"/>
                <w:szCs w:val="18"/>
                <w:color w:val="auto"/>
              </w:rPr>
            </w:pPr>
          </w:p>
        </w:tc>
        <w:tc>
          <w:tcPr>
            <w:tcW w:w="1060" w:type="dxa"/>
            <w:vAlign w:val="bottom"/>
          </w:tcPr>
          <w:p>
            <w:pPr>
              <w:jc w:val="center"/>
              <w:ind w:left="579"/>
              <w:spacing w:after="0"/>
              <w:rPr>
                <w:sz w:val="20"/>
                <w:szCs w:val="20"/>
                <w:color w:val="auto"/>
              </w:rPr>
            </w:pPr>
            <w:r>
              <w:rPr>
                <w:rFonts w:ascii="Arial" w:cs="Arial" w:eastAsia="Arial" w:hAnsi="Arial"/>
                <w:sz w:val="16"/>
                <w:szCs w:val="16"/>
                <w:b w:val="1"/>
                <w:bCs w:val="1"/>
                <w:i w:val="1"/>
                <w:iCs w:val="1"/>
                <w:color w:val="auto"/>
                <w:w w:val="86"/>
              </w:rPr>
              <w:t>Gross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b w:val="1"/>
                <w:bCs w:val="1"/>
                <w:i w:val="1"/>
                <w:iCs w:val="1"/>
                <w:color w:val="auto"/>
                <w:w w:val="82"/>
              </w:rPr>
              <w:t>Gross</w:t>
            </w:r>
          </w:p>
        </w:tc>
        <w:tc>
          <w:tcPr>
            <w:tcW w:w="24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Arial" w:cs="Arial" w:eastAsia="Arial" w:hAnsi="Arial"/>
                <w:sz w:val="16"/>
                <w:szCs w:val="16"/>
                <w:b w:val="1"/>
                <w:bCs w:val="1"/>
                <w:i w:val="1"/>
                <w:iCs w:val="1"/>
                <w:color w:val="auto"/>
                <w:w w:val="82"/>
              </w:rPr>
              <w:t>Gross</w:t>
            </w:r>
          </w:p>
        </w:tc>
        <w:tc>
          <w:tcPr>
            <w:tcW w:w="1380" w:type="dxa"/>
            <w:vAlign w:val="bottom"/>
          </w:tcPr>
          <w:p>
            <w:pPr>
              <w:jc w:val="center"/>
              <w:ind w:right="239"/>
              <w:spacing w:after="0"/>
              <w:rPr>
                <w:sz w:val="20"/>
                <w:szCs w:val="20"/>
                <w:color w:val="auto"/>
              </w:rPr>
            </w:pPr>
            <w:r>
              <w:rPr>
                <w:rFonts w:ascii="Arial" w:cs="Arial" w:eastAsia="Arial" w:hAnsi="Arial"/>
                <w:sz w:val="16"/>
                <w:szCs w:val="16"/>
                <w:b w:val="1"/>
                <w:bCs w:val="1"/>
                <w:i w:val="1"/>
                <w:iCs w:val="1"/>
                <w:color w:val="auto"/>
                <w:w w:val="82"/>
              </w:rPr>
              <w:t>Gross</w:t>
            </w:r>
          </w:p>
        </w:tc>
      </w:tr>
      <w:tr>
        <w:trPr>
          <w:trHeight w:val="206"/>
        </w:trPr>
        <w:tc>
          <w:tcPr>
            <w:tcW w:w="4240" w:type="dxa"/>
            <w:vAlign w:val="bottom"/>
          </w:tcPr>
          <w:p>
            <w:pPr>
              <w:spacing w:after="0"/>
              <w:rPr>
                <w:sz w:val="17"/>
                <w:szCs w:val="17"/>
                <w:color w:val="auto"/>
              </w:rPr>
            </w:pPr>
          </w:p>
        </w:tc>
        <w:tc>
          <w:tcPr>
            <w:tcW w:w="1060" w:type="dxa"/>
            <w:vAlign w:val="bottom"/>
          </w:tcPr>
          <w:p>
            <w:pPr>
              <w:jc w:val="center"/>
              <w:ind w:left="579"/>
              <w:spacing w:after="0"/>
              <w:rPr>
                <w:sz w:val="20"/>
                <w:szCs w:val="20"/>
                <w:color w:val="auto"/>
              </w:rPr>
            </w:pPr>
            <w:r>
              <w:rPr>
                <w:rFonts w:ascii="Arial" w:cs="Arial" w:eastAsia="Arial" w:hAnsi="Arial"/>
                <w:sz w:val="16"/>
                <w:szCs w:val="16"/>
                <w:b w:val="1"/>
                <w:bCs w:val="1"/>
                <w:i w:val="1"/>
                <w:iCs w:val="1"/>
                <w:color w:val="auto"/>
                <w:w w:val="95"/>
              </w:rPr>
              <w:t>Profit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b w:val="1"/>
                <w:bCs w:val="1"/>
                <w:i w:val="1"/>
                <w:iCs w:val="1"/>
                <w:color w:val="auto"/>
                <w:w w:val="95"/>
              </w:rPr>
              <w:t>Margin</w:t>
            </w:r>
          </w:p>
        </w:tc>
        <w:tc>
          <w:tcPr>
            <w:tcW w:w="240" w:type="dxa"/>
            <w:vAlign w:val="bottom"/>
          </w:tcPr>
          <w:p>
            <w:pPr>
              <w:spacing w:after="0"/>
              <w:rPr>
                <w:sz w:val="17"/>
                <w:szCs w:val="17"/>
                <w:color w:val="auto"/>
              </w:rPr>
            </w:pPr>
          </w:p>
        </w:tc>
        <w:tc>
          <w:tcPr>
            <w:tcW w:w="1880" w:type="dxa"/>
            <w:vAlign w:val="bottom"/>
            <w:gridSpan w:val="3"/>
          </w:tcPr>
          <w:p>
            <w:pPr>
              <w:jc w:val="center"/>
              <w:ind w:right="660"/>
              <w:spacing w:after="0"/>
              <w:rPr>
                <w:sz w:val="20"/>
                <w:szCs w:val="20"/>
                <w:color w:val="auto"/>
              </w:rPr>
            </w:pPr>
            <w:r>
              <w:rPr>
                <w:rFonts w:ascii="Arial" w:cs="Arial" w:eastAsia="Arial" w:hAnsi="Arial"/>
                <w:sz w:val="16"/>
                <w:szCs w:val="16"/>
                <w:b w:val="1"/>
                <w:bCs w:val="1"/>
                <w:i w:val="1"/>
                <w:iCs w:val="1"/>
                <w:color w:val="auto"/>
                <w:w w:val="90"/>
              </w:rPr>
              <w:t>Profit</w:t>
            </w:r>
          </w:p>
        </w:tc>
        <w:tc>
          <w:tcPr>
            <w:tcW w:w="1380" w:type="dxa"/>
            <w:vAlign w:val="bottom"/>
          </w:tcPr>
          <w:p>
            <w:pPr>
              <w:jc w:val="center"/>
              <w:ind w:right="239"/>
              <w:spacing w:after="0"/>
              <w:rPr>
                <w:sz w:val="20"/>
                <w:szCs w:val="20"/>
                <w:color w:val="auto"/>
              </w:rPr>
            </w:pPr>
            <w:r>
              <w:rPr>
                <w:rFonts w:ascii="Arial" w:cs="Arial" w:eastAsia="Arial" w:hAnsi="Arial"/>
                <w:sz w:val="16"/>
                <w:szCs w:val="16"/>
                <w:b w:val="1"/>
                <w:bCs w:val="1"/>
                <w:i w:val="1"/>
                <w:iCs w:val="1"/>
                <w:color w:val="auto"/>
                <w:w w:val="95"/>
              </w:rPr>
              <w:t>Margin</w:t>
            </w:r>
          </w:p>
        </w:tc>
      </w:tr>
      <w:tr>
        <w:trPr>
          <w:trHeight w:val="33"/>
        </w:trPr>
        <w:tc>
          <w:tcPr>
            <w:tcW w:w="42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16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88"/>
              </w:rPr>
              <w:t>(in thousands)</w:t>
            </w:r>
          </w:p>
        </w:tc>
        <w:tc>
          <w:tcPr>
            <w:tcW w:w="13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right="419"/>
              <w:spacing w:after="0"/>
              <w:rPr>
                <w:sz w:val="20"/>
                <w:szCs w:val="20"/>
                <w:color w:val="auto"/>
              </w:rPr>
            </w:pPr>
            <w:r>
              <w:rPr>
                <w:rFonts w:ascii="Arial" w:cs="Arial" w:eastAsia="Arial" w:hAnsi="Arial"/>
                <w:sz w:val="16"/>
                <w:szCs w:val="16"/>
                <w:color w:val="auto"/>
                <w:w w:val="92"/>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2"/>
              </w:rPr>
              <w:t>28.3%</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48,577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w w:val="92"/>
              </w:rPr>
              <w:t>34.9%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44,037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center"/>
              <w:ind w:right="239"/>
              <w:spacing w:after="0"/>
              <w:rPr>
                <w:sz w:val="20"/>
                <w:szCs w:val="20"/>
                <w:color w:val="auto"/>
              </w:rPr>
            </w:pPr>
            <w:r>
              <w:rPr>
                <w:rFonts w:ascii="Arial" w:cs="Arial" w:eastAsia="Arial" w:hAnsi="Arial"/>
                <w:sz w:val="16"/>
                <w:szCs w:val="16"/>
                <w:color w:val="auto"/>
                <w:w w:val="92"/>
              </w:rPr>
              <w:t>35.2%</w:t>
            </w:r>
          </w:p>
        </w:tc>
      </w:tr>
      <w:tr>
        <w:trPr>
          <w:trHeight w:val="33"/>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ind w:right="419"/>
              <w:spacing w:after="0"/>
              <w:rPr>
                <w:sz w:val="20"/>
                <w:szCs w:val="20"/>
                <w:color w:val="auto"/>
              </w:rPr>
            </w:pPr>
            <w:r>
              <w:rPr>
                <w:rFonts w:ascii="Arial" w:cs="Arial" w:eastAsia="Arial" w:hAnsi="Arial"/>
                <w:sz w:val="16"/>
                <w:szCs w:val="16"/>
                <w:color w:val="auto"/>
                <w:w w:val="92"/>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2"/>
              </w:rPr>
              <w:t>31.0%</w:t>
            </w:r>
          </w:p>
        </w:tc>
      </w:tr>
      <w:tr>
        <w:trPr>
          <w:trHeight w:val="244"/>
        </w:trPr>
        <w:tc>
          <w:tcPr>
            <w:tcW w:w="4240" w:type="dxa"/>
            <w:vAlign w:val="bottom"/>
          </w:tcPr>
          <w:p>
            <w:pPr>
              <w:ind w:left="880"/>
              <w:spacing w:after="0"/>
              <w:rPr>
                <w:sz w:val="20"/>
                <w:szCs w:val="20"/>
                <w:color w:val="auto"/>
              </w:rPr>
            </w:pPr>
            <w:r>
              <w:rPr>
                <w:rFonts w:ascii="Arial" w:cs="Arial" w:eastAsia="Arial" w:hAnsi="Arial"/>
                <w:sz w:val="16"/>
                <w:szCs w:val="16"/>
                <w:color w:val="auto"/>
              </w:rPr>
              <w:t>Total gross profit and margin</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163,203</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w w:val="92"/>
              </w:rPr>
              <w:t>32.8%</w:t>
            </w:r>
          </w:p>
        </w:tc>
        <w:tc>
          <w:tcPr>
            <w:tcW w:w="10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138,422</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w w:val="92"/>
              </w:rPr>
              <w:t>31.0%</w:t>
            </w:r>
          </w:p>
        </w:tc>
      </w:tr>
      <w:tr>
        <w:trPr>
          <w:trHeight w:val="20"/>
        </w:trPr>
        <w:tc>
          <w:tcPr>
            <w:tcW w:w="4240" w:type="dxa"/>
            <w:vAlign w:val="bottom"/>
          </w:tcPr>
          <w:p>
            <w:pPr>
              <w:spacing w:after="0" w:line="20" w:lineRule="exact"/>
              <w:rPr>
                <w:sz w:val="1"/>
                <w:szCs w:val="1"/>
                <w:color w:val="auto"/>
              </w:rPr>
            </w:pPr>
          </w:p>
        </w:tc>
        <w:tc>
          <w:tcPr>
            <w:tcW w:w="3680" w:type="dxa"/>
            <w:vAlign w:val="bottom"/>
            <w:tcBorders>
              <w:bottom w:val="single" w:sz="8" w:color="auto"/>
            </w:tcBorders>
            <w:gridSpan w:val="7"/>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94"/>
        </w:trPr>
        <w:tc>
          <w:tcPr>
            <w:tcW w:w="4240" w:type="dxa"/>
            <w:vAlign w:val="bottom"/>
          </w:tcPr>
          <w:p>
            <w:pPr>
              <w:spacing w:after="0"/>
              <w:rPr>
                <w:sz w:val="24"/>
                <w:szCs w:val="24"/>
                <w:color w:val="auto"/>
              </w:rPr>
            </w:pPr>
          </w:p>
        </w:tc>
        <w:tc>
          <w:tcPr>
            <w:tcW w:w="368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3"/>
              </w:rPr>
              <w:t>Three Months Ended March 31,</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60" w:type="dxa"/>
            <w:vAlign w:val="bottom"/>
          </w:tcPr>
          <w:p>
            <w:pPr>
              <w:jc w:val="center"/>
              <w:ind w:left="579"/>
              <w:spacing w:after="0"/>
              <w:rPr>
                <w:sz w:val="20"/>
                <w:szCs w:val="20"/>
                <w:color w:val="auto"/>
              </w:rPr>
            </w:pPr>
            <w:r>
              <w:rPr>
                <w:rFonts w:ascii="Arial" w:cs="Arial" w:eastAsia="Arial" w:hAnsi="Arial"/>
                <w:sz w:val="16"/>
                <w:szCs w:val="16"/>
                <w:b w:val="1"/>
                <w:bCs w:val="1"/>
                <w:color w:val="auto"/>
                <w:w w:val="89"/>
              </w:rPr>
              <w:t>2016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center"/>
              <w:ind w:right="41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95"/>
              </w:rPr>
              <w:t>% Change</w:t>
            </w: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060" w:type="dxa"/>
            <w:vAlign w:val="bottom"/>
          </w:tcPr>
          <w:p>
            <w:pPr>
              <w:spacing w:after="0"/>
              <w:rPr>
                <w:sz w:val="20"/>
                <w:szCs w:val="20"/>
                <w:color w:val="auto"/>
              </w:rPr>
            </w:pPr>
          </w:p>
        </w:tc>
        <w:tc>
          <w:tcPr>
            <w:tcW w:w="1280" w:type="dxa"/>
            <w:vAlign w:val="bottom"/>
            <w:gridSpan w:val="4"/>
          </w:tcPr>
          <w:p>
            <w:pPr>
              <w:jc w:val="center"/>
              <w:ind w:left="119"/>
              <w:spacing w:after="0"/>
              <w:rPr>
                <w:sz w:val="20"/>
                <w:szCs w:val="20"/>
                <w:color w:val="auto"/>
              </w:rPr>
            </w:pPr>
            <w:r>
              <w:rPr>
                <w:rFonts w:ascii="Arial" w:cs="Arial" w:eastAsia="Arial" w:hAnsi="Arial"/>
                <w:sz w:val="16"/>
                <w:szCs w:val="16"/>
                <w:b w:val="1"/>
                <w:bCs w:val="1"/>
                <w:color w:val="auto"/>
                <w:w w:val="90"/>
              </w:rPr>
              <w:t>(in thousands)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53,954</w:t>
            </w:r>
          </w:p>
        </w:tc>
        <w:tc>
          <w:tcPr>
            <w:tcW w:w="720" w:type="dxa"/>
            <w:vAlign w:val="bottom"/>
            <w:tcBorders>
              <w:bottom w:val="single" w:sz="8" w:color="CCEEFF"/>
            </w:tcBorders>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ind w:right="159"/>
              <w:spacing w:after="0"/>
              <w:rPr>
                <w:sz w:val="20"/>
                <w:szCs w:val="20"/>
                <w:color w:val="auto"/>
              </w:rPr>
            </w:pPr>
            <w:r>
              <w:rPr>
                <w:rFonts w:ascii="Arial" w:cs="Arial" w:eastAsia="Arial" w:hAnsi="Arial"/>
                <w:sz w:val="16"/>
                <w:szCs w:val="16"/>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32,278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29,546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ind w:right="159"/>
              <w:spacing w:after="0"/>
              <w:rPr>
                <w:sz w:val="20"/>
                <w:szCs w:val="20"/>
                <w:color w:val="auto"/>
              </w:rPr>
            </w:pPr>
            <w:r>
              <w:rPr>
                <w:rFonts w:ascii="Arial" w:cs="Arial" w:eastAsia="Arial" w:hAnsi="Arial"/>
                <w:sz w:val="16"/>
                <w:szCs w:val="16"/>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21,433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10,824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3"/>
              </w:rPr>
              <w:t>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139,629</w:t>
            </w:r>
          </w:p>
        </w:tc>
        <w:tc>
          <w:tcPr>
            <w:tcW w:w="720" w:type="dxa"/>
            <w:vAlign w:val="bottom"/>
            <w:tcBorders>
              <w:bottom w:val="single" w:sz="8" w:color="auto"/>
            </w:tcBorders>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124,926</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6"/>
                <w:szCs w:val="16"/>
                <w:color w:val="auto"/>
                <w:w w:val="93"/>
              </w:rPr>
              <w:t>12%</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6"/>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94"/>
        </w:trPr>
        <w:tc>
          <w:tcPr>
            <w:tcW w:w="4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6"/>
          </w:tcPr>
          <w:p>
            <w:pPr>
              <w:jc w:val="right"/>
              <w:ind w:right="1080"/>
              <w:spacing w:after="0"/>
              <w:rPr>
                <w:sz w:val="20"/>
                <w:szCs w:val="20"/>
                <w:color w:val="auto"/>
              </w:rPr>
            </w:pPr>
            <w:r>
              <w:rPr>
                <w:rFonts w:ascii="Arial" w:cs="Arial" w:eastAsia="Arial" w:hAnsi="Arial"/>
                <w:sz w:val="16"/>
                <w:szCs w:val="16"/>
                <w:b w:val="1"/>
                <w:bCs w:val="1"/>
                <w:color w:val="auto"/>
                <w:w w:val="99"/>
              </w:rPr>
              <w:t>Three Months Ended March 31,</w:t>
            </w:r>
          </w:p>
        </w:tc>
        <w:tc>
          <w:tcPr>
            <w:tcW w:w="138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w w:val="89"/>
              </w:rPr>
              <w:t>2016</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13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3"/>
        </w:trPr>
        <w:tc>
          <w:tcPr>
            <w:tcW w:w="4240" w:type="dxa"/>
            <w:vAlign w:val="bottom"/>
          </w:tcPr>
          <w:p>
            <w:pPr>
              <w:spacing w:after="0"/>
              <w:rPr>
                <w:sz w:val="18"/>
                <w:szCs w:val="18"/>
                <w:color w:val="auto"/>
              </w:rPr>
            </w:pPr>
          </w:p>
        </w:tc>
        <w:tc>
          <w:tcPr>
            <w:tcW w:w="1620" w:type="dxa"/>
            <w:vAlign w:val="bottom"/>
            <w:gridSpan w:val="2"/>
          </w:tcPr>
          <w:p>
            <w:pPr>
              <w:jc w:val="center"/>
              <w:ind w:left="19"/>
              <w:spacing w:after="0"/>
              <w:rPr>
                <w:sz w:val="20"/>
                <w:szCs w:val="20"/>
                <w:color w:val="auto"/>
              </w:rPr>
            </w:pPr>
            <w:r>
              <w:rPr>
                <w:rFonts w:ascii="Arial" w:cs="Arial" w:eastAsia="Arial" w:hAnsi="Arial"/>
                <w:sz w:val="16"/>
                <w:szCs w:val="16"/>
                <w:b w:val="1"/>
                <w:bCs w:val="1"/>
                <w:i w:val="1"/>
                <w:iCs w:val="1"/>
                <w:color w:val="auto"/>
                <w:w w:val="89"/>
              </w:rPr>
              <w:t>Operating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b w:val="1"/>
                <w:bCs w:val="1"/>
                <w:i w:val="1"/>
                <w:iCs w:val="1"/>
                <w:color w:val="auto"/>
                <w:w w:val="87"/>
              </w:rPr>
              <w:t>Operating</w:t>
            </w:r>
          </w:p>
        </w:tc>
        <w:tc>
          <w:tcPr>
            <w:tcW w:w="240" w:type="dxa"/>
            <w:vAlign w:val="bottom"/>
          </w:tcPr>
          <w:p>
            <w:pPr>
              <w:spacing w:after="0"/>
              <w:rPr>
                <w:sz w:val="18"/>
                <w:szCs w:val="18"/>
                <w:color w:val="auto"/>
              </w:rPr>
            </w:pPr>
          </w:p>
        </w:tc>
        <w:tc>
          <w:tcPr>
            <w:tcW w:w="1880" w:type="dxa"/>
            <w:vAlign w:val="bottom"/>
            <w:gridSpan w:val="3"/>
          </w:tcPr>
          <w:p>
            <w:pPr>
              <w:jc w:val="center"/>
              <w:ind w:right="680"/>
              <w:spacing w:after="0"/>
              <w:rPr>
                <w:sz w:val="20"/>
                <w:szCs w:val="20"/>
                <w:color w:val="auto"/>
              </w:rPr>
            </w:pPr>
            <w:r>
              <w:rPr>
                <w:rFonts w:ascii="Arial" w:cs="Arial" w:eastAsia="Arial" w:hAnsi="Arial"/>
                <w:sz w:val="16"/>
                <w:szCs w:val="16"/>
                <w:b w:val="1"/>
                <w:bCs w:val="1"/>
                <w:i w:val="1"/>
                <w:iCs w:val="1"/>
                <w:color w:val="auto"/>
                <w:w w:val="89"/>
              </w:rPr>
              <w:t>Operating</w:t>
            </w:r>
          </w:p>
        </w:tc>
        <w:tc>
          <w:tcPr>
            <w:tcW w:w="1380" w:type="dxa"/>
            <w:vAlign w:val="bottom"/>
          </w:tcPr>
          <w:p>
            <w:pPr>
              <w:jc w:val="center"/>
              <w:ind w:right="239"/>
              <w:spacing w:after="0"/>
              <w:rPr>
                <w:sz w:val="20"/>
                <w:szCs w:val="20"/>
                <w:color w:val="auto"/>
              </w:rPr>
            </w:pPr>
            <w:r>
              <w:rPr>
                <w:rFonts w:ascii="Arial" w:cs="Arial" w:eastAsia="Arial" w:hAnsi="Arial"/>
                <w:sz w:val="16"/>
                <w:szCs w:val="16"/>
                <w:b w:val="1"/>
                <w:bCs w:val="1"/>
                <w:i w:val="1"/>
                <w:iCs w:val="1"/>
                <w:color w:val="auto"/>
                <w:w w:val="87"/>
              </w:rPr>
              <w:t>Operating</w:t>
            </w:r>
          </w:p>
        </w:tc>
      </w:tr>
      <w:tr>
        <w:trPr>
          <w:trHeight w:val="206"/>
        </w:trPr>
        <w:tc>
          <w:tcPr>
            <w:tcW w:w="4240" w:type="dxa"/>
            <w:vAlign w:val="bottom"/>
          </w:tcPr>
          <w:p>
            <w:pPr>
              <w:spacing w:after="0"/>
              <w:rPr>
                <w:sz w:val="17"/>
                <w:szCs w:val="17"/>
                <w:color w:val="auto"/>
              </w:rPr>
            </w:pPr>
          </w:p>
        </w:tc>
        <w:tc>
          <w:tcPr>
            <w:tcW w:w="1620" w:type="dxa"/>
            <w:vAlign w:val="bottom"/>
            <w:gridSpan w:val="2"/>
          </w:tcPr>
          <w:p>
            <w:pPr>
              <w:jc w:val="center"/>
              <w:ind w:left="19"/>
              <w:spacing w:after="0"/>
              <w:rPr>
                <w:sz w:val="20"/>
                <w:szCs w:val="20"/>
                <w:color w:val="auto"/>
              </w:rPr>
            </w:pPr>
            <w:r>
              <w:rPr>
                <w:rFonts w:ascii="Arial" w:cs="Arial" w:eastAsia="Arial" w:hAnsi="Arial"/>
                <w:sz w:val="16"/>
                <w:szCs w:val="16"/>
                <w:b w:val="1"/>
                <w:bCs w:val="1"/>
                <w:i w:val="1"/>
                <w:iCs w:val="1"/>
                <w:color w:val="auto"/>
                <w:w w:val="88"/>
              </w:rPr>
              <w:t>Income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b w:val="1"/>
                <w:bCs w:val="1"/>
                <w:i w:val="1"/>
                <w:iCs w:val="1"/>
                <w:color w:val="auto"/>
                <w:w w:val="95"/>
              </w:rPr>
              <w:t>Margin</w:t>
            </w:r>
          </w:p>
        </w:tc>
        <w:tc>
          <w:tcPr>
            <w:tcW w:w="240" w:type="dxa"/>
            <w:vAlign w:val="bottom"/>
          </w:tcPr>
          <w:p>
            <w:pPr>
              <w:spacing w:after="0"/>
              <w:rPr>
                <w:sz w:val="17"/>
                <w:szCs w:val="17"/>
                <w:color w:val="auto"/>
              </w:rPr>
            </w:pPr>
          </w:p>
        </w:tc>
        <w:tc>
          <w:tcPr>
            <w:tcW w:w="1880" w:type="dxa"/>
            <w:vAlign w:val="bottom"/>
            <w:gridSpan w:val="3"/>
          </w:tcPr>
          <w:p>
            <w:pPr>
              <w:jc w:val="center"/>
              <w:ind w:right="680"/>
              <w:spacing w:after="0"/>
              <w:rPr>
                <w:sz w:val="20"/>
                <w:szCs w:val="20"/>
                <w:color w:val="auto"/>
              </w:rPr>
            </w:pPr>
            <w:r>
              <w:rPr>
                <w:rFonts w:ascii="Arial" w:cs="Arial" w:eastAsia="Arial" w:hAnsi="Arial"/>
                <w:sz w:val="16"/>
                <w:szCs w:val="16"/>
                <w:b w:val="1"/>
                <w:bCs w:val="1"/>
                <w:i w:val="1"/>
                <w:iCs w:val="1"/>
                <w:color w:val="auto"/>
                <w:w w:val="88"/>
              </w:rPr>
              <w:t>Income (Loss)</w:t>
            </w:r>
          </w:p>
        </w:tc>
        <w:tc>
          <w:tcPr>
            <w:tcW w:w="1380" w:type="dxa"/>
            <w:vAlign w:val="bottom"/>
          </w:tcPr>
          <w:p>
            <w:pPr>
              <w:jc w:val="center"/>
              <w:ind w:right="239"/>
              <w:spacing w:after="0"/>
              <w:rPr>
                <w:sz w:val="20"/>
                <w:szCs w:val="20"/>
                <w:color w:val="auto"/>
              </w:rPr>
            </w:pPr>
            <w:r>
              <w:rPr>
                <w:rFonts w:ascii="Arial" w:cs="Arial" w:eastAsia="Arial" w:hAnsi="Arial"/>
                <w:sz w:val="16"/>
                <w:szCs w:val="16"/>
                <w:b w:val="1"/>
                <w:bCs w:val="1"/>
                <w:i w:val="1"/>
                <w:iCs w:val="1"/>
                <w:color w:val="auto"/>
                <w:w w:val="95"/>
              </w:rPr>
              <w:t>Margin</w:t>
            </w:r>
          </w:p>
        </w:tc>
      </w:tr>
      <w:tr>
        <w:trPr>
          <w:trHeight w:val="33"/>
        </w:trPr>
        <w:tc>
          <w:tcPr>
            <w:tcW w:w="42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Arial" w:cs="Arial" w:eastAsia="Arial" w:hAnsi="Arial"/>
                <w:sz w:val="16"/>
                <w:szCs w:val="16"/>
                <w:b w:val="1"/>
                <w:bCs w:val="1"/>
                <w:i w:val="1"/>
                <w:iCs w:val="1"/>
                <w:color w:val="auto"/>
                <w:w w:val="97"/>
              </w:rPr>
              <w:t>Segment Operating Income (Loss) and Operating Margin</w:t>
            </w:r>
          </w:p>
        </w:tc>
        <w:tc>
          <w:tcPr>
            <w:tcW w:w="16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88"/>
              </w:rPr>
              <w:t>(in thousands)</w:t>
            </w:r>
          </w:p>
        </w:tc>
        <w:tc>
          <w:tcPr>
            <w:tcW w:w="13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right="419"/>
              <w:spacing w:after="0"/>
              <w:rPr>
                <w:sz w:val="20"/>
                <w:szCs w:val="20"/>
                <w:color w:val="auto"/>
              </w:rPr>
            </w:pPr>
            <w:r>
              <w:rPr>
                <w:rFonts w:ascii="Arial" w:cs="Arial" w:eastAsia="Arial" w:hAnsi="Arial"/>
                <w:sz w:val="16"/>
                <w:szCs w:val="16"/>
                <w:color w:val="auto"/>
                <w:w w:val="93"/>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3"/>
              </w:rPr>
              <w:t>0.6%</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16,299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w w:val="92"/>
              </w:rPr>
              <w:t>11.7%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14,491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center"/>
              <w:ind w:right="239"/>
              <w:spacing w:after="0"/>
              <w:rPr>
                <w:sz w:val="20"/>
                <w:szCs w:val="20"/>
                <w:color w:val="auto"/>
              </w:rPr>
            </w:pPr>
            <w:r>
              <w:rPr>
                <w:rFonts w:ascii="Arial" w:cs="Arial" w:eastAsia="Arial" w:hAnsi="Arial"/>
                <w:sz w:val="16"/>
                <w:szCs w:val="16"/>
                <w:color w:val="auto"/>
                <w:w w:val="92"/>
              </w:rPr>
              <w:t>11.6%</w:t>
            </w:r>
          </w:p>
        </w:tc>
      </w:tr>
      <w:tr>
        <w:trPr>
          <w:trHeight w:val="33"/>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right="419"/>
              <w:spacing w:after="0"/>
              <w:rPr>
                <w:sz w:val="20"/>
                <w:szCs w:val="20"/>
                <w:color w:val="auto"/>
              </w:rPr>
            </w:pPr>
            <w:r>
              <w:rPr>
                <w:rFonts w:ascii="Arial" w:cs="Arial" w:eastAsia="Arial" w:hAnsi="Arial"/>
                <w:sz w:val="16"/>
                <w:szCs w:val="16"/>
                <w:color w:val="auto"/>
                <w:w w:val="92"/>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3"/>
              </w:rPr>
              <w:t>6.7%</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0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7"/>
              </w:rPr>
              <w:t>(21,433)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Total Company</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23,574</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right="419"/>
              <w:spacing w:after="0"/>
              <w:rPr>
                <w:sz w:val="20"/>
                <w:szCs w:val="20"/>
                <w:color w:val="auto"/>
              </w:rPr>
            </w:pPr>
            <w:r>
              <w:rPr>
                <w:rFonts w:ascii="Arial" w:cs="Arial" w:eastAsia="Arial" w:hAnsi="Arial"/>
                <w:sz w:val="16"/>
                <w:szCs w:val="16"/>
                <w:color w:val="auto"/>
                <w:w w:val="93"/>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3"/>
              </w:rPr>
              <w:t>3.0%</w:t>
            </w: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Electricity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60" w:type="dxa"/>
            <w:vAlign w:val="bottom"/>
            <w:vMerge w:val="restart"/>
          </w:tcPr>
          <w:p>
            <w:pPr>
              <w:jc w:val="right"/>
              <w:ind w:right="3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Total Change</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Electricity Segment</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tcPr>
          <w:p>
            <w:pPr>
              <w:ind w:left="140"/>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217,295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191,840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(7,435)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32,890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25,455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64,586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54,204</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(1,575)</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11,957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10,382</w:t>
            </w: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53,954</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53,090</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(1,553)</w:t>
            </w:r>
          </w:p>
        </w:tc>
        <w:tc>
          <w:tcPr>
            <w:tcW w:w="1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2,417</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2016 vs. Three months ended March 31,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$25.5 million, or 13%, for the three months ended March 31, 2016, compared with the same period in 2015. This increase was primarily driven by increased product and professional services revenue in North America and Europe, Middle East, and Africa (EMEA). The increase in North America was driven by favorable product mix, while EMEA increased due to higher volumes as well as higher services revenue in the region. Electricity revenues were unfavorably impacted by $7.4 million from changes in foreign currency exchange rates.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2016, one customer represented 13% of total Electricity segment revenues. No single customer accounted for more than 10% of the Electricity operating segment revenues during the three months ended March 31, 2015</w:t>
      </w:r>
      <w:r>
        <w:rPr>
          <w:rFonts w:ascii="Arial" w:cs="Arial" w:eastAsia="Arial" w:hAnsi="Arial"/>
          <w:sz w:val="18"/>
          <w:szCs w:val="18"/>
          <w:i w:val="1"/>
          <w:iCs w:val="1"/>
          <w:color w:val="auto"/>
        </w:rPr>
        <w: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2016 vs. Three months ended March 31,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29.7% for the three months ended March 31, 2016, compared with 28.3% for the same period in 2015. The 140 basis point increase over the prior year was primarily the result of an improved product mix and higher volumes.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2016 vs. Three months ended March 31,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$0.9 million, or 2%, for the three months ended March 31, 2016, compared with the same period in 2015. The increase was caused by a $3.3 million increase in restructuring due to a $2.8 million restructuring release in the first quarter of 2015. This increase was offset by slight decreases in amortization, general and administrative expenses, product development, and sales and marketing during the three months ended March 31, 2016 as compared with the same period last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changes in foreign currency exchange rates and the constant currency changes in certain Gas segment financial results were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60" w:type="dxa"/>
            <w:vAlign w:val="bottom"/>
            <w:vMerge w:val="restart"/>
          </w:tcPr>
          <w:p>
            <w:pPr>
              <w:jc w:val="right"/>
              <w:ind w:right="3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Total Change</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Gas Segment</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tcPr>
          <w:p>
            <w:pPr>
              <w:ind w:left="140"/>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139,256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125,081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16,862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14,175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48,577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44,037</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32,278</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29,546</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(573)</w:t>
            </w:r>
          </w:p>
        </w:tc>
        <w:tc>
          <w:tcPr>
            <w:tcW w:w="1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3,305</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2,732</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2016 vs. Three months ended March 31, 2015</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increased $14.2 million, or 11%, for the three months ended March 31, 2016 compared to 2015. This was due to regional strength in North America, as well as an increase in EMEA smart meter shipments.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accounted for more than 10% of the Gas operating segment revenues during the three months ended March 31, 2016 and 2015.</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2016 vs. Three months ended March 31, 2015</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Gross margin was 34.9% for the three months ended March 31, 2016, compared with 35.2% for the same period in 2015. The decrease was primarily due to an increase in sales of higher cost first-generation smart meter sales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2016 vs. Three months ended March 31, 2015</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$2.7 million, or 9%, for the three months ended March 31, 2016, compared to 2015. The increase was primarily due to a $2.6 million increase in product development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Water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60" w:type="dxa"/>
            <w:vAlign w:val="bottom"/>
            <w:vMerge w:val="restart"/>
          </w:tcPr>
          <w:p>
            <w:pPr>
              <w:jc w:val="right"/>
              <w:ind w:right="3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Total Change</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Water Segment</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tcPr>
          <w:p>
            <w:pPr>
              <w:ind w:left="140"/>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141,039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129,825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(5,844)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17,058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11,214</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50,040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40,181</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9,859</w:t>
            </w: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31,964</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31,466</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(892)</w:t>
            </w:r>
          </w:p>
        </w:tc>
        <w:tc>
          <w:tcPr>
            <w:tcW w:w="1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1,390</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2016 vs. Three months ended March 31,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$11.2 million, or 9%, for the three months ended March 31, 2016, compared with the first quarter of 2015. This was due to higher product revenue in EMEA and North America, including an increase in sales of communication modules.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Water operating segment revenues during the three months ended March 31, 2016 and 2015.</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2016 vs. Three months ended March 31, 2015</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first quarter of 2016 gross margin increased to 35.5%, compared with 31.0% in 2015. The 450 basis point improvement was primarily due to improved margins in North America, driven by reduced warranty charges in 2016. The first quarter 2015 included a significant warranty accrual associated with our preliminary failure estimates for certain communication modules manufactured between July 2013 and December 2014.</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2016 vs. Three months ended March 31,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the three months ended March 31, 2016 increased by $0.5 million, or 2%, compared with the first quarter of 2015. This increase was primarily the result of $2.0 million in increased product development and sales and marketing expenses, partially offset by lower general and administrative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March 31, 2016 vs. Three months ended March 31, 2015</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not directly associated with an operating segment are classified as “Corporate unallocated.” These expenses increased by $10.6 million, or 98%, for the three months ended March 31, 2016 compared to the same period in 2015. The increase was primarily due to increased professional service fees associated with the revision of previously issued financial statements, as discussed in our Annual Report on Form 10-K, along with increased legal costs.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fluctuations in foreign currency exchange rates, and other factors.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Backlog</w:t>
            </w:r>
            <w:r>
              <w:rPr>
                <w:rFonts w:ascii="Arial" w:cs="Arial" w:eastAsia="Arial" w:hAnsi="Arial"/>
                <w:sz w:val="21"/>
                <w:szCs w:val="21"/>
                <w:b w:val="1"/>
                <w:bCs w:val="1"/>
                <w:color w:val="auto"/>
                <w:w w:val="88"/>
                <w:vertAlign w:val="superscript"/>
              </w:rPr>
              <w:t>(1)</w:t>
            </w:r>
          </w:p>
        </w:tc>
        <w:tc>
          <w:tcPr>
            <w:tcW w:w="540" w:type="dxa"/>
            <w:vAlign w:val="bottom"/>
          </w:tcPr>
          <w:p>
            <w:pPr>
              <w:spacing w:after="0"/>
              <w:rPr>
                <w:sz w:val="21"/>
                <w:szCs w:val="21"/>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217"/>
        </w:trPr>
        <w:tc>
          <w:tcPr>
            <w:tcW w:w="4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1,504</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2015</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822</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1,575</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836</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2015</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337</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1,252</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2015</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398</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1,403</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799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2015</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424</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1,470</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780</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left="340" w:hanging="332"/>
        <w:spacing w:after="0" w:line="239" w:lineRule="auto"/>
        <w:tabs>
          <w:tab w:leader="none" w:pos="34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March 31, 2016 ending total backlog was adjusted for an error as the prior periods’ backlog did not reflect the deferral of 2011 and 2012 revenues as disclosed in our 2015 Annual Report on Form 10-K (2015 Form 10-K). This revenue deferral was properly recorded as a beginning retained earnings balance adjustment for the year ended December 31, 2013 in the 2015 Form 10-K. The total backlog was adjusted upward by approximately $29 million, which is not considered 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December 31, 2015</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822</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2015</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June 30, 2015</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2015</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(8,233)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(9,590)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(25,035)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25,923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(6,665)</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cash and cash equivalents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$132.6 million at March 31, 2016, compared with $131.0 million at December 31, 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during the three months ended March 31, 2016 was $33.8 million compared with a cash use of $4.0 million during the same period in 2015. The increase in cash provided was primarily due to a $4.9 million increase in net income, a $9.4 million increase in cash provided due to deferred income tax adjustments, and a $27.0 million increased source of cash from inventory caused by a prior year buildup for expected demand in North America and EMEA. Additionally, changes in</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wages and benefits payable resulted in a $19.3 million increased source of cash due to lower variable compensation payments during the three months ended March 31, 2016 compared to the same period last year. The changes were partially offset by a $33.5 million increased use of cash in accounts receivable during the three months ended March 31, 2016 caused by an increase in revenues and the timing of significant invoices in both North America and EMEA.</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used by investing activities during the three months ended March 31, 2016 was $1.4 million lower compared with the same period in 2015, primarily due to reduced acquisitions of property, plant, and equipment and an increase in proceeds from sales of property, plant, and equipment.</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by financing activities during the three months ended March 31, 2016 was $25.0 million, compared with a cash source of $25.9 million for the same period in 2015. The increased use of cash by financing activities is primarily a result of utilizing no proceeds from borrowings in the three months ended March 31, 2016, compared to $63.0 million during the same period in 2015, as free cash flow was sufficient to fund operating and investing activities. This was partially offset by a $16.3 million reduction in cash used for repurchases of common stock during the three months ended March 31, 2016, compared to the same period in 2015.</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three months ended March 31, 2016 was an increase of $1.1 million, compared with a decrease of $6.7 million for the same period in 2015. The impact of exchange rates is the result of a decrease in the U.S. dollar value compared with most foreign currencies during the three months ended March 31, 2016, compared to a increase in value compared with most foreign currencies during the same period in 2015.</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provided by (used in) operating activities as a measure of liquidity. We calculate free cash flows, using amounts from our Consolidated Statements of Cash Flows,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33,805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(8,791)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(9,472)</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25,014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(13,427)</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Free cash flow (non-GAAP) increased almost exclusively as a result of higher cash provided by operating activities. See the cash flow discussion of operating activities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March 31, 2016 and December 31, 2015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$283.3 million at March 31, 2016, compared with $281.2 million at December 31, 2015.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credit facility consists of a $225 million U.S. dollar term loan and a multicurrency revolving line of credit (the revolver) with a principal amount of up to $500 million. The revolver also contains a $300 million letter of credit sub-facility and a $50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swingline sub-facility (available for immediate cash needs at a higher interest rate). At March 31, 2016, $132.6 million was outstanding under the revolver, and $321.5 million was available for additional borrowings or standby letters of credit. At March 31, 2016, $45.9 million was utilized by outstanding standby letters of credit, resulting in $254.1 million available for additional letters of credit. This availability decreases to $204.1 million as a result of the amendments to the 2015 credit facility discussed below.</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facility includes debt covenants, which contain certain financial ratio thresholds, place certain restrictions on the incurrence of debt, investments, and the issuance of dividends, and require quarterly unaudited and annual audited financial reporting. We were not in compliance with the financial reporting portion of these covenants under the 2015 credit facility at March 31, 2016. On April 1, 2016 and June 13, 2016, we entered into the first and second amendments to the 2015 credit facility. As a result of these amendments, we have been granted waivers which extend the due dates for annual audited financial statements for the year ended December 31, 2015 and quarterly unaudited financial statements for the periods ended March 31, 2016 and June 30, 2016 through September 12, 2016 and our $300 million standby letter of credit sub-facility was reduced to $250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2015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$25.5 million was accrued for the restructuring projects, of which $21.6 million is expected to be paid over the next 12 months. Certain aspects of the projects are subject to a variety of labor and employment laws, rules, and regulations, which could result in a delay in completing the projects at some locations.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Note 12: Restructuring.”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$6.8 million in state taxes, $12.0 million in U.S federal taxes, and $15.3 million in local and foreign taxes during 2016. For a discussion of our tax provision and unrecognized tax benefits, see Item 1: “Financial Statements,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March 31, 2016, we are under examination by certain tax authorities for the 2000 to 2013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U.S. deferred taxes related to the cash in certain foreign subsidiaries because our investment is considered permanent in duration. As of March 31, 2016, there was $34.4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Approximately $32.5 million of our consolidated cash balance at March 31, 2016 is held in our joint venture entities. As a result,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minority shareholders of these entities have rights to their proportional share of this cash balance, and there may be limitations on our ability to repatriate cash to the United States from these entities.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2016, we have accrued $13.4 million of bonus and profit sharing plans expense for the expected achievement of annual financial and nonfinancial targets, which will be paid in cash during the third quarter of 2016 and first quarter of 2017.</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2015, which was filed with the SEC on June 30, 2016,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Annual Report on Form 10-K and have not changed materially from that discussion, with the following exception.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 various stock-based compensation awards to its officers, employees and Board of Directors with service, market, and/or performance vesting conditions. Beginning with the fiscal quarter ending March 31, 2016, we granted phantom stock units which are settled in cash upon vesting and accounted for as liability-based awards.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 as a means for determining executive compensation. These non-GAAP financial measures facilitate management's internal comparisons to our historical performance.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Non-GAAP net income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diluted EPS</w:t>
      </w:r>
      <w:r>
        <w:rPr>
          <w:rFonts w:ascii="Arial" w:cs="Arial" w:eastAsia="Arial" w:hAnsi="Arial"/>
          <w:sz w:val="17"/>
          <w:szCs w:val="17"/>
          <w:color w:val="auto"/>
        </w:rPr>
        <w:t xml:space="preserve"> – We define non-GAAP net income as net income excluding the expenses associated with amortization of intangible assets,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Adjusted EBITDA</w:t>
      </w:r>
      <w:r>
        <w:rPr>
          <w:rFonts w:ascii="Arial" w:cs="Arial" w:eastAsia="Arial" w:hAnsi="Arial"/>
          <w:sz w:val="16"/>
          <w:szCs w:val="16"/>
          <w:color w:val="auto"/>
        </w:rPr>
        <w:t xml:space="preserve"> – We define adjusted EBITDA as net income (a) minus interest income, (b) plus interest expense, depreciation, amortization of intangible assets, restructuring, acquisition related expense,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reconciles the non-GAAP financial measures of operating expenses, operating income, net income, diluted EPS, adjusted EBITDA, free cash flow, and operating income by segment with the most directly comparable GAAP financial measures.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ind w:left="40"/>
              <w:spacing w:after="0"/>
              <w:rPr>
                <w:sz w:val="20"/>
                <w:szCs w:val="20"/>
                <w:color w:val="auto"/>
              </w:rPr>
            </w:pPr>
            <w:r>
              <w:rPr>
                <w:rFonts w:ascii="Arial" w:cs="Arial" w:eastAsia="Arial" w:hAnsi="Arial"/>
                <w:sz w:val="16"/>
                <w:szCs w:val="16"/>
                <w:b w:val="1"/>
                <w:bCs w:val="1"/>
                <w:color w:val="auto"/>
              </w:rPr>
              <w:t>TOTAL COMPANY RECONCILIATIONS</w:t>
            </w:r>
          </w:p>
        </w:tc>
        <w:tc>
          <w:tcPr>
            <w:tcW w:w="300" w:type="dxa"/>
            <w:vAlign w:val="bottom"/>
          </w:tcPr>
          <w:p>
            <w:pPr>
              <w:spacing w:after="0"/>
              <w:rPr>
                <w:sz w:val="18"/>
                <w:szCs w:val="18"/>
                <w:color w:val="auto"/>
              </w:rPr>
            </w:pPr>
          </w:p>
        </w:tc>
        <w:tc>
          <w:tcPr>
            <w:tcW w:w="31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5"/>
              </w:rPr>
              <w:t>(in thousands, except per share data)</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b w:val="1"/>
                <w:bCs w:val="1"/>
                <w:color w:val="auto"/>
              </w:rPr>
              <w:t>NON-GAAP OPERATING EXPENSES</w:t>
            </w: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expenses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124,926</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(7,973)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131,179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119,810</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13,496</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6,210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7,973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18,612</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NET INCOME &amp; DILUTED EPS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attributable to Itron, Inc.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5,398</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6,210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7,973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placement fees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70"/>
        </w:trPr>
        <w:tc>
          <w:tcPr>
            <w:tcW w:w="79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net income attributable to Itron,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8,549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diluted EPS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common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38,376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38,758</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attributable to Itron, Inc.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5,398</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Income tax provision</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8,626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5,030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19,355</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44"/>
        </w:trPr>
        <w:tc>
          <w:tcPr>
            <w:tcW w:w="794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40,276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29,560</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(3,955)</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Acquisitions of property, plant, and equipment</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(9,472)</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right="320" w:hanging="332"/>
        <w:spacing w:after="0" w:line="217"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SEGMENT RECONCILIATIONS</w:t>
            </w:r>
          </w:p>
        </w:tc>
        <w:tc>
          <w:tcPr>
            <w:tcW w:w="400" w:type="dxa"/>
            <w:vAlign w:val="bottom"/>
          </w:tcPr>
          <w:p>
            <w:pPr>
              <w:spacing w:after="0"/>
              <w:rPr>
                <w:sz w:val="18"/>
                <w:szCs w:val="18"/>
                <w:color w:val="auto"/>
              </w:rPr>
            </w:pPr>
          </w:p>
        </w:tc>
        <w:tc>
          <w:tcPr>
            <w:tcW w:w="31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b w:val="1"/>
                <w:bCs w:val="1"/>
                <w:color w:val="auto"/>
              </w:rPr>
              <w:t>NON-GAAP OPERATING INCOME - ELECTRICITY</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Electricity - 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4,455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Acquisition-related expenses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Electricity - Non-GAAP operating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14,413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5,131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GAS</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Gas - 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16,299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14,491</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Gas - Non-GAAP operating income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19,182</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16,586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WATER</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Water - 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8,715</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1,341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Water - Non-GAAP operating income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19,353</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10,380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CORPORATE UNALLOCATED</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unallocated - GAAP operating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(10,824)</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unallocated - Non-GAAP operating loss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were effective from July 31, 2013 to August 8,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March 31, 2016, our LIBOR-based debt balance was $296.6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March 31, 2016. Weighted average variable rates in the table are based on implied forward rates in the Reuters U.S. dollar yield curve as of March 31, 2016 and our estimated leverage ratio, which determines our additional interest rate margin at March 31, 2016.</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r>
      <w:tr>
        <w:trPr>
          <w:trHeight w:val="190"/>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6"/>
        </w:trPr>
        <w:tc>
          <w:tcPr>
            <w:tcW w:w="338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33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 loan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19,688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22,500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151,873</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216,562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215,089</w:t>
            </w:r>
          </w:p>
        </w:tc>
      </w:tr>
      <w:tr>
        <w:trPr>
          <w:trHeight w:val="264"/>
        </w:trPr>
        <w:tc>
          <w:tcPr>
            <w:tcW w:w="3380" w:type="dxa"/>
            <w:vAlign w:val="bottom"/>
          </w:tcPr>
          <w:p>
            <w:pPr>
              <w:ind w:left="620"/>
              <w:spacing w:after="0"/>
              <w:rPr>
                <w:sz w:val="20"/>
                <w:szCs w:val="20"/>
                <w:color w:val="auto"/>
              </w:rPr>
            </w:pPr>
            <w:r>
              <w:rPr>
                <w:rFonts w:ascii="Arial" w:cs="Arial" w:eastAsia="Arial" w:hAnsi="Arial"/>
                <w:sz w:val="14"/>
                <w:szCs w:val="14"/>
                <w:color w:val="auto"/>
              </w:rPr>
              <w:t>Average interest rate</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3.17%</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3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157"/>
        </w:trPr>
        <w:tc>
          <w:tcPr>
            <w:tcW w:w="3380" w:type="dxa"/>
            <w:vAlign w:val="bottom"/>
          </w:tcPr>
          <w:p>
            <w:pPr>
              <w:ind w:left="620"/>
              <w:spacing w:after="0" w:line="157" w:lineRule="exact"/>
              <w:rPr>
                <w:sz w:val="20"/>
                <w:szCs w:val="20"/>
                <w:color w:val="auto"/>
              </w:rPr>
            </w:pPr>
            <w:r>
              <w:rPr>
                <w:rFonts w:ascii="Arial" w:cs="Arial" w:eastAsia="Arial" w:hAnsi="Arial"/>
                <w:sz w:val="14"/>
                <w:szCs w:val="14"/>
                <w:color w:val="auto"/>
              </w:rPr>
              <w:t>Principal: Multicurrency revolving line of</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3380" w:type="dxa"/>
            <w:vAlign w:val="bottom"/>
          </w:tcPr>
          <w:p>
            <w:pPr>
              <w:ind w:left="620"/>
              <w:spacing w:after="0"/>
              <w:rPr>
                <w:sz w:val="20"/>
                <w:szCs w:val="20"/>
                <w:color w:val="auto"/>
              </w:rPr>
            </w:pPr>
            <w:r>
              <w:rPr>
                <w:rFonts w:ascii="Arial" w:cs="Arial" w:eastAsia="Arial" w:hAnsi="Arial"/>
                <w:sz w:val="14"/>
                <w:szCs w:val="14"/>
                <w:color w:val="auto"/>
              </w:rPr>
              <w:t>credit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132,572</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132,572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131,442</w:t>
            </w:r>
          </w:p>
        </w:tc>
      </w:tr>
      <w:tr>
        <w:trPr>
          <w:trHeight w:val="276"/>
        </w:trPr>
        <w:tc>
          <w:tcPr>
            <w:tcW w:w="33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Average interest rate</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3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3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Interest rate swap on LIBOR-based debt</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3380" w:type="dxa"/>
            <w:vAlign w:val="bottom"/>
          </w:tcPr>
          <w:p>
            <w:pPr>
              <w:ind w:left="380"/>
              <w:spacing w:after="0"/>
              <w:rPr>
                <w:sz w:val="20"/>
                <w:szCs w:val="20"/>
                <w:color w:val="auto"/>
              </w:rPr>
            </w:pPr>
            <w:r>
              <w:rPr>
                <w:rFonts w:ascii="Arial" w:cs="Arial" w:eastAsia="Arial" w:hAnsi="Arial"/>
                <w:sz w:val="14"/>
                <w:szCs w:val="14"/>
                <w:color w:val="auto"/>
              </w:rPr>
              <w:t>Average interest rate (pay)</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3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Average interest rate (receive)</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0.56 %</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0.98 %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4"/>
        </w:trPr>
        <w:tc>
          <w:tcPr>
            <w:tcW w:w="338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March 31, 2016, we estimate that, if market interest rates average one percentage point higher in 2016 than in the table above, our financial results in 2016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currencies other than the U.S. dollar were 50% of total revenues for the three months ended March 31, 2016 compared with 54% for the same respective period in 2015.</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 party. At each period-end, non-functional currency monetary assets and liabilities are revalued, with the change recorded to other income (expense), net. We enter into monthly foreign exchange forward contracts (a total of 122 contracts were entered into during the three months ended March 31, 2016) not designated for hedge accounting, with the intent to reduce earnings volatility associated with certain of these balances. The notional amounts of the contracts ranged from $100,000 to $31.0 million, offsetting our exposures from the euro, British pound, Canadian dollar, Australian dollar, Mexican peso, and various other currencies.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An evaluation was performed under the supervision and with the participation of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Chief Executive Officer and Chief Financial Officer, of the effectiveness of the design and operation of our disclosure controls and procedures (as such term is defined in Rules 13a-15(e) and 15d-15(e)) under the Securities Exchange Act of 1934, as amended. These disclosure controls and procedures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7" w:lineRule="exact"/>
        <w:rPr>
          <w:rFonts w:ascii="Arial" w:cs="Arial" w:eastAsia="Arial" w:hAnsi="Arial"/>
          <w:sz w:val="18"/>
          <w:szCs w:val="18"/>
          <w:color w:val="auto"/>
        </w:rPr>
      </w:pPr>
    </w:p>
    <w:p>
      <w:pPr>
        <w:jc w:val="both"/>
        <w:ind w:left="660"/>
        <w:spacing w:after="0" w:line="291" w:lineRule="auto"/>
        <w:rPr>
          <w:rFonts w:ascii="Arial" w:cs="Arial" w:eastAsia="Arial" w:hAnsi="Arial"/>
          <w:sz w:val="18"/>
          <w:szCs w:val="18"/>
          <w:color w:val="auto"/>
        </w:rPr>
      </w:pPr>
      <w:r>
        <w:rPr>
          <w:rFonts w:ascii="Arial" w:cs="Arial" w:eastAsia="Arial" w:hAnsi="Arial"/>
          <w:sz w:val="16"/>
          <w:szCs w:val="16"/>
          <w:color w:val="auto"/>
        </w:rPr>
        <w:t>Based on that evaluation, our management, including the Chief Executive Officer and Chief Financial Officer, concluded that as of March 31, 2016, the Company’s disclosure controls and procedures were not effective as a result of a material weakness in our internal control over financial reporting identified during the year ended December 31, 2015, as disclosed in our 2015 Annual Report on Form 10-K. Management has concluded that the deficiencies identified in our revenue processes and controls, the combination of which represents a material weakness, were also present as of March 31, 2016, as our remediation efforts have not yet been completed. Specifically, we did not design and maintain effective controls to determine whether vendor specific objective evidence (VSOE) of fair value could be demonstrated for substantially all maintenance contracts associated with certain software solutions and whether software was essential to the functionality of certain hardware.</w:t>
      </w:r>
    </w:p>
    <w:p>
      <w:pPr>
        <w:spacing w:after="0" w:line="167"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In the ordinary course of business, we review our system of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78"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Additionally, we have established a shared services center in Europe, and we are currently transitioning certain finance and accounting activities within our EMEA locations to the shared services center in a staged approach. The implementation of our shared services is ongoing, and we believe the related changes to processes and internal controls will allow us to be more efficient and further enhance our internal control over financial reporting.</w:t>
      </w:r>
    </w:p>
    <w:p>
      <w:pPr>
        <w:spacing w:after="0" w:line="132"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Except for these changes and the remediation efforts related to the material weakness noted below, there have been no other changes in our internal control over financial reporting during the three months ended March 31, 2016 that materially affected, or are reasonably likely to materially affect, internal control over financial reporting.</w:t>
      </w:r>
    </w:p>
    <w:p>
      <w:pPr>
        <w:spacing w:after="0" w:line="18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Remediation of Material Weakness in Internal Control over Financial Reporting. </w:t>
      </w:r>
      <w:r>
        <w:rPr>
          <w:rFonts w:ascii="Arial" w:cs="Arial" w:eastAsia="Arial" w:hAnsi="Arial"/>
          <w:sz w:val="18"/>
          <w:szCs w:val="18"/>
          <w:color w:val="auto"/>
        </w:rPr>
        <w:t>To remediate the material weakness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described above, we are implementing and/or plan to implement the following:</w:t>
      </w:r>
    </w:p>
    <w:p>
      <w:pPr>
        <w:spacing w:after="0" w:line="170" w:lineRule="exact"/>
        <w:rPr>
          <w:rFonts w:ascii="Arial" w:cs="Arial" w:eastAsia="Arial" w:hAnsi="Arial"/>
          <w:sz w:val="18"/>
          <w:szCs w:val="18"/>
          <w:color w:val="auto"/>
        </w:rPr>
      </w:pPr>
    </w:p>
    <w:p>
      <w:pPr>
        <w:ind w:left="1380" w:hanging="319"/>
        <w:spacing w:after="0" w:line="258" w:lineRule="auto"/>
        <w:tabs>
          <w:tab w:leader="none" w:pos="1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Continue to engage outside consultants to advise on changes in the design of controls and procedures to determine whether VSOE of fair value exists for certain software elements;</w:t>
      </w:r>
    </w:p>
    <w:p>
      <w:pPr>
        <w:spacing w:after="0" w:line="1" w:lineRule="exact"/>
        <w:rPr>
          <w:rFonts w:ascii="Arial" w:cs="Arial" w:eastAsia="Arial" w:hAnsi="Arial"/>
          <w:sz w:val="18"/>
          <w:szCs w:val="18"/>
          <w:color w:val="auto"/>
        </w:rPr>
      </w:pPr>
    </w:p>
    <w:p>
      <w:pPr>
        <w:ind w:left="1380" w:hanging="319"/>
        <w:spacing w:after="0" w:line="250" w:lineRule="auto"/>
        <w:tabs>
          <w:tab w:leader="none" w:pos="1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Implement enhancements to revenue processes and systems to identify transactions warranting additional review and automate certain manual processes;</w:t>
      </w:r>
    </w:p>
    <w:p>
      <w:pPr>
        <w:ind w:left="1380" w:hanging="319"/>
        <w:spacing w:after="0" w:line="250" w:lineRule="auto"/>
        <w:tabs>
          <w:tab w:leader="none" w:pos="1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Expand mandatory revenue recognition training for employees directly responsible for executing control activities related to our sales contracts;</w:t>
      </w:r>
    </w:p>
    <w:p>
      <w:pPr>
        <w:ind w:left="1380" w:hanging="319"/>
        <w:spacing w:after="0"/>
        <w:tabs>
          <w:tab w:leader="none" w:pos="13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Expand our revenue recognition policies and procedures to provide detailed explanations specific to Itron’s sales contracts; and</w:t>
      </w:r>
    </w:p>
    <w:p>
      <w:pPr>
        <w:spacing w:after="0" w:line="20" w:lineRule="exact"/>
        <w:rPr>
          <w:rFonts w:ascii="Arial" w:cs="Arial" w:eastAsia="Arial" w:hAnsi="Arial"/>
          <w:sz w:val="17"/>
          <w:szCs w:val="17"/>
          <w:color w:val="auto"/>
        </w:rPr>
      </w:pPr>
    </w:p>
    <w:p>
      <w:pPr>
        <w:ind w:left="1380" w:hanging="319"/>
        <w:spacing w:after="0"/>
        <w:tabs>
          <w:tab w:leader="none" w:pos="13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Continue to engage outside consultants to advise on technical matters related to significant sales contracts or revenue streams.</w:t>
      </w:r>
    </w:p>
    <w:p>
      <w:pPr>
        <w:spacing w:after="0" w:line="22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When fully implemented and operational, we believe the measures described above will remediate the material weakness we have identified and strengthen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first quarter of 2016 from those previously disclosed in Item 1A: “Risk Factors” of Part I of our Annual Report on Form 10-K for the fiscal year ended December 31, 2015, which was filed with the SEC on June 30, 2016.</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Issuer Repurchase of Equity Securities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repurchase program, which was approved by Itron's Board on February 19, 2015 authorizing repurchase of up to $50 million of our common stock, expired on February 19, 2016. There were no repurchases of equity securities during the quarter ended March 31, 2016.</w:t>
      </w:r>
    </w:p>
    <w:p>
      <w:pPr>
        <w:spacing w:after="0" w:line="1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2016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580" w:type="dxa"/>
            <w:vAlign w:val="bottom"/>
          </w:tcPr>
          <w:p>
            <w:pPr>
              <w:spacing w:after="0"/>
              <w:rPr>
                <w:sz w:val="18"/>
                <w:szCs w:val="18"/>
                <w:color w:val="auto"/>
              </w:rPr>
            </w:pPr>
          </w:p>
        </w:tc>
      </w:tr>
      <w:tr>
        <w:trPr>
          <w:trHeight w:val="234"/>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561"/>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Computation of Ratio of Earnings to Fixed Charges. (filed with this report)</w:t>
            </w:r>
          </w:p>
        </w:tc>
      </w:tr>
      <w:tr>
        <w:trPr>
          <w:trHeight w:val="567"/>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958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r>
        <w:trPr>
          <w:trHeight w:val="48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August 12, 2016</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W. MARK SCHMITZ</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5"/>
              </w:rPr>
              <w:t>W. Mark Schmitz</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676"/>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40" w:type="dxa"/>
            <w:vAlign w:val="bottom"/>
            <w:gridSpan w:val="11"/>
          </w:tcPr>
          <w:p>
            <w:pPr>
              <w:jc w:val="center"/>
              <w:ind w:right="80"/>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Three Months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Arial" w:cs="Arial" w:eastAsia="Arial" w:hAnsi="Arial"/>
                <w:sz w:val="16"/>
                <w:szCs w:val="16"/>
                <w:b w:val="1"/>
                <w:bCs w:val="1"/>
                <w:color w:val="auto"/>
              </w:rPr>
              <w:t>Ended March 31,</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8"/>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(in thousands, except ratios)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(503,677)</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rPr>
              <w:t>Add: dividends received from equity</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investees</w:t>
            </w:r>
          </w:p>
        </w:tc>
        <w:tc>
          <w:tcPr>
            <w:tcW w:w="14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Less: noncontrolling 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Less: income from equity investees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(508,148)</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1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12,289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11,602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36,794</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6,855</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43,649</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52,108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139,876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(464,499)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1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3"/>
                <w:szCs w:val="23"/>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140" w:type="dxa"/>
            <w:vAlign w:val="bottom"/>
          </w:tcPr>
          <w:p>
            <w:pPr>
              <w:spacing w:after="0"/>
              <w:rPr>
                <w:sz w:val="20"/>
                <w:szCs w:val="20"/>
                <w:color w:val="auto"/>
              </w:rPr>
            </w:pPr>
          </w:p>
        </w:tc>
        <w:tc>
          <w:tcPr>
            <w:tcW w:w="1280" w:type="dxa"/>
            <w:vAlign w:val="bottom"/>
            <w:gridSpan w:val="2"/>
          </w:tcPr>
          <w:p>
            <w:pPr>
              <w:ind w:left="76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20"/>
                <w:szCs w:val="20"/>
                <w:color w:val="auto"/>
              </w:rPr>
            </w:pP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30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(155,866)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(508,148)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16"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92"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Earnings to fixed charges ratio </w:t>
      </w:r>
      <w:r>
        <w:rPr>
          <w:rFonts w:ascii="Arial" w:cs="Arial" w:eastAsia="Arial" w:hAnsi="Arial"/>
          <w:sz w:val="15"/>
          <w:szCs w:val="15"/>
          <w:color w:val="auto"/>
        </w:rPr>
        <w:t>is not calculated for years with a</w:t>
      </w:r>
      <w:r>
        <w:rPr>
          <w:rFonts w:ascii="Arial" w:cs="Arial" w:eastAsia="Arial" w:hAnsi="Arial"/>
          <w:sz w:val="15"/>
          <w:szCs w:val="15"/>
          <w:i w:val="1"/>
          <w:iCs w:val="1"/>
          <w:color w:val="auto"/>
        </w:rPr>
        <w:t xml:space="preserve"> Deficit of earnings to fixed charges </w:t>
      </w:r>
      <w:r>
        <w:rPr>
          <w:rFonts w:ascii="Arial" w:cs="Arial" w:eastAsia="Arial" w:hAnsi="Arial"/>
          <w:sz w:val="15"/>
          <w:szCs w:val="15"/>
          <w:color w:val="auto"/>
        </w:rPr>
        <w:t>amount as the ratio is less than 1:1.</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2016</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 Mark Schmitz,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2016</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2016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W. Mark Schmitz,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12, 2016</w:t>
      </w:r>
    </w:p>
    <w:p>
      <w:pPr>
        <w:spacing w:after="0" w:line="31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12, 2016</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lvl w:ilvl="1">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2019-12-29T10:14:36Z</dcterms:created>
  <dcterms:modified xsi:type="dcterms:W3CDTF">2019-12-29T10:14:36Z</dcterms:modified>
</cp:coreProperties>
</file>