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22860</wp:posOffset>
            </wp:positionV>
            <wp:extent cx="49891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000-22418</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02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0"/>
              </w:rPr>
              <w:t>(State or Other Jurisdiction</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93"/>
              </w:rPr>
              <w:t>of Incorporation)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Arial" w:cs="Arial" w:eastAsia="Arial" w:hAnsi="Arial"/>
                <w:sz w:val="18"/>
                <w:szCs w:val="18"/>
                <w:color w:val="auto"/>
                <w:w w:val="93"/>
              </w:rPr>
              <w:t>(Commission File No.)</w:t>
            </w:r>
          </w:p>
        </w:tc>
        <w:tc>
          <w:tcPr>
            <w:tcW w:w="286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2"/>
              </w:rPr>
              <w:t>2111 N. Molter Road, Liberty Lake, Washington 99019</w:t>
            </w: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2"/>
              </w:rPr>
              <w:t>(Address of Principal Executive Offices, Zip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0"/>
              </w:rPr>
              <w:t>(509) 924-9900</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0"/>
              </w:rPr>
              <w:t>(Registrant's Telephone Number, Including Area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53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860" w:type="dxa"/>
            <w:vAlign w:val="bottom"/>
          </w:tcPr>
          <w:p>
            <w:pPr>
              <w:spacing w:after="0"/>
              <w:rPr>
                <w:sz w:val="20"/>
                <w:szCs w:val="20"/>
                <w:color w:val="auto"/>
              </w:rPr>
            </w:pPr>
          </w:p>
        </w:tc>
      </w:tr>
    </w:tbl>
    <w:p>
      <w:pPr>
        <w:spacing w:after="0" w:line="200" w:lineRule="exact"/>
        <w:rPr>
          <w:sz w:val="24"/>
          <w:szCs w:val="24"/>
          <w:color w:val="auto"/>
        </w:rPr>
      </w:pPr>
    </w:p>
    <w:p>
      <w:pPr>
        <w:spacing w:after="0" w:line="25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rPr>
              <w:t>ITRI</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1300" w:right="20"/>
        <w:spacing w:after="0" w:line="308" w:lineRule="auto"/>
        <w:rPr>
          <w:sz w:val="20"/>
          <w:szCs w:val="20"/>
          <w:color w:val="auto"/>
        </w:rPr>
      </w:pPr>
      <w:r>
        <w:rPr>
          <w:rFonts w:ascii="Arial" w:cs="Arial" w:eastAsia="Arial" w:hAnsi="Arial"/>
          <w:sz w:val="17"/>
          <w:szCs w:val="17"/>
          <w:color w:val="auto"/>
        </w:rPr>
        <w:t>On February 24, 2021, Itron, Inc. (the Company) issued a press release announcing its financial results for the three months and full year ended December 31, 2020. A copy of this press release and accompanying financial statements are attached as Exhibit 99.1.</w:t>
      </w:r>
    </w:p>
    <w:p>
      <w:pPr>
        <w:spacing w:after="0" w:line="1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797"/>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hyperlink w:anchor="page4">
        <w:r>
          <w:rPr>
            <w:rFonts w:ascii="Arial" w:cs="Arial" w:eastAsia="Arial" w:hAnsi="Arial"/>
            <w:sz w:val="15"/>
            <w:szCs w:val="15"/>
            <w:u w:val="single" w:color="auto"/>
            <w:color w:val="0000EE"/>
          </w:rPr>
          <w:t xml:space="preserve">Press Release Dated February 24, 2021. </w:t>
        </w:r>
      </w:hyperlink>
      <w:r>
        <w:rPr>
          <w:rFonts w:ascii="Arial" w:cs="Arial" w:eastAsia="Arial" w:hAnsi="Arial"/>
          <w:sz w:val="15"/>
          <w:szCs w:val="15"/>
          <w:color w:val="000000"/>
        </w:rPr>
        <w:t>*</w:t>
      </w:r>
    </w:p>
    <w:p>
      <w:pPr>
        <w:spacing w:after="0" w:line="23" w:lineRule="exact"/>
        <w:rPr>
          <w:sz w:val="20"/>
          <w:szCs w:val="20"/>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10"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*This exhibit is intended to be furnished and shall not be deemed "filed" for purposes of the Exchange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Annual Report on Form 10-K for the year ended December 31, 2019 and other reports on file with the Securities and Exchange Commission. Itron undertakes no obligation to update or revise any information in this press release.</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impact caused by the ongoing COVID-19 pandemic includes uncertainty as to the duration, spread, severity, and any resurgence of the COVID-19 pandemic including other factors contributing to infection rates, such as reinfection or mutation of the virus, the effectiveness or widespread availability and application of any vaccine, the duration and scope of related government orders and restrictions, impact on overall demand, impact on our customers’ businesses and workforce levels, disruptions of our business and operations, including the impact on our employees, limitations on, or closures of, our facilities, or the business and operations of our customers or suppliers. Our estimates and statements regarding the impact of COVID-19 are made in good faith to provide insight to our current and future operating and financial environment and any of these may materially change due to factors outside our control. For more information on risks associated with the COVID-19 pandemic, please see Itron’s updated risk in Part II, Item 1A: Risk Factors of our latest 10-Q filing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1800" w:type="dxa"/>
            <w:vAlign w:val="bottom"/>
            <w:gridSpan w:val="2"/>
          </w:tcPr>
          <w:p>
            <w:pPr>
              <w:ind w:left="500"/>
              <w:spacing w:after="0"/>
              <w:rPr>
                <w:sz w:val="20"/>
                <w:szCs w:val="20"/>
                <w:color w:val="auto"/>
              </w:rPr>
            </w:pPr>
            <w:r>
              <w:rPr>
                <w:rFonts w:ascii="Arial" w:cs="Arial" w:eastAsia="Arial" w:hAnsi="Arial"/>
                <w:sz w:val="18"/>
                <w:szCs w:val="18"/>
                <w:color w:val="auto"/>
              </w:rPr>
              <w:t>ITRON, INC.</w:t>
            </w:r>
          </w:p>
        </w:tc>
        <w:tc>
          <w:tcPr>
            <w:tcW w:w="4920" w:type="dxa"/>
            <w:vAlign w:val="bottom"/>
          </w:tcPr>
          <w:p>
            <w:pPr>
              <w:spacing w:after="0"/>
              <w:rPr>
                <w:sz w:val="20"/>
                <w:szCs w:val="20"/>
                <w:color w:val="auto"/>
              </w:rPr>
            </w:pPr>
          </w:p>
        </w:tc>
      </w:tr>
      <w:tr>
        <w:trPr>
          <w:trHeight w:val="439"/>
        </w:trPr>
        <w:tc>
          <w:tcPr>
            <w:tcW w:w="4520" w:type="dxa"/>
            <w:vAlign w:val="bottom"/>
          </w:tcPr>
          <w:p>
            <w:pPr>
              <w:spacing w:after="0"/>
              <w:rPr>
                <w:sz w:val="24"/>
                <w:szCs w:val="24"/>
                <w:color w:val="auto"/>
              </w:rPr>
            </w:pPr>
          </w:p>
        </w:tc>
        <w:tc>
          <w:tcPr>
            <w:tcW w:w="1800" w:type="dxa"/>
            <w:vAlign w:val="bottom"/>
            <w:gridSpan w:val="2"/>
          </w:tcPr>
          <w:p>
            <w:pPr>
              <w:ind w:left="500"/>
              <w:spacing w:after="0"/>
              <w:rPr>
                <w:sz w:val="20"/>
                <w:szCs w:val="20"/>
                <w:color w:val="auto"/>
              </w:rPr>
            </w:pPr>
            <w:r>
              <w:rPr>
                <w:rFonts w:ascii="Arial" w:cs="Arial" w:eastAsia="Arial" w:hAnsi="Arial"/>
                <w:sz w:val="18"/>
                <w:szCs w:val="18"/>
                <w:color w:val="auto"/>
              </w:rPr>
              <w:t>By:</w:t>
            </w:r>
          </w:p>
        </w:tc>
        <w:tc>
          <w:tcPr>
            <w:tcW w:w="4920" w:type="dxa"/>
            <w:vAlign w:val="bottom"/>
          </w:tcPr>
          <w:p>
            <w:pPr>
              <w:jc w:val="center"/>
              <w:ind w:right="650"/>
              <w:spacing w:after="0"/>
              <w:rPr>
                <w:sz w:val="20"/>
                <w:szCs w:val="20"/>
                <w:color w:val="auto"/>
              </w:rPr>
            </w:pPr>
            <w:r>
              <w:rPr>
                <w:rFonts w:ascii="Arial" w:cs="Arial" w:eastAsia="Arial" w:hAnsi="Arial"/>
                <w:sz w:val="18"/>
                <w:szCs w:val="18"/>
                <w:color w:val="auto"/>
                <w:w w:val="91"/>
              </w:rPr>
              <w:t>/s/ JOAN S. HOOPER</w:t>
            </w:r>
          </w:p>
        </w:tc>
      </w:tr>
      <w:tr>
        <w:trPr>
          <w:trHeight w:val="210"/>
        </w:trPr>
        <w:tc>
          <w:tcPr>
            <w:tcW w:w="5560" w:type="dxa"/>
            <w:vAlign w:val="bottom"/>
            <w:gridSpan w:val="2"/>
          </w:tcPr>
          <w:p>
            <w:pPr>
              <w:jc w:val="center"/>
              <w:ind w:right="950"/>
              <w:spacing w:after="0" w:line="202" w:lineRule="exact"/>
              <w:rPr>
                <w:sz w:val="20"/>
                <w:szCs w:val="20"/>
                <w:color w:val="auto"/>
              </w:rPr>
            </w:pPr>
            <w:r>
              <w:rPr>
                <w:rFonts w:ascii="Arial" w:cs="Arial" w:eastAsia="Arial" w:hAnsi="Arial"/>
                <w:sz w:val="18"/>
                <w:szCs w:val="18"/>
                <w:color w:val="auto"/>
                <w:w w:val="89"/>
              </w:rPr>
              <w:t>February 24, 2021</w:t>
            </w:r>
          </w:p>
        </w:tc>
        <w:tc>
          <w:tcPr>
            <w:tcW w:w="760" w:type="dxa"/>
            <w:vAlign w:val="bottom"/>
            <w:tcBorders>
              <w:top w:val="single" w:sz="8" w:color="auto"/>
            </w:tcBorders>
          </w:tcPr>
          <w:p>
            <w:pPr>
              <w:spacing w:after="0"/>
              <w:rPr>
                <w:sz w:val="18"/>
                <w:szCs w:val="18"/>
                <w:color w:val="auto"/>
              </w:rPr>
            </w:pPr>
          </w:p>
        </w:tc>
        <w:tc>
          <w:tcPr>
            <w:tcW w:w="4920" w:type="dxa"/>
            <w:vAlign w:val="bottom"/>
            <w:tcBorders>
              <w:top w:val="single" w:sz="8" w:color="auto"/>
            </w:tcBorders>
          </w:tcPr>
          <w:p>
            <w:pPr>
              <w:jc w:val="center"/>
              <w:ind w:right="650"/>
              <w:spacing w:after="0" w:line="202" w:lineRule="exact"/>
              <w:rPr>
                <w:sz w:val="20"/>
                <w:szCs w:val="20"/>
                <w:color w:val="auto"/>
              </w:rPr>
            </w:pPr>
            <w:r>
              <w:rPr>
                <w:rFonts w:ascii="Arial" w:cs="Arial" w:eastAsia="Arial" w:hAnsi="Arial"/>
                <w:sz w:val="18"/>
                <w:szCs w:val="18"/>
                <w:color w:val="auto"/>
                <w:w w:val="87"/>
              </w:rPr>
              <w:t>Joan S. Hooper</w:t>
            </w:r>
          </w:p>
        </w:tc>
      </w:tr>
      <w:tr>
        <w:trPr>
          <w:trHeight w:val="230"/>
        </w:trPr>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20" w:type="dxa"/>
            <w:vAlign w:val="bottom"/>
          </w:tcPr>
          <w:p>
            <w:pPr>
              <w:jc w:val="center"/>
              <w:ind w:right="650"/>
              <w:spacing w:after="0"/>
              <w:rPr>
                <w:sz w:val="20"/>
                <w:szCs w:val="20"/>
                <w:color w:val="auto"/>
              </w:rPr>
            </w:pPr>
            <w:r>
              <w:rPr>
                <w:rFonts w:ascii="Arial" w:cs="Arial" w:eastAsia="Arial" w:hAnsi="Arial"/>
                <w:sz w:val="18"/>
                <w:szCs w:val="18"/>
                <w:color w:val="auto"/>
                <w:w w:val="91"/>
              </w:rPr>
              <w:t>Senior Vice President and Chief Financial Officer</w:t>
            </w: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Itron Announces Fourth Quarter and Full Year 2020 Financial Results and 2021 Guidance</w:t>
      </w:r>
    </w:p>
    <w:p>
      <w:pPr>
        <w:spacing w:after="0" w:line="227"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LIBERTY LAKE, Wash.--(BUSINESS WIRE)--February 24, 2021--Itron, Inc. (NASDAQ:ITRI), which is innovating the way utilities and cities manage energy and water, announced today financial results for its fourth quarter and full year ended Dec. 31, 2020. Highlights for the quarter and full year include: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full year revenue of $525 million and $2.2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-86360</wp:posOffset>
            </wp:positionV>
            <wp:extent cx="4254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Quarterly and full year gross margin of 28.3% and 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-91440</wp:posOffset>
            </wp:positionV>
            <wp:extent cx="4254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Quarterly and full year GAAP net income of $22 million and net loss of $(58)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-90805</wp:posOffset>
            </wp:positionV>
            <wp:extent cx="4254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Quarterly GAAP diluted earnings per share of $0.53 and full year loss per share of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-91440</wp:posOffset>
            </wp:positionV>
            <wp:extent cx="4254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Quarterly and full year non-GAAP diluted earnings per share of $0.65 and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-90805</wp:posOffset>
            </wp:positionV>
            <wp:extent cx="4254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Quarterly and full year adjusted EBITDA of $56 million and $178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-91440</wp:posOffset>
            </wp:positionV>
            <wp:extent cx="4254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Backlog of $3.3 billion and 12-month backlog of $1.2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-97790</wp:posOffset>
            </wp:positionV>
            <wp:extent cx="4254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8" w:lineRule="exact"/>
        <w:rPr>
          <w:sz w:val="20"/>
          <w:szCs w:val="20"/>
          <w:color w:val="auto"/>
        </w:rPr>
      </w:pPr>
    </w:p>
    <w:p>
      <w:pPr>
        <w:ind w:right="660"/>
        <w:spacing w:after="0"/>
        <w:rPr>
          <w:sz w:val="20"/>
          <w:szCs w:val="20"/>
          <w:color w:val="auto"/>
        </w:rPr>
      </w:pPr>
      <w:r>
        <w:rPr>
          <w:rFonts w:ascii="Arial" w:cs="Arial" w:eastAsia="Arial" w:hAnsi="Arial"/>
          <w:sz w:val="22"/>
          <w:szCs w:val="22"/>
          <w:color w:val="auto"/>
        </w:rPr>
        <w:t>"I'm proud of our team's commitment during a challenging year with the COVID-19 pandemic," said Tom Deitrich, Itron's president and chief executive officer. "We have prioritized the health and safety of our employees, customers and the communities we serve, while continuing to execute on our strategy."</w:t>
      </w:r>
    </w:p>
    <w:p>
      <w:pPr>
        <w:spacing w:after="0" w:line="186" w:lineRule="exact"/>
        <w:rPr>
          <w:sz w:val="20"/>
          <w:szCs w:val="20"/>
          <w:color w:val="auto"/>
        </w:rPr>
      </w:pPr>
    </w:p>
    <w:p>
      <w:pPr>
        <w:ind w:right="280"/>
        <w:spacing w:after="0" w:line="259" w:lineRule="auto"/>
        <w:rPr>
          <w:sz w:val="20"/>
          <w:szCs w:val="20"/>
          <w:color w:val="auto"/>
        </w:rPr>
      </w:pPr>
      <w:r>
        <w:rPr>
          <w:rFonts w:ascii="Arial" w:cs="Arial" w:eastAsia="Arial" w:hAnsi="Arial"/>
          <w:sz w:val="22"/>
          <w:szCs w:val="22"/>
          <w:color w:val="auto"/>
        </w:rPr>
        <w:t>"We are optimistic as we enter 2021 with a record backlog; over 74 million endpoints under management; and over 2.7 million Distributed Intelligent Riva</w:t>
      </w:r>
      <w:r>
        <w:rPr>
          <w:rFonts w:ascii="Arial" w:cs="Arial" w:eastAsia="Arial" w:hAnsi="Arial"/>
          <w:sz w:val="35"/>
          <w:szCs w:val="35"/>
          <w:color w:val="auto"/>
          <w:vertAlign w:val="superscript"/>
        </w:rPr>
        <w:t>®</w:t>
      </w:r>
      <w:r>
        <w:rPr>
          <w:rFonts w:ascii="Arial" w:cs="Arial" w:eastAsia="Arial" w:hAnsi="Arial"/>
          <w:sz w:val="22"/>
          <w:szCs w:val="22"/>
          <w:color w:val="auto"/>
        </w:rPr>
        <w:t xml:space="preserve"> meters deployed."</w:t>
      </w:r>
    </w:p>
    <w:p>
      <w:pPr>
        <w:spacing w:after="0"/>
        <w:rPr>
          <w:sz w:val="20"/>
          <w:szCs w:val="20"/>
          <w:color w:val="auto"/>
        </w:rPr>
      </w:pPr>
      <w:r>
        <w:rPr>
          <w:rFonts w:ascii="Arial" w:cs="Arial" w:eastAsia="Arial" w:hAnsi="Arial"/>
          <w:sz w:val="22"/>
          <w:szCs w:val="22"/>
          <w:b w:val="1"/>
          <w:bCs w:val="1"/>
          <w:color w:val="auto"/>
        </w:rPr>
        <w:t>Summary of Fourth Quarter Consolidated Financial Results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206" w:lineRule="exact"/>
        <w:rPr>
          <w:sz w:val="20"/>
          <w:szCs w:val="20"/>
          <w:color w:val="auto"/>
        </w:rPr>
      </w:pPr>
    </w:p>
    <w:p>
      <w:pPr>
        <w:ind w:right="620"/>
        <w:spacing w:after="0" w:line="250" w:lineRule="auto"/>
        <w:rPr>
          <w:sz w:val="20"/>
          <w:szCs w:val="20"/>
          <w:color w:val="auto"/>
        </w:rPr>
      </w:pPr>
      <w:r>
        <w:rPr>
          <w:rFonts w:ascii="Arial" w:cs="Arial" w:eastAsia="Arial" w:hAnsi="Arial"/>
          <w:sz w:val="22"/>
          <w:szCs w:val="22"/>
          <w:color w:val="auto"/>
        </w:rPr>
        <w:t>Total revenue of $525 million decreased 16%, or 18% excluding the impact of changes in foreign currency exchange rates, compared with the fourth quarter of 2019.</w:t>
      </w:r>
    </w:p>
    <w:p>
      <w:pPr>
        <w:spacing w:after="0" w:line="175" w:lineRule="exact"/>
        <w:rPr>
          <w:sz w:val="20"/>
          <w:szCs w:val="20"/>
          <w:color w:val="auto"/>
        </w:rPr>
      </w:pPr>
    </w:p>
    <w:p>
      <w:pPr>
        <w:ind w:right="760"/>
        <w:spacing w:after="0" w:line="250" w:lineRule="auto"/>
        <w:rPr>
          <w:sz w:val="20"/>
          <w:szCs w:val="20"/>
          <w:color w:val="auto"/>
        </w:rPr>
      </w:pPr>
      <w:r>
        <w:rPr>
          <w:rFonts w:ascii="Arial" w:cs="Arial" w:eastAsia="Arial" w:hAnsi="Arial"/>
          <w:sz w:val="22"/>
          <w:szCs w:val="22"/>
          <w:color w:val="auto"/>
        </w:rPr>
        <w:t>By segment, Outcomes revenue increased 14%, driven by higher software license revenue. Networked Solutions revenue decreased 25% and Device Solutions revenue decreased 10%.</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Gross Margin</w:t>
      </w:r>
    </w:p>
    <w:p>
      <w:pPr>
        <w:spacing w:after="0" w:line="206"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Consolidated gross margin of 28.3% increased 10 basis points compared with the fourth quarter of 2019, driven primarily by higher-margin software license revenue, partially offset by increased inventory reserves.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Operating Income, Net Income and Earnings per Share (EPS)</w:t>
      </w:r>
    </w:p>
    <w:p>
      <w:pPr>
        <w:spacing w:after="0" w:line="206"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GAAP operating income increased to $33 million from $29 million in 2019. The increase was due to lower GAAP operating expenses.</w:t>
      </w:r>
    </w:p>
    <w:p>
      <w:pPr>
        <w:spacing w:after="0" w:line="175"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Non-GAAP operating income decreased to $44 million from $46 million in 2019. The decrease was due to lower gross profit, partially offset by lower non-GAAP operating expenses, including lower variable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GAAP net income attributable to Itron, Inc. for the quarter was $22 million, or $0.53 per diluted share, compared with net income of $15 million, or $0.36 per diluted share, in 2019. The higher GAAP net income and EPS was primarily due to higher GAAP operating income.</w:t>
      </w:r>
    </w:p>
    <w:p>
      <w:pPr>
        <w:spacing w:after="0" w:line="186"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Non-GAAP net income was $26 million, or $0.65 per diluted share, compared with $29 million, or $0.72 per diluted share in 2019. The decrease was due to lower non-GAAP operating income and a higher non-GAAP effective tax rate due to the mix of taxable income by jurisdiction and fewer discrete tax benefits.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Flow</w:t>
      </w:r>
    </w:p>
    <w:p>
      <w:pPr>
        <w:spacing w:after="0" w:line="206"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In the fourth quarter, cash provided by operating activities was $39 million compared with $45 million in 2019. Free cash flow of $29 million increased slightly year over year with a reduction in capital expenditures offsetting the lower operating cash flow.</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Bookings were $973 million in the fourth quarter. This is a book to bill ratio of 1.9 to 1 for the quarter. Total backlog was $3.3 billion and 12-month backlog was $1.2 billion at the end of the quarter.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 year 2021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$2.23 and $2.33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-86360</wp:posOffset>
            </wp:positionV>
            <wp:extent cx="4254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Non-GAAP diluted EPS between $2.15 and $2.55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-97790</wp:posOffset>
            </wp:positionV>
            <wp:extent cx="4254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8" w:lineRule="exact"/>
        <w:rPr>
          <w:sz w:val="20"/>
          <w:szCs w:val="20"/>
          <w:color w:val="auto"/>
        </w:rPr>
      </w:pPr>
    </w:p>
    <w:p>
      <w:pPr>
        <w:ind w:right="500"/>
        <w:spacing w:after="0"/>
        <w:rPr>
          <w:sz w:val="20"/>
          <w:szCs w:val="20"/>
          <w:color w:val="auto"/>
        </w:rPr>
      </w:pPr>
      <w:r>
        <w:rPr>
          <w:rFonts w:ascii="Arial" w:cs="Arial" w:eastAsia="Arial" w:hAnsi="Arial"/>
          <w:sz w:val="22"/>
          <w:szCs w:val="22"/>
          <w:color w:val="auto"/>
        </w:rPr>
        <w:t>Guidance assumes an average euro to U.S. dollar foreign currency exchange rate of $1.20 in 2021, diluted weighted average shares outstanding of approximately 41 million for the year, non-GAAP interest expense of $36 million and a non-GAAP effective tax rate for the year of approximately 30%.</w:t>
      </w:r>
    </w:p>
    <w:p>
      <w:pPr>
        <w:spacing w:after="0" w:line="186"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A reconciliation of forward-looking non-GAAP diluted EPS to the GAAP diluted EPS has not been provided because we are unable to predict with reasonable certainty the potential amount or timing of restructuring and acquisition and integration related expenses and their related tax effects without unreasonable effort. These items are uncertain, depend on various factors and could have a material impact on GAAP results for the guidance period.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10 a.m. EST on Feb. 24, 2021. The call will be webcast in a listen-only mode. Webcast information and conference call materials will be made available 10 minutes before the start of the call and will be accessible on Itron’s website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xml:space="preserve">. A replay of the audio webcast will be made available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A telephone replay of the conference call will be available through March 1, 2021. To access the telephone replay, dial (888) 203-1112 (domestic) or (719) 457-0820 (international) and enter passcode 3823454.</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06" w:lineRule="exact"/>
        <w:rPr>
          <w:sz w:val="20"/>
          <w:szCs w:val="20"/>
          <w:color w:val="auto"/>
        </w:rPr>
      </w:pPr>
    </w:p>
    <w:p>
      <w:pPr>
        <w:ind w:right="320"/>
        <w:spacing w:after="0" w:line="233" w:lineRule="auto"/>
        <w:rPr>
          <w:sz w:val="20"/>
          <w:szCs w:val="20"/>
          <w:color w:val="auto"/>
        </w:rPr>
      </w:pPr>
      <w:r>
        <w:rPr>
          <w:rFonts w:ascii="Arial" w:cs="Arial" w:eastAsia="Arial" w:hAnsi="Arial"/>
          <w:sz w:val="20"/>
          <w:szCs w:val="20"/>
          <w:color w:val="auto"/>
        </w:rPr>
        <w:t>Itron</w:t>
      </w:r>
      <w:r>
        <w:rPr>
          <w:rFonts w:ascii="Arial" w:cs="Arial" w:eastAsia="Arial" w:hAnsi="Arial"/>
          <w:sz w:val="32"/>
          <w:szCs w:val="32"/>
          <w:color w:val="auto"/>
          <w:vertAlign w:val="superscript"/>
        </w:rPr>
        <w:t>®</w:t>
      </w:r>
      <w:r>
        <w:rPr>
          <w:rFonts w:ascii="Arial" w:cs="Arial" w:eastAsia="Arial" w:hAnsi="Arial"/>
          <w:sz w:val="20"/>
          <w:szCs w:val="20"/>
          <w:color w:val="auto"/>
        </w:rPr>
        <w:t xml:space="preserve">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t>
      </w:r>
      <w:r>
        <w:rPr>
          <w:rFonts w:ascii="Arial" w:cs="Arial" w:eastAsia="Arial" w:hAnsi="Arial"/>
          <w:sz w:val="20"/>
          <w:szCs w:val="20"/>
          <w:u w:val="single" w:color="auto"/>
          <w:color w:val="auto"/>
        </w:rPr>
        <w:t>www.itron.com</w:t>
      </w:r>
      <w:r>
        <w:rPr>
          <w:rFonts w:ascii="Arial" w:cs="Arial" w:eastAsia="Arial" w:hAnsi="Arial"/>
          <w:sz w:val="20"/>
          <w:szCs w:val="20"/>
          <w:color w:val="auto"/>
        </w:rPr>
        <w:t>.</w:t>
      </w:r>
    </w:p>
    <w:p>
      <w:pPr>
        <w:spacing w:after="0" w:line="187"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Itron® is a registered trademark of Itron, Inc. All third-party trademarks are property of their respective owners and any usage herein does not suggest or imply any relationship between Itron and the third party unless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Cautionary Note Regarding Forward Looking Statements</w:t>
      </w:r>
    </w:p>
    <w:p>
      <w:pPr>
        <w:spacing w:after="0" w:line="212"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Item 1A: Risk Factors included in our Annual Report on Form 10-K for the year ended Dec. 31, 2019 and other reports on file with the Securities and Exchange Commission. Itron undertakes no obligation to update or revise any information in this press release.</w:t>
      </w:r>
    </w:p>
    <w:p>
      <w:pPr>
        <w:spacing w:after="0" w:line="171"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 impact caused by the ongoing COVID-19 pandemic includes uncertainty as to the duration, spread, severity, and any resurgence of the COVID-19 pandemic including other factors contributing to infection rates, such as reinfection or mutation of the virus, the effectiveness or widespread availability and application of any vaccine, the duration and scope of related government orders and restrictions, impact on overall demand, impact on our customers’ businesses and workforce levels, disruptions of our business and operations, including the impact on our employees, limitations on, or closures of, our facilities, or the business and operations of our customers or suppliers. Our estimates and statements regarding the impact of COVID-19 are made in good faith to provide insight to our current and future operating and financial environment and any of these may materially change due to factors outside our control. For more information on risks associated with the COVID-19 pandemic, please see Itron’s updated risk in Part II, Item 1A: Risk Factors of our latest 10-Q filing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To supplement our consolidated financial statements, which are prepared in accordance with GAAP, we use certain non-GAAP financial measures, including non-GAAP operating expense, non-GAAP operating income, non-GAAP net income, non-GAAP diluted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The company believes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 w:name="page8"/>
    <w:bookmarkEnd w:id="7"/>
    <w:p>
      <w:pPr>
        <w:jc w:val="center"/>
        <w:ind w:right="328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32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(Unaudited, in thousands, except per share data)</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25"/>
        </w:trPr>
        <w:tc>
          <w:tcPr>
            <w:tcW w:w="4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4"/>
          </w:tcPr>
          <w:p>
            <w:pPr>
              <w:spacing w:after="0"/>
              <w:rPr>
                <w:sz w:val="20"/>
                <w:szCs w:val="20"/>
                <w:color w:val="auto"/>
              </w:rPr>
            </w:pPr>
            <w:r>
              <w:rPr>
                <w:rFonts w:ascii="Arial" w:cs="Arial" w:eastAsia="Arial" w:hAnsi="Arial"/>
                <w:sz w:val="18"/>
                <w:szCs w:val="18"/>
                <w:b w:val="1"/>
                <w:bCs w:val="1"/>
                <w:color w:val="auto"/>
                <w:w w:val="93"/>
              </w:rPr>
              <w:t>Three Months Ended</w:t>
            </w:r>
          </w:p>
        </w:tc>
        <w:tc>
          <w:tcPr>
            <w:tcW w:w="60" w:type="dxa"/>
            <w:vAlign w:val="bottom"/>
          </w:tcPr>
          <w:p>
            <w:pPr>
              <w:spacing w:after="0"/>
              <w:rPr>
                <w:sz w:val="19"/>
                <w:szCs w:val="19"/>
                <w:color w:val="auto"/>
              </w:rPr>
            </w:pPr>
          </w:p>
        </w:tc>
        <w:tc>
          <w:tcPr>
            <w:tcW w:w="19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4"/>
              </w:rPr>
              <w:t>Twelve Months Ended</w:t>
            </w:r>
          </w:p>
        </w:tc>
        <w:tc>
          <w:tcPr>
            <w:tcW w:w="3260" w:type="dxa"/>
            <w:vAlign w:val="bottom"/>
          </w:tcPr>
          <w:p>
            <w:pPr>
              <w:spacing w:after="0"/>
              <w:rPr>
                <w:sz w:val="19"/>
                <w:szCs w:val="19"/>
                <w:color w:val="auto"/>
              </w:rPr>
            </w:pPr>
          </w:p>
        </w:tc>
      </w:tr>
      <w:tr>
        <w:trPr>
          <w:trHeight w:val="241"/>
        </w:trPr>
        <w:tc>
          <w:tcPr>
            <w:tcW w:w="4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3260" w:type="dxa"/>
            <w:vAlign w:val="bottom"/>
          </w:tcPr>
          <w:p>
            <w:pPr>
              <w:spacing w:after="0"/>
              <w:rPr>
                <w:sz w:val="20"/>
                <w:szCs w:val="20"/>
                <w:color w:val="auto"/>
              </w:rPr>
            </w:pPr>
          </w:p>
        </w:tc>
      </w:tr>
      <w:tr>
        <w:trPr>
          <w:trHeight w:val="237"/>
        </w:trPr>
        <w:tc>
          <w:tcPr>
            <w:tcW w:w="4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260" w:type="dxa"/>
            <w:vAlign w:val="bottom"/>
          </w:tcPr>
          <w:p>
            <w:pPr>
              <w:spacing w:after="0"/>
              <w:rPr>
                <w:sz w:val="20"/>
                <w:szCs w:val="20"/>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43"/>
        </w:trPr>
        <w:tc>
          <w:tcPr>
            <w:tcW w:w="4260" w:type="dxa"/>
            <w:vAlign w:val="bottom"/>
          </w:tcPr>
          <w:p>
            <w:pPr>
              <w:ind w:left="80"/>
              <w:spacing w:after="0"/>
              <w:rPr>
                <w:sz w:val="20"/>
                <w:szCs w:val="20"/>
                <w:color w:val="auto"/>
              </w:rPr>
            </w:pPr>
            <w:r>
              <w:rPr>
                <w:rFonts w:ascii="Arial" w:cs="Arial" w:eastAsia="Arial" w:hAnsi="Arial"/>
                <w:sz w:val="18"/>
                <w:szCs w:val="18"/>
                <w:color w:val="auto"/>
              </w:rPr>
              <w:t>Product revenues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451,393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556,601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1,889,173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89"/>
              </w:rPr>
              <w:t>2,220,395</w:t>
            </w:r>
          </w:p>
        </w:tc>
        <w:tc>
          <w:tcPr>
            <w:tcW w:w="3260" w:type="dxa"/>
            <w:vAlign w:val="bottom"/>
          </w:tcPr>
          <w:p>
            <w:pPr>
              <w:spacing w:after="0"/>
              <w:rPr>
                <w:sz w:val="21"/>
                <w:szCs w:val="21"/>
                <w:color w:val="auto"/>
              </w:rPr>
            </w:pPr>
          </w:p>
        </w:tc>
      </w:tr>
      <w:tr>
        <w:trPr>
          <w:trHeight w:val="256"/>
        </w:trPr>
        <w:tc>
          <w:tcPr>
            <w:tcW w:w="4260" w:type="dxa"/>
            <w:vAlign w:val="bottom"/>
          </w:tcPr>
          <w:p>
            <w:pPr>
              <w:ind w:left="80"/>
              <w:spacing w:after="0"/>
              <w:rPr>
                <w:sz w:val="20"/>
                <w:szCs w:val="20"/>
                <w:color w:val="auto"/>
              </w:rPr>
            </w:pPr>
            <w:r>
              <w:rPr>
                <w:rFonts w:ascii="Arial" w:cs="Arial" w:eastAsia="Arial" w:hAnsi="Arial"/>
                <w:sz w:val="18"/>
                <w:szCs w:val="18"/>
                <w:color w:val="auto"/>
              </w:rPr>
              <w:t>Service revenues</w:t>
            </w: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73,764</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71,782</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284,177</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282,075</w:t>
            </w:r>
          </w:p>
        </w:tc>
        <w:tc>
          <w:tcPr>
            <w:tcW w:w="3260" w:type="dxa"/>
            <w:vAlign w:val="bottom"/>
          </w:tcPr>
          <w:p>
            <w:pPr>
              <w:spacing w:after="0"/>
              <w:rPr>
                <w:sz w:val="22"/>
                <w:szCs w:val="22"/>
                <w:color w:val="auto"/>
              </w:rPr>
            </w:pPr>
          </w:p>
        </w:tc>
      </w:tr>
      <w:tr>
        <w:trPr>
          <w:trHeight w:val="237"/>
        </w:trPr>
        <w:tc>
          <w:tcPr>
            <w:tcW w:w="426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525,157</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628,383</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2,173,350</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2,502,470</w:t>
            </w:r>
          </w:p>
        </w:tc>
        <w:tc>
          <w:tcPr>
            <w:tcW w:w="3260" w:type="dxa"/>
            <w:vAlign w:val="bottom"/>
          </w:tcPr>
          <w:p>
            <w:pPr>
              <w:spacing w:after="0"/>
              <w:rPr>
                <w:sz w:val="20"/>
                <w:szCs w:val="20"/>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43"/>
        </w:trPr>
        <w:tc>
          <w:tcPr>
            <w:tcW w:w="4260" w:type="dxa"/>
            <w:vAlign w:val="bottom"/>
          </w:tcPr>
          <w:p>
            <w:pPr>
              <w:ind w:left="80"/>
              <w:spacing w:after="0"/>
              <w:rPr>
                <w:sz w:val="20"/>
                <w:szCs w:val="20"/>
                <w:color w:val="auto"/>
              </w:rPr>
            </w:pPr>
            <w:r>
              <w:rPr>
                <w:rFonts w:ascii="Arial" w:cs="Arial" w:eastAsia="Arial" w:hAnsi="Arial"/>
                <w:sz w:val="18"/>
                <w:szCs w:val="18"/>
                <w:color w:val="auto"/>
              </w:rPr>
              <w:t>Product cost of revenues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336,344</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410,797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1,408,615</w:t>
            </w:r>
          </w:p>
        </w:tc>
        <w:tc>
          <w:tcPr>
            <w:tcW w:w="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89"/>
              </w:rPr>
              <w:t>1,587,710</w:t>
            </w:r>
          </w:p>
        </w:tc>
        <w:tc>
          <w:tcPr>
            <w:tcW w:w="3260" w:type="dxa"/>
            <w:vAlign w:val="bottom"/>
          </w:tcPr>
          <w:p>
            <w:pPr>
              <w:spacing w:after="0"/>
              <w:rPr>
                <w:sz w:val="21"/>
                <w:szCs w:val="21"/>
                <w:color w:val="auto"/>
              </w:rPr>
            </w:pPr>
          </w:p>
        </w:tc>
      </w:tr>
      <w:tr>
        <w:trPr>
          <w:trHeight w:val="257"/>
        </w:trPr>
        <w:tc>
          <w:tcPr>
            <w:tcW w:w="4260" w:type="dxa"/>
            <w:vAlign w:val="bottom"/>
          </w:tcPr>
          <w:p>
            <w:pPr>
              <w:ind w:left="80"/>
              <w:spacing w:after="0"/>
              <w:rPr>
                <w:sz w:val="20"/>
                <w:szCs w:val="20"/>
                <w:color w:val="auto"/>
              </w:rPr>
            </w:pPr>
            <w:r>
              <w:rPr>
                <w:rFonts w:ascii="Arial" w:cs="Arial" w:eastAsia="Arial" w:hAnsi="Arial"/>
                <w:sz w:val="18"/>
                <w:szCs w:val="18"/>
                <w:color w:val="auto"/>
              </w:rPr>
              <w:t>Services cost of revenues</w:t>
            </w: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39,980</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40,148</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162,568</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162,441</w:t>
            </w:r>
          </w:p>
        </w:tc>
        <w:tc>
          <w:tcPr>
            <w:tcW w:w="3260" w:type="dxa"/>
            <w:vAlign w:val="bottom"/>
          </w:tcPr>
          <w:p>
            <w:pPr>
              <w:spacing w:after="0"/>
              <w:rPr>
                <w:sz w:val="22"/>
                <w:szCs w:val="22"/>
                <w:color w:val="auto"/>
              </w:rPr>
            </w:pPr>
          </w:p>
        </w:tc>
      </w:tr>
      <w:tr>
        <w:trPr>
          <w:trHeight w:val="237"/>
        </w:trPr>
        <w:tc>
          <w:tcPr>
            <w:tcW w:w="4260" w:type="dxa"/>
            <w:vAlign w:val="bottom"/>
          </w:tcPr>
          <w:p>
            <w:pPr>
              <w:ind w:left="200"/>
              <w:spacing w:after="0"/>
              <w:rPr>
                <w:sz w:val="20"/>
                <w:szCs w:val="20"/>
                <w:color w:val="auto"/>
              </w:rPr>
            </w:pPr>
            <w:r>
              <w:rPr>
                <w:rFonts w:ascii="Arial" w:cs="Arial" w:eastAsia="Arial" w:hAnsi="Arial"/>
                <w:sz w:val="18"/>
                <w:szCs w:val="18"/>
                <w:color w:val="auto"/>
              </w:rPr>
              <w:t>Total cost of revenues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376,324</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450,945</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1,571,183</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1,750,151</w:t>
            </w:r>
          </w:p>
        </w:tc>
        <w:tc>
          <w:tcPr>
            <w:tcW w:w="3260" w:type="dxa"/>
            <w:vAlign w:val="bottom"/>
          </w:tcPr>
          <w:p>
            <w:pPr>
              <w:spacing w:after="0"/>
              <w:rPr>
                <w:sz w:val="20"/>
                <w:szCs w:val="20"/>
                <w:color w:val="auto"/>
              </w:rPr>
            </w:pPr>
          </w:p>
        </w:tc>
      </w:tr>
      <w:tr>
        <w:trPr>
          <w:trHeight w:val="466"/>
        </w:trPr>
        <w:tc>
          <w:tcPr>
            <w:tcW w:w="4260" w:type="dxa"/>
            <w:vAlign w:val="bottom"/>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148,833</w:t>
            </w:r>
          </w:p>
        </w:tc>
        <w:tc>
          <w:tcPr>
            <w:tcW w:w="14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177,438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602,167</w:t>
            </w:r>
          </w:p>
        </w:tc>
        <w:tc>
          <w:tcPr>
            <w:tcW w:w="14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752,319</w:t>
            </w:r>
          </w:p>
        </w:tc>
        <w:tc>
          <w:tcPr>
            <w:tcW w:w="3260" w:type="dxa"/>
            <w:vAlign w:val="bottom"/>
          </w:tcPr>
          <w:p>
            <w:pPr>
              <w:spacing w:after="0"/>
              <w:rPr>
                <w:sz w:val="24"/>
                <w:szCs w:val="24"/>
                <w:color w:val="auto"/>
              </w:rPr>
            </w:pPr>
          </w:p>
        </w:tc>
      </w:tr>
      <w:tr>
        <w:trPr>
          <w:trHeight w:val="486"/>
        </w:trPr>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43"/>
        </w:trPr>
        <w:tc>
          <w:tcPr>
            <w:tcW w:w="4260" w:type="dxa"/>
            <w:vAlign w:val="bottom"/>
          </w:tcPr>
          <w:p>
            <w:pPr>
              <w:ind w:left="80"/>
              <w:spacing w:after="0"/>
              <w:rPr>
                <w:sz w:val="20"/>
                <w:szCs w:val="20"/>
                <w:color w:val="auto"/>
              </w:rPr>
            </w:pPr>
            <w:r>
              <w:rPr>
                <w:rFonts w:ascii="Arial" w:cs="Arial" w:eastAsia="Arial" w:hAnsi="Arial"/>
                <w:sz w:val="18"/>
                <w:szCs w:val="18"/>
                <w:color w:val="auto"/>
              </w:rPr>
              <w:t>Sales, general and administrative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61,902</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82,232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276,920</w:t>
            </w:r>
          </w:p>
        </w:tc>
        <w:tc>
          <w:tcPr>
            <w:tcW w:w="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346,872</w:t>
            </w:r>
          </w:p>
        </w:tc>
        <w:tc>
          <w:tcPr>
            <w:tcW w:w="3260" w:type="dxa"/>
            <w:vAlign w:val="bottom"/>
          </w:tcPr>
          <w:p>
            <w:pPr>
              <w:spacing w:after="0"/>
              <w:rPr>
                <w:sz w:val="21"/>
                <w:szCs w:val="21"/>
                <w:color w:val="auto"/>
              </w:rPr>
            </w:pPr>
          </w:p>
        </w:tc>
      </w:tr>
      <w:tr>
        <w:trPr>
          <w:trHeight w:val="243"/>
        </w:trPr>
        <w:tc>
          <w:tcPr>
            <w:tcW w:w="426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45,102</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51,649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194,101</w:t>
            </w:r>
          </w:p>
        </w:tc>
        <w:tc>
          <w:tcPr>
            <w:tcW w:w="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202,200</w:t>
            </w:r>
          </w:p>
        </w:tc>
        <w:tc>
          <w:tcPr>
            <w:tcW w:w="3260" w:type="dxa"/>
            <w:vAlign w:val="bottom"/>
          </w:tcPr>
          <w:p>
            <w:pPr>
              <w:spacing w:after="0"/>
              <w:rPr>
                <w:sz w:val="21"/>
                <w:szCs w:val="21"/>
                <w:color w:val="auto"/>
              </w:rPr>
            </w:pPr>
          </w:p>
        </w:tc>
      </w:tr>
      <w:tr>
        <w:trPr>
          <w:trHeight w:val="243"/>
        </w:trPr>
        <w:tc>
          <w:tcPr>
            <w:tcW w:w="4260" w:type="dxa"/>
            <w:vAlign w:val="bottom"/>
          </w:tcPr>
          <w:p>
            <w:pPr>
              <w:ind w:left="8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11,223</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16,101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44,711</w:t>
            </w:r>
          </w:p>
        </w:tc>
        <w:tc>
          <w:tcPr>
            <w:tcW w:w="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64,286</w:t>
            </w:r>
          </w:p>
        </w:tc>
        <w:tc>
          <w:tcPr>
            <w:tcW w:w="3260" w:type="dxa"/>
            <w:vAlign w:val="bottom"/>
          </w:tcPr>
          <w:p>
            <w:pPr>
              <w:spacing w:after="0"/>
              <w:rPr>
                <w:sz w:val="21"/>
                <w:szCs w:val="21"/>
                <w:color w:val="auto"/>
              </w:rPr>
            </w:pPr>
          </w:p>
        </w:tc>
      </w:tr>
      <w:tr>
        <w:trPr>
          <w:trHeight w:val="243"/>
        </w:trPr>
        <w:tc>
          <w:tcPr>
            <w:tcW w:w="4260" w:type="dxa"/>
            <w:vAlign w:val="bottom"/>
          </w:tcPr>
          <w:p>
            <w:pPr>
              <w:ind w:left="8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(4,518)</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37,013</w:t>
            </w:r>
          </w:p>
        </w:tc>
        <w:tc>
          <w:tcPr>
            <w:tcW w:w="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6,278</w:t>
            </w:r>
          </w:p>
        </w:tc>
        <w:tc>
          <w:tcPr>
            <w:tcW w:w="3260" w:type="dxa"/>
            <w:vAlign w:val="bottom"/>
          </w:tcPr>
          <w:p>
            <w:pPr>
              <w:spacing w:after="0"/>
              <w:rPr>
                <w:sz w:val="21"/>
                <w:szCs w:val="21"/>
                <w:color w:val="auto"/>
              </w:rPr>
            </w:pPr>
          </w:p>
        </w:tc>
      </w:tr>
      <w:tr>
        <w:trPr>
          <w:trHeight w:val="256"/>
        </w:trPr>
        <w:tc>
          <w:tcPr>
            <w:tcW w:w="4260" w:type="dxa"/>
            <w:vAlign w:val="bottom"/>
          </w:tcPr>
          <w:p>
            <w:pPr>
              <w:ind w:left="80"/>
              <w:spacing w:after="0"/>
              <w:rPr>
                <w:sz w:val="20"/>
                <w:szCs w:val="20"/>
                <w:color w:val="auto"/>
              </w:rPr>
            </w:pPr>
            <w:r>
              <w:rPr>
                <w:rFonts w:ascii="Arial" w:cs="Arial" w:eastAsia="Arial" w:hAnsi="Arial"/>
                <w:sz w:val="18"/>
                <w:szCs w:val="18"/>
                <w:color w:val="auto"/>
              </w:rPr>
              <w:t>Loss on sale of business</w:t>
            </w: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2,522</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59,817</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60" w:type="dxa"/>
            <w:vAlign w:val="bottom"/>
          </w:tcPr>
          <w:p>
            <w:pPr>
              <w:spacing w:after="0"/>
              <w:rPr>
                <w:sz w:val="22"/>
                <w:szCs w:val="22"/>
                <w:color w:val="auto"/>
              </w:rPr>
            </w:pPr>
          </w:p>
        </w:tc>
      </w:tr>
      <w:tr>
        <w:trPr>
          <w:trHeight w:val="237"/>
        </w:trPr>
        <w:tc>
          <w:tcPr>
            <w:tcW w:w="426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116,231</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148,575</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612,562</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619,636</w:t>
            </w:r>
          </w:p>
        </w:tc>
        <w:tc>
          <w:tcPr>
            <w:tcW w:w="3260" w:type="dxa"/>
            <w:vAlign w:val="bottom"/>
          </w:tcPr>
          <w:p>
            <w:pPr>
              <w:spacing w:after="0"/>
              <w:rPr>
                <w:sz w:val="20"/>
                <w:szCs w:val="20"/>
                <w:color w:val="auto"/>
              </w:rPr>
            </w:pPr>
          </w:p>
        </w:tc>
      </w:tr>
      <w:tr>
        <w:trPr>
          <w:trHeight w:val="466"/>
        </w:trPr>
        <w:tc>
          <w:tcPr>
            <w:tcW w:w="42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32,602</w:t>
            </w:r>
          </w:p>
        </w:tc>
        <w:tc>
          <w:tcPr>
            <w:tcW w:w="14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28,863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(10,395)</w:t>
            </w:r>
          </w:p>
        </w:tc>
        <w:tc>
          <w:tcPr>
            <w:tcW w:w="14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132,683</w:t>
            </w:r>
          </w:p>
        </w:tc>
        <w:tc>
          <w:tcPr>
            <w:tcW w:w="3260" w:type="dxa"/>
            <w:vAlign w:val="bottom"/>
          </w:tcPr>
          <w:p>
            <w:pPr>
              <w:spacing w:after="0"/>
              <w:rPr>
                <w:sz w:val="24"/>
                <w:szCs w:val="24"/>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60" w:type="dxa"/>
            <w:vAlign w:val="bottom"/>
          </w:tcPr>
          <w:p>
            <w:pPr>
              <w:spacing w:after="0"/>
              <w:rPr>
                <w:sz w:val="21"/>
                <w:szCs w:val="21"/>
                <w:color w:val="auto"/>
              </w:rPr>
            </w:pPr>
          </w:p>
        </w:tc>
      </w:tr>
      <w:tr>
        <w:trPr>
          <w:trHeight w:val="243"/>
        </w:trPr>
        <w:tc>
          <w:tcPr>
            <w:tcW w:w="426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470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2,998</w:t>
            </w:r>
          </w:p>
        </w:tc>
        <w:tc>
          <w:tcPr>
            <w:tcW w:w="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1,849</w:t>
            </w:r>
          </w:p>
        </w:tc>
        <w:tc>
          <w:tcPr>
            <w:tcW w:w="3260" w:type="dxa"/>
            <w:vAlign w:val="bottom"/>
          </w:tcPr>
          <w:p>
            <w:pPr>
              <w:spacing w:after="0"/>
              <w:rPr>
                <w:sz w:val="21"/>
                <w:szCs w:val="21"/>
                <w:color w:val="auto"/>
              </w:rPr>
            </w:pPr>
          </w:p>
        </w:tc>
      </w:tr>
      <w:tr>
        <w:trPr>
          <w:trHeight w:val="243"/>
        </w:trPr>
        <w:tc>
          <w:tcPr>
            <w:tcW w:w="426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(10,230)</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(12,554)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(44,001)</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(52,453)</w:t>
            </w:r>
          </w:p>
        </w:tc>
        <w:tc>
          <w:tcPr>
            <w:tcW w:w="3260" w:type="dxa"/>
            <w:vAlign w:val="bottom"/>
          </w:tcPr>
          <w:p>
            <w:pPr>
              <w:spacing w:after="0"/>
              <w:rPr>
                <w:sz w:val="21"/>
                <w:szCs w:val="21"/>
                <w:color w:val="auto"/>
              </w:rPr>
            </w:pPr>
          </w:p>
        </w:tc>
      </w:tr>
      <w:tr>
        <w:trPr>
          <w:trHeight w:val="256"/>
        </w:trPr>
        <w:tc>
          <w:tcPr>
            <w:tcW w:w="4260" w:type="dxa"/>
            <w:vAlign w:val="bottom"/>
          </w:tcPr>
          <w:p>
            <w:pPr>
              <w:ind w:left="8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(9,047)</w:t>
            </w:r>
          </w:p>
        </w:tc>
        <w:tc>
          <w:tcPr>
            <w:tcW w:w="3260" w:type="dxa"/>
            <w:vAlign w:val="bottom"/>
          </w:tcPr>
          <w:p>
            <w:pPr>
              <w:spacing w:after="0"/>
              <w:rPr>
                <w:sz w:val="22"/>
                <w:szCs w:val="22"/>
                <w:color w:val="auto"/>
              </w:rPr>
            </w:pPr>
          </w:p>
        </w:tc>
      </w:tr>
      <w:tr>
        <w:trPr>
          <w:trHeight w:val="237"/>
        </w:trPr>
        <w:tc>
          <w:tcPr>
            <w:tcW w:w="4260" w:type="dxa"/>
            <w:vAlign w:val="bottom"/>
          </w:tcPr>
          <w:p>
            <w:pPr>
              <w:ind w:left="200"/>
              <w:spacing w:after="0"/>
              <w:rPr>
                <w:sz w:val="20"/>
                <w:szCs w:val="20"/>
                <w:color w:val="auto"/>
              </w:rPr>
            </w:pPr>
            <w:r>
              <w:rPr>
                <w:rFonts w:ascii="Arial" w:cs="Arial" w:eastAsia="Arial" w:hAnsi="Arial"/>
                <w:sz w:val="18"/>
                <w:szCs w:val="18"/>
                <w:color w:val="auto"/>
              </w:rPr>
              <w:t>Total other income (expense)</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(11,224)</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(14,668)</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(46,244)</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(59,651)</w:t>
            </w:r>
          </w:p>
        </w:tc>
        <w:tc>
          <w:tcPr>
            <w:tcW w:w="3260" w:type="dxa"/>
            <w:vAlign w:val="bottom"/>
          </w:tcPr>
          <w:p>
            <w:pPr>
              <w:spacing w:after="0"/>
              <w:rPr>
                <w:sz w:val="20"/>
                <w:szCs w:val="20"/>
                <w:color w:val="auto"/>
              </w:rPr>
            </w:pPr>
          </w:p>
        </w:tc>
      </w:tr>
      <w:tr>
        <w:trPr>
          <w:trHeight w:val="466"/>
        </w:trPr>
        <w:tc>
          <w:tcPr>
            <w:tcW w:w="42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21,378</w:t>
            </w:r>
          </w:p>
        </w:tc>
        <w:tc>
          <w:tcPr>
            <w:tcW w:w="14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14,195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(56,639)</w:t>
            </w:r>
          </w:p>
        </w:tc>
        <w:tc>
          <w:tcPr>
            <w:tcW w:w="14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73,032</w:t>
            </w:r>
          </w:p>
        </w:tc>
        <w:tc>
          <w:tcPr>
            <w:tcW w:w="3260" w:type="dxa"/>
            <w:vAlign w:val="bottom"/>
          </w:tcPr>
          <w:p>
            <w:pPr>
              <w:spacing w:after="0"/>
              <w:rPr>
                <w:sz w:val="24"/>
                <w:szCs w:val="24"/>
                <w:color w:val="auto"/>
              </w:rPr>
            </w:pPr>
          </w:p>
        </w:tc>
      </w:tr>
      <w:tr>
        <w:trPr>
          <w:trHeight w:val="256"/>
        </w:trPr>
        <w:tc>
          <w:tcPr>
            <w:tcW w:w="42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(20,617)</w:t>
            </w:r>
          </w:p>
        </w:tc>
        <w:tc>
          <w:tcPr>
            <w:tcW w:w="3260" w:type="dxa"/>
            <w:vAlign w:val="bottom"/>
          </w:tcPr>
          <w:p>
            <w:pPr>
              <w:spacing w:after="0"/>
              <w:rPr>
                <w:sz w:val="22"/>
                <w:szCs w:val="22"/>
                <w:color w:val="auto"/>
              </w:rPr>
            </w:pP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21,506</w:t>
            </w:r>
          </w:p>
        </w:tc>
        <w:tc>
          <w:tcPr>
            <w:tcW w:w="14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14,270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(56,877)</w:t>
            </w:r>
          </w:p>
        </w:tc>
        <w:tc>
          <w:tcPr>
            <w:tcW w:w="1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52,415</w:t>
            </w:r>
          </w:p>
        </w:tc>
        <w:tc>
          <w:tcPr>
            <w:tcW w:w="3260" w:type="dxa"/>
            <w:vAlign w:val="bottom"/>
          </w:tcPr>
          <w:p>
            <w:pPr>
              <w:spacing w:after="0"/>
              <w:rPr>
                <w:sz w:val="19"/>
                <w:szCs w:val="19"/>
                <w:color w:val="auto"/>
              </w:rPr>
            </w:pPr>
          </w:p>
        </w:tc>
      </w:tr>
      <w:tr>
        <w:trPr>
          <w:trHeight w:val="256"/>
        </w:trPr>
        <w:tc>
          <w:tcPr>
            <w:tcW w:w="4260" w:type="dxa"/>
            <w:vAlign w:val="bottom"/>
          </w:tcPr>
          <w:p>
            <w:pPr>
              <w:ind w:left="80"/>
              <w:spacing w:after="0"/>
              <w:rPr>
                <w:sz w:val="20"/>
                <w:szCs w:val="20"/>
                <w:color w:val="auto"/>
              </w:rPr>
            </w:pPr>
            <w:r>
              <w:rPr>
                <w:rFonts w:ascii="Arial" w:cs="Arial" w:eastAsia="Arial" w:hAnsi="Arial"/>
                <w:sz w:val="18"/>
                <w:szCs w:val="18"/>
                <w:color w:val="auto"/>
                <w:w w:val="93"/>
              </w:rPr>
              <w:t>Net income (loss) attributable to noncontrolling interests</w:t>
            </w: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1,078</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3,409</w:t>
            </w:r>
          </w:p>
        </w:tc>
        <w:tc>
          <w:tcPr>
            <w:tcW w:w="3260" w:type="dxa"/>
            <w:vAlign w:val="bottom"/>
          </w:tcPr>
          <w:p>
            <w:pPr>
              <w:spacing w:after="0"/>
              <w:rPr>
                <w:sz w:val="22"/>
                <w:szCs w:val="22"/>
                <w:color w:val="auto"/>
              </w:rPr>
            </w:pPr>
          </w:p>
        </w:tc>
      </w:tr>
      <w:tr>
        <w:trPr>
          <w:trHeight w:val="237"/>
        </w:trPr>
        <w:tc>
          <w:tcPr>
            <w:tcW w:w="4260" w:type="dxa"/>
            <w:vAlign w:val="bottom"/>
          </w:tcPr>
          <w:p>
            <w:pPr>
              <w:spacing w:after="0"/>
              <w:rPr>
                <w:sz w:val="20"/>
                <w:szCs w:val="20"/>
                <w:color w:val="auto"/>
              </w:rPr>
            </w:pPr>
            <w:r>
              <w:rPr>
                <w:rFonts w:ascii="Arial" w:cs="Arial" w:eastAsia="Arial" w:hAnsi="Arial"/>
                <w:sz w:val="18"/>
                <w:szCs w:val="18"/>
                <w:color w:val="auto"/>
              </w:rPr>
              <w:t>Net income (loss) attributable to Itron, Inc.</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14,620</w:t>
            </w: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49,006</w:t>
            </w:r>
          </w:p>
        </w:tc>
        <w:tc>
          <w:tcPr>
            <w:tcW w:w="3260" w:type="dxa"/>
            <w:vAlign w:val="bottom"/>
          </w:tcPr>
          <w:p>
            <w:pPr>
              <w:spacing w:after="0"/>
              <w:rPr>
                <w:sz w:val="20"/>
                <w:szCs w:val="20"/>
                <w:color w:val="auto"/>
              </w:rPr>
            </w:pP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66"/>
        </w:trPr>
        <w:tc>
          <w:tcPr>
            <w:tcW w:w="4260" w:type="dxa"/>
            <w:vAlign w:val="bottom"/>
          </w:tcPr>
          <w:p>
            <w:pPr>
              <w:spacing w:after="0"/>
              <w:rPr>
                <w:sz w:val="20"/>
                <w:szCs w:val="20"/>
                <w:color w:val="auto"/>
              </w:rPr>
            </w:pPr>
            <w:r>
              <w:rPr>
                <w:rFonts w:ascii="Arial" w:cs="Arial" w:eastAsia="Arial" w:hAnsi="Arial"/>
                <w:sz w:val="18"/>
                <w:szCs w:val="18"/>
                <w:color w:val="auto"/>
              </w:rPr>
              <w:t>Net income (loss) per common share - Basic</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0.37</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1.24</w:t>
            </w:r>
          </w:p>
        </w:tc>
        <w:tc>
          <w:tcPr>
            <w:tcW w:w="3260" w:type="dxa"/>
            <w:vAlign w:val="bottom"/>
          </w:tcPr>
          <w:p>
            <w:pPr>
              <w:spacing w:after="0"/>
              <w:rPr>
                <w:sz w:val="24"/>
                <w:szCs w:val="24"/>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Net income (loss) per common share - Diluted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0.36</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1.23</w:t>
            </w:r>
          </w:p>
        </w:tc>
        <w:tc>
          <w:tcPr>
            <w:tcW w:w="326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53"/>
        </w:trPr>
        <w:tc>
          <w:tcPr>
            <w:tcW w:w="4260" w:type="dxa"/>
            <w:vAlign w:val="bottom"/>
          </w:tcPr>
          <w:p>
            <w:pPr>
              <w:spacing w:after="0"/>
              <w:rPr>
                <w:sz w:val="20"/>
                <w:szCs w:val="20"/>
                <w:color w:val="auto"/>
              </w:rPr>
            </w:pPr>
            <w:r>
              <w:rPr>
                <w:rFonts w:ascii="Arial" w:cs="Arial" w:eastAsia="Arial" w:hAnsi="Arial"/>
                <w:sz w:val="18"/>
                <w:szCs w:val="18"/>
                <w:color w:val="auto"/>
                <w:w w:val="96"/>
              </w:rPr>
              <w:t>Weighted average common shares outstanding - Basic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40,412</w:t>
            </w:r>
          </w:p>
        </w:tc>
        <w:tc>
          <w:tcPr>
            <w:tcW w:w="14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39,699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40,253</w:t>
            </w:r>
          </w:p>
        </w:tc>
        <w:tc>
          <w:tcPr>
            <w:tcW w:w="14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39,556</w:t>
            </w:r>
          </w:p>
        </w:tc>
        <w:tc>
          <w:tcPr>
            <w:tcW w:w="3260" w:type="dxa"/>
            <w:vAlign w:val="bottom"/>
          </w:tcPr>
          <w:p>
            <w:pPr>
              <w:spacing w:after="0"/>
              <w:rPr>
                <w:sz w:val="24"/>
                <w:szCs w:val="24"/>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w w:val="94"/>
              </w:rPr>
              <w:t>Weighted average common shares outstanding - Diluted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40,762</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40,267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40,253</w:t>
            </w:r>
          </w:p>
        </w:tc>
        <w:tc>
          <w:tcPr>
            <w:tcW w:w="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39,980</w:t>
            </w:r>
          </w:p>
        </w:tc>
        <w:tc>
          <w:tcPr>
            <w:tcW w:w="3260" w:type="dxa"/>
            <w:vAlign w:val="bottom"/>
          </w:tcPr>
          <w:p>
            <w:pPr>
              <w:spacing w:after="0"/>
              <w:rPr>
                <w:sz w:val="21"/>
                <w:szCs w:val="21"/>
                <w:color w:val="auto"/>
              </w:rPr>
            </w:pPr>
          </w:p>
        </w:tc>
      </w:tr>
      <w:tr>
        <w:trPr>
          <w:trHeight w:val="196"/>
        </w:trPr>
        <w:tc>
          <w:tcPr>
            <w:tcW w:w="4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35" w:right="339" w:bottom="1440" w:gutter="0" w:footer="0" w:header="0"/>
        </w:sectPr>
      </w:pPr>
    </w:p>
    <w:bookmarkStart w:id="8" w:name="page9"/>
    <w:bookmarkEnd w:id="8"/>
    <w:p>
      <w:pPr>
        <w:jc w:val="center"/>
        <w:ind w:right="556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5560"/>
        <w:spacing w:after="0"/>
        <w:rPr>
          <w:sz w:val="20"/>
          <w:szCs w:val="20"/>
          <w:color w:val="auto"/>
        </w:rPr>
      </w:pPr>
      <w:r>
        <w:rPr>
          <w:rFonts w:ascii="Arial" w:cs="Arial" w:eastAsia="Arial" w:hAnsi="Arial"/>
          <w:sz w:val="18"/>
          <w:szCs w:val="18"/>
          <w:b w:val="1"/>
          <w:bCs w:val="1"/>
          <w:color w:val="auto"/>
        </w:rPr>
        <w:t>SEGMENT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18"/>
                <w:szCs w:val="18"/>
                <w:color w:val="auto"/>
                <w:w w:val="95"/>
              </w:rPr>
              <w:t>(Unaudited, in thousands)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980" w:type="dxa"/>
            <w:vAlign w:val="bottom"/>
          </w:tcPr>
          <w:p>
            <w:pPr>
              <w:spacing w:after="0"/>
              <w:rPr>
                <w:sz w:val="19"/>
                <w:szCs w:val="19"/>
                <w:color w:val="auto"/>
              </w:rPr>
            </w:pPr>
          </w:p>
        </w:tc>
        <w:tc>
          <w:tcPr>
            <w:tcW w:w="1700" w:type="dxa"/>
            <w:vAlign w:val="bottom"/>
            <w:gridSpan w:val="4"/>
          </w:tcPr>
          <w:p>
            <w:pPr>
              <w:spacing w:after="0"/>
              <w:rPr>
                <w:sz w:val="20"/>
                <w:szCs w:val="20"/>
                <w:color w:val="auto"/>
              </w:rPr>
            </w:pPr>
            <w:r>
              <w:rPr>
                <w:rFonts w:ascii="Arial" w:cs="Arial" w:eastAsia="Arial" w:hAnsi="Arial"/>
                <w:sz w:val="18"/>
                <w:szCs w:val="18"/>
                <w:b w:val="1"/>
                <w:bCs w:val="1"/>
                <w:color w:val="auto"/>
                <w:w w:val="94"/>
              </w:rPr>
              <w:t>Three Months Ended</w:t>
            </w:r>
          </w:p>
        </w:tc>
        <w:tc>
          <w:tcPr>
            <w:tcW w:w="60" w:type="dxa"/>
            <w:vAlign w:val="bottom"/>
          </w:tcPr>
          <w:p>
            <w:pPr>
              <w:spacing w:after="0"/>
              <w:rPr>
                <w:sz w:val="19"/>
                <w:szCs w:val="19"/>
                <w:color w:val="auto"/>
              </w:rPr>
            </w:pPr>
          </w:p>
        </w:tc>
        <w:tc>
          <w:tcPr>
            <w:tcW w:w="19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4"/>
              </w:rPr>
              <w:t>Twelve Months Ended</w:t>
            </w:r>
          </w:p>
        </w:tc>
        <w:tc>
          <w:tcPr>
            <w:tcW w:w="5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80" w:type="dxa"/>
            <w:vAlign w:val="bottom"/>
          </w:tcPr>
          <w:p>
            <w:pPr>
              <w:spacing w:after="0"/>
              <w:rPr>
                <w:sz w:val="20"/>
                <w:szCs w:val="20"/>
                <w:color w:val="auto"/>
              </w:rPr>
            </w:pPr>
            <w:r>
              <w:rPr>
                <w:rFonts w:ascii="Arial" w:cs="Arial" w:eastAsia="Arial" w:hAnsi="Arial"/>
                <w:sz w:val="18"/>
                <w:szCs w:val="18"/>
                <w:b w:val="1"/>
                <w:bCs w:val="1"/>
                <w:color w:val="auto"/>
              </w:rPr>
              <w:t>Product Revenues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80"/>
              <w:spacing w:after="0"/>
              <w:rPr>
                <w:sz w:val="20"/>
                <w:szCs w:val="20"/>
                <w:color w:val="auto"/>
              </w:rPr>
            </w:pPr>
            <w:r>
              <w:rPr>
                <w:rFonts w:ascii="Arial" w:cs="Arial" w:eastAsia="Arial" w:hAnsi="Arial"/>
                <w:sz w:val="18"/>
                <w:szCs w:val="18"/>
                <w:color w:val="auto"/>
              </w:rPr>
              <w:t>Device Solutions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183,360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203,326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684,517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847,580</w:t>
            </w:r>
          </w:p>
        </w:tc>
        <w:tc>
          <w:tcPr>
            <w:tcW w:w="5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80"/>
              <w:spacing w:after="0"/>
              <w:rPr>
                <w:sz w:val="20"/>
                <w:szCs w:val="20"/>
                <w:color w:val="auto"/>
              </w:rPr>
            </w:pPr>
            <w:r>
              <w:rPr>
                <w:rFonts w:ascii="Arial" w:cs="Arial" w:eastAsia="Arial" w:hAnsi="Arial"/>
                <w:sz w:val="18"/>
                <w:szCs w:val="18"/>
                <w:color w:val="auto"/>
              </w:rPr>
              <w:t>Networked Solutions</w:t>
            </w:r>
          </w:p>
        </w:tc>
        <w:tc>
          <w:tcPr>
            <w:tcW w:w="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250,233</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344,123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1,148,698</w:t>
            </w:r>
          </w:p>
        </w:tc>
        <w:tc>
          <w:tcPr>
            <w:tcW w:w="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89"/>
              </w:rPr>
              <w:t>1,322,382</w:t>
            </w:r>
          </w:p>
        </w:tc>
        <w:tc>
          <w:tcPr>
            <w:tcW w:w="5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80" w:type="dxa"/>
            <w:vAlign w:val="bottom"/>
          </w:tcPr>
          <w:p>
            <w:pPr>
              <w:ind w:left="80"/>
              <w:spacing w:after="0"/>
              <w:rPr>
                <w:sz w:val="20"/>
                <w:szCs w:val="20"/>
                <w:color w:val="auto"/>
              </w:rPr>
            </w:pPr>
            <w:r>
              <w:rPr>
                <w:rFonts w:ascii="Arial" w:cs="Arial" w:eastAsia="Arial" w:hAnsi="Arial"/>
                <w:sz w:val="18"/>
                <w:szCs w:val="18"/>
                <w:color w:val="auto"/>
              </w:rPr>
              <w:t>Outcomes</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17,800</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9,152</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55,958</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50,433</w:t>
            </w:r>
          </w:p>
        </w:tc>
        <w:tc>
          <w:tcPr>
            <w:tcW w:w="5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160"/>
              <w:spacing w:after="0"/>
              <w:rPr>
                <w:sz w:val="20"/>
                <w:szCs w:val="20"/>
                <w:color w:val="auto"/>
              </w:rPr>
            </w:pPr>
            <w:r>
              <w:rPr>
                <w:rFonts w:ascii="Arial" w:cs="Arial" w:eastAsia="Arial" w:hAnsi="Arial"/>
                <w:sz w:val="18"/>
                <w:szCs w:val="18"/>
                <w:color w:val="auto"/>
              </w:rPr>
              <w:t>Total Company</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451,393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556,601</w:t>
            </w: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1,889,173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2,220,395</w:t>
            </w: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Service Revenues</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80"/>
              <w:spacing w:after="0"/>
              <w:rPr>
                <w:sz w:val="20"/>
                <w:szCs w:val="20"/>
                <w:color w:val="auto"/>
              </w:rPr>
            </w:pPr>
            <w:r>
              <w:rPr>
                <w:rFonts w:ascii="Arial" w:cs="Arial" w:eastAsia="Arial" w:hAnsi="Arial"/>
                <w:sz w:val="18"/>
                <w:szCs w:val="18"/>
                <w:color w:val="auto"/>
              </w:rPr>
              <w:t>Device Solutions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3,063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2,728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9,478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11,301</w:t>
            </w:r>
          </w:p>
        </w:tc>
        <w:tc>
          <w:tcPr>
            <w:tcW w:w="5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80"/>
              <w:spacing w:after="0"/>
              <w:rPr>
                <w:sz w:val="20"/>
                <w:szCs w:val="20"/>
                <w:color w:val="auto"/>
              </w:rPr>
            </w:pPr>
            <w:r>
              <w:rPr>
                <w:rFonts w:ascii="Arial" w:cs="Arial" w:eastAsia="Arial" w:hAnsi="Arial"/>
                <w:sz w:val="18"/>
                <w:szCs w:val="18"/>
                <w:color w:val="auto"/>
              </w:rPr>
              <w:t>Networked Solutions</w:t>
            </w:r>
          </w:p>
        </w:tc>
        <w:tc>
          <w:tcPr>
            <w:tcW w:w="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27,185</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24,567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100,704</w:t>
            </w:r>
          </w:p>
        </w:tc>
        <w:tc>
          <w:tcPr>
            <w:tcW w:w="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94,872</w:t>
            </w:r>
          </w:p>
        </w:tc>
        <w:tc>
          <w:tcPr>
            <w:tcW w:w="5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80" w:type="dxa"/>
            <w:vAlign w:val="bottom"/>
          </w:tcPr>
          <w:p>
            <w:pPr>
              <w:ind w:left="80"/>
              <w:spacing w:after="0"/>
              <w:rPr>
                <w:sz w:val="20"/>
                <w:szCs w:val="20"/>
                <w:color w:val="auto"/>
              </w:rPr>
            </w:pPr>
            <w:r>
              <w:rPr>
                <w:rFonts w:ascii="Arial" w:cs="Arial" w:eastAsia="Arial" w:hAnsi="Arial"/>
                <w:sz w:val="18"/>
                <w:szCs w:val="18"/>
                <w:color w:val="auto"/>
              </w:rPr>
              <w:t>Outcomes</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43,516</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44,487</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173,995</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175,902</w:t>
            </w:r>
          </w:p>
        </w:tc>
        <w:tc>
          <w:tcPr>
            <w:tcW w:w="5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160"/>
              <w:spacing w:after="0"/>
              <w:rPr>
                <w:sz w:val="20"/>
                <w:szCs w:val="20"/>
                <w:color w:val="auto"/>
              </w:rPr>
            </w:pPr>
            <w:r>
              <w:rPr>
                <w:rFonts w:ascii="Arial" w:cs="Arial" w:eastAsia="Arial" w:hAnsi="Arial"/>
                <w:sz w:val="18"/>
                <w:szCs w:val="18"/>
                <w:color w:val="auto"/>
              </w:rPr>
              <w:t>Total Company</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73,764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71,782</w:t>
            </w: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284,177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282,075</w:t>
            </w: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80"/>
              <w:spacing w:after="0"/>
              <w:rPr>
                <w:sz w:val="20"/>
                <w:szCs w:val="20"/>
                <w:color w:val="auto"/>
              </w:rPr>
            </w:pPr>
            <w:r>
              <w:rPr>
                <w:rFonts w:ascii="Arial" w:cs="Arial" w:eastAsia="Arial" w:hAnsi="Arial"/>
                <w:sz w:val="18"/>
                <w:szCs w:val="18"/>
                <w:color w:val="auto"/>
              </w:rPr>
              <w:t>Device Solutions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186,423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206,054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693,995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858,881</w:t>
            </w:r>
          </w:p>
        </w:tc>
        <w:tc>
          <w:tcPr>
            <w:tcW w:w="5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80"/>
              <w:spacing w:after="0"/>
              <w:rPr>
                <w:sz w:val="20"/>
                <w:szCs w:val="20"/>
                <w:color w:val="auto"/>
              </w:rPr>
            </w:pPr>
            <w:r>
              <w:rPr>
                <w:rFonts w:ascii="Arial" w:cs="Arial" w:eastAsia="Arial" w:hAnsi="Arial"/>
                <w:sz w:val="18"/>
                <w:szCs w:val="18"/>
                <w:color w:val="auto"/>
              </w:rPr>
              <w:t>Networked Solutions</w:t>
            </w:r>
          </w:p>
        </w:tc>
        <w:tc>
          <w:tcPr>
            <w:tcW w:w="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277,418</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368,690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1,249,402</w:t>
            </w:r>
          </w:p>
        </w:tc>
        <w:tc>
          <w:tcPr>
            <w:tcW w:w="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89"/>
              </w:rPr>
              <w:t>1,417,254</w:t>
            </w:r>
          </w:p>
        </w:tc>
        <w:tc>
          <w:tcPr>
            <w:tcW w:w="5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80" w:type="dxa"/>
            <w:vAlign w:val="bottom"/>
          </w:tcPr>
          <w:p>
            <w:pPr>
              <w:ind w:left="80"/>
              <w:spacing w:after="0"/>
              <w:rPr>
                <w:sz w:val="20"/>
                <w:szCs w:val="20"/>
                <w:color w:val="auto"/>
              </w:rPr>
            </w:pPr>
            <w:r>
              <w:rPr>
                <w:rFonts w:ascii="Arial" w:cs="Arial" w:eastAsia="Arial" w:hAnsi="Arial"/>
                <w:sz w:val="18"/>
                <w:szCs w:val="18"/>
                <w:color w:val="auto"/>
              </w:rPr>
              <w:t>Outcomes</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61,316</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53,639</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229,953</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226,335</w:t>
            </w:r>
          </w:p>
        </w:tc>
        <w:tc>
          <w:tcPr>
            <w:tcW w:w="5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160"/>
              <w:spacing w:after="0"/>
              <w:rPr>
                <w:sz w:val="20"/>
                <w:szCs w:val="20"/>
                <w:color w:val="auto"/>
              </w:rPr>
            </w:pPr>
            <w:r>
              <w:rPr>
                <w:rFonts w:ascii="Arial" w:cs="Arial" w:eastAsia="Arial" w:hAnsi="Arial"/>
                <w:sz w:val="18"/>
                <w:szCs w:val="18"/>
                <w:color w:val="auto"/>
              </w:rPr>
              <w:t>Total Company</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525,157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628,383</w:t>
            </w: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2,173,350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2,502,470</w:t>
            </w: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80"/>
              <w:spacing w:after="0"/>
              <w:rPr>
                <w:sz w:val="20"/>
                <w:szCs w:val="20"/>
                <w:color w:val="auto"/>
              </w:rPr>
            </w:pPr>
            <w:r>
              <w:rPr>
                <w:rFonts w:ascii="Arial" w:cs="Arial" w:eastAsia="Arial" w:hAnsi="Arial"/>
                <w:sz w:val="18"/>
                <w:szCs w:val="18"/>
                <w:color w:val="auto"/>
              </w:rPr>
              <w:t>Device Solutions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22,016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30,111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86,859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152,562</w:t>
            </w:r>
          </w:p>
        </w:tc>
        <w:tc>
          <w:tcPr>
            <w:tcW w:w="5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80"/>
              <w:spacing w:after="0"/>
              <w:rPr>
                <w:sz w:val="20"/>
                <w:szCs w:val="20"/>
                <w:color w:val="auto"/>
              </w:rPr>
            </w:pPr>
            <w:r>
              <w:rPr>
                <w:rFonts w:ascii="Arial" w:cs="Arial" w:eastAsia="Arial" w:hAnsi="Arial"/>
                <w:sz w:val="18"/>
                <w:szCs w:val="18"/>
                <w:color w:val="auto"/>
              </w:rPr>
              <w:t>Networked Solutions</w:t>
            </w:r>
          </w:p>
        </w:tc>
        <w:tc>
          <w:tcPr>
            <w:tcW w:w="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100,538</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130,032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432,906</w:t>
            </w:r>
          </w:p>
        </w:tc>
        <w:tc>
          <w:tcPr>
            <w:tcW w:w="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518,749</w:t>
            </w:r>
          </w:p>
        </w:tc>
        <w:tc>
          <w:tcPr>
            <w:tcW w:w="5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80" w:type="dxa"/>
            <w:vAlign w:val="bottom"/>
          </w:tcPr>
          <w:p>
            <w:pPr>
              <w:ind w:left="80"/>
              <w:spacing w:after="0"/>
              <w:rPr>
                <w:sz w:val="20"/>
                <w:szCs w:val="20"/>
                <w:color w:val="auto"/>
              </w:rPr>
            </w:pPr>
            <w:r>
              <w:rPr>
                <w:rFonts w:ascii="Arial" w:cs="Arial" w:eastAsia="Arial" w:hAnsi="Arial"/>
                <w:sz w:val="18"/>
                <w:szCs w:val="18"/>
                <w:color w:val="auto"/>
              </w:rPr>
              <w:t>Outcomes</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26,279</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17,295</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82,402</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81,008</w:t>
            </w:r>
          </w:p>
        </w:tc>
        <w:tc>
          <w:tcPr>
            <w:tcW w:w="5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160"/>
              <w:spacing w:after="0"/>
              <w:rPr>
                <w:sz w:val="20"/>
                <w:szCs w:val="20"/>
                <w:color w:val="auto"/>
              </w:rPr>
            </w:pPr>
            <w:r>
              <w:rPr>
                <w:rFonts w:ascii="Arial" w:cs="Arial" w:eastAsia="Arial" w:hAnsi="Arial"/>
                <w:sz w:val="18"/>
                <w:szCs w:val="18"/>
                <w:color w:val="auto"/>
              </w:rPr>
              <w:t>Total Company</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148,833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177,438</w:t>
            </w: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602,167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752,319</w:t>
            </w: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w w:val="95"/>
              </w:rPr>
              <w:t>Operating income (loss)</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80"/>
              <w:spacing w:after="0"/>
              <w:rPr>
                <w:sz w:val="20"/>
                <w:szCs w:val="20"/>
                <w:color w:val="auto"/>
              </w:rPr>
            </w:pPr>
            <w:r>
              <w:rPr>
                <w:rFonts w:ascii="Arial" w:cs="Arial" w:eastAsia="Arial" w:hAnsi="Arial"/>
                <w:sz w:val="18"/>
                <w:szCs w:val="18"/>
                <w:color w:val="auto"/>
              </w:rPr>
              <w:t>Device Solutions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12,674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16,036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40,769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97,753</w:t>
            </w:r>
          </w:p>
        </w:tc>
        <w:tc>
          <w:tcPr>
            <w:tcW w:w="5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80"/>
              <w:spacing w:after="0"/>
              <w:rPr>
                <w:sz w:val="20"/>
                <w:szCs w:val="20"/>
                <w:color w:val="auto"/>
              </w:rPr>
            </w:pPr>
            <w:r>
              <w:rPr>
                <w:rFonts w:ascii="Arial" w:cs="Arial" w:eastAsia="Arial" w:hAnsi="Arial"/>
                <w:sz w:val="18"/>
                <w:szCs w:val="18"/>
                <w:color w:val="auto"/>
              </w:rPr>
              <w:t>Networked Solutions</w:t>
            </w:r>
          </w:p>
        </w:tc>
        <w:tc>
          <w:tcPr>
            <w:tcW w:w="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70,633</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98,331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308,099</w:t>
            </w:r>
          </w:p>
        </w:tc>
        <w:tc>
          <w:tcPr>
            <w:tcW w:w="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397,325</w:t>
            </w:r>
          </w:p>
        </w:tc>
        <w:tc>
          <w:tcPr>
            <w:tcW w:w="5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tcPr>
          <w:p>
            <w:pPr>
              <w:ind w:left="80"/>
              <w:spacing w:after="0"/>
              <w:rPr>
                <w:sz w:val="20"/>
                <w:szCs w:val="20"/>
                <w:color w:val="auto"/>
              </w:rPr>
            </w:pPr>
            <w:r>
              <w:rPr>
                <w:rFonts w:ascii="Arial" w:cs="Arial" w:eastAsia="Arial" w:hAnsi="Arial"/>
                <w:sz w:val="18"/>
                <w:szCs w:val="18"/>
                <w:color w:val="auto"/>
              </w:rPr>
              <w:t>Outcomes</w:t>
            </w:r>
          </w:p>
        </w:tc>
        <w:tc>
          <w:tcPr>
            <w:tcW w:w="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18,151</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8,183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47,619</w:t>
            </w:r>
          </w:p>
        </w:tc>
        <w:tc>
          <w:tcPr>
            <w:tcW w:w="1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43,803</w:t>
            </w:r>
          </w:p>
        </w:tc>
        <w:tc>
          <w:tcPr>
            <w:tcW w:w="5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80" w:type="dxa"/>
            <w:vAlign w:val="bottom"/>
          </w:tcPr>
          <w:p>
            <w:pPr>
              <w:ind w:left="80"/>
              <w:spacing w:after="0"/>
              <w:rPr>
                <w:sz w:val="20"/>
                <w:szCs w:val="20"/>
                <w:color w:val="auto"/>
              </w:rPr>
            </w:pPr>
            <w:r>
              <w:rPr>
                <w:rFonts w:ascii="Arial" w:cs="Arial" w:eastAsia="Arial" w:hAnsi="Arial"/>
                <w:sz w:val="18"/>
                <w:szCs w:val="18"/>
                <w:color w:val="auto"/>
              </w:rPr>
              <w:t>Corporate unallocated</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(68,856)</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(93,687)</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(406,882)</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(406,198)</w:t>
            </w:r>
          </w:p>
        </w:tc>
        <w:tc>
          <w:tcPr>
            <w:tcW w:w="5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160"/>
              <w:spacing w:after="0"/>
              <w:rPr>
                <w:sz w:val="20"/>
                <w:szCs w:val="20"/>
                <w:color w:val="auto"/>
              </w:rPr>
            </w:pPr>
            <w:r>
              <w:rPr>
                <w:rFonts w:ascii="Arial" w:cs="Arial" w:eastAsia="Arial" w:hAnsi="Arial"/>
                <w:sz w:val="18"/>
                <w:szCs w:val="18"/>
                <w:color w:val="auto"/>
              </w:rPr>
              <w:t>Total Company</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28,863</w:t>
            </w: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132,683</w:t>
            </w: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sectPr>
      </w:pPr>
    </w:p>
    <w:bookmarkStart w:id="9" w:name="page10"/>
    <w:bookmarkEnd w:id="9"/>
    <w:p>
      <w:pPr>
        <w:jc w:val="center"/>
        <w:ind w:right="490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4900"/>
        <w:spacing w:after="0"/>
        <w:rPr>
          <w:sz w:val="20"/>
          <w:szCs w:val="20"/>
          <w:color w:val="auto"/>
        </w:rPr>
      </w:pPr>
      <w:r>
        <w:rPr>
          <w:rFonts w:ascii="Arial" w:cs="Arial" w:eastAsia="Arial" w:hAnsi="Arial"/>
          <w:sz w:val="18"/>
          <w:szCs w:val="18"/>
          <w:b w:val="1"/>
          <w:bCs w:val="1"/>
          <w:color w:val="auto"/>
        </w:rPr>
        <w:t>CONSOLIDATED BALANCE SHEETS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(Unaudited, in thousands)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December 31, 2020 December 31, 2019</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28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206,933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149,904</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8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369,828</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472,925</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182,377</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227,896</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Pr>
          <w:p>
            <w:pPr>
              <w:ind w:left="8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171,124</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146,526</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2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930,262</w:t>
            </w: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997,251</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207,816</w:t>
            </w:r>
          </w:p>
        </w:tc>
        <w:tc>
          <w:tcPr>
            <w:tcW w:w="44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233,228</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76,142</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63,899</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51,656</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44,686</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76,276</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79,773</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132,955</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185,097</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2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1,131,916</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1,103,907</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2,607,023</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2,707,841</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8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215,639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328,128</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8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72,591</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63,785</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80"/>
              <w:spacing w:after="0"/>
              <w:rPr>
                <w:sz w:val="20"/>
                <w:szCs w:val="20"/>
                <w:color w:val="auto"/>
              </w:rPr>
            </w:pPr>
            <w:r>
              <w:rPr>
                <w:rFonts w:ascii="Arial" w:cs="Arial" w:eastAsia="Arial" w:hAnsi="Arial"/>
                <w:sz w:val="18"/>
                <w:szCs w:val="18"/>
                <w:color w:val="auto"/>
              </w:rPr>
              <w:t>Wages and benefits payable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86,249</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119,220</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80"/>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15,804</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22,193</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80"/>
              <w:spacing w:after="0"/>
              <w:rPr>
                <w:sz w:val="20"/>
                <w:szCs w:val="20"/>
                <w:color w:val="auto"/>
              </w:rPr>
            </w:pPr>
            <w:r>
              <w:rPr>
                <w:rFonts w:ascii="Arial" w:cs="Arial" w:eastAsia="Arial" w:hAnsi="Arial"/>
                <w:sz w:val="18"/>
                <w:szCs w:val="18"/>
                <w:color w:val="auto"/>
              </w:rPr>
              <w:t>Current portion of debt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18,359</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80"/>
              <w:spacing w:after="0"/>
              <w:rPr>
                <w:sz w:val="20"/>
                <w:szCs w:val="20"/>
                <w:color w:val="auto"/>
              </w:rPr>
            </w:pPr>
            <w:r>
              <w:rPr>
                <w:rFonts w:ascii="Arial" w:cs="Arial" w:eastAsia="Arial" w:hAnsi="Arial"/>
                <w:sz w:val="18"/>
                <w:szCs w:val="18"/>
                <w:color w:val="auto"/>
              </w:rPr>
              <w:t>Current portion of warranty</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28,329</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38,509</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Pr>
          <w:p>
            <w:pPr>
              <w:ind w:left="80"/>
              <w:spacing w:after="0"/>
              <w:rPr>
                <w:sz w:val="20"/>
                <w:szCs w:val="20"/>
                <w:color w:val="auto"/>
              </w:rPr>
            </w:pPr>
            <w:r>
              <w:rPr>
                <w:rFonts w:ascii="Arial" w:cs="Arial" w:eastAsia="Arial" w:hAnsi="Arial"/>
                <w:sz w:val="18"/>
                <w:szCs w:val="18"/>
                <w:color w:val="auto"/>
              </w:rPr>
              <w:t>Unearned revenue</w:t>
            </w: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112,928</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99,556</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2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549,899</w:t>
            </w: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671,391</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320" w:type="dxa"/>
            <w:vAlign w:val="bottom"/>
          </w:tcPr>
          <w:p>
            <w:pPr>
              <w:spacing w:after="0"/>
              <w:rPr>
                <w:sz w:val="20"/>
                <w:szCs w:val="20"/>
                <w:color w:val="auto"/>
              </w:rPr>
            </w:pPr>
            <w:r>
              <w:rPr>
                <w:rFonts w:ascii="Arial" w:cs="Arial" w:eastAsia="Arial" w:hAnsi="Arial"/>
                <w:sz w:val="18"/>
                <w:szCs w:val="18"/>
                <w:color w:val="auto"/>
              </w:rPr>
              <w:t>Long-term debt, net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902,577</w:t>
            </w:r>
          </w:p>
        </w:tc>
        <w:tc>
          <w:tcPr>
            <w:tcW w:w="44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932,482</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Long-term warranty</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13,061</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14,732</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119,457</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98,712</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1,921</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1,809</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66,823</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68,919</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113,012</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118,981</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2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1,766,750</w:t>
            </w: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1,907,026</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320" w:type="dxa"/>
            <w:vAlign w:val="bottom"/>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8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1,389,419</w:t>
            </w:r>
          </w:p>
        </w:tc>
        <w:tc>
          <w:tcPr>
            <w:tcW w:w="44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1,357,600</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80"/>
              <w:spacing w:after="0"/>
              <w:rPr>
                <w:sz w:val="20"/>
                <w:szCs w:val="20"/>
                <w:color w:val="auto"/>
              </w:rPr>
            </w:pPr>
            <w:r>
              <w:rPr>
                <w:rFonts w:ascii="Arial" w:cs="Arial" w:eastAsia="Arial" w:hAnsi="Arial"/>
                <w:sz w:val="18"/>
                <w:szCs w:val="18"/>
                <w:color w:val="auto"/>
                <w:w w:val="92"/>
              </w:rPr>
              <w:t>Accumulated other comprehensive loss, net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(138,526)</w:t>
            </w:r>
          </w:p>
        </w:tc>
        <w:tc>
          <w:tcPr>
            <w:tcW w:w="4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(204,672)</w:t>
            </w:r>
          </w:p>
        </w:tc>
        <w:tc>
          <w:tcPr>
            <w:tcW w:w="4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20" w:type="dxa"/>
            <w:vAlign w:val="bottom"/>
          </w:tcPr>
          <w:p>
            <w:pPr>
              <w:ind w:left="8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(434,345)</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(376,390)</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20" w:type="dxa"/>
            <w:vAlign w:val="bottom"/>
          </w:tcPr>
          <w:p>
            <w:pPr>
              <w:ind w:left="140"/>
              <w:spacing w:after="0"/>
              <w:rPr>
                <w:sz w:val="20"/>
                <w:szCs w:val="20"/>
                <w:color w:val="auto"/>
              </w:rPr>
            </w:pPr>
            <w:r>
              <w:rPr>
                <w:rFonts w:ascii="Arial" w:cs="Arial" w:eastAsia="Arial" w:hAnsi="Arial"/>
                <w:sz w:val="18"/>
                <w:szCs w:val="18"/>
                <w:color w:val="auto"/>
              </w:rPr>
              <w:t>Total Itron, Inc. shareholders' equity</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816,548</w:t>
            </w: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776,538</w:t>
            </w: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320" w:type="dxa"/>
            <w:vAlign w:val="bottom"/>
          </w:tcPr>
          <w:p>
            <w:pPr>
              <w:ind w:left="8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23,725</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24,277</w:t>
            </w: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320" w:type="dxa"/>
            <w:vAlign w:val="bottom"/>
          </w:tcPr>
          <w:p>
            <w:pPr>
              <w:ind w:left="140"/>
              <w:spacing w:after="0"/>
              <w:rPr>
                <w:sz w:val="20"/>
                <w:szCs w:val="20"/>
                <w:color w:val="auto"/>
              </w:rPr>
            </w:pPr>
            <w:r>
              <w:rPr>
                <w:rFonts w:ascii="Arial" w:cs="Arial" w:eastAsia="Arial" w:hAnsi="Arial"/>
                <w:sz w:val="18"/>
                <w:szCs w:val="18"/>
                <w:color w:val="auto"/>
              </w:rPr>
              <w:t>Total equity</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840,273</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800,815</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14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2,607,023</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2,707,841</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sectPr>
      </w:pPr>
    </w:p>
    <w:bookmarkStart w:id="10" w:name="page11"/>
    <w:bookmarkEnd w:id="10"/>
    <w:p>
      <w:pPr>
        <w:jc w:val="center"/>
        <w:ind w:right="1979"/>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1979"/>
        <w:spacing w:after="0"/>
        <w:rPr>
          <w:sz w:val="20"/>
          <w:szCs w:val="20"/>
          <w:color w:val="auto"/>
        </w:rPr>
      </w:pPr>
      <w:r>
        <w:rPr>
          <w:rFonts w:ascii="Arial" w:cs="Arial" w:eastAsia="Arial" w:hAnsi="Arial"/>
          <w:sz w:val="17"/>
          <w:szCs w:val="17"/>
          <w:b w:val="1"/>
          <w:bCs w:val="1"/>
          <w:color w:val="auto"/>
        </w:rPr>
        <w:t>CONSOLIDATED STATEMENTS OF CASH FLOWS</w:t>
      </w:r>
    </w:p>
    <w:p>
      <w:pPr>
        <w:sectPr>
          <w:pgSz w:w="11900" w:h="16838" w:orient="portrait"/>
          <w:cols w:equalWidth="0" w:num="1">
            <w:col w:w="10139"/>
          </w:cols>
          <w:pgMar w:left="320" w:top="135"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(Unaudited, in thousands)</w:t>
      </w:r>
    </w:p>
    <w:p>
      <w:pPr>
        <w:spacing w:after="0" w:line="293" w:lineRule="exact"/>
        <w:rPr>
          <w:sz w:val="20"/>
          <w:szCs w:val="20"/>
          <w:color w:val="auto"/>
        </w:rPr>
      </w:pPr>
    </w:p>
    <w:p>
      <w:pPr>
        <w:jc w:val="center"/>
        <w:ind w:right="4940"/>
        <w:spacing w:after="0"/>
        <w:rPr>
          <w:sz w:val="20"/>
          <w:szCs w:val="20"/>
          <w:color w:val="auto"/>
        </w:rPr>
      </w:pPr>
      <w:r>
        <w:rPr>
          <w:rFonts w:ascii="Arial" w:cs="Arial" w:eastAsia="Arial" w:hAnsi="Arial"/>
          <w:sz w:val="16"/>
          <w:szCs w:val="16"/>
          <w:color w:val="auto"/>
        </w:rPr>
        <w:t>Operating activities</w:t>
      </w:r>
    </w:p>
    <w:p>
      <w:pPr>
        <w:spacing w:after="0" w:line="59" w:lineRule="exact"/>
        <w:rPr>
          <w:sz w:val="20"/>
          <w:szCs w:val="20"/>
          <w:color w:val="auto"/>
        </w:rPr>
      </w:pPr>
    </w:p>
    <w:p>
      <w:pPr>
        <w:jc w:val="center"/>
        <w:ind w:right="4940"/>
        <w:spacing w:after="0"/>
        <w:rPr>
          <w:sz w:val="20"/>
          <w:szCs w:val="20"/>
          <w:color w:val="auto"/>
        </w:rPr>
      </w:pPr>
      <w:r>
        <w:rPr>
          <w:rFonts w:ascii="Arial" w:cs="Arial" w:eastAsia="Arial" w:hAnsi="Arial"/>
          <w:sz w:val="18"/>
          <w:szCs w:val="18"/>
          <w:color w:val="auto"/>
        </w:rPr>
        <w:t>Net income (loss)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 of intangible assets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Non-cash operating lease expense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prepaid debt fees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taxes, net</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on sale of business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Restructuring, non-cash</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adjustments, net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 net of acquisitions: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Accounts receivable</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Inventories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Other current assets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Other long-term assets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Accounts payable, other current liabilities, and taxes payable</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Wages and benefits payable</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Unearned revenue</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Warranty</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Other operating, net</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cash provided by operating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proceeds related to the sale of business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Acquisitions of property, plant, and equipment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Other investing, net</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cash used in investing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Proceeds from borrowings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Payments on debt</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Issuance of common stock</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Repurchase of common stock</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Prepaid debt fees</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Other financing, net</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cash used in financing activities</w:t>
      </w:r>
    </w:p>
    <w:p>
      <w:pPr>
        <w:spacing w:after="0" w:line="293" w:lineRule="exact"/>
        <w:rPr>
          <w:sz w:val="20"/>
          <w:szCs w:val="20"/>
          <w:color w:val="auto"/>
        </w:rPr>
      </w:pPr>
    </w:p>
    <w:p>
      <w:pPr>
        <w:ind w:right="200"/>
        <w:spacing w:after="0" w:line="289" w:lineRule="auto"/>
        <w:rPr>
          <w:sz w:val="20"/>
          <w:szCs w:val="20"/>
          <w:color w:val="auto"/>
        </w:rPr>
      </w:pPr>
      <w:r>
        <w:rPr>
          <w:rFonts w:ascii="Arial" w:cs="Arial" w:eastAsia="Arial" w:hAnsi="Arial"/>
          <w:sz w:val="18"/>
          <w:szCs w:val="18"/>
          <w:color w:val="auto"/>
        </w:rPr>
        <w:t>Effect of foreign exchange rate changes on cash, cash equivalents, and restricted cash Increase in cash, cash equivalents, and restricted cash</w:t>
      </w:r>
    </w:p>
    <w:p>
      <w:pPr>
        <w:spacing w:after="0" w:line="1" w:lineRule="exact"/>
        <w:rPr>
          <w:sz w:val="20"/>
          <w:szCs w:val="20"/>
          <w:color w:val="auto"/>
        </w:rPr>
      </w:pPr>
    </w:p>
    <w:p>
      <w:pPr>
        <w:ind w:right="1660"/>
        <w:spacing w:after="0" w:line="430" w:lineRule="auto"/>
        <w:rPr>
          <w:sz w:val="20"/>
          <w:szCs w:val="20"/>
          <w:color w:val="auto"/>
        </w:rPr>
      </w:pPr>
      <w:r>
        <w:rPr>
          <w:rFonts w:ascii="Arial" w:cs="Arial" w:eastAsia="Arial" w:hAnsi="Arial"/>
          <w:sz w:val="16"/>
          <w:szCs w:val="16"/>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0883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11" w:lineRule="exact"/>
        <w:rPr>
          <w:sz w:val="20"/>
          <w:szCs w:val="20"/>
          <w:color w:val="auto"/>
        </w:rPr>
      </w:pPr>
    </w:p>
    <w:p>
      <w:pPr>
        <w:ind w:left="220"/>
        <w:spacing w:after="0"/>
        <w:tabs>
          <w:tab w:leader="none" w:pos="10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10883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(56,877) $  52,415</w:t>
      </w:r>
    </w:p>
    <w:p>
      <w:pPr>
        <w:spacing w:after="0" w:line="279" w:lineRule="exact"/>
        <w:rPr>
          <w:sz w:val="20"/>
          <w:szCs w:val="20"/>
          <w:color w:val="auto"/>
        </w:rPr>
      </w:pPr>
    </w:p>
    <w:p>
      <w:pPr>
        <w:ind w:left="220"/>
        <w:spacing w:after="0"/>
        <w:tabs>
          <w:tab w:leader="none" w:pos="940" w:val="left"/>
        </w:tabs>
        <w:rPr>
          <w:sz w:val="20"/>
          <w:szCs w:val="20"/>
          <w:color w:val="auto"/>
        </w:rPr>
      </w:pPr>
      <w:r>
        <w:rPr>
          <w:rFonts w:ascii="Arial" w:cs="Arial" w:eastAsia="Arial" w:hAnsi="Arial"/>
          <w:sz w:val="18"/>
          <w:szCs w:val="18"/>
          <w:color w:val="auto"/>
        </w:rPr>
        <w:t>97,290</w:t>
        <w:tab/>
        <w:t>114,400</w:t>
      </w:r>
    </w:p>
    <w:p>
      <w:pPr>
        <w:spacing w:after="0" w:line="36"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8"/>
          <w:szCs w:val="18"/>
          <w:color w:val="auto"/>
        </w:rPr>
        <w:t>18,178</w:t>
      </w:r>
      <w:r>
        <w:rPr>
          <w:sz w:val="20"/>
          <w:szCs w:val="20"/>
          <w:color w:val="auto"/>
        </w:rPr>
        <w:tab/>
      </w:r>
      <w:r>
        <w:rPr>
          <w:rFonts w:ascii="Arial" w:cs="Arial" w:eastAsia="Arial" w:hAnsi="Arial"/>
          <w:sz w:val="18"/>
          <w:szCs w:val="18"/>
          <w:color w:val="auto"/>
        </w:rPr>
        <w:t>18,958</w:t>
      </w:r>
    </w:p>
    <w:p>
      <w:pPr>
        <w:spacing w:after="0" w:line="36"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8"/>
          <w:szCs w:val="18"/>
          <w:color w:val="auto"/>
        </w:rPr>
        <w:t>25,053</w:t>
      </w:r>
      <w:r>
        <w:rPr>
          <w:sz w:val="20"/>
          <w:szCs w:val="20"/>
          <w:color w:val="auto"/>
        </w:rPr>
        <w:tab/>
      </w:r>
      <w:r>
        <w:rPr>
          <w:rFonts w:ascii="Arial" w:cs="Arial" w:eastAsia="Arial" w:hAnsi="Arial"/>
          <w:sz w:val="18"/>
          <w:szCs w:val="18"/>
          <w:color w:val="auto"/>
        </w:rPr>
        <w:t>26,960</w:t>
      </w:r>
    </w:p>
    <w:p>
      <w:pPr>
        <w:spacing w:after="0" w:line="36" w:lineRule="exact"/>
        <w:rPr>
          <w:sz w:val="20"/>
          <w:szCs w:val="20"/>
          <w:color w:val="auto"/>
        </w:rPr>
      </w:pPr>
    </w:p>
    <w:p>
      <w:pPr>
        <w:ind w:left="300"/>
        <w:spacing w:after="0"/>
        <w:tabs>
          <w:tab w:leader="none" w:pos="1120" w:val="left"/>
        </w:tabs>
        <w:rPr>
          <w:sz w:val="20"/>
          <w:szCs w:val="20"/>
          <w:color w:val="auto"/>
        </w:rPr>
      </w:pPr>
      <w:r>
        <w:rPr>
          <w:rFonts w:ascii="Arial" w:cs="Arial" w:eastAsia="Arial" w:hAnsi="Arial"/>
          <w:sz w:val="18"/>
          <w:szCs w:val="18"/>
          <w:color w:val="auto"/>
        </w:rPr>
        <w:t>4,130</w:t>
      </w:r>
      <w:r>
        <w:rPr>
          <w:sz w:val="20"/>
          <w:szCs w:val="20"/>
          <w:color w:val="auto"/>
        </w:rPr>
        <w:tab/>
      </w:r>
      <w:r>
        <w:rPr>
          <w:rFonts w:ascii="Arial" w:cs="Arial" w:eastAsia="Arial" w:hAnsi="Arial"/>
          <w:sz w:val="18"/>
          <w:szCs w:val="18"/>
          <w:color w:val="auto"/>
        </w:rPr>
        <w:t>5,631</w:t>
      </w:r>
    </w:p>
    <w:p>
      <w:pPr>
        <w:spacing w:after="0" w:line="36"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(12,939)</w:t>
      </w:r>
      <w:r>
        <w:rPr>
          <w:sz w:val="20"/>
          <w:szCs w:val="20"/>
          <w:color w:val="auto"/>
        </w:rPr>
        <w:tab/>
      </w:r>
      <w:r>
        <w:rPr>
          <w:rFonts w:ascii="Arial" w:cs="Arial" w:eastAsia="Arial" w:hAnsi="Arial"/>
          <w:sz w:val="18"/>
          <w:szCs w:val="18"/>
          <w:color w:val="auto"/>
        </w:rPr>
        <w:t>(192)</w:t>
      </w:r>
    </w:p>
    <w:p>
      <w:pPr>
        <w:spacing w:after="0" w:line="36"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8"/>
          <w:szCs w:val="18"/>
          <w:color w:val="auto"/>
        </w:rPr>
        <w:t>59,817</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jc w:val="both"/>
        <w:ind w:left="300"/>
        <w:spacing w:after="0"/>
        <w:tabs>
          <w:tab w:leader="none" w:pos="1060" w:val="left"/>
        </w:tabs>
        <w:rPr>
          <w:sz w:val="20"/>
          <w:szCs w:val="20"/>
          <w:color w:val="auto"/>
        </w:rPr>
      </w:pPr>
      <w:r>
        <w:rPr>
          <w:rFonts w:ascii="Arial" w:cs="Arial" w:eastAsia="Arial" w:hAnsi="Arial"/>
          <w:sz w:val="18"/>
          <w:szCs w:val="18"/>
          <w:color w:val="auto"/>
        </w:rPr>
        <w:t>5,888</w:t>
      </w:r>
      <w:r>
        <w:rPr>
          <w:sz w:val="20"/>
          <w:szCs w:val="20"/>
          <w:color w:val="auto"/>
        </w:rPr>
        <w:tab/>
      </w:r>
      <w:r>
        <w:rPr>
          <w:rFonts w:ascii="Arial" w:cs="Arial" w:eastAsia="Arial" w:hAnsi="Arial"/>
          <w:sz w:val="18"/>
          <w:szCs w:val="18"/>
          <w:color w:val="auto"/>
        </w:rPr>
        <w:t>(1,785)</w:t>
      </w:r>
    </w:p>
    <w:p>
      <w:pPr>
        <w:spacing w:after="0" w:line="36" w:lineRule="exact"/>
        <w:rPr>
          <w:sz w:val="20"/>
          <w:szCs w:val="20"/>
          <w:color w:val="auto"/>
        </w:rPr>
      </w:pPr>
    </w:p>
    <w:p>
      <w:pPr>
        <w:jc w:val="both"/>
        <w:ind w:left="220"/>
        <w:spacing w:after="0"/>
        <w:tabs>
          <w:tab w:leader="none" w:pos="1060" w:val="left"/>
        </w:tabs>
        <w:rPr>
          <w:sz w:val="20"/>
          <w:szCs w:val="20"/>
          <w:color w:val="auto"/>
        </w:rPr>
      </w:pPr>
      <w:r>
        <w:rPr>
          <w:rFonts w:ascii="Arial" w:cs="Arial" w:eastAsia="Arial" w:hAnsi="Arial"/>
          <w:sz w:val="18"/>
          <w:szCs w:val="18"/>
          <w:color w:val="auto"/>
        </w:rPr>
        <w:t>10,392</w:t>
      </w:r>
      <w:r>
        <w:rPr>
          <w:sz w:val="20"/>
          <w:szCs w:val="20"/>
          <w:color w:val="auto"/>
        </w:rPr>
        <w:tab/>
      </w:r>
      <w:r>
        <w:rPr>
          <w:rFonts w:ascii="Arial" w:cs="Arial" w:eastAsia="Arial" w:hAnsi="Arial"/>
          <w:sz w:val="18"/>
          <w:szCs w:val="18"/>
          <w:color w:val="auto"/>
        </w:rPr>
        <w:t>(4,295)</w:t>
      </w:r>
    </w:p>
    <w:p>
      <w:pPr>
        <w:spacing w:after="0" w:line="279" w:lineRule="exact"/>
        <w:rPr>
          <w:sz w:val="20"/>
          <w:szCs w:val="20"/>
          <w:color w:val="auto"/>
        </w:rPr>
      </w:pPr>
    </w:p>
    <w:p>
      <w:pPr>
        <w:jc w:val="both"/>
        <w:ind w:left="120"/>
        <w:spacing w:after="0"/>
        <w:tabs>
          <w:tab w:leader="none" w:pos="980" w:val="left"/>
        </w:tabs>
        <w:rPr>
          <w:sz w:val="20"/>
          <w:szCs w:val="20"/>
          <w:color w:val="auto"/>
        </w:rPr>
      </w:pPr>
      <w:r>
        <w:rPr>
          <w:rFonts w:ascii="Arial" w:cs="Arial" w:eastAsia="Arial" w:hAnsi="Arial"/>
          <w:sz w:val="18"/>
          <w:szCs w:val="18"/>
          <w:color w:val="auto"/>
        </w:rPr>
        <w:t>108,256</w:t>
      </w:r>
      <w:r>
        <w:rPr>
          <w:sz w:val="20"/>
          <w:szCs w:val="20"/>
          <w:color w:val="auto"/>
        </w:rPr>
        <w:tab/>
      </w:r>
      <w:r>
        <w:rPr>
          <w:rFonts w:ascii="Arial" w:cs="Arial" w:eastAsia="Arial" w:hAnsi="Arial"/>
          <w:sz w:val="18"/>
          <w:szCs w:val="18"/>
          <w:color w:val="auto"/>
        </w:rPr>
        <w:t>(39,467)</w:t>
      </w:r>
    </w:p>
    <w:p>
      <w:pPr>
        <w:spacing w:after="0" w:line="36" w:lineRule="exact"/>
        <w:rPr>
          <w:sz w:val="20"/>
          <w:szCs w:val="20"/>
          <w:color w:val="auto"/>
        </w:rPr>
      </w:pPr>
    </w:p>
    <w:p>
      <w:pPr>
        <w:jc w:val="both"/>
        <w:ind w:left="220"/>
        <w:spacing w:after="0"/>
        <w:tabs>
          <w:tab w:leader="none" w:pos="1060" w:val="left"/>
        </w:tabs>
        <w:rPr>
          <w:sz w:val="20"/>
          <w:szCs w:val="20"/>
          <w:color w:val="auto"/>
        </w:rPr>
      </w:pPr>
      <w:r>
        <w:rPr>
          <w:rFonts w:ascii="Arial" w:cs="Arial" w:eastAsia="Arial" w:hAnsi="Arial"/>
          <w:sz w:val="18"/>
          <w:szCs w:val="18"/>
          <w:color w:val="auto"/>
        </w:rPr>
        <w:t>35,403</w:t>
      </w:r>
      <w:r>
        <w:rPr>
          <w:sz w:val="20"/>
          <w:szCs w:val="20"/>
          <w:color w:val="auto"/>
        </w:rPr>
        <w:tab/>
      </w:r>
      <w:r>
        <w:rPr>
          <w:rFonts w:ascii="Arial" w:cs="Arial" w:eastAsia="Arial" w:hAnsi="Arial"/>
          <w:sz w:val="18"/>
          <w:szCs w:val="18"/>
          <w:color w:val="auto"/>
        </w:rPr>
        <w:t>(9,389)</w:t>
      </w:r>
    </w:p>
    <w:p>
      <w:pPr>
        <w:spacing w:after="0" w:line="36" w:lineRule="exact"/>
        <w:rPr>
          <w:sz w:val="20"/>
          <w:szCs w:val="20"/>
          <w:color w:val="auto"/>
        </w:rPr>
      </w:pPr>
    </w:p>
    <w:p>
      <w:pPr>
        <w:ind w:left="160"/>
        <w:spacing w:after="0"/>
        <w:tabs>
          <w:tab w:leader="none" w:pos="980" w:val="left"/>
        </w:tabs>
        <w:rPr>
          <w:sz w:val="20"/>
          <w:szCs w:val="20"/>
          <w:color w:val="auto"/>
        </w:rPr>
      </w:pPr>
      <w:r>
        <w:rPr>
          <w:rFonts w:ascii="Arial" w:cs="Arial" w:eastAsia="Arial" w:hAnsi="Arial"/>
          <w:sz w:val="18"/>
          <w:szCs w:val="18"/>
          <w:color w:val="auto"/>
        </w:rPr>
        <w:t>(11,832)</w:t>
        <w:tab/>
        <w:t>(31,128)</w:t>
      </w:r>
    </w:p>
    <w:p>
      <w:pPr>
        <w:spacing w:after="0" w:line="36" w:lineRule="exact"/>
        <w:rPr>
          <w:sz w:val="20"/>
          <w:szCs w:val="20"/>
          <w:color w:val="auto"/>
        </w:rPr>
      </w:pPr>
    </w:p>
    <w:p>
      <w:pPr>
        <w:ind w:left="160"/>
        <w:spacing w:after="0"/>
        <w:tabs>
          <w:tab w:leader="none" w:pos="1120" w:val="left"/>
        </w:tabs>
        <w:rPr>
          <w:sz w:val="20"/>
          <w:szCs w:val="20"/>
          <w:color w:val="auto"/>
        </w:rPr>
      </w:pPr>
      <w:r>
        <w:rPr>
          <w:rFonts w:ascii="Arial" w:cs="Arial" w:eastAsia="Arial" w:hAnsi="Arial"/>
          <w:sz w:val="18"/>
          <w:szCs w:val="18"/>
          <w:color w:val="auto"/>
        </w:rPr>
        <w:t>(11,391)</w:t>
      </w:r>
      <w:r>
        <w:rPr>
          <w:sz w:val="20"/>
          <w:szCs w:val="20"/>
          <w:color w:val="auto"/>
        </w:rPr>
        <w:tab/>
      </w:r>
      <w:r>
        <w:rPr>
          <w:rFonts w:ascii="Arial" w:cs="Arial" w:eastAsia="Arial" w:hAnsi="Arial"/>
          <w:sz w:val="18"/>
          <w:szCs w:val="18"/>
          <w:color w:val="auto"/>
        </w:rPr>
        <w:t>7,053</w:t>
      </w:r>
    </w:p>
    <w:p>
      <w:pPr>
        <w:spacing w:after="0" w:line="36" w:lineRule="exact"/>
        <w:rPr>
          <w:sz w:val="20"/>
          <w:szCs w:val="20"/>
          <w:color w:val="auto"/>
        </w:rPr>
      </w:pPr>
    </w:p>
    <w:p>
      <w:pPr>
        <w:ind w:left="80"/>
        <w:spacing w:after="0"/>
        <w:tabs>
          <w:tab w:leader="none" w:pos="1120" w:val="left"/>
        </w:tabs>
        <w:rPr>
          <w:sz w:val="20"/>
          <w:szCs w:val="20"/>
          <w:color w:val="auto"/>
        </w:rPr>
      </w:pPr>
      <w:r>
        <w:rPr>
          <w:rFonts w:ascii="Arial" w:cs="Arial" w:eastAsia="Arial" w:hAnsi="Arial"/>
          <w:sz w:val="18"/>
          <w:szCs w:val="18"/>
          <w:color w:val="auto"/>
        </w:rPr>
        <w:t>(111,724)</w:t>
      </w:r>
      <w:r>
        <w:rPr>
          <w:sz w:val="20"/>
          <w:szCs w:val="20"/>
          <w:color w:val="auto"/>
        </w:rPr>
        <w:tab/>
      </w:r>
      <w:r>
        <w:rPr>
          <w:rFonts w:ascii="Arial" w:cs="Arial" w:eastAsia="Arial" w:hAnsi="Arial"/>
          <w:sz w:val="18"/>
          <w:szCs w:val="18"/>
          <w:color w:val="auto"/>
        </w:rPr>
        <w:t>9,177</w:t>
      </w:r>
    </w:p>
    <w:p>
      <w:pPr>
        <w:spacing w:after="0" w:line="36"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color w:val="auto"/>
        </w:rPr>
        <w:t>(34,664)</w:t>
      </w:r>
      <w:r>
        <w:rPr>
          <w:sz w:val="20"/>
          <w:szCs w:val="20"/>
          <w:color w:val="auto"/>
        </w:rPr>
        <w:tab/>
      </w:r>
      <w:r>
        <w:rPr>
          <w:rFonts w:ascii="Arial" w:cs="Arial" w:eastAsia="Arial" w:hAnsi="Arial"/>
          <w:sz w:val="18"/>
          <w:szCs w:val="18"/>
          <w:color w:val="auto"/>
        </w:rPr>
        <w:t>30,835</w:t>
      </w:r>
    </w:p>
    <w:p>
      <w:pPr>
        <w:spacing w:after="0" w:line="36" w:lineRule="exact"/>
        <w:rPr>
          <w:sz w:val="20"/>
          <w:szCs w:val="20"/>
          <w:color w:val="auto"/>
        </w:rPr>
      </w:pPr>
    </w:p>
    <w:p>
      <w:pPr>
        <w:ind w:left="300"/>
        <w:spacing w:after="0"/>
        <w:tabs>
          <w:tab w:leader="none" w:pos="1120" w:val="left"/>
        </w:tabs>
        <w:rPr>
          <w:sz w:val="20"/>
          <w:szCs w:val="20"/>
          <w:color w:val="auto"/>
        </w:rPr>
      </w:pPr>
      <w:r>
        <w:rPr>
          <w:rFonts w:ascii="Arial" w:cs="Arial" w:eastAsia="Arial" w:hAnsi="Arial"/>
          <w:sz w:val="18"/>
          <w:szCs w:val="18"/>
          <w:color w:val="auto"/>
        </w:rPr>
        <w:t>8,212</w:t>
      </w:r>
      <w:r>
        <w:rPr>
          <w:sz w:val="20"/>
          <w:szCs w:val="20"/>
          <w:color w:val="auto"/>
        </w:rPr>
        <w:tab/>
      </w:r>
      <w:r>
        <w:rPr>
          <w:rFonts w:ascii="Arial" w:cs="Arial" w:eastAsia="Arial" w:hAnsi="Arial"/>
          <w:sz w:val="18"/>
          <w:szCs w:val="18"/>
          <w:color w:val="auto"/>
        </w:rPr>
        <w:t>8,905</w:t>
      </w:r>
    </w:p>
    <w:p>
      <w:pPr>
        <w:spacing w:after="0" w:line="36"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color w:val="auto"/>
        </w:rPr>
        <w:t>(13,538)</w:t>
      </w:r>
      <w:r>
        <w:rPr>
          <w:sz w:val="20"/>
          <w:szCs w:val="20"/>
          <w:color w:val="auto"/>
        </w:rPr>
        <w:tab/>
      </w:r>
      <w:r>
        <w:rPr>
          <w:rFonts w:ascii="Arial" w:cs="Arial" w:eastAsia="Arial" w:hAnsi="Arial"/>
          <w:sz w:val="18"/>
          <w:szCs w:val="18"/>
          <w:color w:val="auto"/>
        </w:rPr>
        <w:t>(6,637)</w:t>
      </w:r>
    </w:p>
    <w:p>
      <w:pPr>
        <w:spacing w:after="0" w:line="36"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18"/>
          <w:szCs w:val="18"/>
          <w:color w:val="auto"/>
        </w:rPr>
        <w:t>(10,140)</w:t>
      </w:r>
      <w:r>
        <w:rPr>
          <w:sz w:val="20"/>
          <w:szCs w:val="20"/>
          <w:color w:val="auto"/>
        </w:rPr>
        <w:tab/>
      </w:r>
      <w:r>
        <w:rPr>
          <w:rFonts w:ascii="Arial" w:cs="Arial" w:eastAsia="Arial" w:hAnsi="Arial"/>
          <w:sz w:val="18"/>
          <w:szCs w:val="18"/>
          <w:color w:val="auto"/>
        </w:rPr>
        <w:t>(8,601)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088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30"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109,514</w:t>
        <w:tab/>
        <w:t>172,840</w:t>
      </w:r>
    </w:p>
    <w:p>
      <w:pPr>
        <w:spacing w:after="0" w:line="200" w:lineRule="exact"/>
        <w:rPr>
          <w:sz w:val="20"/>
          <w:szCs w:val="20"/>
          <w:color w:val="auto"/>
        </w:rPr>
      </w:pPr>
    </w:p>
    <w:p>
      <w:pPr>
        <w:spacing w:after="0" w:line="322"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8"/>
          <w:szCs w:val="18"/>
          <w:color w:val="auto"/>
        </w:rPr>
        <w:t>1,133</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jc w:val="both"/>
        <w:ind w:left="160"/>
        <w:spacing w:after="0"/>
        <w:tabs>
          <w:tab w:leader="none" w:pos="980" w:val="left"/>
        </w:tabs>
        <w:rPr>
          <w:sz w:val="20"/>
          <w:szCs w:val="20"/>
          <w:color w:val="auto"/>
        </w:rPr>
      </w:pPr>
      <w:r>
        <w:rPr>
          <w:rFonts w:ascii="Arial" w:cs="Arial" w:eastAsia="Arial" w:hAnsi="Arial"/>
          <w:sz w:val="18"/>
          <w:szCs w:val="18"/>
          <w:color w:val="auto"/>
        </w:rPr>
        <w:t>(46,208)</w:t>
        <w:tab/>
        <w:t>(60,749)</w:t>
      </w:r>
    </w:p>
    <w:p>
      <w:pPr>
        <w:spacing w:after="0" w:line="36" w:lineRule="exact"/>
        <w:rPr>
          <w:sz w:val="20"/>
          <w:szCs w:val="20"/>
          <w:color w:val="auto"/>
        </w:rPr>
      </w:pPr>
    </w:p>
    <w:p>
      <w:pPr>
        <w:jc w:val="both"/>
        <w:ind w:left="300"/>
        <w:spacing w:after="0"/>
        <w:tabs>
          <w:tab w:leader="none" w:pos="1040" w:val="left"/>
        </w:tabs>
        <w:rPr>
          <w:sz w:val="20"/>
          <w:szCs w:val="20"/>
          <w:color w:val="auto"/>
        </w:rPr>
      </w:pPr>
      <w:r>
        <w:rPr>
          <w:rFonts w:ascii="Arial" w:cs="Arial" w:eastAsia="Arial" w:hAnsi="Arial"/>
          <w:sz w:val="18"/>
          <w:szCs w:val="18"/>
          <w:color w:val="auto"/>
        </w:rPr>
        <w:t>4,039</w:t>
      </w:r>
      <w:r>
        <w:rPr>
          <w:sz w:val="20"/>
          <w:szCs w:val="20"/>
          <w:color w:val="auto"/>
        </w:rPr>
        <w:tab/>
      </w:r>
      <w:r>
        <w:rPr>
          <w:rFonts w:ascii="Arial" w:cs="Arial" w:eastAsia="Arial" w:hAnsi="Arial"/>
          <w:sz w:val="18"/>
          <w:szCs w:val="18"/>
          <w:color w:val="auto"/>
        </w:rPr>
        <w:t>12,569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0883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8390" cy="8890"/>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980" w:val="left"/>
        </w:tabs>
        <w:rPr>
          <w:sz w:val="20"/>
          <w:szCs w:val="20"/>
          <w:color w:val="auto"/>
        </w:rPr>
      </w:pPr>
      <w:r>
        <w:rPr>
          <w:rFonts w:ascii="Arial" w:cs="Arial" w:eastAsia="Arial" w:hAnsi="Arial"/>
          <w:sz w:val="18"/>
          <w:szCs w:val="18"/>
          <w:color w:val="auto"/>
        </w:rPr>
        <w:t>(41,036)</w:t>
        <w:tab/>
        <w:t>(48,180)</w:t>
      </w:r>
    </w:p>
    <w:p>
      <w:pPr>
        <w:spacing w:after="0" w:line="200" w:lineRule="exact"/>
        <w:rPr>
          <w:sz w:val="20"/>
          <w:szCs w:val="20"/>
          <w:color w:val="auto"/>
        </w:rPr>
      </w:pPr>
    </w:p>
    <w:p>
      <w:pPr>
        <w:spacing w:after="0" w:line="322" w:lineRule="exact"/>
        <w:rPr>
          <w:sz w:val="20"/>
          <w:szCs w:val="20"/>
          <w:color w:val="auto"/>
        </w:rPr>
      </w:pPr>
    </w:p>
    <w:p>
      <w:pPr>
        <w:jc w:val="both"/>
        <w:ind w:left="120"/>
        <w:spacing w:after="0"/>
        <w:tabs>
          <w:tab w:leader="none" w:pos="1040" w:val="left"/>
        </w:tabs>
        <w:rPr>
          <w:sz w:val="20"/>
          <w:szCs w:val="20"/>
          <w:color w:val="auto"/>
        </w:rPr>
      </w:pPr>
      <w:r>
        <w:rPr>
          <w:rFonts w:ascii="Arial" w:cs="Arial" w:eastAsia="Arial" w:hAnsi="Arial"/>
          <w:sz w:val="18"/>
          <w:szCs w:val="18"/>
          <w:color w:val="auto"/>
        </w:rPr>
        <w:t>400,000</w:t>
      </w:r>
      <w:r>
        <w:rPr>
          <w:sz w:val="20"/>
          <w:szCs w:val="20"/>
          <w:color w:val="auto"/>
        </w:rPr>
        <w:tab/>
      </w:r>
      <w:r>
        <w:rPr>
          <w:rFonts w:ascii="Arial" w:cs="Arial" w:eastAsia="Arial" w:hAnsi="Arial"/>
          <w:sz w:val="18"/>
          <w:szCs w:val="18"/>
          <w:color w:val="auto"/>
        </w:rPr>
        <w:t>50,000</w:t>
      </w:r>
    </w:p>
    <w:p>
      <w:pPr>
        <w:spacing w:after="0" w:line="36" w:lineRule="exact"/>
        <w:rPr>
          <w:sz w:val="20"/>
          <w:szCs w:val="20"/>
          <w:color w:val="auto"/>
        </w:rPr>
      </w:pPr>
    </w:p>
    <w:p>
      <w:pPr>
        <w:jc w:val="right"/>
        <w:ind w:right="2099"/>
        <w:spacing w:after="0"/>
        <w:rPr>
          <w:sz w:val="20"/>
          <w:szCs w:val="20"/>
          <w:color w:val="auto"/>
        </w:rPr>
      </w:pPr>
      <w:r>
        <w:rPr>
          <w:rFonts w:ascii="Arial" w:cs="Arial" w:eastAsia="Arial" w:hAnsi="Arial"/>
          <w:sz w:val="17"/>
          <w:szCs w:val="17"/>
          <w:color w:val="auto"/>
        </w:rPr>
        <w:t>(414,063)  (137,657)</w:t>
      </w:r>
    </w:p>
    <w:p>
      <w:pPr>
        <w:spacing w:after="0" w:line="48" w:lineRule="exact"/>
        <w:rPr>
          <w:sz w:val="20"/>
          <w:szCs w:val="20"/>
          <w:color w:val="auto"/>
        </w:rPr>
      </w:pPr>
    </w:p>
    <w:p>
      <w:pPr>
        <w:jc w:val="both"/>
        <w:ind w:left="300"/>
        <w:spacing w:after="0"/>
        <w:tabs>
          <w:tab w:leader="none" w:pos="1040" w:val="left"/>
        </w:tabs>
        <w:rPr>
          <w:sz w:val="20"/>
          <w:szCs w:val="20"/>
          <w:color w:val="auto"/>
        </w:rPr>
      </w:pPr>
      <w:r>
        <w:rPr>
          <w:rFonts w:ascii="Arial" w:cs="Arial" w:eastAsia="Arial" w:hAnsi="Arial"/>
          <w:sz w:val="18"/>
          <w:szCs w:val="18"/>
          <w:color w:val="auto"/>
        </w:rPr>
        <w:t>8,886</w:t>
      </w:r>
      <w:r>
        <w:rPr>
          <w:sz w:val="20"/>
          <w:szCs w:val="20"/>
          <w:color w:val="auto"/>
        </w:rPr>
        <w:tab/>
      </w:r>
      <w:r>
        <w:rPr>
          <w:rFonts w:ascii="Arial" w:cs="Arial" w:eastAsia="Arial" w:hAnsi="Arial"/>
          <w:sz w:val="18"/>
          <w:szCs w:val="18"/>
          <w:color w:val="auto"/>
        </w:rPr>
        <w:t>24,390</w:t>
      </w:r>
    </w:p>
    <w:p>
      <w:pPr>
        <w:spacing w:after="0" w:line="36" w:lineRule="exact"/>
        <w:rPr>
          <w:sz w:val="20"/>
          <w:szCs w:val="20"/>
          <w:color w:val="auto"/>
        </w:rPr>
      </w:pPr>
    </w:p>
    <w:p>
      <w:pPr>
        <w:jc w:val="both"/>
        <w:ind w:left="240" w:right="2099" w:firstLine="285"/>
        <w:spacing w:after="0" w:line="281" w:lineRule="auto"/>
        <w:rPr>
          <w:sz w:val="20"/>
          <w:szCs w:val="20"/>
          <w:color w:val="auto"/>
        </w:rPr>
      </w:pPr>
      <w:r>
        <w:rPr>
          <w:rFonts w:ascii="Arial" w:cs="Arial" w:eastAsia="Arial" w:hAnsi="Arial"/>
          <w:sz w:val="18"/>
          <w:szCs w:val="18"/>
          <w:color w:val="auto"/>
        </w:rPr>
        <w:t>— (25,000) (1,571) (1,560)</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(4,828)    (7,692)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0883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980" w:val="left"/>
        </w:tabs>
        <w:rPr>
          <w:sz w:val="20"/>
          <w:szCs w:val="20"/>
          <w:color w:val="auto"/>
        </w:rPr>
      </w:pPr>
      <w:r>
        <w:rPr>
          <w:rFonts w:ascii="Arial" w:cs="Arial" w:eastAsia="Arial" w:hAnsi="Arial"/>
          <w:sz w:val="18"/>
          <w:szCs w:val="18"/>
          <w:color w:val="auto"/>
        </w:rPr>
        <w:t>(11,576)</w:t>
        <w:tab/>
        <w:t>(97,519)</w:t>
      </w:r>
    </w:p>
    <w:p>
      <w:pPr>
        <w:spacing w:after="0" w:line="279" w:lineRule="exact"/>
        <w:rPr>
          <w:sz w:val="20"/>
          <w:szCs w:val="20"/>
          <w:color w:val="auto"/>
        </w:rPr>
      </w:pPr>
    </w:p>
    <w:p>
      <w:pPr>
        <w:ind w:left="1280" w:hanging="840"/>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435</w:t>
      </w:r>
    </w:p>
    <w:p>
      <w:pPr>
        <w:spacing w:after="0" w:line="49"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57,029</w:t>
      </w:r>
      <w:r>
        <w:rPr>
          <w:rFonts w:ascii="Arial" w:cs="Arial" w:eastAsia="Arial" w:hAnsi="Arial"/>
          <w:sz w:val="15"/>
          <w:szCs w:val="15"/>
          <w:color w:val="auto"/>
        </w:rPr>
        <w:t>27,576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10883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149,904</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122,328</w:t>
            </w:r>
          </w:p>
        </w:tc>
      </w:tr>
      <w:tr>
        <w:trPr>
          <w:trHeight w:val="237"/>
        </w:trPr>
        <w:tc>
          <w:tcPr>
            <w:tcW w:w="2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$ 206,933</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$ 149,904</w:t>
            </w: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360" w:space="80"/>
            <w:col w:w="3699"/>
          </w:cols>
          <w:pgMar w:left="320" w:top="135" w:right="1440"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accompanying press release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the Most Directly Comparable GAAP Financial Measures".</w:t>
      </w:r>
    </w:p>
    <w:p>
      <w:pPr>
        <w:spacing w:after="0" w:line="15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loss on sale of business,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55"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u w:val="single" w:color="auto"/>
          <w:color w:val="auto"/>
        </w:rPr>
        <w:t>Non-GAAP operating expenses and non-GAAP operating income</w:t>
      </w:r>
      <w:r>
        <w:rPr>
          <w:rFonts w:ascii="Arial" w:cs="Arial" w:eastAsia="Arial" w:hAnsi="Arial"/>
          <w:sz w:val="19"/>
          <w:szCs w:val="19"/>
          <w:color w:val="auto"/>
        </w:rPr>
        <w:t xml:space="preserve"> – We define non-GAAP operating expenses as operating expenses excluding certain expenses related to the amortization of intangible assets, restructuring, loss on sale of business, corporate transition cost, and acquisition and integration. We define non-GAAP operating income as operating income excluding the expenses related to the amortization of intangible assets, restructuring, loss on sale of business, corporate transition cost,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2" w:name="page13"/>
    <w:bookmarkEnd w:id="12"/>
    <w:p>
      <w:pPr>
        <w:ind w:right="40"/>
        <w:spacing w:after="0" w:line="245" w:lineRule="auto"/>
        <w:rPr>
          <w:sz w:val="20"/>
          <w:szCs w:val="20"/>
          <w:color w:val="auto"/>
        </w:rPr>
      </w:pPr>
      <w:r>
        <w:rPr>
          <w:rFonts w:ascii="Arial" w:cs="Arial" w:eastAsia="Arial" w:hAnsi="Arial"/>
          <w:sz w:val="21"/>
          <w:szCs w:val="21"/>
          <w:u w:val="single" w:color="auto"/>
          <w:color w:val="auto"/>
        </w:rPr>
        <w:t>Non-GAAP net income and non-GAAP diluted EPS</w:t>
      </w:r>
      <w:r>
        <w:rPr>
          <w:rFonts w:ascii="Arial" w:cs="Arial" w:eastAsia="Arial" w:hAnsi="Arial"/>
          <w:sz w:val="21"/>
          <w:szCs w:val="21"/>
          <w:color w:val="auto"/>
        </w:rPr>
        <w:t xml:space="preserve"> – We define non-GAAP net income as net income attributable to Itron, Inc. excluding the expenses associated with amortization of intangible assets, amortization of debt placement fees, restructuring, loss on sale of business, corporate transition cost, acquisition and integration,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81" w:lineRule="exact"/>
        <w:rPr>
          <w:sz w:val="20"/>
          <w:szCs w:val="20"/>
          <w:color w:val="auto"/>
        </w:rPr>
      </w:pPr>
    </w:p>
    <w:p>
      <w:pPr>
        <w:spacing w:after="0" w:line="246" w:lineRule="auto"/>
        <w:rPr>
          <w:sz w:val="20"/>
          <w:szCs w:val="20"/>
          <w:color w:val="auto"/>
        </w:rPr>
      </w:pPr>
      <w:r>
        <w:rPr>
          <w:rFonts w:ascii="Arial" w:cs="Arial" w:eastAsia="Arial" w:hAnsi="Arial"/>
          <w:sz w:val="21"/>
          <w:szCs w:val="21"/>
          <w:u w:val="single" w:color="auto"/>
          <w:color w:val="auto"/>
        </w:rPr>
        <w:t>Adjusted EBITDA</w:t>
      </w:r>
      <w:r>
        <w:rPr>
          <w:rFonts w:ascii="Arial" w:cs="Arial" w:eastAsia="Arial" w:hAnsi="Arial"/>
          <w:sz w:val="21"/>
          <w:szCs w:val="21"/>
          <w:color w:val="auto"/>
        </w:rPr>
        <w:t xml:space="preserve"> – We define adjusted EBITDA as net income (a) minus interest income, (b) plus interest expense, depreciation and amortization of intangible assets, restructuring, loss on sale of business, corporate transition cost, acquisition and integration related expense,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80"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u w:val="single" w:color="auto"/>
          <w:color w:val="auto"/>
        </w:rPr>
        <w:t>Free cash flow</w:t>
      </w:r>
      <w:r>
        <w:rPr>
          <w:rFonts w:ascii="Arial" w:cs="Arial" w:eastAsia="Arial" w:hAnsi="Arial"/>
          <w:sz w:val="21"/>
          <w:szCs w:val="21"/>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u w:val="single" w:color="auto"/>
          <w:color w:val="auto"/>
        </w:rPr>
        <w:t>Constant currency</w:t>
      </w:r>
      <w:r>
        <w:rPr>
          <w:rFonts w:ascii="Arial" w:cs="Arial" w:eastAsia="Arial" w:hAnsi="Arial"/>
          <w:sz w:val="19"/>
          <w:szCs w:val="19"/>
          <w:color w:val="auto"/>
        </w:rPr>
        <w:t xml:space="preserve"> – We refer to the impact of foreign currency exchange rate fluctuations in our discussions of financial results, 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50"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 w:name="page14"/>
    <w:bookmarkEnd w:id="13"/>
    <w:p>
      <w:pPr>
        <w:jc w:val="center"/>
        <w:ind w:right="299"/>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3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TO THE MOST DIRECTLY COMPARABLE GAAP FINANCIAL MEASURES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(Unaudited, in thousands, except per share data)</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COMPANY RECONCILIATIONS</w:t>
            </w:r>
          </w:p>
        </w:tc>
        <w:tc>
          <w:tcPr>
            <w:tcW w:w="5640" w:type="dxa"/>
            <w:vAlign w:val="bottom"/>
            <w:gridSpan w:val="9"/>
          </w:tcPr>
          <w:p>
            <w:pPr>
              <w:spacing w:after="0"/>
              <w:rPr>
                <w:sz w:val="20"/>
                <w:szCs w:val="20"/>
                <w:color w:val="auto"/>
              </w:rPr>
            </w:pPr>
            <w:r>
              <w:rPr>
                <w:rFonts w:ascii="Arial" w:cs="Arial" w:eastAsia="Arial" w:hAnsi="Arial"/>
                <w:sz w:val="18"/>
                <w:szCs w:val="18"/>
                <w:b w:val="1"/>
                <w:bCs w:val="1"/>
                <w:color w:val="auto"/>
                <w:w w:val="91"/>
              </w:rPr>
              <w:t>Three Months Ended December 31, Twelve Months Ended December 31,</w:t>
            </w:r>
          </w:p>
        </w:tc>
        <w:tc>
          <w:tcPr>
            <w:tcW w:w="0" w:type="dxa"/>
            <w:vAlign w:val="bottom"/>
          </w:tcPr>
          <w:p>
            <w:pPr>
              <w:spacing w:after="0"/>
              <w:rPr>
                <w:sz w:val="1"/>
                <w:szCs w:val="1"/>
                <w:color w:val="auto"/>
              </w:rPr>
            </w:pPr>
          </w:p>
        </w:tc>
      </w:tr>
      <w:tr>
        <w:trPr>
          <w:trHeight w:val="236"/>
        </w:trPr>
        <w:tc>
          <w:tcPr>
            <w:tcW w:w="420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30"/>
        </w:trPr>
        <w:tc>
          <w:tcPr>
            <w:tcW w:w="4200" w:type="dxa"/>
            <w:vAlign w:val="bottom"/>
          </w:tcPr>
          <w:p>
            <w:pPr>
              <w:ind w:left="80"/>
              <w:spacing w:after="0"/>
              <w:rPr>
                <w:sz w:val="20"/>
                <w:szCs w:val="20"/>
                <w:color w:val="auto"/>
              </w:rPr>
            </w:pPr>
            <w:r>
              <w:rPr>
                <w:rFonts w:ascii="Arial" w:cs="Arial" w:eastAsia="Arial" w:hAnsi="Arial"/>
                <w:sz w:val="18"/>
                <w:szCs w:val="18"/>
                <w:b w:val="1"/>
                <w:bCs w:val="1"/>
                <w:color w:val="auto"/>
              </w:rPr>
              <w:t>NON-GAAP OPERATING EXPENSES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8"/>
                <w:szCs w:val="18"/>
                <w:color w:val="auto"/>
              </w:rPr>
              <w:t>GAAP operating expenses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116,231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148,575</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612,562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619,636</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(11,223)</w:t>
            </w: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(16,101)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(44,711)</w:t>
            </w:r>
          </w:p>
        </w:tc>
        <w:tc>
          <w:tcPr>
            <w:tcW w:w="3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(64,286)</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4,518</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(37,013)</w:t>
            </w:r>
          </w:p>
        </w:tc>
        <w:tc>
          <w:tcPr>
            <w:tcW w:w="3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Loss on sale of business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(2,522)</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(59,817)</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Corporate transition cost</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57"/>
        </w:trPr>
        <w:tc>
          <w:tcPr>
            <w:tcW w:w="4200" w:type="dxa"/>
            <w:vAlign w:val="bottom"/>
          </w:tcPr>
          <w:p>
            <w:pPr>
              <w:ind w:left="220"/>
              <w:spacing w:after="0"/>
              <w:rPr>
                <w:sz w:val="20"/>
                <w:szCs w:val="20"/>
                <w:color w:val="auto"/>
              </w:rPr>
            </w:pPr>
            <w:r>
              <w:rPr>
                <w:rFonts w:ascii="Arial" w:cs="Arial" w:eastAsia="Arial" w:hAnsi="Arial"/>
                <w:sz w:val="18"/>
                <w:szCs w:val="18"/>
                <w:color w:val="auto"/>
              </w:rPr>
              <w:t>Acquisition and integration related expense</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36"/>
        </w:trPr>
        <w:tc>
          <w:tcPr>
            <w:tcW w:w="4200" w:type="dxa"/>
            <w:vAlign w:val="bottom"/>
          </w:tcPr>
          <w:p>
            <w:pPr>
              <w:ind w:left="140"/>
              <w:spacing w:after="0"/>
              <w:rPr>
                <w:sz w:val="20"/>
                <w:szCs w:val="20"/>
                <w:color w:val="auto"/>
              </w:rPr>
            </w:pPr>
            <w:r>
              <w:rPr>
                <w:rFonts w:ascii="Arial" w:cs="Arial" w:eastAsia="Arial" w:hAnsi="Arial"/>
                <w:sz w:val="18"/>
                <w:szCs w:val="18"/>
                <w:color w:val="auto"/>
              </w:rPr>
              <w:t>Non-GAAP operating expenses</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105,240</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130,969</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470,028</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519,954</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NON-GAAP OPERATING INCOME</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8"/>
                <w:szCs w:val="18"/>
                <w:color w:val="auto"/>
              </w:rPr>
              <w:t>GAAP operating income (loss)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32,602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28,863</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(10,395)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132,683</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11,223</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16,101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44,711</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64,286</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(4,518)</w:t>
            </w: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37,013</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Loss on sale of business</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2,522</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59,817</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Corporate transition cost</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57"/>
        </w:trPr>
        <w:tc>
          <w:tcPr>
            <w:tcW w:w="4200" w:type="dxa"/>
            <w:vAlign w:val="bottom"/>
          </w:tcPr>
          <w:p>
            <w:pPr>
              <w:ind w:left="220"/>
              <w:spacing w:after="0"/>
              <w:rPr>
                <w:sz w:val="20"/>
                <w:szCs w:val="20"/>
                <w:color w:val="auto"/>
              </w:rPr>
            </w:pPr>
            <w:r>
              <w:rPr>
                <w:rFonts w:ascii="Arial" w:cs="Arial" w:eastAsia="Arial" w:hAnsi="Arial"/>
                <w:sz w:val="18"/>
                <w:szCs w:val="18"/>
                <w:color w:val="auto"/>
              </w:rPr>
              <w:t>Acquisition and integration related expense</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1,764</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1,026</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36"/>
        </w:trPr>
        <w:tc>
          <w:tcPr>
            <w:tcW w:w="4200" w:type="dxa"/>
            <w:vAlign w:val="bottom"/>
          </w:tcPr>
          <w:p>
            <w:pPr>
              <w:ind w:left="140"/>
              <w:spacing w:after="0"/>
              <w:rPr>
                <w:sz w:val="20"/>
                <w:szCs w:val="20"/>
                <w:color w:val="auto"/>
              </w:rPr>
            </w:pPr>
            <w:r>
              <w:rPr>
                <w:rFonts w:ascii="Arial" w:cs="Arial" w:eastAsia="Arial" w:hAnsi="Arial"/>
                <w:sz w:val="18"/>
                <w:szCs w:val="18"/>
                <w:color w:val="auto"/>
              </w:rPr>
              <w:t>Non-GAAP operating income</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43,593</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46,469</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132,139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232,365</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NON-GAAP NET INCOME &amp; DILUTED EPS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8"/>
                <w:szCs w:val="18"/>
                <w:color w:val="auto"/>
              </w:rPr>
              <w:t>GAAP net income (loss) attributable to Itron, Inc.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21,520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14,620</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(57,955)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49,006</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11,223</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16,101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44,711</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64,286</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Amortization of debt placement fees</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1,056</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3,954</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(4,518)</w:t>
            </w: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37,013</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Loss on sale of business</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2,522</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59,817</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Corporate transition cost</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Acquisition and integration related expense</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1,764</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1,026</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56"/>
        </w:trPr>
        <w:tc>
          <w:tcPr>
            <w:tcW w:w="4200" w:type="dxa"/>
            <w:vAlign w:val="bottom"/>
          </w:tcPr>
          <w:p>
            <w:pPr>
              <w:ind w:left="220"/>
              <w:spacing w:after="0"/>
              <w:rPr>
                <w:sz w:val="20"/>
                <w:szCs w:val="20"/>
                <w:color w:val="auto"/>
              </w:rPr>
            </w:pPr>
            <w:r>
              <w:rPr>
                <w:rFonts w:ascii="Arial" w:cs="Arial" w:eastAsia="Arial" w:hAnsi="Arial"/>
                <w:sz w:val="18"/>
                <w:szCs w:val="18"/>
                <w:color w:val="auto"/>
              </w:rPr>
              <w:t>Income tax effect of non-GAAP adjustments</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(5,217)</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(13,280)</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(21,348)</w:t>
            </w:r>
          </w:p>
        </w:tc>
        <w:tc>
          <w:tcPr>
            <w:tcW w:w="0" w:type="dxa"/>
            <w:vAlign w:val="bottom"/>
          </w:tcPr>
          <w:p>
            <w:pPr>
              <w:spacing w:after="0"/>
              <w:rPr>
                <w:sz w:val="1"/>
                <w:szCs w:val="1"/>
                <w:color w:val="auto"/>
              </w:rPr>
            </w:pPr>
          </w:p>
        </w:tc>
      </w:tr>
      <w:tr>
        <w:trPr>
          <w:trHeight w:val="237"/>
        </w:trPr>
        <w:tc>
          <w:tcPr>
            <w:tcW w:w="4200" w:type="dxa"/>
            <w:vAlign w:val="bottom"/>
          </w:tcPr>
          <w:p>
            <w:pPr>
              <w:ind w:left="140"/>
              <w:spacing w:after="0"/>
              <w:rPr>
                <w:sz w:val="20"/>
                <w:szCs w:val="20"/>
                <w:color w:val="auto"/>
              </w:rPr>
            </w:pPr>
            <w:r>
              <w:rPr>
                <w:rFonts w:ascii="Arial" w:cs="Arial" w:eastAsia="Arial" w:hAnsi="Arial"/>
                <w:sz w:val="18"/>
                <w:szCs w:val="18"/>
                <w:color w:val="auto"/>
              </w:rPr>
              <w:t>Non-GAAP net income attributable to Itron, Inc.</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26,324</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28,909</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75,253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132,795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200" w:type="dxa"/>
            <w:vAlign w:val="bottom"/>
          </w:tcPr>
          <w:p>
            <w:pPr>
              <w:ind w:left="140"/>
              <w:spacing w:after="0"/>
              <w:rPr>
                <w:sz w:val="20"/>
                <w:szCs w:val="20"/>
                <w:color w:val="auto"/>
              </w:rPr>
            </w:pPr>
            <w:r>
              <w:rPr>
                <w:rFonts w:ascii="Arial" w:cs="Arial" w:eastAsia="Arial" w:hAnsi="Arial"/>
                <w:sz w:val="18"/>
                <w:szCs w:val="18"/>
                <w:color w:val="auto"/>
              </w:rPr>
              <w:t>Non-GAAP diluted EPS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0.65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0.72</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1.85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200" w:type="dxa"/>
            <w:vAlign w:val="bottom"/>
          </w:tcPr>
          <w:p>
            <w:pPr>
              <w:ind w:left="140"/>
              <w:spacing w:after="0"/>
              <w:rPr>
                <w:sz w:val="20"/>
                <w:szCs w:val="20"/>
                <w:color w:val="auto"/>
              </w:rPr>
            </w:pPr>
            <w:r>
              <w:rPr>
                <w:rFonts w:ascii="Arial" w:cs="Arial" w:eastAsia="Arial" w:hAnsi="Arial"/>
                <w:sz w:val="18"/>
                <w:szCs w:val="18"/>
                <w:color w:val="auto"/>
                <w:w w:val="89"/>
              </w:rPr>
              <w:t>Weighted average common shares outstanding - Diluted</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40,762</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40,267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40,571</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39,980</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8"/>
                <w:szCs w:val="18"/>
                <w:color w:val="auto"/>
              </w:rPr>
              <w:t>GAAP net income (loss) attributable to Itron, Inc.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21,520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14,620</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(57,955)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49,006</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w:t>
            </w: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(2,998)</w:t>
            </w:r>
          </w:p>
        </w:tc>
        <w:tc>
          <w:tcPr>
            <w:tcW w:w="3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10,230</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12,554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44,001</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52,453</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238</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20,617</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24,984</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28,709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97,290</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114,400</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(4,518)</w:t>
            </w: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37,013</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Loss on sale of business</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2,522</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59,817</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Corporate transition cost</w:t>
            </w:r>
          </w:p>
        </w:tc>
        <w:tc>
          <w:tcPr>
            <w:tcW w:w="2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57"/>
        </w:trPr>
        <w:tc>
          <w:tcPr>
            <w:tcW w:w="4200" w:type="dxa"/>
            <w:vAlign w:val="bottom"/>
          </w:tcPr>
          <w:p>
            <w:pPr>
              <w:ind w:left="220"/>
              <w:spacing w:after="0"/>
              <w:rPr>
                <w:sz w:val="20"/>
                <w:szCs w:val="20"/>
                <w:color w:val="auto"/>
              </w:rPr>
            </w:pPr>
            <w:r>
              <w:rPr>
                <w:rFonts w:ascii="Arial" w:cs="Arial" w:eastAsia="Arial" w:hAnsi="Arial"/>
                <w:sz w:val="18"/>
                <w:szCs w:val="18"/>
                <w:color w:val="auto"/>
              </w:rPr>
              <w:t>Acquisition and integration related expense</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1,764</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1,026</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36"/>
        </w:trPr>
        <w:tc>
          <w:tcPr>
            <w:tcW w:w="4200" w:type="dxa"/>
            <w:vAlign w:val="bottom"/>
          </w:tcPr>
          <w:p>
            <w:pPr>
              <w:ind w:left="14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55,541</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56,843</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178,399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270,023</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FREE CASH FLOW</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38,943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44,740</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109,514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172,840</w:t>
            </w:r>
          </w:p>
        </w:tc>
        <w:tc>
          <w:tcPr>
            <w:tcW w:w="0" w:type="dxa"/>
            <w:vAlign w:val="bottom"/>
          </w:tcPr>
          <w:p>
            <w:pPr>
              <w:spacing w:after="0"/>
              <w:rPr>
                <w:sz w:val="1"/>
                <w:szCs w:val="1"/>
                <w:color w:val="auto"/>
              </w:rPr>
            </w:pPr>
          </w:p>
        </w:tc>
      </w:tr>
      <w:tr>
        <w:trPr>
          <w:trHeight w:val="256"/>
        </w:trPr>
        <w:tc>
          <w:tcPr>
            <w:tcW w:w="4200" w:type="dxa"/>
            <w:vAlign w:val="bottom"/>
          </w:tcPr>
          <w:p>
            <w:pPr>
              <w:ind w:left="220"/>
              <w:spacing w:after="0"/>
              <w:rPr>
                <w:sz w:val="20"/>
                <w:szCs w:val="20"/>
                <w:color w:val="auto"/>
              </w:rPr>
            </w:pPr>
            <w:r>
              <w:rPr>
                <w:rFonts w:ascii="Arial" w:cs="Arial" w:eastAsia="Arial" w:hAnsi="Arial"/>
                <w:sz w:val="18"/>
                <w:szCs w:val="18"/>
                <w:color w:val="auto"/>
              </w:rPr>
              <w:t>Acquisitions of property, plant, and equipment</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(9,911)</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(16,179)</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(46,208)</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(60,749)</w:t>
            </w:r>
          </w:p>
        </w:tc>
        <w:tc>
          <w:tcPr>
            <w:tcW w:w="0" w:type="dxa"/>
            <w:vAlign w:val="bottom"/>
          </w:tcPr>
          <w:p>
            <w:pPr>
              <w:spacing w:after="0"/>
              <w:rPr>
                <w:sz w:val="1"/>
                <w:szCs w:val="1"/>
                <w:color w:val="auto"/>
              </w:rPr>
            </w:pPr>
          </w:p>
        </w:tc>
      </w:tr>
      <w:tr>
        <w:trPr>
          <w:trHeight w:val="237"/>
        </w:trPr>
        <w:tc>
          <w:tcPr>
            <w:tcW w:w="4200" w:type="dxa"/>
            <w:vAlign w:val="bottom"/>
          </w:tcPr>
          <w:p>
            <w:pPr>
              <w:ind w:left="140"/>
              <w:spacing w:after="0"/>
              <w:rPr>
                <w:sz w:val="20"/>
                <w:szCs w:val="20"/>
                <w:color w:val="auto"/>
              </w:rPr>
            </w:pPr>
            <w:r>
              <w:rPr>
                <w:rFonts w:ascii="Arial" w:cs="Arial" w:eastAsia="Arial" w:hAnsi="Arial"/>
                <w:sz w:val="18"/>
                <w:szCs w:val="18"/>
                <w:color w:val="auto"/>
              </w:rPr>
              <w:t>Free Cash Flow</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29,032</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28,561</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63,306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112,091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Itron,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Kenneth P. Gianella</w:t>
      </w:r>
    </w:p>
    <w:p>
      <w:pPr>
        <w:spacing w:after="0" w:line="230" w:lineRule="auto"/>
        <w:rPr>
          <w:sz w:val="20"/>
          <w:szCs w:val="20"/>
          <w:color w:val="auto"/>
        </w:rPr>
      </w:pPr>
      <w:r>
        <w:rPr>
          <w:rFonts w:ascii="Arial" w:cs="Arial" w:eastAsia="Arial" w:hAnsi="Arial"/>
          <w:sz w:val="22"/>
          <w:szCs w:val="22"/>
          <w:color w:val="auto"/>
        </w:rPr>
        <w:t>Vice President,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(669) 770-4643</w:t>
      </w:r>
    </w:p>
    <w:p>
      <w:pPr>
        <w:sectPr>
          <w:pgSz w:w="11900" w:h="16838" w:orient="portrait"/>
          <w:cols w:equalWidth="0" w:num="1">
            <w:col w:w="10139"/>
          </w:cols>
          <w:pgMar w:left="320" w:top="135" w:right="1440" w:bottom="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Rebecca Hussey</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Manager, 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(509) 891-3574</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emdash "/>
      <w:numFmt w:val="bullet"/>
      <w:start w:val="1"/>
    </w:lvl>
  </w:abstractNum>
  <w:abstractNum w:abstractNumId="4">
    <w:nsid w:val="46E87CCD"/>
    <w:multiLevelType w:val="hybridMultilevel"/>
    <w:lvl w:ilvl="0">
      <w:lvlJc w:val="left"/>
      <w:lvlText w:val="%1"/>
      <w:numFmt w:val="decimal"/>
      <w:start w:val="12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2021-02-24T07:36:56Z</dcterms:created>
  <dcterms:modified xsi:type="dcterms:W3CDTF">2021-02-24T07:36:56Z</dcterms:modified>
</cp:coreProperties>
</file>