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52705</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02"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71"/>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Arial" w:cs="Arial" w:eastAsia="Arial" w:hAnsi="Arial"/>
                <w:sz w:val="18"/>
                <w:szCs w:val="18"/>
                <w:b w:val="1"/>
                <w:bCs w:val="1"/>
                <w:color w:val="auto"/>
                <w:w w:val="87"/>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1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0"/>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company"</w:t>
            </w:r>
          </w:p>
        </w:tc>
        <w:tc>
          <w:tcPr>
            <w:tcW w:w="480" w:type="dxa"/>
            <w:vAlign w:val="bottom"/>
          </w:tcPr>
          <w:p>
            <w:pPr>
              <w:spacing w:after="0"/>
              <w:rPr>
                <w:sz w:val="20"/>
                <w:szCs w:val="20"/>
                <w:color w:val="auto"/>
              </w:rPr>
            </w:pPr>
            <w:r>
              <w:rPr>
                <w:rFonts w:ascii="Arial" w:cs="Arial" w:eastAsia="Arial" w:hAnsi="Arial"/>
                <w:sz w:val="18"/>
                <w:szCs w:val="18"/>
                <w:color w:val="auto"/>
              </w:rPr>
              <w:t>in</w:t>
            </w:r>
          </w:p>
        </w:tc>
        <w:tc>
          <w:tcPr>
            <w:tcW w:w="1760" w:type="dxa"/>
            <w:vAlign w:val="bottom"/>
          </w:tcPr>
          <w:p>
            <w:pPr>
              <w:ind w:left="820"/>
              <w:spacing w:after="0"/>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rPr>
                <w:sz w:val="20"/>
                <w:szCs w:val="20"/>
                <w:color w:val="auto"/>
              </w:rPr>
            </w:pPr>
            <w:r>
              <w:rPr>
                <w:rFonts w:ascii="Arial" w:cs="Arial" w:eastAsia="Arial" w:hAnsi="Arial"/>
                <w:sz w:val="18"/>
                <w:szCs w:val="18"/>
                <w:color w:val="auto"/>
              </w:rPr>
              <w:t>12b-2</w:t>
            </w:r>
          </w:p>
        </w:tc>
        <w:tc>
          <w:tcPr>
            <w:tcW w:w="1260" w:type="dxa"/>
            <w:vAlign w:val="bottom"/>
          </w:tcPr>
          <w:p>
            <w:pPr>
              <w:ind w:left="600"/>
              <w:spacing w:after="0"/>
              <w:rPr>
                <w:sz w:val="20"/>
                <w:szCs w:val="20"/>
                <w:color w:val="auto"/>
              </w:rPr>
            </w:pPr>
            <w:r>
              <w:rPr>
                <w:rFonts w:ascii="Arial" w:cs="Arial" w:eastAsia="Arial" w:hAnsi="Arial"/>
                <w:sz w:val="18"/>
                <w:szCs w:val="18"/>
                <w:color w:val="auto"/>
              </w:rPr>
              <w:t>of</w:t>
            </w:r>
          </w:p>
        </w:tc>
        <w:tc>
          <w:tcPr>
            <w:tcW w:w="1880" w:type="dxa"/>
            <w:vAlign w:val="bottom"/>
          </w:tcPr>
          <w:p>
            <w:pPr>
              <w:ind w:left="660"/>
              <w:spacing w:after="0"/>
              <w:rPr>
                <w:sz w:val="20"/>
                <w:szCs w:val="20"/>
                <w:color w:val="auto"/>
              </w:rPr>
            </w:pPr>
            <w:r>
              <w:rPr>
                <w:rFonts w:ascii="Arial" w:cs="Arial" w:eastAsia="Arial" w:hAnsi="Arial"/>
                <w:sz w:val="18"/>
                <w:szCs w:val="18"/>
                <w:color w:val="auto"/>
              </w:rPr>
              <w:t>the</w:t>
            </w:r>
          </w:p>
        </w:tc>
        <w:tc>
          <w:tcPr>
            <w:tcW w:w="1260" w:type="dxa"/>
            <w:vAlign w:val="bottom"/>
          </w:tcPr>
          <w:p>
            <w:pPr>
              <w:ind w:left="160"/>
              <w:spacing w:after="0"/>
              <w:rPr>
                <w:sz w:val="20"/>
                <w:szCs w:val="20"/>
                <w:color w:val="auto"/>
              </w:rPr>
            </w:pPr>
            <w:r>
              <w:rPr>
                <w:rFonts w:ascii="Arial" w:cs="Arial" w:eastAsia="Arial" w:hAnsi="Arial"/>
                <w:sz w:val="18"/>
                <w:szCs w:val="18"/>
                <w:color w:val="auto"/>
              </w:rPr>
              <w:t>Exchange</w:t>
            </w:r>
          </w:p>
        </w:tc>
        <w:tc>
          <w:tcPr>
            <w:tcW w:w="1100" w:type="dxa"/>
            <w:vAlign w:val="bottom"/>
          </w:tcPr>
          <w:p>
            <w:pPr>
              <w:ind w:left="800"/>
              <w:spacing w:after="0"/>
              <w:rPr>
                <w:sz w:val="20"/>
                <w:szCs w:val="20"/>
                <w:color w:val="auto"/>
              </w:rPr>
            </w:pPr>
            <w:r>
              <w:rPr>
                <w:rFonts w:ascii="Arial" w:cs="Arial" w:eastAsia="Arial" w:hAnsi="Arial"/>
                <w:sz w:val="18"/>
                <w:szCs w:val="18"/>
                <w:color w:val="auto"/>
                <w:w w:val="90"/>
              </w:rPr>
              <w:t>Act.</w:t>
            </w:r>
          </w:p>
        </w:tc>
      </w:tr>
      <w:tr>
        <w:trPr>
          <w:trHeight w:val="305"/>
        </w:trPr>
        <w:tc>
          <w:tcPr>
            <w:tcW w:w="2400" w:type="dxa"/>
            <w:vAlign w:val="bottom"/>
            <w:gridSpan w:val="2"/>
          </w:tcPr>
          <w:p>
            <w:pPr>
              <w:ind w:left="400"/>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Arial" w:cs="Arial" w:eastAsia="Arial" w:hAnsi="Arial"/>
                <w:sz w:val="18"/>
                <w:szCs w:val="18"/>
                <w:color w:val="auto"/>
                <w:w w:val="90"/>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9"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October 30, 2023, there were outstanding 45,492,770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6"/>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Arial" w:cs="Arial" w:eastAsia="Arial" w:hAnsi="Arial"/>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1,107,499</w:t>
            </w: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220,574</w:t>
            </w:r>
          </w:p>
        </w:tc>
      </w:tr>
      <w:tr>
        <w:trPr>
          <w:trHeight w:val="223"/>
        </w:trPr>
        <w:tc>
          <w:tcPr>
            <w:tcW w:w="4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1,328,073</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cost of revenues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818,639</w:t>
            </w: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cost of revenues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128,043</w:t>
            </w:r>
          </w:p>
        </w:tc>
      </w:tr>
      <w:tr>
        <w:trPr>
          <w:trHeight w:val="223"/>
        </w:trPr>
        <w:tc>
          <w:tcPr>
            <w:tcW w:w="4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1,078,942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946,682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187,203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381,391</w:t>
            </w:r>
          </w:p>
        </w:tc>
      </w:tr>
      <w:tr>
        <w:trPr>
          <w:trHeight w:val="256"/>
        </w:trPr>
        <w:tc>
          <w:tcPr>
            <w:tcW w:w="4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212,724</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154,769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138,471</w:t>
            </w: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19,451</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(11,097)</w:t>
            </w: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38,480</w:t>
            </w:r>
          </w:p>
        </w:tc>
      </w:tr>
      <w:tr>
        <w:trPr>
          <w:trHeight w:val="223"/>
        </w:trPr>
        <w:tc>
          <w:tcPr>
            <w:tcW w:w="44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437,921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401,211</w:t>
            </w:r>
          </w:p>
        </w:tc>
      </w:tr>
      <w:tr>
        <w:trPr>
          <w:trHeight w:val="237"/>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(4,931)</w:t>
            </w: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23"/>
        </w:trPr>
        <w:tc>
          <w:tcPr>
            <w:tcW w:w="4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w:t>
            </w:r>
          </w:p>
        </w:tc>
      </w:tr>
      <w:tr>
        <w:trPr>
          <w:trHeight w:val="236"/>
        </w:trPr>
        <w:tc>
          <w:tcPr>
            <w:tcW w:w="4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(26,524)</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(31,497)</w:t>
            </w: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common shares outstanding - Basic</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45,075</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w w:val="97"/>
              </w:rPr>
              <w:t>Weighted average common shares outstanding - Diluted</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45,075</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(31,497)</w:t>
            </w:r>
          </w:p>
        </w:tc>
      </w:tr>
      <w:tr>
        <w:trPr>
          <w:trHeight w:val="270"/>
        </w:trPr>
        <w:tc>
          <w:tcPr>
            <w:tcW w:w="4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(55,716)</w:t>
            </w: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Foreign currency translation adjustment reclassified to</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on sale of business</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57,321</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 benefit obligation adjustment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76"/>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Comprehensive income (loss) attributable to</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net of tax</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(25,667)</w:t>
            </w:r>
          </w:p>
        </w:tc>
      </w:tr>
      <w:tr>
        <w:trPr>
          <w:trHeight w:val="21"/>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91"/>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Arial" w:cs="Arial" w:eastAsia="Arial" w:hAnsi="Arial"/>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22"/>
        </w:trPr>
        <w:tc>
          <w:tcPr>
            <w:tcW w:w="1280" w:type="dxa"/>
            <w:vAlign w:val="bottom"/>
            <w:tcBorders>
              <w:top w:val="single" w:sz="8" w:color="auto"/>
            </w:tcBorders>
          </w:tcPr>
          <w:p>
            <w:pPr>
              <w:spacing w:after="0"/>
              <w:rPr>
                <w:sz w:val="19"/>
                <w:szCs w:val="19"/>
                <w:color w:val="auto"/>
              </w:rPr>
            </w:pPr>
          </w:p>
        </w:tc>
        <w:tc>
          <w:tcPr>
            <w:tcW w:w="548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202,007</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318,104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280,435</w:t>
            </w: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228,701</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118,441</w:t>
            </w: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829,584</w:t>
            </w:r>
          </w:p>
        </w:tc>
      </w:tr>
      <w:tr>
        <w:trPr>
          <w:trHeight w:val="257"/>
        </w:trPr>
        <w:tc>
          <w:tcPr>
            <w:tcW w:w="676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140,123</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209,153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211,982</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52,826</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64,941</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1,038,721</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237,178</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42,869</w:t>
            </w: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89,431</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15,324</w:t>
            </w: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Unearned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95,567</w:t>
            </w: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498,572</w:t>
            </w:r>
          </w:p>
        </w:tc>
      </w:tr>
      <w:tr>
        <w:trPr>
          <w:trHeight w:val="216"/>
        </w:trPr>
        <w:tc>
          <w:tcPr>
            <w:tcW w:w="6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452,526</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Long-term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benefit obligation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obligations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124,887</w:t>
            </w: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1,186,522</w:t>
            </w:r>
          </w:p>
        </w:tc>
      </w:tr>
      <w:tr>
        <w:trPr>
          <w:trHeight w:val="216"/>
        </w:trPr>
        <w:tc>
          <w:tcPr>
            <w:tcW w:w="6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7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45,474 and 45,186 shares issued</w:t>
            </w:r>
          </w:p>
        </w:tc>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1,788,479</w:t>
            </w: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(100,840)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(94,674)</w:t>
            </w: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(525,332)</w:t>
            </w: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Itron, Inc. shareholders' equity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1,237,730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1,168,473</w:t>
            </w: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1,191,556</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6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2023</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1,788,479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(525,332)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1,168,473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1,191,556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(12,037)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1,796,005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(537,168)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1,171,282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1,194,143</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25,103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Balances at June 30, 2023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45,448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1,803,813</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(85,722)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(512,967)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1,205,124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23,763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1,228,887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40,172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40,345</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(15,118)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Balances at September 30, 2023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45,474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1,811,365</w:t>
            </w:r>
          </w:p>
        </w:tc>
        <w:tc>
          <w:tcPr>
            <w:tcW w:w="100" w:type="dxa"/>
            <w:vAlign w:val="bottom"/>
          </w:tcPr>
          <w:p>
            <w:pPr>
              <w:spacing w:after="0"/>
              <w:rPr>
                <w:sz w:val="15"/>
                <w:szCs w:val="15"/>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(100,840)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(472,795)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1,237,730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1,257,730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2022</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1,779,775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(148,098)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1,116,077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1,142,759</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52,815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52,815</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 repurchased program</w:t>
            </w:r>
          </w:p>
        </w:tc>
        <w:tc>
          <w:tcPr>
            <w:tcW w:w="820" w:type="dxa"/>
            <w:vAlign w:val="bottom"/>
          </w:tcPr>
          <w:p>
            <w:pPr>
              <w:ind w:left="480"/>
              <w:spacing w:after="0"/>
              <w:rPr>
                <w:sz w:val="20"/>
                <w:szCs w:val="20"/>
                <w:color w:val="auto"/>
              </w:rPr>
            </w:pPr>
            <w:r>
              <w:rPr>
                <w:rFonts w:ascii="Arial" w:cs="Arial" w:eastAsia="Arial" w:hAnsi="Arial"/>
                <w:sz w:val="14"/>
                <w:szCs w:val="14"/>
                <w:color w:val="auto"/>
                <w:w w:val="97"/>
              </w:rPr>
              <w:t>(280)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(16,629)</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1,770,057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(95,283)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(514,694)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1,160,080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1,186,752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(36,967)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(36,865)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6,405</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45,070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1,777,476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(115,705)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(551,661)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1,110,110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22,990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1,133,100</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Balances at September 30, 2022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45,154</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1,783,193</w:t>
            </w:r>
          </w:p>
        </w:tc>
        <w:tc>
          <w:tcPr>
            <w:tcW w:w="100" w:type="dxa"/>
            <w:vAlign w:val="bottom"/>
          </w:tcPr>
          <w:p>
            <w:pPr>
              <w:spacing w:after="0"/>
              <w:rPr>
                <w:sz w:val="15"/>
                <w:szCs w:val="15"/>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(141,821)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(547,544)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1,093,828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23,345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1,117,173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7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 (loss)</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53,411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(31,497)</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Depreciation and amortization of intangible assets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42,013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50,612</w:t>
            </w:r>
          </w:p>
        </w:tc>
        <w:tc>
          <w:tcPr>
            <w:tcW w:w="0" w:type="dxa"/>
            <w:vAlign w:val="bottom"/>
          </w:tcPr>
          <w:p>
            <w:pPr>
              <w:spacing w:after="0"/>
              <w:rPr>
                <w:sz w:val="1"/>
                <w:szCs w:val="1"/>
                <w:color w:val="auto"/>
              </w:rPr>
            </w:pPr>
          </w:p>
        </w:tc>
      </w:tr>
      <w:tr>
        <w:trPr>
          <w:trHeight w:val="182"/>
        </w:trPr>
        <w:tc>
          <w:tcPr>
            <w:tcW w:w="7780" w:type="dxa"/>
            <w:vAlign w:val="bottom"/>
          </w:tcPr>
          <w:p>
            <w:pPr>
              <w:ind w:left="660"/>
              <w:spacing w:after="0"/>
              <w:rPr>
                <w:sz w:val="20"/>
                <w:szCs w:val="20"/>
                <w:color w:val="auto"/>
              </w:rPr>
            </w:pPr>
            <w:r>
              <w:rPr>
                <w:rFonts w:ascii="Arial" w:cs="Arial" w:eastAsia="Arial" w:hAnsi="Arial"/>
                <w:sz w:val="14"/>
                <w:szCs w:val="14"/>
                <w:color w:val="auto"/>
              </w:rPr>
              <w:t>Non-cash operating lease expense</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12,197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12,250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20,531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17,416</w:t>
            </w:r>
          </w:p>
        </w:tc>
        <w:tc>
          <w:tcPr>
            <w:tcW w:w="0" w:type="dxa"/>
            <w:vAlign w:val="bottom"/>
          </w:tcPr>
          <w:p>
            <w:pPr>
              <w:spacing w:after="0"/>
              <w:rPr>
                <w:sz w:val="1"/>
                <w:szCs w:val="1"/>
                <w:color w:val="auto"/>
              </w:rPr>
            </w:pPr>
          </w:p>
        </w:tc>
      </w:tr>
      <w:tr>
        <w:trPr>
          <w:trHeight w:val="182"/>
        </w:trPr>
        <w:tc>
          <w:tcPr>
            <w:tcW w:w="7780" w:type="dxa"/>
            <w:vAlign w:val="bottom"/>
          </w:tcPr>
          <w:p>
            <w:pPr>
              <w:ind w:left="660"/>
              <w:spacing w:after="0"/>
              <w:rPr>
                <w:sz w:val="20"/>
                <w:szCs w:val="20"/>
                <w:color w:val="auto"/>
              </w:rPr>
            </w:pPr>
            <w:r>
              <w:rPr>
                <w:rFonts w:ascii="Arial" w:cs="Arial" w:eastAsia="Arial" w:hAnsi="Arial"/>
                <w:sz w:val="14"/>
                <w:szCs w:val="14"/>
                <w:color w:val="auto"/>
              </w:rPr>
              <w:t>Amortization of prepaid debt fees</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Deferred taxes, net</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(6,428)</w:t>
            </w:r>
          </w:p>
        </w:tc>
        <w:tc>
          <w:tcPr>
            <w:tcW w:w="0" w:type="dxa"/>
            <w:vAlign w:val="bottom"/>
          </w:tcPr>
          <w:p>
            <w:pPr>
              <w:spacing w:after="0"/>
              <w:rPr>
                <w:sz w:val="1"/>
                <w:szCs w:val="1"/>
                <w:color w:val="auto"/>
              </w:rPr>
            </w:pPr>
          </w:p>
        </w:tc>
      </w:tr>
      <w:tr>
        <w:trPr>
          <w:trHeight w:val="182"/>
        </w:trPr>
        <w:tc>
          <w:tcPr>
            <w:tcW w:w="7780" w:type="dxa"/>
            <w:vAlign w:val="bottom"/>
          </w:tcPr>
          <w:p>
            <w:pPr>
              <w:ind w:left="660"/>
              <w:spacing w:after="0"/>
              <w:rPr>
                <w:sz w:val="20"/>
                <w:szCs w:val="20"/>
                <w:color w:val="auto"/>
              </w:rPr>
            </w:pPr>
            <w:r>
              <w:rPr>
                <w:rFonts w:ascii="Arial" w:cs="Arial" w:eastAsia="Arial" w:hAnsi="Arial"/>
                <w:sz w:val="14"/>
                <w:szCs w:val="14"/>
                <w:color w:val="auto"/>
              </w:rPr>
              <w:t>Loss on sale of business</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3,182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Goodwill impairment</w:t>
            </w: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182"/>
        </w:trPr>
        <w:tc>
          <w:tcPr>
            <w:tcW w:w="7780" w:type="dxa"/>
            <w:vAlign w:val="bottom"/>
          </w:tcPr>
          <w:p>
            <w:pPr>
              <w:ind w:left="660"/>
              <w:spacing w:after="0"/>
              <w:rPr>
                <w:sz w:val="20"/>
                <w:szCs w:val="20"/>
                <w:color w:val="auto"/>
              </w:rPr>
            </w:pPr>
            <w:r>
              <w:rPr>
                <w:rFonts w:ascii="Arial" w:cs="Arial" w:eastAsia="Arial" w:hAnsi="Arial"/>
                <w:sz w:val="14"/>
                <w:szCs w:val="14"/>
                <w:color w:val="auto"/>
              </w:rPr>
              <w:t>Restructuring, non-cash</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adjustments, net</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 and sale of business: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(37,832)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12,270</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(48,280)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(48,377)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(43,240)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(15,907)</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3,392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(7,897)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55,032</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Wages and benefits payable</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17,361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(30,877)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Unearned revenue</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38,619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32,151</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Warranty</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Restructuring</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23,966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(34,410)</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Other operating, net</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(9,071)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(7,318)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77,076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37,530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Net proceeds (payments) related to the sale of business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55,933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(18,304)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(14,886)</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investing, net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76"/>
        </w:trPr>
        <w:tc>
          <w:tcPr>
            <w:tcW w:w="7780" w:type="dxa"/>
            <w:vAlign w:val="bottom"/>
          </w:tcPr>
          <w:p>
            <w:pPr>
              <w:ind w:left="66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(19,003)</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43,494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Issuance of common stock</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(16,972)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Other financing, net</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(4,358)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(8,794)</w:t>
            </w:r>
          </w:p>
        </w:tc>
        <w:tc>
          <w:tcPr>
            <w:tcW w:w="0" w:type="dxa"/>
            <w:vAlign w:val="bottom"/>
          </w:tcPr>
          <w:p>
            <w:pPr>
              <w:spacing w:after="0"/>
              <w:rPr>
                <w:sz w:val="1"/>
                <w:szCs w:val="1"/>
                <w:color w:val="auto"/>
              </w:rPr>
            </w:pPr>
          </w:p>
        </w:tc>
      </w:tr>
      <w:tr>
        <w:trPr>
          <w:trHeight w:val="176"/>
        </w:trPr>
        <w:tc>
          <w:tcPr>
            <w:tcW w:w="778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52,764</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52,834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202,007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162,579</w:t>
            </w:r>
          </w:p>
        </w:tc>
        <w:tc>
          <w:tcPr>
            <w:tcW w:w="0" w:type="dxa"/>
            <w:vAlign w:val="bottom"/>
          </w:tcPr>
          <w:p>
            <w:pPr>
              <w:spacing w:after="0"/>
              <w:rPr>
                <w:sz w:val="1"/>
                <w:szCs w:val="1"/>
                <w:color w:val="auto"/>
              </w:rPr>
            </w:pPr>
          </w:p>
        </w:tc>
      </w:tr>
      <w:tr>
        <w:trPr>
          <w:trHeight w:val="176"/>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254,771</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215,413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660"/>
              <w:spacing w:after="0"/>
              <w:rPr>
                <w:sz w:val="20"/>
                <w:szCs w:val="20"/>
                <w:color w:val="auto"/>
              </w:rPr>
            </w:pPr>
            <w:r>
              <w:rPr>
                <w:rFonts w:ascii="Arial" w:cs="Arial" w:eastAsia="Arial" w:hAnsi="Arial"/>
                <w:sz w:val="14"/>
                <w:szCs w:val="14"/>
                <w:color w:val="auto"/>
              </w:rPr>
              <w:t>Income taxes, net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29,031</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9,954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0"/>
        </w:trPr>
        <w:tc>
          <w:tcPr>
            <w:tcW w:w="7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2023 and 2022, Consolidated Statements of Equity for the three months ended September 30, 2023 and 2022, June 30, 2023 and 2022 and March 31, 2023 and 2022, the Consolidated Statements of Cash Flows for the nine months ended September 30, 2023 and 2022, and the Consolidated Balance Sheets as of September 30, 2023 and December 31, 2022, of Itron, Inc. and its subsidiaries. All entries required for the fair presentation of the financial statements are of a normal recurring nature, except as disclosed. The results of operations for the three and nine months ended September 30, 2023 are not necessarily indicative of the results expected for the full year or for any other period.</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2022 filed with the SEC in our Annual Report on Form 10-K on February 27, 2023 (2022 Annual Report). There have been no significant changes in financial statement preparation or significant accounting policies since December 31, 2022.</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 economic impacts, such as the COVID-19 pandemic and the various ongoing conflicts around the globe, may create disruption in customer demand and global supply chains, resulting in market volatility, which our management continues to monitor. In the aftermath of these types of events global supply chains, including labor, struggle to keep pace with rapidly changing demand. While recently improving from 2022 levels, our ability to obtain adequate supply of semiconductor components has impacted our ability to service customer demand. Temporal imbalance in supply and demand creates business uncertainties that include costs and availability. Efforts continue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limited direct business exposure in areas with current conflict, such as Russia, Belarus,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Arial" w:cs="Arial" w:eastAsia="Arial" w:hAnsi="Arial"/>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In the Consolidated Statements of Cash Flows, the following reclassifications have been made to prior year amounts to conform to current year presentation of restructuring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1"/>
              </w:rPr>
              <w:t>Nine Months Ended September 30, 2022</w:t>
            </w:r>
          </w:p>
        </w:tc>
        <w:tc>
          <w:tcPr>
            <w:tcW w:w="0" w:type="dxa"/>
            <w:vAlign w:val="bottom"/>
          </w:tcPr>
          <w:p>
            <w:pPr>
              <w:spacing w:after="0"/>
              <w:rPr>
                <w:sz w:val="1"/>
                <w:szCs w:val="1"/>
                <w:color w:val="auto"/>
              </w:rPr>
            </w:pPr>
          </w:p>
        </w:tc>
      </w:tr>
      <w:tr>
        <w:trPr>
          <w:trHeight w:val="158"/>
        </w:trPr>
        <w:tc>
          <w:tcPr>
            <w:tcW w:w="6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3"/>
                <w:szCs w:val="13"/>
                <w:color w:val="auto"/>
              </w:rPr>
            </w:pPr>
          </w:p>
        </w:tc>
        <w:tc>
          <w:tcPr>
            <w:tcW w:w="15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8"/>
              </w:rPr>
              <w:t>As Previously</w:t>
            </w:r>
          </w:p>
        </w:tc>
        <w:tc>
          <w:tcPr>
            <w:tcW w:w="24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3"/>
                <w:szCs w:val="13"/>
                <w:color w:val="auto"/>
              </w:rPr>
            </w:pPr>
          </w:p>
        </w:tc>
        <w:tc>
          <w:tcPr>
            <w:tcW w:w="14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4"/>
              </w:rPr>
              <w:t>As Reclassified</w:t>
            </w:r>
          </w:p>
        </w:tc>
        <w:tc>
          <w:tcPr>
            <w:tcW w:w="0" w:type="dxa"/>
            <w:vAlign w:val="bottom"/>
          </w:tcPr>
          <w:p>
            <w:pPr>
              <w:spacing w:after="0"/>
              <w:rPr>
                <w:sz w:val="1"/>
                <w:szCs w:val="1"/>
                <w:color w:val="auto"/>
              </w:rPr>
            </w:pPr>
          </w:p>
        </w:tc>
      </w:tr>
      <w:tr>
        <w:trPr>
          <w:trHeight w:val="213"/>
        </w:trPr>
        <w:tc>
          <w:tcPr>
            <w:tcW w:w="6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Reported</w:t>
            </w:r>
          </w:p>
        </w:tc>
        <w:tc>
          <w:tcPr>
            <w:tcW w:w="2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Changes in operating assets and liabilities, net of acquisitions and sale of business: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other current liabilities, and taxes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3"/>
              </w:rPr>
              <w:t>12,482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55,032</w:t>
            </w:r>
          </w:p>
        </w:tc>
        <w:tc>
          <w:tcPr>
            <w:tcW w:w="0" w:type="dxa"/>
            <w:vAlign w:val="bottom"/>
          </w:tcPr>
          <w:p>
            <w:pPr>
              <w:spacing w:after="0"/>
              <w:rPr>
                <w:sz w:val="1"/>
                <w:szCs w:val="1"/>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center"/>
              <w:ind w:left="719"/>
              <w:spacing w:after="0"/>
              <w:rPr>
                <w:sz w:val="20"/>
                <w:szCs w:val="20"/>
                <w:color w:val="auto"/>
              </w:rPr>
            </w:pPr>
            <w:r>
              <w:rPr>
                <w:rFonts w:ascii="Arial" w:cs="Arial" w:eastAsia="Arial" w:hAnsi="Arial"/>
                <w:sz w:val="16"/>
                <w:szCs w:val="16"/>
                <w:color w:val="auto"/>
                <w:w w:val="93"/>
              </w:rPr>
              <w:t>(34,410)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(34,410)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3"/>
              </w:rPr>
              <w:t>21,928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October 2021, the Financial Accounting Standards Board (FASB) issued Accounting Standards Update (ASU) 2021-08 amending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 </w:t>
      </w:r>
      <w:r>
        <w:rPr>
          <w:rFonts w:ascii="Arial" w:cs="Arial" w:eastAsia="Arial" w:hAnsi="Arial"/>
          <w:sz w:val="17"/>
          <w:szCs w:val="17"/>
          <w:color w:val="auto"/>
        </w:rPr>
        <w:t>(</w:t>
      </w:r>
      <w:r>
        <w:rPr>
          <w:rFonts w:ascii="Arial" w:cs="Arial" w:eastAsia="Arial" w:hAnsi="Arial"/>
          <w:sz w:val="17"/>
          <w:szCs w:val="17"/>
          <w:i w:val="1"/>
          <w:iCs w:val="1"/>
          <w:color w:val="auto"/>
        </w:rPr>
        <w:t xml:space="preserve">Topic 805), </w:t>
      </w:r>
      <w:r>
        <w:rPr>
          <w:rFonts w:ascii="Arial" w:cs="Arial" w:eastAsia="Arial" w:hAnsi="Arial"/>
          <w:sz w:val="17"/>
          <w:szCs w:val="17"/>
          <w:color w:val="auto"/>
        </w:rPr>
        <w:t>which was necessary due to 2014-09,</w:t>
      </w:r>
      <w:r>
        <w:rPr>
          <w:rFonts w:ascii="Arial" w:cs="Arial" w:eastAsia="Arial" w:hAnsi="Arial"/>
          <w:sz w:val="17"/>
          <w:szCs w:val="17"/>
          <w:i w:val="1"/>
          <w:iCs w:val="1"/>
          <w:color w:val="auto"/>
        </w:rPr>
        <w:t xml:space="preserve"> Revenue from Contracts with Customers (Topic 606). </w:t>
      </w:r>
      <w:r>
        <w:rPr>
          <w:rFonts w:ascii="Arial" w:cs="Arial" w:eastAsia="Arial" w:hAnsi="Arial"/>
          <w:sz w:val="17"/>
          <w:szCs w:val="17"/>
          <w:color w:val="auto"/>
        </w:rPr>
        <w:t>The FASB issued this Update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We adopted this amendment as of the effective date of January 1, 2023.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2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(31,944)</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45,075</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45,950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45,330</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45,768</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45,075</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0.2 million and 0.3 million stock-based awards were excluded from the calculation of diluted EPS for the three and nine months ended September 30, 2023 because they were anti-dilutive. Approximately 0.4 million and 0.7 million stock-based awards were excluded from the calculation of diluted EPS for the three and nine months ended September 30, 2022 because they were anti-dilutive. These stock-based awards could be dilutive in future periods.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2023 were used as the basis for determining the dilutive effect on EPS. The quarterly average closing prices for our common stock did not exceed the conversion price of $126.00, and therefore all associated shares were anti-dilutive.</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nine months ended September 30, 2023, the quarterly average closing prices of our common stock did not exceed the warrant strike price and therefore 3.7 million shares were considered anti-dilutive.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Accounts receivable, net</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$4,643 and $4,863)</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249,771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w:t>
            </w: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240"/>
              <w:spacing w:after="0"/>
              <w:rPr>
                <w:sz w:val="20"/>
                <w:szCs w:val="20"/>
                <w:color w:val="auto"/>
              </w:rPr>
            </w:pPr>
            <w:r>
              <w:rPr>
                <w:rFonts w:ascii="Arial" w:cs="Arial" w:eastAsia="Arial" w:hAnsi="Arial"/>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4,863</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4,643</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i w:val="1"/>
                <w:iCs w:val="1"/>
                <w:color w:val="auto"/>
              </w:rPr>
              <w:t>Inventories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0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 2023</w:t>
            </w:r>
          </w:p>
        </w:tc>
        <w:tc>
          <w:tcPr>
            <w:tcW w:w="420" w:type="dxa"/>
            <w:vAlign w:val="bottom"/>
          </w:tcPr>
          <w:p>
            <w:pPr>
              <w:spacing w:after="0"/>
              <w:rPr>
                <w:sz w:val="19"/>
                <w:szCs w:val="19"/>
                <w:color w:val="auto"/>
              </w:rPr>
            </w:pPr>
          </w:p>
        </w:tc>
        <w:tc>
          <w:tcPr>
            <w:tcW w:w="17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2022</w:t>
            </w:r>
          </w:p>
        </w:tc>
        <w:tc>
          <w:tcPr>
            <w:tcW w:w="0" w:type="dxa"/>
            <w:vAlign w:val="bottom"/>
          </w:tcPr>
          <w:p>
            <w:pPr>
              <w:spacing w:after="0"/>
              <w:rPr>
                <w:sz w:val="1"/>
                <w:szCs w:val="1"/>
                <w:color w:val="auto"/>
              </w:rPr>
            </w:pPr>
          </w:p>
        </w:tc>
      </w:tr>
      <w:tr>
        <w:trPr>
          <w:trHeight w:val="213"/>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216,316</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182,118</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38,197</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276,099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228,701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Property, plant, and equipment, net</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312,529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306,699</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123,198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119,670</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130,301</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8,513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19,403</w:t>
            </w:r>
          </w:p>
        </w:tc>
      </w:tr>
      <w:tr>
        <w:trPr>
          <w:trHeight w:val="207"/>
        </w:trPr>
        <w:tc>
          <w:tcPr>
            <w:tcW w:w="676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594,629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584,639</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(464,915)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(444,516)</w:t>
            </w:r>
          </w:p>
        </w:tc>
      </w:tr>
      <w:tr>
        <w:trPr>
          <w:trHeight w:val="213"/>
        </w:trPr>
        <w:tc>
          <w:tcPr>
            <w:tcW w:w="676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129,714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140,123</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ind w:left="240"/>
              <w:spacing w:after="0"/>
              <w:rPr>
                <w:sz w:val="20"/>
                <w:szCs w:val="20"/>
                <w:color w:val="auto"/>
              </w:rPr>
            </w:pPr>
            <w:r>
              <w:rPr>
                <w:rFonts w:ascii="Arial" w:cs="Arial" w:eastAsia="Arial" w:hAnsi="Arial"/>
                <w:sz w:val="16"/>
                <w:szCs w:val="16"/>
                <w:i w:val="1"/>
                <w:iCs w:val="1"/>
                <w:color w:val="auto"/>
              </w:rPr>
              <w:t>Depreciation expense</w:t>
            </w:r>
          </w:p>
        </w:tc>
        <w:tc>
          <w:tcPr>
            <w:tcW w:w="34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394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31,161</w:t>
            </w:r>
          </w:p>
        </w:tc>
      </w:tr>
    </w:tbl>
    <w:p>
      <w:pPr>
        <w:spacing w:after="0" w:line="3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 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(275,508)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56,857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8"/>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902,903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(852,495)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928,422</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(47,113)</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902,903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881,309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future annual amortization is as follows: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(amount remaining at September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14,986</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10,287</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35"/>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9360" w:type="dxa"/>
            <w:vAlign w:val="bottom"/>
            <w:gridSpan w:val="10"/>
          </w:tcPr>
          <w:p>
            <w:pPr>
              <w:spacing w:after="0"/>
              <w:rPr>
                <w:sz w:val="20"/>
                <w:szCs w:val="20"/>
                <w:color w:val="auto"/>
              </w:rPr>
            </w:pPr>
            <w:r>
              <w:rPr>
                <w:rFonts w:ascii="Arial" w:cs="Arial" w:eastAsia="Arial" w:hAnsi="Arial"/>
                <w:sz w:val="18"/>
                <w:szCs w:val="18"/>
                <w:color w:val="auto"/>
                <w:w w:val="98"/>
              </w:rPr>
              <w:t>The following table reflects changes in the carrying amount of goodwill for the nine months ended September 30, 2023:</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Device Solutions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Networked Solutions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Outcomes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 Company</w:t>
            </w: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1,038,721</w:t>
            </w:r>
          </w:p>
        </w:tc>
      </w:tr>
      <w:tr>
        <w:trPr>
          <w:trHeight w:val="213"/>
        </w:trPr>
        <w:tc>
          <w:tcPr>
            <w:tcW w:w="3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September 30,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1,035,761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9"/>
              </w:rPr>
              <w:t>September 30,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780" w:type="dxa"/>
            <w:vAlign w:val="bottom"/>
            <w:gridSpan w:val="2"/>
          </w:tcPr>
          <w:p>
            <w:pPr>
              <w:spacing w:after="0"/>
              <w:rPr>
                <w:sz w:val="20"/>
                <w:szCs w:val="20"/>
                <w:color w:val="auto"/>
              </w:rPr>
            </w:pPr>
            <w:r>
              <w:rPr>
                <w:rFonts w:ascii="Arial" w:cs="Arial" w:eastAsia="Arial" w:hAnsi="Arial"/>
                <w:sz w:val="16"/>
                <w:szCs w:val="16"/>
                <w:color w:val="auto"/>
              </w:rPr>
              <w:t>Credit facility</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w:t>
            </w:r>
          </w:p>
        </w:tc>
      </w:tr>
      <w:tr>
        <w:trPr>
          <w:trHeight w:val="235"/>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452,526</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Our current credit facility, initially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included in the original facility was fully repaid in August 2021.</w:t>
      </w:r>
    </w:p>
    <w:p>
      <w:pPr>
        <w:spacing w:after="0" w:line="220"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2023.</w:t>
      </w:r>
    </w:p>
    <w:p>
      <w:pPr>
        <w:spacing w:after="0" w:line="21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right="20" w:firstLine="8"/>
        <w:spacing w:after="0" w:line="255"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1.00%. The cessation of LIBOR occurred in June 2023</w:t>
      </w:r>
      <w:r>
        <w:rPr>
          <w:rFonts w:ascii="Arial" w:cs="Arial" w:eastAsia="Arial" w:hAnsi="Arial"/>
          <w:sz w:val="17"/>
          <w:szCs w:val="17"/>
          <w:color w:val="1F497D"/>
        </w:rPr>
        <w:t>.</w:t>
      </w:r>
      <w:r>
        <w:rPr>
          <w:rFonts w:ascii="Arial" w:cs="Arial" w:eastAsia="Arial" w:hAnsi="Arial"/>
          <w:sz w:val="16"/>
          <w:szCs w:val="16"/>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provisions to allow for the addback for debt covenant calculations of non-recurring cash expenses related to restructuring charges incurred during the quarter ended March 31, 2023. Subsequent to quarter end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Leverage Ratio</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Interest Cost</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Commitment Fee</w:t>
            </w:r>
          </w:p>
        </w:tc>
      </w:tr>
      <w:tr>
        <w:trPr>
          <w:trHeight w:val="21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4.00</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+ 250 bps</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3.51 to 4.00</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SOFR + 225 bps</w:t>
            </w:r>
          </w:p>
        </w:tc>
        <w:tc>
          <w:tcPr>
            <w:tcW w:w="3680" w:type="dxa"/>
            <w:vAlign w:val="bottom"/>
          </w:tcPr>
          <w:p>
            <w:pPr>
              <w:ind w:left="20"/>
              <w:spacing w:after="0"/>
              <w:rPr>
                <w:sz w:val="20"/>
                <w:szCs w:val="20"/>
                <w:color w:val="auto"/>
              </w:rPr>
            </w:pPr>
            <w:r>
              <w:rPr>
                <w:rFonts w:ascii="Arial" w:cs="Arial" w:eastAsia="Arial" w:hAnsi="Arial"/>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Less than or equal to 2.50</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SOFR + 175 bps</w:t>
            </w:r>
          </w:p>
        </w:tc>
        <w:tc>
          <w:tcPr>
            <w:tcW w:w="3680" w:type="dxa"/>
            <w:vAlign w:val="bottom"/>
          </w:tcPr>
          <w:p>
            <w:pPr>
              <w:ind w:left="20"/>
              <w:spacing w:after="0"/>
              <w:rPr>
                <w:sz w:val="20"/>
                <w:szCs w:val="20"/>
                <w:color w:val="auto"/>
              </w:rPr>
            </w:pPr>
            <w:r>
              <w:rPr>
                <w:rFonts w:ascii="Arial" w:cs="Arial" w:eastAsia="Arial" w:hAnsi="Arial"/>
                <w:sz w:val="16"/>
                <w:szCs w:val="16"/>
                <w:color w:val="auto"/>
              </w:rPr>
              <w:t>25 bps</w:t>
            </w: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there were no outstanding loan balances under the credit facility, and $61.6 million was utilized by outstanding standby letters of credit, resulting in $438.4 million available for additional borrowings or standby letters of credit within the revolver. At September 30, 2023, $238.4 million was available for additional standby letters of credit under the letter of credit sub-facility, and no amounts were outstanding under the swingline sub-facility.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plus accrued and unpaid special interest to, but not including, the fundamental change repurchase date (as defined in the indenture governing the convertible notes).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(amount remaining at September 30,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460,000</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currencies. Refer to Note 13: Shareholders' Equity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14: Fair Value of Financial Instruments for additional disclosures on our derivative instruments.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2023, a total of 40 contracts were offsetting our exposures from the euro, pound sterling, Indonesian rupiah, Canadian dollar, Australian dollar, and various other currencies, with notional amounts ranging from $109,000 to $42.3 million.</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Plan assets in other long-term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57"/>
        </w:trPr>
        <w:tc>
          <w:tcPr>
            <w:tcW w:w="6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57,839</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Pension benefit obligation,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62,013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61,077</w:t>
            </w: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includes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3,943</w:t>
            </w: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12,123,538 shares of common stock authorized for issuance subject to stock splits, dividends, and other similar events, and at September 30, 2023, 3,396,555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maintain the Employee Stock Purchase Plan (ESPP), for which 534,418 shares of common stock were available for future issuance at September 30, 2023. In May 2023, the shareholders authorized, via a proxy approval, the reallocation of 500,000 reserved shares from the shares available for grant in the Stock Incentive Plan to the ESPP.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three and nine months ended September 30, 2023 and 2022.</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6,581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4,430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15,883</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3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4,708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1,195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9"/>
              </w:rPr>
              <w:t>In thousands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1"/>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i w:val="1"/>
                <w:iCs w:val="1"/>
                <w:color w:val="auto"/>
                <w:w w:val="89"/>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color w:val="auto"/>
              </w:rPr>
              <w:t>Outstanding, September 30,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Outstanding, January 1, 2023</w:t>
            </w:r>
          </w:p>
        </w:tc>
        <w:tc>
          <w:tcPr>
            <w:tcW w:w="13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60.63</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color w:val="auto"/>
              </w:rPr>
              <w:t>Canceled</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2023</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September 30,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all stock-based compensation expense related to nonvested stock options has been recognized.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2022</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371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11,441</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2023</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September 30, 2023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2023, total unrecognized compensation expense on restricted stock units was $37.5 million, which is expected to be recognized over a weighted average period of approximately 1.8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10"/>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55.7 %</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57.88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tax rate for the three and nine months ended September 30, 2023 of 28% and 31%, respectively,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an expense related to stock-based compensation, tax credits, and uncertain tax positions.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rate for the three and nine months ended September 30, 2022 of 10% and (19)%, respectively, differed from the federal statutory rate of 21% due to the impact of valuation allowances on deferred tax assets, the forecasted mix of earnings in domestic and international jurisdictions, GILTI (Global Intangible Low-Taxed Income)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Organization for Economic Cooperation and Development (OECD) Pillar 2 global minimum tax rules are intended to apply for tax years beginning in 2024. On February 1, 2023, the FASB staff noted that they believe that the Pillar 2 tax would be an alternative minimum tax and therefore deferred tax assets would not need to be recognized related to this parallel taxing system. On February 2, 2023, the OECD issued administrative guidance providing transition and safe harbor rules around the implementation of the Pillar 2 global minimum tax. Under an additional transitional safe harbor released July 17, 2023, the undertaxed profits rule (UTPR) top-up tax will not be applied by any constituent entity's jurisdiction of residence with respect to income earned by a company's ultimate parent entity in its jurisdiction of residence, if the ultimate parent entity's jurisdiction has a corporate tax rate of at least 20%. This transition safe harbor will apply to fiscal years beginning on or before December 31, 2025 and ending before December 31, 2026. The Company is closely monitoring developments and evaluating the impacts these new rules will have on our tax rate, including eligibility to qualify for these safe harbor rules. Based upon preliminary calculations for calendar year 2024, the Company anticipates it will meet the safe harbors in most jurisdictions, and any remaining top-up tax should be immaterial.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7,575</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3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tbl>
      <w:tblPr>
        <w:tblLayout w:type="fixed"/>
        <w:tblInd w:w="0" w:type="dxa"/>
        <w:tblCellMar>
          <w:top w:w="0" w:type="dxa"/>
          <w:left w:w="0" w:type="dxa"/>
          <w:bottom w:w="0" w:type="dxa"/>
          <w:right w:w="0" w:type="dxa"/>
        </w:tblCellMar>
      </w:tblPr>
      <w:tr>
        <w:trPr>
          <w:trHeight w:val="213"/>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130,144</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126,522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130,137</w:t>
            </w: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12 months. However, at this time, an estimate of the range of reasonably possible adjustments to the balance of unrecognized tax benefits cannot be made.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Standby LOCs issued and outstanding</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(55,990)</w:t>
            </w:r>
          </w:p>
        </w:tc>
      </w:tr>
      <w:tr>
        <w:trPr>
          <w:trHeight w:val="234"/>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438,365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82,287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81,781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Short-term borrowings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59,251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Unsecured surety bonds in force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285,754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were called, we would be obligated to reimburse the issuer of the standby LOC or bond; however, as of November 2, 2023, we do not believe any outstanding standby LOCs or bonds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32,022</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(7,071)</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25,458</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17,943</w:t>
            </w:r>
          </w:p>
        </w:tc>
      </w:tr>
      <w:tr>
        <w:trPr>
          <w:trHeight w:val="212"/>
        </w:trPr>
        <w:tc>
          <w:tcPr>
            <w:tcW w:w="4380" w:type="dxa"/>
            <w:vAlign w:val="bottom"/>
          </w:tcPr>
          <w:p>
            <w:pPr>
              <w:ind w:left="360"/>
              <w:spacing w:after="0"/>
              <w:rPr>
                <w:sz w:val="20"/>
                <w:szCs w:val="20"/>
                <w:color w:val="auto"/>
              </w:rPr>
            </w:pPr>
            <w:r>
              <w:rPr>
                <w:rFonts w:ascii="Arial" w:cs="Arial" w:eastAsia="Arial" w:hAnsi="Arial"/>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7,515</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r>
    </w:tbl>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Costs Recognized in Prior</w:t>
            </w:r>
          </w:p>
        </w:tc>
        <w:tc>
          <w:tcPr>
            <w:tcW w:w="2180" w:type="dxa"/>
            <w:vAlign w:val="bottom"/>
            <w:gridSpan w:val="3"/>
          </w:tcPr>
          <w:p>
            <w:pPr>
              <w:ind w:left="40"/>
              <w:spacing w:after="0" w:line="163" w:lineRule="exact"/>
              <w:rPr>
                <w:sz w:val="20"/>
                <w:szCs w:val="20"/>
                <w:color w:val="auto"/>
              </w:rPr>
            </w:pPr>
            <w:r>
              <w:rPr>
                <w:rFonts w:ascii="Arial" w:cs="Arial" w:eastAsia="Arial" w:hAnsi="Arial"/>
                <w:sz w:val="16"/>
                <w:szCs w:val="16"/>
                <w:b w:val="1"/>
                <w:bCs w:val="1"/>
                <w:color w:val="auto"/>
                <w:w w:val="94"/>
              </w:rPr>
              <w:t>Costs Recognized During the</w:t>
            </w: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Nine Months Ended</w:t>
            </w:r>
          </w:p>
        </w:tc>
        <w:tc>
          <w:tcPr>
            <w:tcW w:w="20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1"/>
              </w:rPr>
              <w:t>be Recognized at September</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Periods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9"/>
              </w:rPr>
              <w:t>September 30, 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30, 2023</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gridSpan w:val="2"/>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ind w:left="1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13"/>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45,642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gridSpan w:val="2"/>
          </w:tcPr>
          <w:p>
            <w:pPr>
              <w:ind w:left="174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41,207</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Projects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2021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4"/>
                <w:szCs w:val="14"/>
                <w:color w:val="auto"/>
              </w:rPr>
            </w:pPr>
          </w:p>
        </w:tc>
        <w:tc>
          <w:tcPr>
            <w:tcW w:w="208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89"/>
              </w:rPr>
              <w:t>Adjustments Recognized</w:t>
            </w: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During the Nine Months</w:t>
            </w:r>
          </w:p>
        </w:tc>
        <w:tc>
          <w:tcPr>
            <w:tcW w:w="20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1"/>
              </w:rPr>
              <w:t>be Recognized at September</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Ended September 30, 2023</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b w:val="1"/>
                <w:bCs w:val="1"/>
                <w:color w:val="auto"/>
              </w:rPr>
              <w:t>30, 2023</w:t>
            </w:r>
          </w:p>
        </w:tc>
        <w:tc>
          <w:tcPr>
            <w:tcW w:w="0" w:type="dxa"/>
            <w:vAlign w:val="bottom"/>
          </w:tcPr>
          <w:p>
            <w:pPr>
              <w:spacing w:after="0"/>
              <w:rPr>
                <w:sz w:val="1"/>
                <w:szCs w:val="1"/>
                <w:color w:val="auto"/>
              </w:rPr>
            </w:pPr>
          </w:p>
        </w:tc>
      </w:tr>
      <w:tr>
        <w:trPr>
          <w:trHeight w:val="212"/>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8,379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8,599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2023.</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4"/>
                <w:szCs w:val="14"/>
                <w:color w:val="auto"/>
              </w:rPr>
            </w:pPr>
          </w:p>
        </w:tc>
        <w:tc>
          <w:tcPr>
            <w:tcW w:w="208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89"/>
              </w:rPr>
              <w:t>Adjustments Recognized</w:t>
            </w: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During the Nine Months</w:t>
            </w:r>
          </w:p>
        </w:tc>
        <w:tc>
          <w:tcPr>
            <w:tcW w:w="20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1"/>
              </w:rPr>
              <w:t>be Recognized at September</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Ended September 30, 2023</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b w:val="1"/>
                <w:bCs w:val="1"/>
                <w:color w:val="auto"/>
              </w:rPr>
              <w:t>30, 2023</w:t>
            </w:r>
          </w:p>
        </w:tc>
        <w:tc>
          <w:tcPr>
            <w:tcW w:w="0" w:type="dxa"/>
            <w:vAlign w:val="bottom"/>
          </w:tcPr>
          <w:p>
            <w:pPr>
              <w:spacing w:after="0"/>
              <w:rPr>
                <w:sz w:val="1"/>
                <w:szCs w:val="1"/>
                <w:color w:val="auto"/>
              </w:rPr>
            </w:pPr>
          </w:p>
        </w:tc>
      </w:tr>
      <w:tr>
        <w:trPr>
          <w:trHeight w:val="212"/>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34,188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2023 Projects, the 2021 Projects, and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Projects during the nine months ended September 30,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Accrued Employee</w:t>
            </w:r>
          </w:p>
        </w:tc>
        <w:tc>
          <w:tcPr>
            <w:tcW w:w="14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200" w:type="dxa"/>
            <w:vAlign w:val="bottom"/>
          </w:tcPr>
          <w:p>
            <w:pPr>
              <w:spacing w:after="0"/>
              <w:rPr>
                <w:sz w:val="14"/>
                <w:szCs w:val="14"/>
                <w:color w:val="auto"/>
              </w:rPr>
            </w:pPr>
          </w:p>
        </w:tc>
        <w:tc>
          <w:tcPr>
            <w:tcW w:w="1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6"/>
              </w:rPr>
              <w:t>Other Accrued Costs</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Severance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Disposal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42,444</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36,868</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Arial" w:cs="Arial" w:eastAsia="Arial" w:hAnsi="Arial"/>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w w:val="98"/>
              </w:rPr>
              <w:t>Effect of change in exchange rates</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Ending balance, September 30,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portions of restructuring liabilities were $15.7 million and $14.5 million as of September 30, 2023 and December 31, 2022 and are classified within other current liabilities on the Consolidated Balance Sheets. The long-term portions of restructuring liabilities were $50.7 million and $27.9 million as of September 30, 2023 and December 31, 2022. The long-term portions of restructuring liabilities are classified within other long-term obligations on the Consolidated Balance Sheets and include severance accruals and facility exit costs.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2023 or December 31, 2022.</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November 2, 2023.</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the convertible note hedge transactions. The convertible note hedge transactions meet the criteria in Accounting Standards Codification (ASC) 815-40 to be classified within Stockholders' Equity, and therefore the convertible note hedge transactions are not revalued after their issuance.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notes, and results in a $20.6 million deferred tax asset recognized through equity.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Accumulated Other Comprehensive Income (Loss) (AOCI)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c>
          <w:tcPr>
            <w:tcW w:w="0" w:type="dxa"/>
            <w:vAlign w:val="bottom"/>
          </w:tcPr>
          <w:p>
            <w:pPr>
              <w:spacing w:after="0"/>
              <w:rPr>
                <w:sz w:val="1"/>
                <w:szCs w:val="1"/>
                <w:color w:val="auto"/>
              </w:rPr>
            </w:pPr>
          </w:p>
        </w:tc>
      </w:tr>
      <w:tr>
        <w:trPr>
          <w:trHeight w:val="212"/>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6"/>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(148,098)</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(55,716)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(51,533)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57,810</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3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6"/>
              </w:rPr>
              <w:t>(210)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(141,821)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6"/>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(94,674)</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(6,166)</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6"/>
              </w:rPr>
              <w:t>(210)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(100,840)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before-tax, income tax (provision) benefit, and net-of-tax amounts related to each component of other comprehensive income (OCI)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(55,917)</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48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57,321</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ind w:left="11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(55,716)</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48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57,321</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fair values at September 30, 2023 and December 31, 2022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w w:val="90"/>
              </w:rPr>
              <w:t>December 31, 2022</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Arial" w:cs="Arial" w:eastAsia="Arial" w:hAnsi="Arial"/>
                <w:sz w:val="16"/>
                <w:szCs w:val="16"/>
                <w:b w:val="1"/>
                <w:bCs w:val="1"/>
                <w:color w:val="auto"/>
                <w:w w:val="97"/>
              </w:rPr>
              <w:t>Carrying</w:t>
            </w:r>
          </w:p>
        </w:tc>
        <w:tc>
          <w:tcPr>
            <w:tcW w:w="1020" w:type="dxa"/>
            <w:vAlign w:val="bottom"/>
          </w:tcPr>
          <w:p>
            <w:pPr>
              <w:jc w:val="center"/>
              <w:ind w:right="539"/>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Arial" w:cs="Arial" w:eastAsia="Arial" w:hAnsi="Arial"/>
                <w:sz w:val="16"/>
                <w:szCs w:val="16"/>
                <w:b w:val="1"/>
                <w:bCs w:val="1"/>
                <w:color w:val="auto"/>
                <w:w w:val="97"/>
              </w:rPr>
              <w:t>Carrying</w:t>
            </w:r>
          </w:p>
        </w:tc>
        <w:tc>
          <w:tcPr>
            <w:tcW w:w="1020" w:type="dxa"/>
            <w:vAlign w:val="bottom"/>
          </w:tcPr>
          <w:p>
            <w:pPr>
              <w:jc w:val="right"/>
              <w:ind w:right="579"/>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Amount</w:t>
            </w:r>
          </w:p>
        </w:tc>
        <w:tc>
          <w:tcPr>
            <w:tcW w:w="142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3"/>
              </w:rPr>
              <w:t>Value</w:t>
            </w:r>
          </w:p>
        </w:tc>
        <w:tc>
          <w:tcPr>
            <w:tcW w:w="206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20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18"/>
                <w:szCs w:val="18"/>
                <w:color w:val="auto"/>
              </w:rPr>
            </w:pPr>
          </w:p>
        </w:tc>
        <w:tc>
          <w:tcPr>
            <w:tcW w:w="2060" w:type="dxa"/>
            <w:vAlign w:val="bottom"/>
          </w:tcPr>
          <w:p>
            <w:pPr>
              <w:jc w:val="right"/>
              <w:ind w:right="719"/>
              <w:spacing w:after="0"/>
              <w:rPr>
                <w:sz w:val="20"/>
                <w:szCs w:val="20"/>
                <w:color w:val="auto"/>
              </w:rPr>
            </w:pPr>
            <w:r>
              <w:rPr>
                <w:rFonts w:ascii="Arial" w:cs="Arial" w:eastAsia="Arial" w:hAnsi="Arial"/>
                <w:sz w:val="16"/>
                <w:szCs w:val="16"/>
                <w:color w:val="auto"/>
              </w:rPr>
              <w:t>454,247</w:t>
            </w:r>
          </w:p>
        </w:tc>
        <w:tc>
          <w:tcPr>
            <w:tcW w:w="1020" w:type="dxa"/>
            <w:vAlign w:val="bottom"/>
          </w:tcPr>
          <w:p>
            <w:pPr>
              <w:jc w:val="right"/>
              <w:spacing w:after="0"/>
              <w:rPr>
                <w:sz w:val="20"/>
                <w:szCs w:val="20"/>
                <w:color w:val="auto"/>
              </w:rPr>
            </w:pPr>
            <w:r>
              <w:rPr>
                <w:rFonts w:ascii="Arial" w:cs="Arial" w:eastAsia="Arial" w:hAnsi="Arial"/>
                <w:sz w:val="16"/>
                <w:szCs w:val="16"/>
                <w:color w:val="auto"/>
              </w:rPr>
              <w:t>396,621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Arial" w:cs="Arial" w:eastAsia="Arial" w:hAnsi="Arial"/>
                <w:sz w:val="16"/>
                <w:szCs w:val="16"/>
                <w:color w:val="auto"/>
              </w:rPr>
              <w:t>452,526</w:t>
            </w:r>
          </w:p>
        </w:tc>
        <w:tc>
          <w:tcPr>
            <w:tcW w:w="1020" w:type="dxa"/>
            <w:vAlign w:val="bottom"/>
          </w:tcPr>
          <w:p>
            <w:pPr>
              <w:jc w:val="right"/>
              <w:spacing w:after="0"/>
              <w:rPr>
                <w:sz w:val="20"/>
                <w:szCs w:val="20"/>
                <w:color w:val="auto"/>
              </w:rPr>
            </w:pPr>
            <w:r>
              <w:rPr>
                <w:rFonts w:ascii="Arial" w:cs="Arial" w:eastAsia="Arial" w:hAnsi="Arial"/>
                <w:sz w:val="16"/>
                <w:szCs w:val="16"/>
                <w:color w:val="auto"/>
              </w:rPr>
              <w:t>377,200</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Credit facility - multicurrency revolving line of credit: </w:t>
      </w:r>
      <w:r>
        <w:rPr>
          <w:rFonts w:ascii="Arial" w:cs="Arial" w:eastAsia="Arial" w:hAnsi="Arial"/>
          <w:sz w:val="18"/>
          <w:szCs w:val="18"/>
          <w:color w:val="auto"/>
        </w:rPr>
        <w:t>The revolver is not traded publicly. The fair values, which are determined based upon a hypothetical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The convertible notes are not listed on any securities exchange but may be actively traded. The fair value is estimated using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inputs, as it is based on quoted prices for these instruments in active markets.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Derivatives: </w:t>
      </w:r>
      <w:r>
        <w:rPr>
          <w:rFonts w:ascii="Arial" w:cs="Arial" w:eastAsia="Arial" w:hAnsi="Arial"/>
          <w:sz w:val="17"/>
          <w:szCs w:val="17"/>
          <w:color w:val="auto"/>
        </w:rPr>
        <w:t>Each derivative asset and liability has a carrying value equal to fair value. The fair values of our derivative instruments are determined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(loss)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334,212</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240,498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964,909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731,358</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41,929</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480,355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347,791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1,361,482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1,107,499</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94,460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86,796</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129,612</w:t>
            </w:r>
          </w:p>
        </w:tc>
      </w:tr>
      <w:tr>
        <w:trPr>
          <w:trHeight w:val="206"/>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80,417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234,978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220,574</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338,378</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384,971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269,872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818,154</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171,541</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560,772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1,596,460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1,328,073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50,489</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81,895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362,852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263,155</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67,747</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517,518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381,391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24,103</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102,503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266,052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177,929</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28,789</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(268,159)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(250,641)</w:t>
            </w:r>
          </w:p>
        </w:tc>
      </w:tr>
      <w:tr>
        <w:trPr>
          <w:trHeight w:val="21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(6,704)</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77,924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and 2022, no single customer represented more than 10% of total company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1,256,042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947,684</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81,394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80,735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265,814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306,962</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73,427</w:t>
            </w:r>
          </w:p>
        </w:tc>
      </w:tr>
      <w:tr>
        <w:trPr>
          <w:trHeight w:val="207"/>
        </w:trPr>
        <w:tc>
          <w:tcPr>
            <w:tcW w:w="436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560,772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1,596,460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1,328,073</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13,126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22,253</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Contract Liabilities, Less</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Contract Assets</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75,958</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(61,425)</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(193,353)</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94,786</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2023, total contract assets were $57.0 million and total contract liabilities were $133.0 million. On September 30, 2023, total contract assets were $78.6 million and total contract liabilities were $173.4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$1.9 billion for the next 12 months and approximately $1.5 billion for periods longer than 12 months. The total remaining performance obligations consist of product and service components. The service component relates primarily to maintenance agreements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2022 filed with the Securities and Exchange Commission (SEC) in our Annual Report on Form 10-K on February 27, 2023 (2022 Annual Report).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222222"/>
        </w:rPr>
        <w:t>more fully described in Part I, Item 1A: Risk Factors included in our 2022 Annual Report and other reports on file with the SEC. We undertake no obligation to update or revise any forward-looking statement, whether written or oral.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Networked Solutions </w:t>
      </w:r>
      <w:r>
        <w:rPr>
          <w:rFonts w:ascii="Arial" w:cs="Arial" w:eastAsia="Arial" w:hAnsi="Arial"/>
          <w:sz w:val="17"/>
          <w:szCs w:val="17"/>
          <w:color w:val="auto"/>
        </w:rPr>
        <w:t>– This segment primarily includes a combination of communicating devices (e.g.,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42-45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222222"/>
        </w:rPr>
        <w:t xml:space="preserve">Highlights and significant developments for the </w:t>
      </w:r>
      <w:r>
        <w:rPr>
          <w:rFonts w:ascii="Arial" w:cs="Arial" w:eastAsia="Arial" w:hAnsi="Arial"/>
          <w:sz w:val="16"/>
          <w:szCs w:val="16"/>
          <w:i w:val="1"/>
          <w:iCs w:val="1"/>
          <w:color w:val="000000"/>
        </w:rPr>
        <w:t>three months ended September 30, 2023 compared with the three months ended September 30, 2022</w:t>
      </w:r>
    </w:p>
    <w:p>
      <w:pPr>
        <w:spacing w:after="0" w:line="86" w:lineRule="exact"/>
        <w:rPr>
          <w:sz w:val="20"/>
          <w:szCs w:val="20"/>
          <w:color w:val="auto"/>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Revenues were $560.8 million compared with $420.9 million in 2022, an increase of 33%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33.4%</w:t>
      </w:r>
      <w:r>
        <w:rPr>
          <w:rFonts w:ascii="Arial" w:cs="Arial" w:eastAsia="Arial" w:hAnsi="Arial"/>
          <w:sz w:val="18"/>
          <w:szCs w:val="18"/>
          <w:color w:val="222222"/>
        </w:rPr>
        <w:t>, compared with 28.5% in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Operating expenses increased $19.1 million, or 17%, compared with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Net income attributable to Itron, Inc. was $40.2 million compared with net income of $4.1 million in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GAAP diluted EPS increased by </w:t>
      </w:r>
      <w:r>
        <w:rPr>
          <w:rFonts w:ascii="Arial" w:cs="Arial" w:eastAsia="Arial" w:hAnsi="Arial"/>
          <w:sz w:val="18"/>
          <w:szCs w:val="18"/>
          <w:color w:val="000000"/>
        </w:rPr>
        <w:t>$0.78</w:t>
      </w:r>
      <w:r>
        <w:rPr>
          <w:rFonts w:ascii="Arial" w:cs="Arial" w:eastAsia="Arial" w:hAnsi="Arial"/>
          <w:sz w:val="18"/>
          <w:szCs w:val="18"/>
          <w:color w:val="222222"/>
        </w:rPr>
        <w:t xml:space="preserve"> to a diluted income per share of $0.87 in 2023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$44.9 million compared with $10.5 million in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diluted EPS was $0.98, an increase of $0.75 compared with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Adjusted EBITDA was $68.5 million compared with $24.3 million in 2022</w:t>
      </w:r>
    </w:p>
    <w:p>
      <w:pPr>
        <w:spacing w:after="0" w:line="63" w:lineRule="exact"/>
        <w:rPr>
          <w:rFonts w:ascii="Arial" w:cs="Arial" w:eastAsia="Arial" w:hAnsi="Arial"/>
          <w:sz w:val="18"/>
          <w:szCs w:val="18"/>
          <w:color w:val="222222"/>
        </w:rPr>
      </w:pPr>
    </w:p>
    <w:p>
      <w:pPr>
        <w:ind w:left="260" w:right="20" w:hanging="171"/>
        <w:spacing w:after="0" w:line="277" w:lineRule="auto"/>
        <w:tabs>
          <w:tab w:leader="none" w:pos="255"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Total backlog was $4.3 billion and twelve-month backlog was $2.0 billion at </w:t>
      </w:r>
      <w:r>
        <w:rPr>
          <w:rFonts w:ascii="Arial" w:cs="Arial" w:eastAsia="Arial" w:hAnsi="Arial"/>
          <w:sz w:val="18"/>
          <w:szCs w:val="18"/>
          <w:color w:val="000000"/>
        </w:rPr>
        <w:t>September 30, 2023, compared with</w:t>
      </w:r>
      <w:r>
        <w:rPr>
          <w:rFonts w:ascii="Arial" w:cs="Arial" w:eastAsia="Arial" w:hAnsi="Arial"/>
          <w:sz w:val="18"/>
          <w:szCs w:val="18"/>
          <w:color w:val="222222"/>
        </w:rPr>
        <w:t xml:space="preserve"> $4.2 billion </w:t>
      </w:r>
      <w:r>
        <w:rPr>
          <w:rFonts w:ascii="Arial" w:cs="Arial" w:eastAsia="Arial" w:hAnsi="Arial"/>
          <w:sz w:val="18"/>
          <w:szCs w:val="18"/>
          <w:color w:val="000000"/>
        </w:rPr>
        <w:t>and</w:t>
      </w:r>
      <w:r>
        <w:rPr>
          <w:rFonts w:ascii="Arial" w:cs="Arial" w:eastAsia="Arial" w:hAnsi="Arial"/>
          <w:sz w:val="18"/>
          <w:szCs w:val="18"/>
          <w:color w:val="222222"/>
        </w:rPr>
        <w:t xml:space="preserve"> $1.6 billion </w:t>
      </w:r>
      <w:r>
        <w:rPr>
          <w:rFonts w:ascii="Arial" w:cs="Arial" w:eastAsia="Arial" w:hAnsi="Arial"/>
          <w:sz w:val="18"/>
          <w:szCs w:val="18"/>
          <w:color w:val="000000"/>
        </w:rPr>
        <w:t>at</w:t>
      </w:r>
      <w:r>
        <w:rPr>
          <w:rFonts w:ascii="Arial" w:cs="Arial" w:eastAsia="Arial" w:hAnsi="Arial"/>
          <w:sz w:val="18"/>
          <w:szCs w:val="18"/>
          <w:color w:val="222222"/>
        </w:rPr>
        <w:t xml:space="preserve"> </w:t>
      </w:r>
      <w:r>
        <w:rPr>
          <w:rFonts w:ascii="Arial" w:cs="Arial" w:eastAsia="Arial" w:hAnsi="Arial"/>
          <w:sz w:val="18"/>
          <w:szCs w:val="18"/>
          <w:color w:val="000000"/>
        </w:rPr>
        <w:t>September 30, 2022</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 xml:space="preserve">Highlights and significant developments for the </w:t>
      </w:r>
      <w:r>
        <w:rPr>
          <w:rFonts w:ascii="Arial" w:cs="Arial" w:eastAsia="Arial" w:hAnsi="Arial"/>
          <w:sz w:val="17"/>
          <w:szCs w:val="17"/>
          <w:i w:val="1"/>
          <w:iCs w:val="1"/>
          <w:color w:val="000000"/>
        </w:rPr>
        <w:t>nine</w:t>
      </w:r>
      <w:r>
        <w:rPr>
          <w:rFonts w:ascii="Arial" w:cs="Arial" w:eastAsia="Arial" w:hAnsi="Arial"/>
          <w:sz w:val="17"/>
          <w:szCs w:val="17"/>
          <w:i w:val="1"/>
          <w:iCs w:val="1"/>
          <w:color w:val="222222"/>
        </w:rPr>
        <w:t xml:space="preserve"> months ended </w:t>
      </w:r>
      <w:r>
        <w:rPr>
          <w:rFonts w:ascii="Arial" w:cs="Arial" w:eastAsia="Arial" w:hAnsi="Arial"/>
          <w:sz w:val="17"/>
          <w:szCs w:val="17"/>
          <w:i w:val="1"/>
          <w:iCs w:val="1"/>
          <w:color w:val="000000"/>
        </w:rPr>
        <w:t>September 30, 2023 compared with the nine months ended September 30, 2022</w:t>
      </w:r>
    </w:p>
    <w:p>
      <w:pPr>
        <w:spacing w:after="0" w:line="75"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Revenues were $1.6 billion compared with $1.3 billion in 2022, an increase of $0.3 billion, or 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Gross margin was 32.4% compared with 28.7% in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Operating expenses increased $36.7 million, or 9%, compared with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auto"/>
        </w:rPr>
        <w:t xml:space="preserve">Net income attributable to Itron, Inc. was $52.5 million compared with net loss of $31.9 million in </w:t>
      </w:r>
      <w:r>
        <w:rPr>
          <w:rFonts w:ascii="Arial" w:cs="Arial" w:eastAsia="Arial" w:hAnsi="Arial"/>
          <w:sz w:val="18"/>
          <w:szCs w:val="18"/>
          <w:color w:val="222222"/>
        </w:rPr>
        <w:t>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GAAP diluted EPS increased by $1.86 to a diluted income per share of $1.15 in 2023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Non-GAAP net income attributable to Itron, Inc. was </w:t>
      </w:r>
      <w:r>
        <w:rPr>
          <w:rFonts w:ascii="Arial" w:cs="Arial" w:eastAsia="Arial" w:hAnsi="Arial"/>
          <w:sz w:val="18"/>
          <w:szCs w:val="18"/>
          <w:color w:val="000000"/>
        </w:rPr>
        <w:t>$97.1 million</w:t>
      </w:r>
      <w:r>
        <w:rPr>
          <w:rFonts w:ascii="Arial" w:cs="Arial" w:eastAsia="Arial" w:hAnsi="Arial"/>
          <w:sz w:val="18"/>
          <w:szCs w:val="18"/>
          <w:color w:val="222222"/>
        </w:rPr>
        <w:t xml:space="preserve"> compared with </w:t>
      </w:r>
      <w:r>
        <w:rPr>
          <w:rFonts w:ascii="Arial" w:cs="Arial" w:eastAsia="Arial" w:hAnsi="Arial"/>
          <w:sz w:val="18"/>
          <w:szCs w:val="18"/>
          <w:color w:val="000000"/>
        </w:rPr>
        <w:t>$18.8 million</w:t>
      </w:r>
      <w:r>
        <w:rPr>
          <w:rFonts w:ascii="Arial" w:cs="Arial" w:eastAsia="Arial" w:hAnsi="Arial"/>
          <w:sz w:val="18"/>
          <w:szCs w:val="18"/>
          <w:color w:val="222222"/>
        </w:rPr>
        <w:t xml:space="preserve"> in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was $2.12, an increase of $1.70 compared with 2022</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auto"/>
        </w:rPr>
        <w:t xml:space="preserve">Adjusted EBITDA was $157.2 million compared with $60.7 million in </w:t>
      </w:r>
      <w:r>
        <w:rPr>
          <w:rFonts w:ascii="Arial" w:cs="Arial" w:eastAsia="Arial" w:hAnsi="Arial"/>
          <w:sz w:val="18"/>
          <w:szCs w:val="18"/>
          <w:color w:val="222222"/>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Facility Amendment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quarter end, on October 13, 2023, Itron, Inc. (Itron)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Leverage Ratio</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Interest Cost</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Commitment Fee</w:t>
            </w:r>
          </w:p>
        </w:tc>
      </w:tr>
      <w:tr>
        <w:trPr>
          <w:trHeight w:val="21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4.00</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+ 250 bps</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3.51 to 4.00</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SOFR + 225 bps</w:t>
            </w:r>
          </w:p>
        </w:tc>
        <w:tc>
          <w:tcPr>
            <w:tcW w:w="3680" w:type="dxa"/>
            <w:vAlign w:val="bottom"/>
          </w:tcPr>
          <w:p>
            <w:pPr>
              <w:ind w:left="20"/>
              <w:spacing w:after="0"/>
              <w:rPr>
                <w:sz w:val="20"/>
                <w:szCs w:val="20"/>
                <w:color w:val="auto"/>
              </w:rPr>
            </w:pPr>
            <w:r>
              <w:rPr>
                <w:rFonts w:ascii="Arial" w:cs="Arial" w:eastAsia="Arial" w:hAnsi="Arial"/>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Less than or equal to 2.50</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SOFR + 175 bps</w:t>
            </w:r>
          </w:p>
        </w:tc>
        <w:tc>
          <w:tcPr>
            <w:tcW w:w="3680" w:type="dxa"/>
            <w:vAlign w:val="bottom"/>
          </w:tcPr>
          <w:p>
            <w:pPr>
              <w:ind w:left="20"/>
              <w:spacing w:after="0"/>
              <w:rPr>
                <w:sz w:val="20"/>
                <w:szCs w:val="20"/>
                <w:color w:val="auto"/>
              </w:rPr>
            </w:pPr>
            <w:r>
              <w:rPr>
                <w:rFonts w:ascii="Arial" w:cs="Arial" w:eastAsia="Arial" w:hAnsi="Arial"/>
                <w:sz w:val="16"/>
                <w:szCs w:val="16"/>
                <w:color w:val="auto"/>
              </w:rPr>
              <w:t>25 bps</w:t>
            </w:r>
          </w:p>
        </w:tc>
      </w:tr>
    </w:tbl>
    <w:p>
      <w:pPr>
        <w:spacing w:after="0" w:line="3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21, 2023, we entered into a sixth amendment to the 2018 credit facility. This amendment modified provisions to allow for the addback for debt covenant calculations of non-recurring cash expenses related to restructuring charges incurred during the quarter ended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refer to Item 1: Financial Statements (Unaudited), Note 6: Debt included in this Quarterly Report on Form 10-Q.</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Effective May 11, 2023, the Board of Directors of Itron authorized a new share repurchase program of up to $100 million of Itron's common stock over an 18-month period (the 2023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November 2, 2023.</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2023 Restructuring Projects</w:t>
      </w:r>
    </w:p>
    <w:p>
      <w:pPr>
        <w:spacing w:after="0" w:line="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 pre-tax restructuring charges of $45.6 million. Of the total estimated charge, approximately 95% will result in cash expenditures, and the remainder to non-cash impairment charges. The majority of the expense were recognized during the 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Global Geopolitical and Economic Supply Chain Risk</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Global economic impacts, such as the COVID-19 pandemic and the various ongoing conflicts around the globe, may create disruption in customer demand and global supply chains, resulting in market volatility, which our management continues to monitor. In the aftermath of these types of events global supply chains, including labor, struggle to keep pace with rapidly changing demand. While recently improving from 2022 levels, our ability to obtain adequate supply of semiconductor components has impacted our ability to service customer demand. Temporal imbalance in supply and demand creates business uncertainties that include costs and availability. Efforts continue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 For more information on risks associated with the pandemic and supply chain challenges, please see our risk in Part I, Item 1A, Risk Factors in our 2022 Annual Report.</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limited direct business exposure in areas with current conflict, such as Russia, Belarus, Ukraine, and Israel, military actions globally and any resulting sanctions could adversely affect the global economy, as well as further disrupt the supply chain. A major disruption in the global economy and supply chain could have a material adverse effect on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Endpoints Under Management: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7"/>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600" w:type="dxa"/>
            <w:vAlign w:val="bottom"/>
            <w:gridSpan w:val="6"/>
          </w:tcPr>
          <w:p>
            <w:pPr>
              <w:ind w:left="460"/>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172"/>
        </w:trPr>
        <w:tc>
          <w:tcPr>
            <w:tcW w:w="20" w:type="dxa"/>
            <w:vAlign w:val="bottom"/>
          </w:tcPr>
          <w:p>
            <w:pPr>
              <w:spacing w:after="0"/>
              <w:rPr>
                <w:sz w:val="14"/>
                <w:szCs w:val="14"/>
                <w:color w:val="auto"/>
              </w:rPr>
            </w:pPr>
          </w:p>
        </w:tc>
        <w:tc>
          <w:tcPr>
            <w:tcW w:w="360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480,355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347,791</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1,361,482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1,107,499</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23%</w:t>
            </w:r>
          </w:p>
        </w:tc>
      </w:tr>
      <w:tr>
        <w:trPr>
          <w:trHeight w:val="213"/>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80,417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73,069</w:t>
            </w:r>
          </w:p>
        </w:tc>
        <w:tc>
          <w:tcPr>
            <w:tcW w:w="11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234,978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220,574</w:t>
            </w:r>
          </w:p>
        </w:tc>
        <w:tc>
          <w:tcPr>
            <w:tcW w:w="11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6"/>
              </w:rPr>
              <w:t>7%</w:t>
            </w:r>
          </w:p>
        </w:tc>
      </w:tr>
      <w:tr>
        <w:trPr>
          <w:trHeight w:val="213"/>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560,772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420,860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1,596,460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1,328,073</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20%</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120,062</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381,391</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36%</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132,313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113,174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437,921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401,211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6"/>
              </w:rPr>
              <w:t>9%</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6,888</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(6,704)</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(75)%</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(4,973)</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393%</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40,172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4,117</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52,537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(31,944)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105,262</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385,833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348,265</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11%</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59,006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14,800</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299%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131,685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33,126</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298%</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10,513</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18,817</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416%</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68,461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24,328</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157,229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60,700</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159%</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60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Earnings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ind w:left="460"/>
              <w:spacing w:after="0"/>
              <w:rPr>
                <w:sz w:val="20"/>
                <w:szCs w:val="20"/>
                <w:color w:val="auto"/>
              </w:rPr>
            </w:pPr>
            <w:r>
              <w:rPr>
                <w:rFonts w:ascii="Arial" w:cs="Arial" w:eastAsia="Arial" w:hAnsi="Arial"/>
                <w:sz w:val="16"/>
                <w:szCs w:val="16"/>
                <w:color w:val="auto"/>
              </w:rPr>
              <w:t>Total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(loss) per common share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Net income (loss) per common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6"/>
        </w:trPr>
        <w:tc>
          <w:tcPr>
            <w:tcW w:w="20" w:type="dxa"/>
            <w:vAlign w:val="bottom"/>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ind w:left="340" w:right="20" w:hanging="332"/>
        <w:spacing w:after="0" w:line="223"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42-45 for information about these non-GAAP measures and reconciliations to the most comparable GAAP measures.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080" w:type="dxa"/>
            <w:vAlign w:val="bottom"/>
            <w:tcBorders>
              <w:bottom w:val="single" w:sz="8" w:color="auto"/>
            </w:tcBorders>
            <w:gridSpan w:val="3"/>
          </w:tcPr>
          <w:p>
            <w:pPr>
              <w:ind w:left="1540"/>
              <w:spacing w:after="0"/>
              <w:rPr>
                <w:sz w:val="20"/>
                <w:szCs w:val="20"/>
                <w:color w:val="auto"/>
              </w:rPr>
            </w:pPr>
            <w:r>
              <w:rPr>
                <w:rFonts w:ascii="Arial" w:cs="Arial" w:eastAsia="Arial" w:hAnsi="Arial"/>
                <w:sz w:val="16"/>
                <w:szCs w:val="16"/>
                <w:b w:val="1"/>
                <w:bCs w:val="1"/>
                <w:color w:val="auto"/>
                <w:w w:val="98"/>
              </w:rPr>
              <w:t>As of September 30,</w:t>
            </w:r>
          </w:p>
        </w:tc>
        <w:tc>
          <w:tcPr>
            <w:tcW w:w="140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96,143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91,541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139,912</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67,141</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1,596,460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268,387</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517,518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381,391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136,127</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2023 vs. Three months ended September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revenues increased $139.9 million, or 33%, in the current 2023 quarter, compared with the same period in 2022. Product revenues increased by $132.6 million, and service revenues increased $7.3 million. Device Solutions increased by $16.8 million; Networked Solutions increased by $115.1 million; and Outcomes increased by $8.0 million when compared with the same period last year. Changes in exchange rates favorably impacted total revenues by $5.7 million, of which $5.0 million favorably impacted Device Solutions.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2023 vs. Nine months ended September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Total revenues increased $268.4 million, or 20%, compared with the same period in </w:t>
      </w:r>
      <w:r>
        <w:rPr>
          <w:rFonts w:ascii="Arial" w:cs="Arial" w:eastAsia="Arial" w:hAnsi="Arial"/>
          <w:sz w:val="18"/>
          <w:szCs w:val="18"/>
          <w:color w:val="000000"/>
        </w:rPr>
        <w:t>2022. Product revenues increased by $254.0 million, and service</w:t>
      </w:r>
      <w:r>
        <w:rPr>
          <w:rFonts w:ascii="Arial" w:cs="Arial" w:eastAsia="Arial" w:hAnsi="Arial"/>
          <w:sz w:val="18"/>
          <w:szCs w:val="18"/>
          <w:color w:val="222222"/>
        </w:rPr>
        <w:t xml:space="preserve"> </w:t>
      </w:r>
      <w:r>
        <w:rPr>
          <w:rFonts w:ascii="Arial" w:cs="Arial" w:eastAsia="Arial" w:hAnsi="Arial"/>
          <w:sz w:val="18"/>
          <w:szCs w:val="18"/>
          <w:color w:val="000000"/>
        </w:rPr>
        <w:t xml:space="preserve">revenues increased by $14.4 million. </w:t>
      </w:r>
      <w:r>
        <w:rPr>
          <w:rFonts w:ascii="Arial" w:cs="Arial" w:eastAsia="Arial" w:hAnsi="Arial"/>
          <w:sz w:val="18"/>
          <w:szCs w:val="18"/>
          <w:color w:val="222222"/>
        </w:rPr>
        <w:t>Device Solutions increased by $3.8 million; Networked Solutions increased by</w:t>
      </w:r>
      <w:r>
        <w:rPr>
          <w:rFonts w:ascii="Arial" w:cs="Arial" w:eastAsia="Arial" w:hAnsi="Arial"/>
          <w:sz w:val="18"/>
          <w:szCs w:val="18"/>
          <w:color w:val="000000"/>
        </w:rPr>
        <w:t xml:space="preserve"> $241.2 million</w:t>
      </w:r>
      <w:r>
        <w:rPr>
          <w:rFonts w:ascii="Arial" w:cs="Arial" w:eastAsia="Arial" w:hAnsi="Arial"/>
          <w:sz w:val="18"/>
          <w:szCs w:val="18"/>
          <w:color w:val="222222"/>
        </w:rPr>
        <w:t>; and Outcomes</w:t>
      </w:r>
      <w:r>
        <w:rPr>
          <w:rFonts w:ascii="Arial" w:cs="Arial" w:eastAsia="Arial" w:hAnsi="Arial"/>
          <w:sz w:val="18"/>
          <w:szCs w:val="18"/>
          <w:color w:val="000000"/>
        </w:rPr>
        <w:t xml:space="preserve"> </w:t>
      </w:r>
      <w:r>
        <w:rPr>
          <w:rFonts w:ascii="Arial" w:cs="Arial" w:eastAsia="Arial" w:hAnsi="Arial"/>
          <w:sz w:val="18"/>
          <w:szCs w:val="18"/>
          <w:color w:val="222222"/>
        </w:rPr>
        <w:t>increased by $23.4 million when compared with the same period last year. C</w:t>
      </w:r>
      <w:r>
        <w:rPr>
          <w:rFonts w:ascii="Arial" w:cs="Arial" w:eastAsia="Arial" w:hAnsi="Arial"/>
          <w:sz w:val="18"/>
          <w:szCs w:val="18"/>
          <w:color w:val="000000"/>
        </w:rPr>
        <w:t>hanges in exchange rates unfavorably impacted total revenues by</w:t>
      </w:r>
      <w:r>
        <w:rPr>
          <w:rFonts w:ascii="Arial" w:cs="Arial" w:eastAsia="Arial" w:hAnsi="Arial"/>
          <w:sz w:val="18"/>
          <w:szCs w:val="18"/>
          <w:color w:val="222222"/>
        </w:rPr>
        <w:t xml:space="preserve"> $2.7 million</w:t>
      </w:r>
      <w:r>
        <w:rPr>
          <w:rFonts w:ascii="Arial" w:cs="Arial" w:eastAsia="Arial" w:hAnsi="Arial"/>
          <w:sz w:val="18"/>
          <w:szCs w:val="18"/>
          <w:color w:val="000000"/>
        </w:rPr>
        <w:t>,</w:t>
      </w:r>
      <w:r>
        <w:rPr>
          <w:rFonts w:ascii="Arial" w:cs="Arial" w:eastAsia="Arial" w:hAnsi="Arial"/>
          <w:sz w:val="18"/>
          <w:szCs w:val="18"/>
          <w:color w:val="222222"/>
        </w:rPr>
        <w:t xml:space="preserve"> </w:t>
      </w:r>
      <w:r>
        <w:rPr>
          <w:rFonts w:ascii="Arial" w:cs="Arial" w:eastAsia="Arial" w:hAnsi="Arial"/>
          <w:sz w:val="18"/>
          <w:szCs w:val="18"/>
          <w:color w:val="000000"/>
        </w:rPr>
        <w:t xml:space="preserve">of which </w:t>
      </w:r>
      <w:r>
        <w:rPr>
          <w:rFonts w:ascii="Arial" w:cs="Arial" w:eastAsia="Arial" w:hAnsi="Arial"/>
          <w:sz w:val="18"/>
          <w:szCs w:val="18"/>
          <w:color w:val="222222"/>
        </w:rPr>
        <w:t>$2.2 million</w:t>
      </w:r>
      <w:r>
        <w:rPr>
          <w:rFonts w:ascii="Arial" w:cs="Arial" w:eastAsia="Arial" w:hAnsi="Arial"/>
          <w:sz w:val="18"/>
          <w:szCs w:val="18"/>
          <w:color w:val="000000"/>
        </w:rPr>
        <w:t xml:space="preserve"> unfavorably impacted Networked Solutions.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September 30, 2023 vs. Three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22222"/>
        </w:rPr>
        <w:t xml:space="preserve">Gross margin in the </w:t>
      </w:r>
      <w:r>
        <w:rPr>
          <w:rFonts w:ascii="Arial" w:cs="Arial" w:eastAsia="Arial" w:hAnsi="Arial"/>
          <w:sz w:val="18"/>
          <w:szCs w:val="18"/>
          <w:color w:val="000000"/>
        </w:rPr>
        <w:t>2023</w:t>
      </w:r>
      <w:r>
        <w:rPr>
          <w:rFonts w:ascii="Arial" w:cs="Arial" w:eastAsia="Arial" w:hAnsi="Arial"/>
          <w:sz w:val="18"/>
          <w:szCs w:val="18"/>
          <w:color w:val="222222"/>
        </w:rPr>
        <w:t xml:space="preserve"> period was 33.4%, compared with 28.5% in </w:t>
      </w:r>
      <w:r>
        <w:rPr>
          <w:rFonts w:ascii="Arial" w:cs="Arial" w:eastAsia="Arial" w:hAnsi="Arial"/>
          <w:sz w:val="18"/>
          <w:szCs w:val="18"/>
          <w:color w:val="000000"/>
        </w:rPr>
        <w:t>2022</w:t>
      </w:r>
      <w:r>
        <w:rPr>
          <w:rFonts w:ascii="Arial" w:cs="Arial" w:eastAsia="Arial" w:hAnsi="Arial"/>
          <w:sz w:val="18"/>
          <w:szCs w:val="18"/>
          <w:color w:val="222222"/>
        </w:rPr>
        <w:t xml:space="preserve">. Product sales gross margin increased to 30.9% for the quarter in </w:t>
      </w:r>
      <w:r>
        <w:rPr>
          <w:rFonts w:ascii="Arial" w:cs="Arial" w:eastAsia="Arial" w:hAnsi="Arial"/>
          <w:sz w:val="18"/>
          <w:szCs w:val="18"/>
          <w:color w:val="000000"/>
        </w:rPr>
        <w:t>2023</w:t>
      </w:r>
      <w:r>
        <w:rPr>
          <w:rFonts w:ascii="Arial" w:cs="Arial" w:eastAsia="Arial" w:hAnsi="Arial"/>
          <w:sz w:val="18"/>
          <w:szCs w:val="18"/>
          <w:color w:val="222222"/>
        </w:rPr>
        <w:t xml:space="preserve">, compared with 25.7% in </w:t>
      </w:r>
      <w:r>
        <w:rPr>
          <w:rFonts w:ascii="Arial" w:cs="Arial" w:eastAsia="Arial" w:hAnsi="Arial"/>
          <w:sz w:val="18"/>
          <w:szCs w:val="18"/>
          <w:color w:val="000000"/>
        </w:rPr>
        <w:t>2022</w:t>
      </w:r>
      <w:r>
        <w:rPr>
          <w:rFonts w:ascii="Arial" w:cs="Arial" w:eastAsia="Arial" w:hAnsi="Arial"/>
          <w:sz w:val="18"/>
          <w:szCs w:val="18"/>
          <w:color w:val="222222"/>
        </w:rPr>
        <w:t xml:space="preserve">. Gross margin on service revenues increased to 48.4% in </w:t>
      </w:r>
      <w:r>
        <w:rPr>
          <w:rFonts w:ascii="Arial" w:cs="Arial" w:eastAsia="Arial" w:hAnsi="Arial"/>
          <w:sz w:val="18"/>
          <w:szCs w:val="18"/>
          <w:color w:val="000000"/>
        </w:rPr>
        <w:t>2023</w:t>
      </w:r>
      <w:r>
        <w:rPr>
          <w:rFonts w:ascii="Arial" w:cs="Arial" w:eastAsia="Arial" w:hAnsi="Arial"/>
          <w:sz w:val="18"/>
          <w:szCs w:val="18"/>
          <w:color w:val="222222"/>
        </w:rPr>
        <w:t xml:space="preserve">, compared with 42.2% in </w:t>
      </w:r>
      <w:r>
        <w:rPr>
          <w:rFonts w:ascii="Arial" w:cs="Arial" w:eastAsia="Arial" w:hAnsi="Arial"/>
          <w:sz w:val="18"/>
          <w:szCs w:val="18"/>
          <w:color w:val="000000"/>
        </w:rPr>
        <w:t>2022</w:t>
      </w:r>
      <w:r>
        <w:rPr>
          <w:rFonts w:ascii="Arial" w:cs="Arial" w:eastAsia="Arial" w:hAnsi="Arial"/>
          <w:sz w:val="18"/>
          <w:szCs w:val="18"/>
          <w:color w:val="222222"/>
        </w:rPr>
        <w: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Nine months ended September 30, 2023 vs. Nine months ended September 30, 2022</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222222"/>
        </w:rPr>
        <w:t xml:space="preserve">Gross margin was 32.4%, compared with 28.7% in </w:t>
      </w:r>
      <w:r>
        <w:rPr>
          <w:rFonts w:ascii="Arial" w:cs="Arial" w:eastAsia="Arial" w:hAnsi="Arial"/>
          <w:sz w:val="18"/>
          <w:szCs w:val="18"/>
          <w:color w:val="000000"/>
        </w:rPr>
        <w:t>2022</w:t>
      </w:r>
      <w:r>
        <w:rPr>
          <w:rFonts w:ascii="Arial" w:cs="Arial" w:eastAsia="Arial" w:hAnsi="Arial"/>
          <w:sz w:val="18"/>
          <w:szCs w:val="18"/>
          <w:color w:val="222222"/>
        </w:rPr>
        <w:t xml:space="preserve">. Product sales gross margin increased to 30.1%, compared with 26.1% in </w:t>
      </w:r>
      <w:r>
        <w:rPr>
          <w:rFonts w:ascii="Arial" w:cs="Arial" w:eastAsia="Arial" w:hAnsi="Arial"/>
          <w:sz w:val="18"/>
          <w:szCs w:val="18"/>
          <w:color w:val="000000"/>
        </w:rPr>
        <w:t>2022,</w:t>
      </w:r>
      <w:r>
        <w:rPr>
          <w:rFonts w:ascii="Arial" w:cs="Arial" w:eastAsia="Arial" w:hAnsi="Arial"/>
          <w:sz w:val="18"/>
          <w:szCs w:val="18"/>
          <w:color w:val="222222"/>
        </w:rPr>
        <w:t xml:space="preserve"> and gross margin on service revenues increased to 45.8%, compared with 42.0% in </w:t>
      </w:r>
      <w:r>
        <w:rPr>
          <w:rFonts w:ascii="Arial" w:cs="Arial" w:eastAsia="Arial" w:hAnsi="Arial"/>
          <w:sz w:val="18"/>
          <w:szCs w:val="18"/>
          <w:color w:val="000000"/>
        </w:rPr>
        <w:t>2022</w:t>
      </w:r>
      <w:r>
        <w:rPr>
          <w:rFonts w:ascii="Arial" w:cs="Arial" w:eastAsia="Arial" w:hAnsi="Arial"/>
          <w:sz w:val="18"/>
          <w:szCs w:val="18"/>
          <w:color w:val="222222"/>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92"/>
              </w:rPr>
              <w:t>Three Months Ended September 30,</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19,139</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91"/>
              </w:rPr>
              <w:t>Nine Months Ended September 30,</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154,769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16,298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47,965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34"/>
        </w:trPr>
        <w:tc>
          <w:tcPr>
            <w:tcW w:w="3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increased $19.1 million for the third quarter of 2023 as compared with the same period in 2022. This was primarily the result of an increase of $13.1 million in sales, general and administrative expenses and $7.8 million in research and development expenses. The increase in sales, general and administrative and research and development expenses were primarily driven by increased labor costs, including variable compensation.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$36.7 million for the nine months ended as compared with the same period in 2022. This was primarily the result of a $48.0 million increase in restructuring costs, of which $41.2 million was related to the 2023 Projects,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an increase of $18.5 million in sales, general and administrative expenses and a $16.3 million increase in research and development expenses. The increase in sales, general and administrative and research and development expenses were primarily driven by increased labor costs, including variable compensation. The increase was partially offset by $38.5 million in goodwill impairment recognized in 2022 and a $5.0 million decrease in amortization of intangible assets. For additional details, refer to Item 1: Financial Statements (Unaudited), Note 12: Restructuring included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Three Months Ended September 30,</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89"/>
              </w:rPr>
              <w:t>5,968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1,367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337%</w:t>
            </w:r>
          </w:p>
        </w:tc>
      </w:tr>
      <w:tr>
        <w:trPr>
          <w:trHeight w:val="207"/>
        </w:trPr>
        <w:tc>
          <w:tcPr>
            <w:tcW w:w="2860" w:type="dxa"/>
            <w:vAlign w:val="bottom"/>
          </w:tcPr>
          <w:p>
            <w:pPr>
              <w:ind w:left="140"/>
              <w:spacing w:after="0"/>
              <w:rPr>
                <w:sz w:val="20"/>
                <w:szCs w:val="20"/>
                <w:color w:val="auto"/>
              </w:rPr>
            </w:pPr>
            <w:r>
              <w:rPr>
                <w:rFonts w:ascii="Arial" w:cs="Arial" w:eastAsia="Arial" w:hAnsi="Arial"/>
                <w:sz w:val="16"/>
                <w:szCs w:val="16"/>
                <w:color w:val="auto"/>
              </w:rPr>
              <w:t>Amortization of prepaid debt fees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(890)</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240" w:type="dxa"/>
            <w:vAlign w:val="bottom"/>
          </w:tcPr>
          <w:p>
            <w:pPr>
              <w:spacing w:after="0"/>
              <w:rPr>
                <w:sz w:val="17"/>
                <w:szCs w:val="17"/>
                <w:color w:val="auto"/>
              </w:rPr>
            </w:pPr>
          </w:p>
        </w:tc>
        <w:tc>
          <w:tcPr>
            <w:tcW w:w="1260" w:type="dxa"/>
            <w:vAlign w:val="bottom"/>
          </w:tcPr>
          <w:p>
            <w:pPr>
              <w:jc w:val="center"/>
              <w:ind w:left="659"/>
              <w:spacing w:after="0"/>
              <w:rPr>
                <w:sz w:val="20"/>
                <w:szCs w:val="20"/>
                <w:color w:val="auto"/>
              </w:rPr>
            </w:pPr>
            <w:r>
              <w:rPr>
                <w:rFonts w:ascii="Arial" w:cs="Arial" w:eastAsia="Arial" w:hAnsi="Arial"/>
                <w:sz w:val="16"/>
                <w:szCs w:val="16"/>
                <w:color w:val="auto"/>
                <w:w w:val="94"/>
              </w:rPr>
              <w:t>(2,761)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center"/>
              <w:ind w:left="539"/>
              <w:spacing w:after="0"/>
              <w:rPr>
                <w:sz w:val="20"/>
                <w:szCs w:val="20"/>
                <w:color w:val="auto"/>
              </w:rPr>
            </w:pPr>
            <w:r>
              <w:rPr>
                <w:rFonts w:ascii="Arial" w:cs="Arial" w:eastAsia="Arial" w:hAnsi="Arial"/>
                <w:sz w:val="16"/>
                <w:szCs w:val="16"/>
                <w:color w:val="auto"/>
                <w:w w:val="90"/>
              </w:rPr>
              <w:t>(2,610)</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6"/>
              </w:rPr>
              <w:t>6%</w:t>
            </w: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(3,718)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0"/>
              </w:rPr>
              <w:t>(2,321)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60%</w:t>
            </w: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(1,679)</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46%</w:t>
            </w:r>
          </w:p>
        </w:tc>
        <w:tc>
          <w:tcPr>
            <w:tcW w:w="240" w:type="dxa"/>
            <w:vAlign w:val="bottom"/>
          </w:tcPr>
          <w:p>
            <w:pPr>
              <w:spacing w:after="0"/>
              <w:rPr>
                <w:sz w:val="17"/>
                <w:szCs w:val="17"/>
                <w:color w:val="auto"/>
              </w:rPr>
            </w:pPr>
          </w:p>
        </w:tc>
        <w:tc>
          <w:tcPr>
            <w:tcW w:w="1260" w:type="dxa"/>
            <w:vAlign w:val="bottom"/>
          </w:tcPr>
          <w:p>
            <w:pPr>
              <w:jc w:val="center"/>
              <w:ind w:left="659"/>
              <w:spacing w:after="0"/>
              <w:rPr>
                <w:sz w:val="20"/>
                <w:szCs w:val="20"/>
                <w:color w:val="auto"/>
              </w:rPr>
            </w:pPr>
            <w:r>
              <w:rPr>
                <w:rFonts w:ascii="Arial" w:cs="Arial" w:eastAsia="Arial" w:hAnsi="Arial"/>
                <w:sz w:val="16"/>
                <w:szCs w:val="16"/>
                <w:color w:val="auto"/>
                <w:w w:val="94"/>
              </w:rPr>
              <w:t>(6,479)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center"/>
              <w:ind w:left="539"/>
              <w:spacing w:after="0"/>
              <w:rPr>
                <w:sz w:val="20"/>
                <w:szCs w:val="20"/>
                <w:color w:val="auto"/>
              </w:rPr>
            </w:pPr>
            <w:r>
              <w:rPr>
                <w:rFonts w:ascii="Arial" w:cs="Arial" w:eastAsia="Arial" w:hAnsi="Arial"/>
                <w:sz w:val="16"/>
                <w:szCs w:val="16"/>
                <w:color w:val="auto"/>
                <w:w w:val="90"/>
              </w:rPr>
              <w:t>(4,931)</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7"/>
              </w:rPr>
              <w:t>31%</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(1,162)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0"/>
              </w:rPr>
              <w:t>(3,140)</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(63)%</w:t>
            </w:r>
          </w:p>
        </w:tc>
      </w:tr>
      <w:tr>
        <w:trPr>
          <w:trHeight w:val="210"/>
        </w:trPr>
        <w:tc>
          <w:tcPr>
            <w:tcW w:w="2860" w:type="dxa"/>
            <w:vAlign w:val="bottom"/>
          </w:tcPr>
          <w:p>
            <w:pPr>
              <w:ind w:left="360"/>
              <w:spacing w:after="0"/>
              <w:rPr>
                <w:sz w:val="20"/>
                <w:szCs w:val="20"/>
                <w:color w:val="auto"/>
              </w:rPr>
            </w:pPr>
            <w:r>
              <w:rPr>
                <w:rFonts w:ascii="Arial" w:cs="Arial" w:eastAsia="Arial" w:hAnsi="Arial"/>
                <w:sz w:val="16"/>
                <w:szCs w:val="16"/>
                <w:color w:val="auto"/>
              </w:rPr>
              <w:t>Total other income (expense)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080" w:type="dxa"/>
            <w:vAlign w:val="bottom"/>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94"/>
              </w:rPr>
              <w:t>(1,673)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0"/>
              </w:rPr>
              <w:t>(6,704)</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(75)%</w:t>
            </w:r>
          </w:p>
        </w:tc>
      </w:tr>
      <w:tr>
        <w:trPr>
          <w:trHeight w:val="20"/>
        </w:trPr>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and nine months ended September 30, 2023 was net income of $0.8 million and net expense of $1.7 million, compared with net expense of $1.9 million and $6.7 million in the same period in 2022.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total other income (expense) for the three months ended September 30, 2023, as compared with the same period in 2022, was primarily driven by the $1.8 million increase in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lower net expense for the nine months ended September 30, 2023, as compared with the same period in 2022, was primarily driven by the $4.6 million increase in interest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three and nine months ended September 30, 2023, our income tax expense was $15.4 million and $24.5 million, compared with income tax expense of $0.5 million and $5.0 million for the same period in 2022. Our tax rate for the three and nine months ended September 30, 2023 of 28% and 31%, differed from the federal statutory rate of 21% due to the impact of valuation allowances on deferred tax assets, the forecasted mix of earnings in domestic and international jurisdictions, U.S. taxation of foreign earnings including GILTI (Global Intangible Low-Taxed Income), net of Section 250 deduction, Subpart F income, an expense related to stock-based compensation, tax credits, and uncertain tax positions. Our tax rate for the three and nine months ended September 30, 2022 of 10% and (19)% differed from the federal statutory rate of 21% primarily due to the impact of valuation allowances on deferred tax assets, the forecasted mix of earnings in domestic and international jurisdictions, GILTI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(OECD) Pillar 2 global minimum tax rules are intended to apply for tax years beginning in 2024. On February 1, 2023, the Financial Accounting Standards Board (FASB) staff noted that they believe that the Pillar 2 tax would be an alternative minimum tax and therefore deferred tax assets would not need to be recognized related to this parallel taxing system. On February 2, 2023, the OECD issued administrative guidance providing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transition and safe harbor rules around the implementation of the Pillar 2 global minimum tax. Under an additional transitional safe harbor released July 17, 2023, the undertaxed profits rule (UTPR) top-up tax will not be applied by any constituent entity's jurisdiction of residence with respect to income earned by a company's ultimate parent entity in its jurisdiction of residence, if the ultimate parent entity's jurisdiction has a corporate tax rate of at least 20%. This transition safe harbor will apply to fiscal years beginning on or before December 31, 2025 and ending before December 31, 2026. The Company is closely monitoring developments and evaluating the impacts these new rules will have on our tax rate, including eligibility to qualify for these safe harbor rules. Based upon preliminary calculations for calendar year 2024, the Company anticipates it will meet the safe harbors in most jurisdictions, and any remaining top-up tax should be immaterial.</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3"/>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40"/>
              <w:spacing w:after="0" w:line="163" w:lineRule="exact"/>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280"/>
              <w:spacing w:after="0" w:line="163" w:lineRule="exact"/>
              <w:rPr>
                <w:sz w:val="20"/>
                <w:szCs w:val="20"/>
                <w:color w:val="auto"/>
              </w:rPr>
            </w:pPr>
            <w:r>
              <w:rPr>
                <w:rFonts w:ascii="Arial" w:cs="Arial" w:eastAsia="Arial" w:hAnsi="Arial"/>
                <w:sz w:val="16"/>
                <w:szCs w:val="16"/>
                <w:b w:val="1"/>
                <w:bCs w:val="1"/>
                <w:color w:val="auto"/>
                <w:w w:val="93"/>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2023</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342,183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384,971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1,059,369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818,154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1,596,460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w w:val="91"/>
              </w:rPr>
              <w:t>Nine Months Ended September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left="699"/>
              <w:spacing w:after="0"/>
              <w:rPr>
                <w:sz w:val="20"/>
                <w:szCs w:val="20"/>
                <w:color w:val="auto"/>
              </w:rPr>
            </w:pPr>
            <w:r>
              <w:rPr>
                <w:rFonts w:ascii="Arial" w:cs="Arial" w:eastAsia="Arial" w:hAnsi="Arial"/>
                <w:sz w:val="16"/>
                <w:szCs w:val="16"/>
                <w:b w:val="1"/>
                <w:bCs w:val="1"/>
                <w:color w:val="auto"/>
                <w:w w:val="89"/>
              </w:rPr>
              <w:t>2023</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9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4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4"/>
                <w:szCs w:val="14"/>
                <w:color w:val="auto"/>
              </w:rPr>
            </w:pPr>
          </w:p>
        </w:tc>
        <w:tc>
          <w:tcPr>
            <w:tcW w:w="1120" w:type="dxa"/>
            <w:vAlign w:val="bottom"/>
            <w:gridSpan w:val="3"/>
          </w:tcPr>
          <w:p>
            <w:pPr>
              <w:jc w:val="center"/>
              <w:ind w:right="34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840" w:type="dxa"/>
            <w:vAlign w:val="bottom"/>
          </w:tcPr>
          <w:p>
            <w:pPr>
              <w:jc w:val="center"/>
              <w:ind w:right="1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9"/>
        </w:trPr>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95"/>
              </w:rPr>
              <w:t>Profit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0"/>
              </w:rPr>
              <w:t>Profit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6"/>
                <w:szCs w:val="16"/>
                <w:b w:val="1"/>
                <w:bCs w:val="1"/>
                <w:i w:val="1"/>
                <w:iCs w:val="1"/>
                <w:color w:val="auto"/>
                <w:w w:val="90"/>
              </w:rPr>
              <w:t>Profit</w:t>
            </w:r>
          </w:p>
        </w:tc>
        <w:tc>
          <w:tcPr>
            <w:tcW w:w="84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w w:val="97"/>
              </w:rPr>
              <w:t>Segment gross profit and margin</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14.9%</w:t>
            </w: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362,852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color w:val="auto"/>
                <w:w w:val="92"/>
              </w:rPr>
              <w:t>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32.2%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38.6%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41.0%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40.7%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39.5%</w:t>
            </w:r>
          </w:p>
        </w:tc>
        <w:tc>
          <w:tcPr>
            <w:tcW w:w="0" w:type="dxa"/>
            <w:vAlign w:val="bottom"/>
          </w:tcPr>
          <w:p>
            <w:pPr>
              <w:spacing w:after="0"/>
              <w:rPr>
                <w:sz w:val="1"/>
                <w:szCs w:val="1"/>
                <w:color w:val="auto"/>
              </w:rPr>
            </w:pPr>
          </w:p>
        </w:tc>
      </w:tr>
      <w:tr>
        <w:trPr>
          <w:trHeight w:val="212"/>
        </w:trPr>
        <w:tc>
          <w:tcPr>
            <w:tcW w:w="250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33.4%</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517,518</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color w:val="auto"/>
                <w:w w:val="92"/>
              </w:rPr>
              <w:t>32.4%</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28.7%</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3"/>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2023</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96,800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Arial" w:cs="Arial" w:eastAsia="Arial" w:hAnsi="Arial"/>
                <w:sz w:val="16"/>
                <w:szCs w:val="16"/>
                <w:color w:val="auto"/>
                <w:w w:val="93"/>
              </w:rPr>
              <w:t>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268,159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Arial" w:cs="Arial" w:eastAsia="Arial" w:hAnsi="Arial"/>
                <w:sz w:val="16"/>
                <w:szCs w:val="16"/>
                <w:color w:val="auto"/>
                <w:w w:val="94"/>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437,921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w w:val="91"/>
              </w:rPr>
              <w:t>Nine Months Ended September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left="699"/>
              <w:spacing w:after="0"/>
              <w:rPr>
                <w:sz w:val="20"/>
                <w:szCs w:val="20"/>
                <w:color w:val="auto"/>
              </w:rPr>
            </w:pPr>
            <w:r>
              <w:rPr>
                <w:rFonts w:ascii="Arial" w:cs="Arial" w:eastAsia="Arial" w:hAnsi="Arial"/>
                <w:sz w:val="16"/>
                <w:szCs w:val="16"/>
                <w:b w:val="1"/>
                <w:bCs w:val="1"/>
                <w:color w:val="auto"/>
                <w:w w:val="89"/>
              </w:rPr>
              <w:t>2023</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i w:val="1"/>
                <w:iCs w:val="1"/>
                <w:color w:val="auto"/>
                <w:w w:val="87"/>
              </w:rPr>
              <w:t>Operating</w:t>
            </w:r>
          </w:p>
        </w:tc>
        <w:tc>
          <w:tcPr>
            <w:tcW w:w="140" w:type="dxa"/>
            <w:vAlign w:val="bottom"/>
          </w:tcPr>
          <w:p>
            <w:pPr>
              <w:spacing w:after="0"/>
              <w:rPr>
                <w:sz w:val="14"/>
                <w:szCs w:val="14"/>
                <w:color w:val="auto"/>
              </w:rPr>
            </w:pPr>
          </w:p>
        </w:tc>
        <w:tc>
          <w:tcPr>
            <w:tcW w:w="860" w:type="dxa"/>
            <w:vAlign w:val="bottom"/>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9"/>
              </w:rPr>
              <w:t>Operating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i w:val="1"/>
                <w:iCs w:val="1"/>
                <w:color w:val="auto"/>
                <w:w w:val="89"/>
              </w:rPr>
              <w:t>Operating</w:t>
            </w:r>
          </w:p>
        </w:tc>
        <w:tc>
          <w:tcPr>
            <w:tcW w:w="840" w:type="dxa"/>
            <w:vAlign w:val="bottom"/>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92"/>
              </w:rPr>
              <w:t>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3"/>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88"/>
              </w:rPr>
              <w:t>Income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Income (Loss)</w:t>
            </w:r>
          </w:p>
        </w:tc>
        <w:tc>
          <w:tcPr>
            <w:tcW w:w="84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162"/>
        </w:trPr>
        <w:tc>
          <w:tcPr>
            <w:tcW w:w="250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6"/>
                <w:szCs w:val="16"/>
                <w:b w:val="1"/>
                <w:bCs w:val="1"/>
                <w:i w:val="1"/>
                <w:iCs w:val="1"/>
                <w:color w:val="auto"/>
                <w:w w:val="97"/>
              </w:rPr>
              <w:t>Segment operating income (loss)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and operating margin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7.1%</w:t>
            </w: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102,503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266,052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color w:val="auto"/>
                <w:w w:val="92"/>
              </w:rPr>
              <w:t>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21.7%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16.8%</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(268,159)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(250,641)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300"/>
              <w:spacing w:after="0" w:line="148" w:lineRule="exact"/>
              <w:rPr>
                <w:sz w:val="20"/>
                <w:szCs w:val="20"/>
                <w:color w:val="auto"/>
              </w:rPr>
            </w:pPr>
            <w:r>
              <w:rPr>
                <w:rFonts w:ascii="Arial" w:cs="Arial" w:eastAsia="Arial" w:hAnsi="Arial"/>
                <w:sz w:val="16"/>
                <w:szCs w:val="16"/>
                <w:color w:val="auto"/>
              </w:rPr>
              <w:t>Total operating income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93"/>
              </w:rPr>
              <w:t>9.8%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1.6%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79,597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ind w:right="99"/>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7"/>
              </w:rPr>
              <w:t>(1.5)%</w:t>
            </w: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and operating margin</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26,919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12,114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Arial" w:cs="Arial" w:eastAsia="Arial" w:hAnsi="Arial"/>
                <w:sz w:val="16"/>
                <w:szCs w:val="16"/>
                <w:b w:val="1"/>
                <w:bCs w:val="1"/>
                <w:color w:val="auto"/>
                <w:w w:val="99"/>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24,862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2023 vs. Three months ended September 30, 2022</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increased $16.8 million, or 18%. Changes in foreign currency exchange rates favorably impacted revenues by $5.0 million. Revenues increased compared with the prior year driven primarily by increased water meter sales in Europe, Middle East, and Africa (EMEA).</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2023 vs. Nine months ended September 30, 2022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$3.8 million, or 1%. Changes in foreign currency exchange rates favorably impacted revenues by $0.1 million. The 2023 increase in revenues was driven primarily by increased water meter sales in EMEA, partially offset by reduced gas hardware sales resulting from our divestiture to Dresser in the first quarter of 2022.</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2023 vs. Three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three months ended September 30, 2023, gross margin was 24.3%, compared with 15.7% for the same period in 2022. The 860 basis point increase over the prior year was primarily due to an improved product mix and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2023 vs. Nine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nine months ended September 30, 2023, gross margin was 22.0%, compared with 14.9% for the same period in 2022. The 710 basis point increase over the prior year was primarily due to an improved product mix and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2023 vs. Three months ended September 30, 2022</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increased $1.5 million, or 19%, compared with 2022. The increase was primarily due to higher marketing expenses, driven by variable compensation, as well as higher product development expenses.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2023 vs. Nine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$3.1 million, or 12%, for the first nine months of 2023, compared with the same period in 2022. The increase was primarily due to higher product development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115,099</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53,308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1,059,369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241,215</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362,852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99,697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11,574</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2023 vs. Three months ended September 30, 2022</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Revenues increased $115.1 million, or 43%, in 2023 compared with 2022. The increase was primarily from product revenues due to the ramp of new deployments and improving component supply enabling us to fulfill more customer demand.</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2023 vs. Nine months ended September 30, 2022</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Revenues increased $241.2 million, or 29%, for the first nine months of 2023 compared with the same period in 2022. The increase was primarily from product revenues due to the ramp of new deployments and improving component supply enabling us to fulfill more customer demand.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2023 vs. Three months ended September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Gross margin was 35.1% for the period ending September 30, 2023, compared with 30.3% in 2022. The 480 basis point increase was primarily related to favorable product and solutions mix and improved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2023 vs. Nine months ended September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Gross margin was 34.3% for the 2023 period, compared with 32.2% in 2022. The 210 basis point increase was primarily related to favorable product and solutions mix and improved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2023 vs. Three months ended September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Operating expenses increased $5.4 million, or 20%, for the quarter in 2023, compared with the same period in 2022. The increase was primarily related to higher product development and marketing expenses driven by variable compensation.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2023 vs. Nine months ended September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Operating expenses increased $11.6 million, or 14%, for the first nine months of 2023, compared with the same period in 2022. The increase was primarily related to higher product development and marketing expenses driven by variable compensation.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Arial" w:cs="Arial" w:eastAsia="Arial" w:hAnsi="Arial"/>
                <w:sz w:val="16"/>
                <w:szCs w:val="16"/>
                <w:b w:val="1"/>
                <w:bCs w:val="1"/>
                <w:color w:val="auto"/>
                <w:w w:val="99"/>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11,568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2023 vs. Three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2023 period, revenues increased $8.0 million, or 14%, compared with the 2022 period. This increase was driven by recurring services, delivery services, and hardware sales.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2023 vs. Nine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increased $23.4 million, or 14%, for the first nine months of 2023, compared with 2022. This increase was driven by software license, hardware sales, delivery, and recurring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2023 vs. Three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decreased to 38.6% for the third quarter of 2023, compared with 41.0% for the same period last year. The 240 basis point decrease was driven by solution mix and increased variable compensation.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2023 vs. Nine months ended September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40.7% for the period ending in 2023, compared with 39.5% for last year. The 120 basis point increase was driven by higher margin software license sales, favorable managed services mix, and other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2023 vs. Three months ended September 30, 2022</w:t>
      </w:r>
    </w:p>
    <w:p>
      <w:pPr>
        <w:spacing w:after="0" w:line="23"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Operating expenses for the 2023 period increased $2.8 million, or 23%, compared with the same period last year. This was primarily related to increased research and development and marketing expenses, driven by increased employee costs including variable compensation.</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2023 vs. Nine months ended September 30, 2022</w:t>
      </w:r>
    </w:p>
    <w:p>
      <w:pPr>
        <w:spacing w:after="0" w:line="23"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Operating expenses for the first nine months of 2023 increased $4.5 million, or 12%, compared with the same period last year. This was primarily related to increased research and development and marketing expenses, driven by increased employee costs including variable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September 30, 2023 vs. Three months ended September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$9.4 million, or 14%, for the three months ended September 30, 2023 compared with the same period in 2022. This increase was primarily the result of $10.0 million increase in sales, general and administrative expenses. The increase in sales, general and administrative expenses was primarily driven by increased labor costs, including variable compensation.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Nine months ended September 30, 2023 vs. Nine months ended September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nine months of 2023, Corporate unallocated expenses increased $17.5 million, or 7%, compared with the 2022 period. This was primarily the result of a $48.0 million increase in restructuring costs, of which $41.2 million was related to the 2023 Projects, as well as a $13.5 million increase in sales, general and administrative expenses. The increase in sales, general and administrative expenses was primarily driven by increased labor costs, including variable compensation. The increase was offset by $38.5 million in goodwill impairment recognized in 2022 and a $5.0 million decrease in amortization of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supply constraints, and adjusted customer project timing.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220" w:type="dxa"/>
            <w:vAlign w:val="bottom"/>
            <w:vMerge w:val="restart"/>
          </w:tcPr>
          <w:p>
            <w:pPr>
              <w:jc w:val="center"/>
              <w:ind w:left="2019"/>
              <w:spacing w:after="0"/>
              <w:rPr>
                <w:sz w:val="20"/>
                <w:szCs w:val="20"/>
                <w:color w:val="auto"/>
              </w:rPr>
            </w:pPr>
            <w:r>
              <w:rPr>
                <w:rFonts w:ascii="Arial" w:cs="Arial" w:eastAsia="Arial" w:hAnsi="Arial"/>
                <w:sz w:val="16"/>
                <w:szCs w:val="16"/>
                <w:b w:val="1"/>
                <w:bCs w:val="1"/>
                <w:color w:val="auto"/>
                <w:w w:val="95"/>
              </w:rPr>
              <w:t>Quarterly</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Arial" w:cs="Arial" w:eastAsia="Arial" w:hAnsi="Arial"/>
                <w:sz w:val="16"/>
                <w:szCs w:val="16"/>
                <w:b w:val="1"/>
                <w:bCs w:val="1"/>
                <w:color w:val="auto"/>
                <w:w w:val="95"/>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Arial" w:cs="Arial" w:eastAsia="Arial" w:hAnsi="Arial"/>
                <w:sz w:val="16"/>
                <w:szCs w:val="16"/>
                <w:b w:val="1"/>
                <w:bCs w:val="1"/>
                <w:color w:val="auto"/>
                <w:w w:val="94"/>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Arial" w:cs="Arial" w:eastAsia="Arial" w:hAnsi="Arial"/>
                <w:sz w:val="16"/>
                <w:szCs w:val="16"/>
                <w:b w:val="1"/>
                <w:bCs w:val="1"/>
                <w:color w:val="auto"/>
                <w:w w:val="95"/>
              </w:rPr>
              <w:t>12-Month</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2023</w:t>
            </w:r>
          </w:p>
        </w:tc>
        <w:tc>
          <w:tcPr>
            <w:tcW w:w="322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4,337</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June 30, 2023</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4,493</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2023</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4,558</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898</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4,619</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2022</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4,201</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37,530</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(19,003)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43,494</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(19,396)</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(8,794)</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52,764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were $254.8 million at September 30, 2023, compared with $202.0 million at December 31, 2022. The $52.8 million increase in cash and cash equivalents in the 2023 period was primarily the result of cash provided by operations, partially offset by cash used for variable compensation payouts and acquisition of property, plant, and equipment.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Cash provided by operating activities during the nine months in 2023 was $77.1 million compared with $37.5 million during the same period in 2022. The increase was primarily due to increased earnings and lower variable compensation payouts in 2023, partially offset by an increase in working capital.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2023, net cash from investing activities shifted from cash provided of $43.5 million in 2022 to cash used of $19.0 million in 2023, resulting in a change of $62.5 million. This change was primarily the result of proceeds from the sale of certain Gas product lines from our Device Solutions manufacturing and business operations in Europe and North America to Dresser of $55.9 million in 2022 and an increase in cash used to purchase property, plant, and equipment of $3.4 million in 2023.</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Net cash used in financing activities during the nine months in 2023 was $2.6 million, compared with net cash used of $19.4 million for the same period in 2022. The increase is due primarily to the repurchase of common stock in 2022 of $17.0 million.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September 30, 2023 was a decrease of $2.7 million, compared with a decrease of $8.8 million for the same period in 2022. Our foreign currency exposure relates to non-U.S. dollar denominated balances in our international subsidiary operations.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89"/>
              </w:rPr>
              <w:t>77,076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37,530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color w:val="auto"/>
                <w:w w:val="93"/>
              </w:rPr>
              <w:t>(18,304)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3"/>
              </w:rPr>
              <w:t>(14,886)</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89"/>
              </w:rPr>
              <w:t>58,772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3"/>
              </w:rPr>
              <w:t>22,644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2023 and December 31, 2022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initially entered into our credit facility on January 5, 2018 (together with the subsequent seven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September 30, 2023, no amount was outstanding under the 2018 credit facility, and $61.6 million was utilized by outstanding standby letters of credit, resulting in $438.4 million available for borrowing or standby letters of credit under the revolver. At September 30, 2023, $238.4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and unpaid interest must be repaid. However, that date may be advanced to December 14, 2025 if Itron does not settle or extend a sufficient portion of outstanding convertible notes detailed in the amendment.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our borrowings, refer to Item 1: Financial Statements (Unaudited), Note 6: Debt included in this Quarterly Report on Form 10-Q.</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2020, our Board of Directors approved a restructuring plan (the 2020 Projects). The 2020 Projects include activities that continue our efforts to optimize global supply chain and manufacturing operations, sales and marketing organizations, and other overhead. These projects are scheduled to be substantially complete by the end of 2023, with an estimated $3 million in cash payments remaining as of September 30, 2023 with cash outflows expected through 2025.</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 with an estimated $26 million in cash payments remaining as of September 30, 2023 with cash outflows expected through 2025.</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 with an estimated $42 million in cash payments remaining as of September 30, 2023 with cash outflows expected through 2027.</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we paid out a net $11.5 million related to all our restructuring projects. As of September 30, 2023, $66.4 million was accrued for these restructuring projects, of which $15.7 million is expected to be paid within the next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 included in this Quarterly Report on Form 10-Q.</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repurchases under the 2023 Stock Repurchase Program through November 2,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$23 million in U.S federal taxes, $14 million in state taxes, and $15 million in local and foreign taxes during 2023. For a discussion of our tax provision and unrecognized tax benefits, see Item 1: Financial Statements (Unaudited), Note 10: Income Taxes included in this Quarterly Report on Form 10-Q.</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there was $45.4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one of our consolidated international subsidiaries we have a joint venture partner, who is a minority shareholder. Although this entity is not wholly-owned by Itron, Inc., we consolidate the subsidiary because we exercise control over the operations. The noncontrolling interest balance in our Consolidated Balance Sheets represents the proportional share of the equity of the joint venture entity, which is attributable to the minority shareholders. At September 30, 2023, $3.3 million of our consolidated cash balance was held in this joint venture entity. As a result, the minority shareholder of this entity has rights to its proportional share of this cash balance, and there may be limitations on our ability to repatriate cash to the United States from this entity.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Arial" w:cs="Arial" w:eastAsia="Arial" w:hAnsi="Arial"/>
          <w:sz w:val="17"/>
          <w:szCs w:val="17"/>
          <w:color w:val="222222"/>
        </w:rPr>
        <w:t>our dependence on certain key vendors and components,</w:t>
      </w:r>
      <w:r>
        <w:rPr>
          <w:rFonts w:ascii="Arial" w:cs="Arial" w:eastAsia="Arial" w:hAnsi="Arial"/>
          <w:sz w:val="17"/>
          <w:szCs w:val="17"/>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2022 Annual Report, as well as Part I, Item 3: Quantitative and Qualitative Disclosures About Market Risk included in this Quarterly Report on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2022 Annual Report and have not changed materially.</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Russian currency translation write-off,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 strategic initiative expenses, Russian currency translation write-off, goodwill impairment, and acquisition and integration related expenses. We define non-GAAP operating income as operating income (loss) excluding the expenses related to the amortization of intangible assets, restructuring, loss on sale of business, strategic initiative expenses, Russian currency translation write-off, goodwill impairment,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(loss) attributable to Itron, Inc. excluding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associated with amortization of intangible assets, amortization of debt placement fees, restructuring, loss on sale of business, strategic initiative expenses, Russian currency translation write-off, goodwill impairment,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We define adjusted EBITDA as net income (loss) (a) minus interest income, (b) plus interest expense,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loss on sale of business, strategic initiative expenses, Russian currency translation write-off, goodwill impairment,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cash used for acquisitions of property, plant and equipment.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2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401,211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(19,451)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Russian currency translation write-off</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impairment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348,265</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GAAP operating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54,890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6,888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79,597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(19,820)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Strategic initiative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131,685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19,451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Strategic initiative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Russian currency translation write-off</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18,817</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diluted EPS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CCEEFF"/>
          </w:tcPr>
          <w:p>
            <w:pPr>
              <w:spacing w:after="0"/>
              <w:rPr>
                <w:sz w:val="14"/>
                <w:szCs w:val="14"/>
                <w:color w:val="auto"/>
              </w:rPr>
            </w:pPr>
          </w:p>
        </w:tc>
        <w:tc>
          <w:tcPr>
            <w:tcW w:w="4580" w:type="dxa"/>
            <w:vAlign w:val="bottom"/>
            <w:shd w:val="clear" w:color="auto" w:fill="CCEEFF"/>
          </w:tcPr>
          <w:p>
            <w:pPr>
              <w:ind w:left="200"/>
              <w:spacing w:after="0" w:line="166" w:lineRule="exact"/>
              <w:rPr>
                <w:sz w:val="20"/>
                <w:szCs w:val="20"/>
                <w:color w:val="auto"/>
              </w:rPr>
            </w:pPr>
            <w:r>
              <w:rPr>
                <w:rFonts w:ascii="Arial" w:cs="Arial" w:eastAsia="Arial" w:hAnsi="Arial"/>
                <w:sz w:val="16"/>
                <w:szCs w:val="16"/>
                <w:color w:val="auto"/>
              </w:rPr>
              <w:t>Non-GAAP weighted average common shares outstanding -</w:t>
            </w: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45,768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45,267</w:t>
            </w:r>
          </w:p>
        </w:tc>
        <w:tc>
          <w:tcPr>
            <w:tcW w:w="0" w:type="dxa"/>
            <w:vAlign w:val="bottom"/>
          </w:tcPr>
          <w:p>
            <w:pPr>
              <w:spacing w:after="0"/>
              <w:rPr>
                <w:sz w:val="1"/>
                <w:szCs w:val="1"/>
                <w:color w:val="auto"/>
              </w:rPr>
            </w:pPr>
          </w:p>
        </w:tc>
      </w:tr>
      <w:tr>
        <w:trPr>
          <w:trHeight w:val="205"/>
        </w:trPr>
        <w:tc>
          <w:tcPr>
            <w:tcW w:w="10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2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3"/>
        </w:trPr>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In thousands, except per share data</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09"/>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GAAP net income (loss) attributable to Itron,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(31,944)</w:t>
            </w:r>
          </w:p>
        </w:tc>
      </w:tr>
      <w:tr>
        <w:trPr>
          <w:trHeight w:val="213"/>
        </w:trPr>
        <w:tc>
          <w:tcPr>
            <w:tcW w:w="468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(1,367)</w:t>
            </w:r>
          </w:p>
        </w:tc>
      </w:tr>
      <w:tr>
        <w:trPr>
          <w:trHeight w:val="219"/>
        </w:trPr>
        <w:tc>
          <w:tcPr>
            <w:tcW w:w="4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w:t>
            </w:r>
          </w:p>
        </w:tc>
      </w:tr>
      <w:tr>
        <w:trPr>
          <w:trHeight w:val="213"/>
        </w:trPr>
        <w:tc>
          <w:tcPr>
            <w:tcW w:w="468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4,973</w:t>
            </w:r>
          </w:p>
        </w:tc>
      </w:tr>
      <w:tr>
        <w:trPr>
          <w:trHeight w:val="219"/>
        </w:trPr>
        <w:tc>
          <w:tcPr>
            <w:tcW w:w="4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50,612</w:t>
            </w:r>
          </w:p>
        </w:tc>
      </w:tr>
      <w:tr>
        <w:trPr>
          <w:trHeight w:val="213"/>
        </w:trPr>
        <w:tc>
          <w:tcPr>
            <w:tcW w:w="46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(11,097)</w:t>
            </w:r>
          </w:p>
        </w:tc>
      </w:tr>
      <w:tr>
        <w:trPr>
          <w:trHeight w:val="219"/>
        </w:trPr>
        <w:tc>
          <w:tcPr>
            <w:tcW w:w="4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on sale of business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r>
      <w:tr>
        <w:trPr>
          <w:trHeight w:val="213"/>
        </w:trPr>
        <w:tc>
          <w:tcPr>
            <w:tcW w:w="4680" w:type="dxa"/>
            <w:vAlign w:val="bottom"/>
          </w:tcPr>
          <w:p>
            <w:pPr>
              <w:ind w:left="460"/>
              <w:spacing w:after="0"/>
              <w:rPr>
                <w:sz w:val="20"/>
                <w:szCs w:val="20"/>
                <w:color w:val="auto"/>
              </w:rPr>
            </w:pPr>
            <w:r>
              <w:rPr>
                <w:rFonts w:ascii="Arial" w:cs="Arial" w:eastAsia="Arial" w:hAnsi="Arial"/>
                <w:sz w:val="16"/>
                <w:szCs w:val="16"/>
                <w:color w:val="auto"/>
              </w:rPr>
              <w:t>Strategic initiative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19"/>
        </w:trPr>
        <w:tc>
          <w:tcPr>
            <w:tcW w:w="4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Russian currency translation write-off</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r>
      <w:tr>
        <w:trPr>
          <w:trHeight w:val="213"/>
        </w:trPr>
        <w:tc>
          <w:tcPr>
            <w:tcW w:w="4680" w:type="dxa"/>
            <w:vAlign w:val="bottom"/>
          </w:tcPr>
          <w:p>
            <w:pPr>
              <w:ind w:left="460"/>
              <w:spacing w:after="0"/>
              <w:rPr>
                <w:sz w:val="20"/>
                <w:szCs w:val="20"/>
                <w:color w:val="auto"/>
              </w:rPr>
            </w:pPr>
            <w:r>
              <w:rPr>
                <w:rFonts w:ascii="Arial" w:cs="Arial" w:eastAsia="Arial" w:hAnsi="Arial"/>
                <w:sz w:val="16"/>
                <w:szCs w:val="16"/>
                <w:color w:val="auto"/>
              </w:rPr>
              <w:t>Goodwill impairment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r>
      <w:tr>
        <w:trPr>
          <w:trHeight w:val="216"/>
        </w:trPr>
        <w:tc>
          <w:tcPr>
            <w:tcW w:w="4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4680" w:type="dxa"/>
            <w:vAlign w:val="bottom"/>
          </w:tcPr>
          <w:p>
            <w:pPr>
              <w:ind w:left="30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FREE CASH FLOW</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37,530</w:t>
            </w:r>
          </w:p>
        </w:tc>
      </w:tr>
      <w:tr>
        <w:trPr>
          <w:trHeight w:val="213"/>
        </w:trPr>
        <w:tc>
          <w:tcPr>
            <w:tcW w:w="4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w:t>
            </w:r>
          </w:p>
        </w:tc>
      </w:tr>
      <w:tr>
        <w:trPr>
          <w:trHeight w:val="238"/>
        </w:trPr>
        <w:tc>
          <w:tcPr>
            <w:tcW w:w="4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be exposed to interest rate risk through our variable rate debt instruments, namely the multicurrency revolving line of credit. At September 30, 2023, we had no outstanding variable rate debt.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Revenues denominated in functional currencies other than the U.S. dollar were 22% and 24% of total revenues for the three and nine months ended September 30, 2023 compared with 28% and 31% for the same respective period in 2022.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2023, a total of 40 contracts were offsetting our exposures from the euro, pound sterling, Indonesian rupiah, Canadian dollar, Australian dollar, and various other currencies, with notional amounts ranging from $109,000 to $42.3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2023,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2023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list of Risk Factors, refer to Part I, Item 1A: Risk Factors of our Annual Report on Form 10-K for the fiscal year ended December 31, 2022, which was filed with the Securities and Exchange Commission on February 27, 2023.</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100"/>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2023 through July 31, 2023</w:t>
            </w:r>
          </w:p>
        </w:tc>
        <w:tc>
          <w:tcPr>
            <w:tcW w:w="182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August 1, 2023 through August 31, 2023</w:t>
            </w:r>
          </w:p>
        </w:tc>
        <w:tc>
          <w:tcPr>
            <w:tcW w:w="182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2023 through September 30, 2023</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8"/>
                <w:szCs w:val="18"/>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Arial" w:cs="Arial" w:eastAsia="Arial" w:hAnsi="Arial"/>
                <w:sz w:val="16"/>
                <w:szCs w:val="16"/>
                <w:color w:val="auto"/>
              </w:rPr>
              <w:t>Total</w:t>
            </w:r>
          </w:p>
        </w:tc>
        <w:tc>
          <w:tcPr>
            <w:tcW w:w="182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Effective May 11, 2023, Itron's Board of Directors authorized a share repurchase program of up to $100 million of Itron's common stock over an 18-month period.</w:t>
      </w:r>
    </w:p>
    <w:p>
      <w:pPr>
        <w:spacing w:after="0" w:line="50" w:lineRule="exact"/>
        <w:rPr>
          <w:rFonts w:ascii="Arial" w:cs="Arial" w:eastAsia="Arial" w:hAnsi="Arial"/>
          <w:sz w:val="20"/>
          <w:szCs w:val="20"/>
          <w:color w:val="auto"/>
          <w:vertAlign w:val="superscript"/>
        </w:rPr>
      </w:pPr>
    </w:p>
    <w:p>
      <w:pPr>
        <w:ind w:left="320" w:hanging="312"/>
        <w:spacing w:after="0" w:line="191"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Excludes commissions.</w:t>
      </w: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2023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9820" w:type="dxa"/>
            <w:vAlign w:val="bottom"/>
            <w:gridSpan w:val="5"/>
          </w:tcPr>
          <w:p>
            <w:pPr>
              <w:ind w:left="20"/>
              <w:spacing w:after="0"/>
              <w:rPr>
                <w:sz w:val="20"/>
                <w:szCs w:val="20"/>
                <w:color w:val="auto"/>
              </w:rPr>
            </w:pPr>
            <w:r>
              <w:rPr>
                <w:rFonts w:ascii="Arial" w:cs="Arial" w:eastAsia="Arial" w:hAnsi="Arial"/>
                <w:sz w:val="18"/>
                <w:szCs w:val="18"/>
                <w:b w:val="1"/>
                <w:bCs w:val="1"/>
                <w:color w:val="auto"/>
              </w:rPr>
              <w:t>Description of Exhibits</w:t>
            </w:r>
          </w:p>
        </w:tc>
      </w:tr>
      <w:tr>
        <w:trPr>
          <w:trHeight w:val="183"/>
        </w:trPr>
        <w:tc>
          <w:tcPr>
            <w:tcW w:w="1220" w:type="dxa"/>
            <w:vAlign w:val="bottom"/>
            <w:tcBorders>
              <w:top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9820" w:type="dxa"/>
            <w:vAlign w:val="bottom"/>
            <w:tcBorders>
              <w:top w:val="single" w:sz="8" w:color="auto"/>
            </w:tcBorders>
            <w:gridSpan w:val="5"/>
          </w:tcPr>
          <w:p>
            <w:pPr>
              <w:ind w:left="20"/>
              <w:spacing w:after="0" w:line="182"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Amendment No. 7, dated October 13, 2023, to the Credit Agreement, dated January 5, 2018 among Itron, Inc. and certain foreign</w:t>
              </w:r>
            </w:hyperlink>
          </w:p>
        </w:tc>
      </w:tr>
      <w:tr>
        <w:trPr>
          <w:trHeight w:val="156"/>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4"/>
          </w:tcPr>
          <w:p>
            <w:pPr>
              <w:ind w:left="20"/>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borrowers, guarantors, lenders and issuing parties thereto, and Wells Fargo Bank, National Association, as administrative agent (Filed</w:t>
              </w:r>
            </w:hyperlink>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2"/>
          </w:tcPr>
          <w:p>
            <w:pPr>
              <w:ind w:left="20"/>
              <w:spacing w:after="0" w:line="169"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as Exhibit 10.1 to Itron Inc.'s Current Report on Form 8-K, filed on October 16, 2023).</w:t>
              </w:r>
            </w:hyperlink>
          </w:p>
        </w:tc>
        <w:tc>
          <w:tcPr>
            <w:tcW w:w="35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66"/>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0"/>
              </w:rPr>
              <w:t>Certification Pursuant to Section 302 of the Sarbanes-Oxley Act of 2002</w:t>
            </w:r>
          </w:p>
        </w:tc>
        <w:tc>
          <w:tcPr>
            <w:tcW w:w="4580" w:type="dxa"/>
            <w:vAlign w:val="bottom"/>
            <w:gridSpan w:val="4"/>
          </w:tcPr>
          <w:p>
            <w:pPr>
              <w:spacing w:after="0"/>
              <w:rPr>
                <w:sz w:val="24"/>
                <w:szCs w:val="24"/>
                <w:color w:val="auto"/>
              </w:rPr>
            </w:pPr>
          </w:p>
        </w:tc>
      </w:tr>
      <w:tr>
        <w:trPr>
          <w:trHeight w:val="479"/>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0"/>
              </w:rPr>
              <w:t>Certification Pursuant to Section 302 of the Sarbanes-Oxley Act of 2002</w:t>
            </w:r>
          </w:p>
        </w:tc>
        <w:tc>
          <w:tcPr>
            <w:tcW w:w="4580" w:type="dxa"/>
            <w:vAlign w:val="bottom"/>
            <w:gridSpan w:val="4"/>
          </w:tcPr>
          <w:p>
            <w:pPr>
              <w:spacing w:after="0"/>
              <w:rPr>
                <w:sz w:val="24"/>
                <w:szCs w:val="24"/>
                <w:color w:val="auto"/>
              </w:rPr>
            </w:pPr>
          </w:p>
        </w:tc>
      </w:tr>
      <w:tr>
        <w:trPr>
          <w:trHeight w:val="479"/>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0"/>
              </w:rPr>
              <w:t>Certification Pursuant to Section 906 of the Sarbanes-Oxley Act of 2002</w:t>
            </w:r>
          </w:p>
        </w:tc>
        <w:tc>
          <w:tcPr>
            <w:tcW w:w="4580" w:type="dxa"/>
            <w:vAlign w:val="bottom"/>
            <w:gridSpan w:val="4"/>
          </w:tcPr>
          <w:p>
            <w:pPr>
              <w:spacing w:after="0"/>
              <w:rPr>
                <w:sz w:val="24"/>
                <w:szCs w:val="24"/>
                <w:color w:val="auto"/>
              </w:rPr>
            </w:pPr>
          </w:p>
        </w:tc>
      </w:tr>
    </w:tbl>
    <w:p>
      <w:pPr>
        <w:spacing w:after="0" w:line="296" w:lineRule="exact"/>
        <w:rPr>
          <w:sz w:val="20"/>
          <w:szCs w:val="20"/>
          <w:color w:val="auto"/>
        </w:rPr>
      </w:pPr>
    </w:p>
    <w:p>
      <w:pPr>
        <w:jc w:val="both"/>
        <w:ind w:left="1440" w:right="20" w:hanging="939"/>
        <w:spacing w:after="0" w:line="236" w:lineRule="auto"/>
        <w:tabs>
          <w:tab w:leader="none" w:pos="1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September 30, 2023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1" w:lineRule="exact"/>
        <w:rPr>
          <w:sz w:val="20"/>
          <w:szCs w:val="20"/>
          <w:color w:val="auto"/>
        </w:rPr>
      </w:pPr>
    </w:p>
    <w:p>
      <w:pPr>
        <w:ind w:left="1440" w:hanging="939"/>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November 2, 2023</w:t>
            </w:r>
          </w:p>
        </w:tc>
        <w:tc>
          <w:tcPr>
            <w:tcW w:w="1280" w:type="dxa"/>
            <w:vAlign w:val="bottom"/>
          </w:tcPr>
          <w:p>
            <w:pPr>
              <w:ind w:left="52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205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Thomas L. Deitrich</w:t>
      </w:r>
    </w:p>
    <w:p>
      <w:pPr>
        <w:jc w:val="center"/>
        <w:ind w:left="7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spacing w:after="0" w:line="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2023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40" w:hanging="38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right="740" w:hanging="407"/>
        <w:spacing w:after="0" w:line="277" w:lineRule="auto"/>
        <w:tabs>
          <w:tab w:leader="none" w:pos="8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November 2, 2023</w:t>
            </w: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tcPr>
          <w:p>
            <w:pPr>
              <w:spacing w:after="0"/>
              <w:rPr>
                <w:sz w:val="14"/>
                <w:szCs w:val="14"/>
                <w:color w:val="auto"/>
              </w:rPr>
            </w:pPr>
          </w:p>
        </w:tc>
      </w:tr>
      <w:tr>
        <w:trPr>
          <w:trHeight w:val="243"/>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November 2, 2023</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91"/>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2" Type="http://schemas.openxmlformats.org/officeDocument/2006/relationships/hyperlink" Target="https://www.sec.gov/Archives/edgar/data/780571/000115752323001489/a5360884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2023-11-02T11:51:32Z</dcterms:created>
  <dcterms:modified xsi:type="dcterms:W3CDTF">2023-11-02T11:51:32Z</dcterms:modified>
</cp:coreProperties>
</file>