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358"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w:t>
      </w:r>
    </w:p>
    <w:p>
      <w:pPr>
        <w:spacing w:after="0" w:line="200" w:lineRule="exact"/>
        <w:rPr>
          <w:sz w:val="24"/>
          <w:szCs w:val="24"/>
          <w:color w:val="auto"/>
        </w:rPr>
      </w:pPr>
    </w:p>
    <w:p>
      <w:pPr>
        <w:spacing w:after="0" w:line="39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14)*</w:t>
      </w:r>
    </w:p>
    <w:p>
      <w:pPr>
        <w:spacing w:after="0" w:line="35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w:t>
      </w:r>
    </w:p>
    <w:p>
      <w:pPr>
        <w:spacing w:after="0" w:line="200" w:lineRule="exact"/>
        <w:rPr>
          <w:sz w:val="24"/>
          <w:szCs w:val="24"/>
          <w:color w:val="auto"/>
        </w:rPr>
      </w:pPr>
    </w:p>
    <w:p>
      <w:pPr>
        <w:spacing w:after="0" w:line="37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Itron,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no par value per share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(Title and Class of Securities)</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465741106</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Samantha Nasello</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Scopia Capital Management 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152 West 57th St., 33rd Floor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370-0303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May 20, 2019</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Event Which Requires Filing of Statement)</w:t>
      </w:r>
    </w:p>
    <w:p>
      <w:pPr>
        <w:spacing w:after="0" w:line="35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_______________________________________________</w:t>
      </w:r>
    </w:p>
    <w:p>
      <w:pPr>
        <w:spacing w:after="0" w:line="29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23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Schedules filed in paper format shall include a signed original and five copies of the schedule, including all exhibits. See Rule 13d-7(b) for other parties to whom copies are to be sent.</w:t>
      </w:r>
    </w:p>
    <w:p>
      <w:pPr>
        <w:spacing w:after="0" w:line="170" w:lineRule="exact"/>
        <w:rPr>
          <w:sz w:val="24"/>
          <w:szCs w:val="24"/>
          <w:color w:val="auto"/>
        </w:rPr>
      </w:pPr>
    </w:p>
    <w:p>
      <w:pPr>
        <w:ind w:left="460" w:right="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63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040" w:hanging="982"/>
        <w:spacing w:after="0" w:line="440"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Scopia Capital Management LP</w:t>
      </w:r>
    </w:p>
    <w:p>
      <w:pPr>
        <w:ind w:left="1080" w:hanging="98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4,060,227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4,060,227</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4,060,227</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10.3%*</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300" w:hanging="232"/>
        <w:spacing w:after="0" w:line="277"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39,349,003 shares of Common Stock of Itron, Inc. (the “Issuer”) outstanding as of April 30, 2019, as reported in the Issuer’s Form 10-Q filed with the Securities and Exchange Commission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440"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Reporting Persons: Scopia Management, Inc.</w:t>
      </w:r>
    </w:p>
    <w:p>
      <w:pPr>
        <w:ind w:left="1080" w:hanging="98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4,060,227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4,060,227</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4,060,227</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080" w:right="7100" w:hanging="1072"/>
        <w:spacing w:after="0" w:line="51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40" w:right="100" w:hanging="232"/>
        <w:spacing w:after="0" w:line="277"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414"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Name of Reporting Persons: Matthew Sirovich</w:t>
      </w:r>
    </w:p>
    <w:p>
      <w:pPr>
        <w:ind w:left="1080" w:hanging="98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4,060,227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4,060,227</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4,061,429</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10.3%*</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00" w:hanging="232"/>
        <w:spacing w:after="0" w:line="277"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391"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 Jeremy Mindich</w:t>
      </w: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80"/>
        <w:spacing w:after="0" w:line="205"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080" w:hanging="98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98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23" w:lineRule="exact"/>
        <w:rPr>
          <w:rFonts w:ascii="Arial" w:cs="Arial" w:eastAsia="Arial" w:hAnsi="Arial"/>
          <w:sz w:val="18"/>
          <w:szCs w:val="18"/>
          <w:color w:val="auto"/>
        </w:rPr>
      </w:pPr>
    </w:p>
    <w:p>
      <w:pPr>
        <w:ind w:left="1080" w:hanging="982"/>
        <w:spacing w:after="0" w:line="207" w:lineRule="exact"/>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080" w:hanging="98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(8)</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840" w:type="dxa"/>
            <w:vAlign w:val="bottom"/>
            <w:vMerge w:val="continue"/>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4,060,227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8"/>
                <w:szCs w:val="18"/>
                <w:color w:val="auto"/>
              </w:rPr>
              <w:t>4,060,227</w:t>
            </w: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(11)</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4,060,880</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(12)</w:t>
            </w:r>
          </w:p>
        </w:tc>
        <w:tc>
          <w:tcPr>
            <w:tcW w:w="1110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auto"/>
            </w:tcBorders>
            <w:gridSpan w:val="2"/>
          </w:tcPr>
          <w:p>
            <w:pPr>
              <w:spacing w:after="0"/>
              <w:rPr>
                <w:sz w:val="13"/>
                <w:szCs w:val="13"/>
                <w:color w:val="auto"/>
              </w:rPr>
            </w:pPr>
          </w:p>
        </w:tc>
        <w:tc>
          <w:tcPr>
            <w:tcW w:w="11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(13)</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10.3%*</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1"/>
              </w:rPr>
              <w:t>(14)</w:t>
            </w:r>
          </w:p>
        </w:tc>
        <w:tc>
          <w:tcPr>
            <w:tcW w:w="11100" w:type="dxa"/>
            <w:vAlign w:val="bottom"/>
            <w:gridSpan w:val="3"/>
          </w:tcPr>
          <w:p>
            <w:pPr>
              <w:ind w:left="7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00" w:hanging="232"/>
        <w:spacing w:after="0" w:line="277"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39,349,003 shares of Common Stock of the Issuer outstanding as of April 30, 2019, as reported in the Issuer’s Form 10-Q filed with the SEC on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Amendment No. 14 to Schedule 13D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constitutes Amendment No. 14 to the Schedule 13D filed by the undersigned (“Amendment No. 14”). This Amendment No. 14 amends the Schedule 13D as specifically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contained herein but not otherwise defined shall have the meanings ascribed to such terms in the Schedule 13D, as amended.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given in response to each item shall be deemed incorporated by reference in all other items, as applicable.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Schedule 13D is supplemented and superseded, as the case may be, as follows:</w:t>
      </w:r>
    </w:p>
    <w:p>
      <w:pPr>
        <w:spacing w:after="0" w:line="22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This Amendment No. 14 is being filed to report that on May 20, 2019, Scopia Capital entered into a Non-Discretionary Plan (the “Sales Plan”) with Morgan Stanley &amp; Co. LLC (“Morgan Stanley”) pursuant to which Morgan Stanley will effect sales of up to a total of 1,035,850 shares of Common Stock on behalf of Scopia Capital in compliance with the requirements of Rule 10b5-1(c). Pursuant to the Sales Plan, sales commenced on May 21, 2019 and will continue until August 20, 2019 or until all of the shares of Common Stock to be sold under the Sales Plan are sold or the Sales Plan is otherwise terminated.</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Reporting Persons intend to review their investment in the Issuer on a continuing basis and may from time to time and at any time in the future depending on various factors, including, without limitation, the outcome of any discussions with directors and officers of the Issuer,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as set forth herein or previously disclosed in the Schedule 13D, the Reporting Persons do not have present plans or proposals at this time that relate to or would result in any of the transactions described in subparagraphs (a) through (j) of Item 4 of Schedule 13D.</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117" w:lineRule="exact"/>
        <w:rPr>
          <w:sz w:val="20"/>
          <w:szCs w:val="20"/>
          <w:color w:val="auto"/>
        </w:rPr>
      </w:pPr>
    </w:p>
    <w:p>
      <w:pPr>
        <w:ind w:right="300" w:firstLine="8"/>
        <w:spacing w:after="0" w:line="342" w:lineRule="auto"/>
        <w:tabs>
          <w:tab w:leader="none" w:pos="24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and (b) Items 7 through 11 and 13 of each of the cover pages of this Schedule 13D are incorporated herein by reference. Such information is based on 39,349,003 shares of Common Stock of the Issuer outstanding as of April 30, 2019, as reported in the Issuer’s Form 10-Q filed with SEC on May 8, 2019.</w:t>
      </w:r>
    </w:p>
    <w:p>
      <w:pPr>
        <w:spacing w:after="0" w:line="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Investment Vehicles have delegated to Scopia Capital sole voting and investment power over the securities held by the Investment Vehicles pursuant to their respective Investment Management Agreements with Scopia Capital. As a result, each of Scopia Capital, Scopia Management, as the general partner of Scopia Capital, and Messrs. Sirovich and Mindich, as Managing Directors of Scopia Management, may be deemed to exercise voting and investment power over the shares of Common Stock directly held by the Investment Vehicles. The Investment Vehicles specifically disclaim beneficial ownership of the securities of the Issuer directly held by them by virtue of their inability to vote or dispose of such securities as a result of their respective Investment Management Agreements with Scopia Capital.</w:t>
      </w:r>
    </w:p>
    <w:p>
      <w:pPr>
        <w:spacing w:after="0" w:line="193" w:lineRule="exact"/>
        <w:rPr>
          <w:sz w:val="20"/>
          <w:szCs w:val="20"/>
          <w:color w:val="auto"/>
        </w:rPr>
      </w:pPr>
    </w:p>
    <w:p>
      <w:pPr>
        <w:ind w:right="280" w:firstLine="8"/>
        <w:spacing w:after="0" w:line="277"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disclosed in previous Schedule 13D amendments, there have been no transactions in shares of Common Stock during the 60 days prior to the date hereof by any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right="120" w:firstLine="8"/>
        <w:spacing w:after="0" w:line="276"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as otherwise disclosed, all securities reported in this Schedule 13D are directly held by the Investment Vehicles, all of which are investment management clients of Scopia Capital. None of the Investment Vehicles individually directly holds more than 5% of the Issuer’s outstanding shares of Common Stock. The limited partners of (or investors in) each of the Investment Vehicles have the right to participate in the receipt of dividends from, or proceeds from the sale of, the shares of Common Stock held for the accounts of their respective Investment Vehicles in accordance with their respective limited partnership interests (or investment percentages) in their respective Investment Vehicles.</w:t>
      </w:r>
    </w:p>
    <w:p>
      <w:pPr>
        <w:spacing w:after="0" w:line="172" w:lineRule="exact"/>
        <w:rPr>
          <w:rFonts w:ascii="Arial" w:cs="Arial" w:eastAsia="Arial" w:hAnsi="Arial"/>
          <w:sz w:val="17"/>
          <w:szCs w:val="17"/>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Item 6 of Schedule 13D is supplemented and superseded, as the case may be,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regarding the Sales Plan in Item 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800" w:right="55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May 21, 2019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SCOPIA CAPITAL MANAGEMENT LP</w:t>
      </w:r>
    </w:p>
    <w:p>
      <w:pPr>
        <w:spacing w:after="0" w:line="229"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gridSpan w:val="3"/>
          </w:tcPr>
          <w:p>
            <w:pPr>
              <w:spacing w:after="0"/>
              <w:rPr>
                <w:sz w:val="20"/>
                <w:szCs w:val="20"/>
                <w:color w:val="auto"/>
              </w:rPr>
            </w:pPr>
            <w:r>
              <w:rPr>
                <w:rFonts w:ascii="Arial" w:cs="Arial" w:eastAsia="Arial" w:hAnsi="Arial"/>
                <w:sz w:val="18"/>
                <w:szCs w:val="18"/>
                <w:color w:val="auto"/>
                <w:w w:val="89"/>
              </w:rPr>
              <w:t>Scopia Management, Inc., its general partner</w:t>
            </w: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gridSpan w:val="3"/>
          </w:tcPr>
          <w:p>
            <w:pPr>
              <w:spacing w:after="0"/>
              <w:rPr>
                <w:sz w:val="20"/>
                <w:szCs w:val="20"/>
                <w:color w:val="auto"/>
              </w:rPr>
            </w:pPr>
            <w:r>
              <w:rPr>
                <w:rFonts w:ascii="Arial" w:cs="Arial" w:eastAsia="Arial" w:hAnsi="Arial"/>
                <w:sz w:val="18"/>
                <w:szCs w:val="18"/>
                <w:color w:val="auto"/>
              </w:rPr>
              <w:t>/s/ Matthew Sirovich</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Sirovich</w:t>
            </w:r>
          </w:p>
        </w:tc>
        <w:tc>
          <w:tcPr>
            <w:tcW w:w="172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gridSpan w:val="3"/>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SCOPIA MANAGEMENT, INC.</w:t>
            </w: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gridSpan w:val="3"/>
          </w:tcPr>
          <w:p>
            <w:pPr>
              <w:spacing w:after="0"/>
              <w:rPr>
                <w:sz w:val="20"/>
                <w:szCs w:val="20"/>
                <w:color w:val="auto"/>
              </w:rPr>
            </w:pPr>
            <w:r>
              <w:rPr>
                <w:rFonts w:ascii="Arial" w:cs="Arial" w:eastAsia="Arial" w:hAnsi="Arial"/>
                <w:sz w:val="18"/>
                <w:szCs w:val="18"/>
                <w:color w:val="auto"/>
              </w:rPr>
              <w:t>/s/ Matthew Sirovich</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Sirovich</w:t>
            </w:r>
          </w:p>
        </w:tc>
        <w:tc>
          <w:tcPr>
            <w:tcW w:w="172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gridSpan w:val="3"/>
          </w:tcPr>
          <w:p>
            <w:pPr>
              <w:spacing w:after="0"/>
              <w:rPr>
                <w:sz w:val="20"/>
                <w:szCs w:val="20"/>
                <w:color w:val="auto"/>
              </w:rPr>
            </w:pPr>
            <w:r>
              <w:rPr>
                <w:rFonts w:ascii="Arial" w:cs="Arial" w:eastAsia="Arial" w:hAnsi="Arial"/>
                <w:sz w:val="18"/>
                <w:szCs w:val="18"/>
                <w:color w:val="auto"/>
              </w:rPr>
              <w:t>Managing Director</w:t>
            </w: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gridSpan w:val="3"/>
          </w:tcPr>
          <w:p>
            <w:pPr>
              <w:spacing w:after="0"/>
              <w:rPr>
                <w:sz w:val="20"/>
                <w:szCs w:val="20"/>
                <w:color w:val="auto"/>
              </w:rPr>
            </w:pPr>
            <w:r>
              <w:rPr>
                <w:rFonts w:ascii="Arial" w:cs="Arial" w:eastAsia="Arial" w:hAnsi="Arial"/>
                <w:sz w:val="18"/>
                <w:szCs w:val="18"/>
                <w:color w:val="auto"/>
              </w:rPr>
              <w:t>/s/ Matthew Sirovich</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/s/ Jeremy Mindich</w:t>
            </w:r>
          </w:p>
        </w:tc>
        <w:tc>
          <w:tcPr>
            <w:tcW w:w="17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2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14"/>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2019-12-02T17:51:49Z</dcterms:created>
  <dcterms:modified xsi:type="dcterms:W3CDTF">2019-12-02T17:51:49Z</dcterms:modified>
</cp:coreProperties>
</file>