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As filed with the Securities and Exchange Commission on September 10, 1998</w:t>
      </w:r>
    </w:p>
    <w:p>
      <w:pPr>
        <w:spacing w:after="0" w:line="2" w:lineRule="exact"/>
        <w:rPr>
          <w:sz w:val="24"/>
          <w:szCs w:val="24"/>
          <w:color w:val="auto"/>
        </w:rPr>
      </w:pPr>
    </w:p>
    <w:p>
      <w:pPr>
        <w:ind w:left="5960"/>
        <w:spacing w:after="0"/>
        <w:rPr>
          <w:sz w:val="20"/>
          <w:szCs w:val="20"/>
          <w:color w:val="auto"/>
        </w:rPr>
      </w:pPr>
      <w:r>
        <w:rPr>
          <w:rFonts w:ascii="Courier New" w:cs="Courier New" w:eastAsia="Courier New" w:hAnsi="Courier New"/>
          <w:sz w:val="17"/>
          <w:szCs w:val="17"/>
          <w:color w:val="auto"/>
        </w:rPr>
        <w:t>Registration No. 333-</w:t>
      </w:r>
    </w:p>
    <w:p>
      <w:pPr>
        <w:spacing w:after="0" w:line="4" w:lineRule="exact"/>
        <w:rPr>
          <w:sz w:val="24"/>
          <w:szCs w:val="24"/>
          <w:color w:val="auto"/>
        </w:rPr>
      </w:pPr>
    </w:p>
    <w:p>
      <w:pPr>
        <w:ind w:left="200" w:hanging="196"/>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SECURITIES AND EXCHANGE COMMISSION</w:t>
      </w:r>
    </w:p>
    <w:p>
      <w:pPr>
        <w:spacing w:after="0" w:line="1" w:lineRule="exact"/>
        <w:rPr>
          <w:rFonts w:ascii="Courier New" w:cs="Courier New" w:eastAsia="Courier New" w:hAnsi="Courier New"/>
          <w:sz w:val="16"/>
          <w:szCs w:val="16"/>
          <w:color w:val="auto"/>
        </w:rPr>
      </w:pPr>
    </w:p>
    <w:p>
      <w:pPr>
        <w:ind w:left="29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Washington, D.C. 20549</w:t>
      </w:r>
    </w:p>
    <w:p>
      <w:pPr>
        <w:spacing w:after="0" w:line="1" w:lineRule="exact"/>
        <w:rPr>
          <w:rFonts w:ascii="Courier New" w:cs="Courier New" w:eastAsia="Courier New" w:hAnsi="Courier New"/>
          <w:sz w:val="16"/>
          <w:szCs w:val="16"/>
          <w:color w:val="auto"/>
        </w:rPr>
      </w:pPr>
    </w:p>
    <w:p>
      <w:pPr>
        <w:ind w:left="294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FORM S-8</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REGISTRATION STATEMENT</w:t>
      </w:r>
    </w:p>
    <w:p>
      <w:pPr>
        <w:spacing w:after="0" w:line="2"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UNDER</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THE SECURITIES ACT OF 1933</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ITRON, INC.</w:t>
      </w:r>
    </w:p>
    <w:p>
      <w:pPr>
        <w:spacing w:after="0" w:line="2" w:lineRule="exact"/>
        <w:rPr>
          <w:sz w:val="24"/>
          <w:szCs w:val="24"/>
          <w:color w:val="auto"/>
        </w:rPr>
      </w:pPr>
    </w:p>
    <w:p>
      <w:pPr>
        <w:jc w:val="center"/>
        <w:ind w:right="342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1520"/>
          </w:cols>
          <w:pgMar w:left="240" w:top="438" w:right="139" w:bottom="0" w:gutter="0" w:footer="0" w:header="0"/>
        </w:sectPr>
      </w:pPr>
    </w:p>
    <w:p>
      <w:pPr>
        <w:spacing w:after="0" w:line="196"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7"/>
          <w:szCs w:val="17"/>
          <w:color w:val="auto"/>
        </w:rPr>
        <w:t>Washington</w:t>
      </w:r>
    </w:p>
    <w:p>
      <w:pPr>
        <w:spacing w:after="0" w:line="4" w:lineRule="exact"/>
        <w:rPr>
          <w:sz w:val="24"/>
          <w:szCs w:val="24"/>
          <w:color w:val="auto"/>
        </w:rPr>
      </w:pPr>
    </w:p>
    <w:p>
      <w:pPr>
        <w:jc w:val="center"/>
        <w:ind w:right="400"/>
        <w:spacing w:after="0"/>
        <w:rPr>
          <w:sz w:val="20"/>
          <w:szCs w:val="20"/>
          <w:color w:val="auto"/>
        </w:rPr>
      </w:pPr>
      <w:r>
        <w:rPr>
          <w:rFonts w:ascii="Courier New" w:cs="Courier New" w:eastAsia="Courier New" w:hAnsi="Courier New"/>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1400"/>
        <w:spacing w:after="0"/>
        <w:rPr>
          <w:sz w:val="20"/>
          <w:szCs w:val="20"/>
          <w:color w:val="auto"/>
        </w:rPr>
      </w:pPr>
      <w:r>
        <w:rPr>
          <w:rFonts w:ascii="Courier New" w:cs="Courier New" w:eastAsia="Courier New" w:hAnsi="Courier New"/>
          <w:sz w:val="17"/>
          <w:szCs w:val="17"/>
          <w:color w:val="auto"/>
        </w:rPr>
        <w:t>91-1011792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11" w:lineRule="exact"/>
        <w:rPr>
          <w:sz w:val="24"/>
          <w:szCs w:val="24"/>
          <w:color w:val="auto"/>
        </w:rPr>
      </w:pPr>
    </w:p>
    <w:p>
      <w:pPr>
        <w:sectPr>
          <w:pgSz w:w="11900" w:h="16838" w:orient="portrait"/>
          <w:cols w:equalWidth="0" w:num="2">
            <w:col w:w="3640" w:space="720"/>
            <w:col w:w="7160"/>
          </w:cols>
          <w:pgMar w:left="240" w:top="438" w:right="13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of incorporation or organization)</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2818 N. Sullivan Road</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Spokane, Washington 99216-1897</w:t>
      </w:r>
    </w:p>
    <w:p>
      <w:pPr>
        <w:spacing w:after="0" w:line="2" w:lineRule="exact"/>
        <w:rPr>
          <w:sz w:val="24"/>
          <w:szCs w:val="24"/>
          <w:color w:val="auto"/>
        </w:rPr>
      </w:pPr>
    </w:p>
    <w:p>
      <w:pPr>
        <w:ind w:left="1020"/>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196"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ITRON, INC.</w:t>
      </w:r>
    </w:p>
    <w:p>
      <w:pPr>
        <w:spacing w:after="0" w:line="2"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1996 EMPLOYEE STOCK PURCHASE PLAN</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(Full title of the plan)</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DAVID G. REMINGTON</w:t>
      </w:r>
    </w:p>
    <w:p>
      <w:pPr>
        <w:spacing w:after="0" w:line="2" w:lineRule="exact"/>
        <w:rPr>
          <w:sz w:val="24"/>
          <w:szCs w:val="24"/>
          <w:color w:val="auto"/>
        </w:rPr>
      </w:pPr>
    </w:p>
    <w:p>
      <w:pPr>
        <w:ind w:left="1920"/>
        <w:spacing w:after="0"/>
        <w:rPr>
          <w:sz w:val="20"/>
          <w:szCs w:val="20"/>
          <w:color w:val="auto"/>
        </w:rPr>
      </w:pPr>
      <w:r>
        <w:rPr>
          <w:rFonts w:ascii="Courier New" w:cs="Courier New" w:eastAsia="Courier New" w:hAnsi="Courier New"/>
          <w:sz w:val="17"/>
          <w:szCs w:val="17"/>
          <w:color w:val="auto"/>
        </w:rPr>
        <w:t>Vice President and Chief Financial Officer</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2818 N. Sullivan Road</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Spokane, Washington 99216-1897</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(509) 924-9900</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(Name, address and telephone number, including area code, of agent for service)</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Copy to:</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LINDA A. SCHOEMAKER</w:t>
      </w:r>
    </w:p>
    <w:p>
      <w:pPr>
        <w:spacing w:after="0" w:line="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PERKINS COIE LLP</w:t>
      </w:r>
    </w:p>
    <w:p>
      <w:pPr>
        <w:spacing w:after="0" w:line="2" w:lineRule="exact"/>
        <w:rPr>
          <w:sz w:val="24"/>
          <w:szCs w:val="24"/>
          <w:color w:val="auto"/>
        </w:rPr>
      </w:pPr>
    </w:p>
    <w:p>
      <w:pPr>
        <w:ind w:left="2640"/>
        <w:spacing w:after="0"/>
        <w:rPr>
          <w:sz w:val="20"/>
          <w:szCs w:val="20"/>
          <w:color w:val="auto"/>
        </w:rPr>
      </w:pPr>
      <w:r>
        <w:rPr>
          <w:rFonts w:ascii="Courier New" w:cs="Courier New" w:eastAsia="Courier New" w:hAnsi="Courier New"/>
          <w:sz w:val="17"/>
          <w:szCs w:val="17"/>
          <w:color w:val="auto"/>
        </w:rPr>
        <w:t>1201 Third Avenue, 40th Floor</w:t>
      </w:r>
    </w:p>
    <w:p>
      <w:pPr>
        <w:spacing w:after="0" w:line="2"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Seattle, Washington 98101-3099</w:t>
      </w:r>
    </w:p>
    <w:p>
      <w:pPr>
        <w:spacing w:after="0" w:line="2" w:lineRule="exact"/>
        <w:rPr>
          <w:sz w:val="24"/>
          <w:szCs w:val="24"/>
          <w:color w:val="auto"/>
        </w:rPr>
      </w:pPr>
    </w:p>
    <w:p>
      <w:pPr>
        <w:ind w:left="3940" w:hanging="600"/>
        <w:spacing w:after="0"/>
        <w:tabs>
          <w:tab w:leader="none" w:pos="39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583-8888</w:t>
      </w:r>
    </w:p>
    <w:p>
      <w:pPr>
        <w:spacing w:after="0" w:line="1" w:lineRule="exact"/>
        <w:rPr>
          <w:rFonts w:ascii="Courier New" w:cs="Courier New" w:eastAsia="Courier New" w:hAnsi="Courier New"/>
          <w:sz w:val="17"/>
          <w:szCs w:val="17"/>
          <w:color w:val="auto"/>
        </w:rPr>
      </w:pPr>
    </w:p>
    <w:p>
      <w:pPr>
        <w:ind w:left="2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385" w:lineRule="exact"/>
        <w:rPr>
          <w:sz w:val="24"/>
          <w:szCs w:val="24"/>
          <w:color w:val="auto"/>
        </w:rPr>
      </w:pPr>
    </w:p>
    <w:p>
      <w:pPr>
        <w:ind w:left="2540"/>
        <w:spacing w:after="0"/>
        <w:rPr>
          <w:sz w:val="20"/>
          <w:szCs w:val="20"/>
          <w:color w:val="auto"/>
        </w:rPr>
      </w:pPr>
      <w:r>
        <w:rPr>
          <w:rFonts w:ascii="Courier New" w:cs="Courier New" w:eastAsia="Courier New" w:hAnsi="Courier New"/>
          <w:sz w:val="17"/>
          <w:szCs w:val="17"/>
          <w:color w:val="auto"/>
        </w:rPr>
        <w:t>CALCULATION OF REGISTRATION FEE</w:t>
      </w:r>
    </w:p>
    <w:p>
      <w:pPr>
        <w:spacing w:after="0" w:line="199" w:lineRule="exact"/>
        <w:rPr>
          <w:sz w:val="24"/>
          <w:szCs w:val="24"/>
          <w:color w:val="auto"/>
        </w:rPr>
      </w:pPr>
    </w:p>
    <w:p>
      <w:pPr>
        <w:ind w:left="200" w:hanging="196"/>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11" w:lineRule="exact"/>
        <w:rPr>
          <w:rFonts w:ascii="Courier New" w:cs="Courier New" w:eastAsia="Courier New" w:hAnsi="Courier New"/>
          <w:sz w:val="16"/>
          <w:szCs w:val="16"/>
          <w:color w:val="auto"/>
        </w:rPr>
      </w:pPr>
    </w:p>
    <w:p>
      <w:pPr>
        <w:ind w:left="738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Proposed Maximum</w:t>
      </w:r>
    </w:p>
    <w:p>
      <w:pPr>
        <w:spacing w:after="0" w:line="2" w:lineRule="exact"/>
        <w:rPr>
          <w:sz w:val="24"/>
          <w:szCs w:val="24"/>
          <w:color w:val="auto"/>
        </w:rPr>
      </w:pPr>
    </w:p>
    <w:p>
      <w:pPr>
        <w:ind w:left="820"/>
        <w:spacing w:after="0"/>
        <w:tabs>
          <w:tab w:leader="none" w:pos="3820" w:val="left"/>
          <w:tab w:leader="none" w:pos="5240" w:val="left"/>
          <w:tab w:leader="none" w:pos="7260" w:val="left"/>
          <w:tab w:leader="none" w:pos="9800" w:val="left"/>
        </w:tabs>
        <w:rPr>
          <w:sz w:val="20"/>
          <w:szCs w:val="20"/>
          <w:color w:val="auto"/>
        </w:rPr>
      </w:pPr>
      <w:r>
        <w:rPr>
          <w:rFonts w:ascii="Courier New" w:cs="Courier New" w:eastAsia="Courier New" w:hAnsi="Courier New"/>
          <w:sz w:val="17"/>
          <w:szCs w:val="17"/>
          <w:color w:val="auto"/>
        </w:rPr>
        <w:t>Title of Securities</w:t>
      </w:r>
      <w:r>
        <w:rPr>
          <w:sz w:val="20"/>
          <w:szCs w:val="20"/>
          <w:color w:val="auto"/>
        </w:rPr>
        <w:tab/>
      </w:r>
      <w:r>
        <w:rPr>
          <w:rFonts w:ascii="Courier New" w:cs="Courier New" w:eastAsia="Courier New" w:hAnsi="Courier New"/>
          <w:sz w:val="17"/>
          <w:szCs w:val="17"/>
          <w:color w:val="auto"/>
        </w:rPr>
        <w:t>Number to</w:t>
      </w:r>
      <w:r>
        <w:rPr>
          <w:sz w:val="20"/>
          <w:szCs w:val="20"/>
          <w:color w:val="auto"/>
        </w:rPr>
        <w:tab/>
      </w:r>
      <w:r>
        <w:rPr>
          <w:rFonts w:ascii="Courier New" w:cs="Courier New" w:eastAsia="Courier New" w:hAnsi="Courier New"/>
          <w:sz w:val="17"/>
          <w:szCs w:val="17"/>
          <w:color w:val="auto"/>
        </w:rPr>
        <w:t>Proposed Maximum</w:t>
      </w:r>
      <w:r>
        <w:rPr>
          <w:sz w:val="20"/>
          <w:szCs w:val="20"/>
          <w:color w:val="auto"/>
        </w:rPr>
        <w:tab/>
      </w:r>
      <w:r>
        <w:rPr>
          <w:rFonts w:ascii="Courier New" w:cs="Courier New" w:eastAsia="Courier New" w:hAnsi="Courier New"/>
          <w:sz w:val="17"/>
          <w:szCs w:val="17"/>
          <w:color w:val="auto"/>
        </w:rPr>
        <w:t>Aggregate Offering</w:t>
      </w:r>
      <w:r>
        <w:rPr>
          <w:sz w:val="20"/>
          <w:szCs w:val="20"/>
          <w:color w:val="auto"/>
        </w:rPr>
        <w:tab/>
      </w:r>
      <w:r>
        <w:rPr>
          <w:rFonts w:ascii="Courier New" w:cs="Courier New" w:eastAsia="Courier New" w:hAnsi="Courier New"/>
          <w:sz w:val="16"/>
          <w:szCs w:val="16"/>
          <w:color w:val="auto"/>
        </w:rPr>
        <w:t>Amount of</w:t>
      </w:r>
    </w:p>
    <w:p>
      <w:pPr>
        <w:spacing w:after="0" w:line="2" w:lineRule="exact"/>
        <w:rPr>
          <w:sz w:val="24"/>
          <w:szCs w:val="24"/>
          <w:color w:val="auto"/>
        </w:rPr>
      </w:pPr>
    </w:p>
    <w:p>
      <w:pPr>
        <w:ind w:left="920"/>
        <w:spacing w:after="0"/>
        <w:tabs>
          <w:tab w:leader="none" w:pos="4120" w:val="left"/>
          <w:tab w:leader="none" w:pos="5140" w:val="left"/>
          <w:tab w:leader="none" w:pos="7760" w:val="left"/>
          <w:tab w:leader="none" w:pos="9480" w:val="left"/>
        </w:tabs>
        <w:rPr>
          <w:sz w:val="20"/>
          <w:szCs w:val="20"/>
          <w:color w:val="auto"/>
        </w:rPr>
      </w:pPr>
      <w:r>
        <w:rPr>
          <w:rFonts w:ascii="Courier New" w:cs="Courier New" w:eastAsia="Courier New" w:hAnsi="Courier New"/>
          <w:sz w:val="17"/>
          <w:szCs w:val="17"/>
          <w:color w:val="auto"/>
        </w:rPr>
        <w:t>to Be Registered</w:t>
      </w:r>
      <w:r>
        <w:rPr>
          <w:sz w:val="20"/>
          <w:szCs w:val="20"/>
          <w:color w:val="auto"/>
        </w:rPr>
        <w:tab/>
      </w:r>
      <w:r>
        <w:rPr>
          <w:rFonts w:ascii="Courier New" w:cs="Courier New" w:eastAsia="Courier New" w:hAnsi="Courier New"/>
          <w:sz w:val="17"/>
          <w:szCs w:val="17"/>
          <w:color w:val="auto"/>
        </w:rPr>
        <w:t>Be</w:t>
      </w:r>
      <w:r>
        <w:rPr>
          <w:sz w:val="20"/>
          <w:szCs w:val="20"/>
          <w:color w:val="auto"/>
        </w:rPr>
        <w:tab/>
      </w:r>
      <w:r>
        <w:rPr>
          <w:rFonts w:ascii="Courier New" w:cs="Courier New" w:eastAsia="Courier New" w:hAnsi="Courier New"/>
          <w:sz w:val="17"/>
          <w:szCs w:val="17"/>
          <w:color w:val="auto"/>
        </w:rPr>
        <w:t>Offering Price Per</w:t>
      </w:r>
      <w:r>
        <w:rPr>
          <w:sz w:val="20"/>
          <w:szCs w:val="20"/>
          <w:color w:val="auto"/>
        </w:rPr>
        <w:tab/>
      </w:r>
      <w:r>
        <w:rPr>
          <w:rFonts w:ascii="Courier New" w:cs="Courier New" w:eastAsia="Courier New" w:hAnsi="Courier New"/>
          <w:sz w:val="17"/>
          <w:szCs w:val="17"/>
          <w:color w:val="auto"/>
        </w:rPr>
        <w:t>Price(2)</w:t>
      </w:r>
      <w:r>
        <w:rPr>
          <w:sz w:val="20"/>
          <w:szCs w:val="20"/>
          <w:color w:val="auto"/>
        </w:rPr>
        <w:tab/>
      </w:r>
      <w:r>
        <w:rPr>
          <w:rFonts w:ascii="Courier New" w:cs="Courier New" w:eastAsia="Courier New" w:hAnsi="Courier New"/>
          <w:sz w:val="16"/>
          <w:szCs w:val="16"/>
          <w:color w:val="auto"/>
        </w:rPr>
        <w:t>Registration Fee</w:t>
      </w:r>
    </w:p>
    <w:p>
      <w:pPr>
        <w:spacing w:after="0" w:line="2" w:lineRule="exact"/>
        <w:rPr>
          <w:sz w:val="24"/>
          <w:szCs w:val="24"/>
          <w:color w:val="auto"/>
        </w:rPr>
      </w:pPr>
    </w:p>
    <w:p>
      <w:pPr>
        <w:ind w:left="3740"/>
        <w:spacing w:after="0"/>
        <w:tabs>
          <w:tab w:leader="none" w:pos="5640" w:val="left"/>
        </w:tabs>
        <w:rPr>
          <w:sz w:val="20"/>
          <w:szCs w:val="20"/>
          <w:color w:val="auto"/>
        </w:rPr>
      </w:pPr>
      <w:r>
        <w:rPr>
          <w:rFonts w:ascii="Courier New" w:cs="Courier New" w:eastAsia="Courier New" w:hAnsi="Courier New"/>
          <w:sz w:val="17"/>
          <w:szCs w:val="17"/>
          <w:color w:val="auto"/>
        </w:rPr>
        <w:t>Registered(1)</w:t>
      </w:r>
      <w:r>
        <w:rPr>
          <w:sz w:val="20"/>
          <w:szCs w:val="20"/>
          <w:color w:val="auto"/>
        </w:rPr>
        <w:tab/>
      </w:r>
      <w:r>
        <w:rPr>
          <w:rFonts w:ascii="Courier New" w:cs="Courier New" w:eastAsia="Courier New" w:hAnsi="Courier New"/>
          <w:sz w:val="17"/>
          <w:szCs w:val="17"/>
          <w:color w:val="auto"/>
        </w:rPr>
        <w:t>Share(2)</w:t>
      </w:r>
    </w:p>
    <w:p>
      <w:pPr>
        <w:spacing w:after="0" w:line="4" w:lineRule="exact"/>
        <w:rPr>
          <w:sz w:val="24"/>
          <w:szCs w:val="24"/>
          <w:color w:val="auto"/>
        </w:rPr>
      </w:pPr>
    </w:p>
    <w:p>
      <w:pPr>
        <w:ind w:left="200" w:hanging="196"/>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1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Common Stock, no par value</w:t>
      </w:r>
    </w:p>
    <w:p>
      <w:pPr>
        <w:spacing w:after="0" w:line="4" w:lineRule="exact"/>
        <w:rPr>
          <w:rFonts w:ascii="Courier New" w:cs="Courier New" w:eastAsia="Courier New" w:hAnsi="Courier New"/>
          <w:sz w:val="16"/>
          <w:szCs w:val="16"/>
          <w:color w:val="auto"/>
        </w:rPr>
      </w:pPr>
    </w:p>
    <w:p>
      <w:pPr>
        <w:ind w:left="200" w:hanging="196"/>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spacing w:after="0" w:line="205" w:lineRule="exact"/>
        <w:rPr>
          <w:sz w:val="24"/>
          <w:szCs w:val="24"/>
          <w:color w:val="auto"/>
        </w:rPr>
      </w:pPr>
    </w:p>
    <w:p>
      <w:pPr>
        <w:ind w:left="300"/>
        <w:spacing w:after="0"/>
        <w:tabs>
          <w:tab w:leader="none" w:pos="3920" w:val="left"/>
          <w:tab w:leader="none" w:pos="5340" w:val="left"/>
          <w:tab w:leader="none" w:pos="7660" w:val="left"/>
          <w:tab w:leader="none" w:pos="9580" w:val="left"/>
          <w:tab w:leader="none" w:pos="9900" w:val="left"/>
        </w:tabs>
        <w:rPr>
          <w:sz w:val="20"/>
          <w:szCs w:val="20"/>
          <w:color w:val="auto"/>
        </w:rPr>
      </w:pPr>
      <w:r>
        <w:rPr>
          <w:rFonts w:ascii="Courier New" w:cs="Courier New" w:eastAsia="Courier New" w:hAnsi="Courier New"/>
          <w:sz w:val="17"/>
          <w:szCs w:val="17"/>
          <w:color w:val="auto"/>
        </w:rPr>
        <w:t>1996 Employee Stock Purchase</w:t>
      </w:r>
      <w:r>
        <w:rPr>
          <w:sz w:val="20"/>
          <w:szCs w:val="20"/>
          <w:color w:val="auto"/>
        </w:rPr>
        <w:tab/>
      </w:r>
      <w:r>
        <w:rPr>
          <w:rFonts w:ascii="Courier New" w:cs="Courier New" w:eastAsia="Courier New" w:hAnsi="Courier New"/>
          <w:sz w:val="17"/>
          <w:szCs w:val="17"/>
          <w:color w:val="auto"/>
        </w:rPr>
        <w:t>82,851</w:t>
      </w:r>
      <w:r>
        <w:rPr>
          <w:sz w:val="20"/>
          <w:szCs w:val="20"/>
          <w:color w:val="auto"/>
        </w:rPr>
        <w:tab/>
      </w:r>
      <w:r>
        <w:rPr>
          <w:rFonts w:ascii="Courier New" w:cs="Courier New" w:eastAsia="Courier New" w:hAnsi="Courier New"/>
          <w:sz w:val="17"/>
          <w:szCs w:val="17"/>
          <w:color w:val="auto"/>
        </w:rPr>
        <w:t>$ 6.875</w:t>
      </w:r>
      <w:r>
        <w:rPr>
          <w:sz w:val="20"/>
          <w:szCs w:val="20"/>
          <w:color w:val="auto"/>
        </w:rPr>
        <w:tab/>
      </w:r>
      <w:r>
        <w:rPr>
          <w:rFonts w:ascii="Courier New" w:cs="Courier New" w:eastAsia="Courier New" w:hAnsi="Courier New"/>
          <w:sz w:val="17"/>
          <w:szCs w:val="17"/>
          <w:color w:val="auto"/>
        </w:rPr>
        <w:t>$ 569,601</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168.03</w:t>
      </w:r>
    </w:p>
    <w:p>
      <w:pPr>
        <w:spacing w:after="0" w:line="2"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Plan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w:t>
      </w:r>
    </w:p>
    <w:p>
      <w:pPr>
        <w:spacing w:after="0" w:line="200" w:lineRule="exact"/>
        <w:rPr>
          <w:sz w:val="24"/>
          <w:szCs w:val="24"/>
          <w:color w:val="auto"/>
        </w:rPr>
      </w:pPr>
    </w:p>
    <w:p>
      <w:pPr>
        <w:spacing w:after="0" w:line="202" w:lineRule="exact"/>
        <w:rPr>
          <w:sz w:val="24"/>
          <w:szCs w:val="24"/>
          <w:color w:val="auto"/>
        </w:rPr>
      </w:pPr>
    </w:p>
    <w:p>
      <w:pPr>
        <w:jc w:val="both"/>
        <w:ind w:left="920" w:right="3420" w:hanging="916"/>
        <w:spacing w:after="0" w:line="241" w:lineRule="auto"/>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Together with an indeterminate number of additional shares which may be necessary to adjust the number of shares reserved for issuance pursuant to the 1996 Employee Stock Purchase Plan as the result of any future stock split, stock dividend or similar adjustment of the Registrant's outstanding Common Stock.</w:t>
      </w:r>
    </w:p>
    <w:p>
      <w:pPr>
        <w:spacing w:after="0" w:line="199" w:lineRule="exact"/>
        <w:rPr>
          <w:rFonts w:ascii="Courier New" w:cs="Courier New" w:eastAsia="Courier New" w:hAnsi="Courier New"/>
          <w:sz w:val="17"/>
          <w:szCs w:val="17"/>
          <w:color w:val="auto"/>
        </w:rPr>
      </w:pPr>
    </w:p>
    <w:p>
      <w:pPr>
        <w:ind w:left="920" w:right="3420" w:hanging="916"/>
        <w:spacing w:after="0" w:line="241" w:lineRule="auto"/>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pursuant to Rule 457(c) solely for the purpose of calculating the registration fee. The price per share is estimated to be $6.875 based on the average of the high $7.375 and low $6.375 sales prices for the Common Stock on September 3, 1998 as reported by</w:t>
      </w:r>
    </w:p>
    <w:p>
      <w:pPr>
        <w:spacing w:after="0" w:line="2" w:lineRule="exact"/>
        <w:rPr>
          <w:rFonts w:ascii="Courier New" w:cs="Courier New" w:eastAsia="Courier New" w:hAnsi="Courier New"/>
          <w:sz w:val="17"/>
          <w:szCs w:val="17"/>
          <w:color w:val="auto"/>
        </w:rPr>
      </w:pPr>
    </w:p>
    <w:p>
      <w:pPr>
        <w:ind w:left="9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Nasdaq National Market.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3320"/>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4"/>
          <w:szCs w:val="24"/>
          <w:color w:val="auto"/>
        </w:rPr>
      </w:pPr>
    </w:p>
    <w:p>
      <w:pPr>
        <w:ind w:left="1720"/>
        <w:spacing w:after="0"/>
        <w:rPr>
          <w:sz w:val="20"/>
          <w:szCs w:val="20"/>
          <w:color w:val="auto"/>
        </w:rPr>
      </w:pPr>
      <w:r>
        <w:rPr>
          <w:rFonts w:ascii="Courier New" w:cs="Courier New" w:eastAsia="Courier New" w:hAnsi="Courier New"/>
          <w:sz w:val="17"/>
          <w:szCs w:val="17"/>
          <w:color w:val="auto"/>
        </w:rPr>
        <w:t>INFORMATION REQUIRED IN REGISTRATION STATEMENT</w:t>
      </w:r>
    </w:p>
    <w:p>
      <w:pPr>
        <w:sectPr>
          <w:pgSz w:w="11900" w:h="16838" w:orient="portrait"/>
          <w:cols w:equalWidth="0" w:num="1">
            <w:col w:w="11520"/>
          </w:cols>
          <w:pgMar w:left="240" w:top="438" w:right="139" w:bottom="0" w:gutter="0" w:footer="0" w:header="0"/>
          <w:type w:val="continuous"/>
        </w:sectPr>
      </w:pPr>
    </w:p>
    <w:bookmarkStart w:id="1" w:name="page2"/>
    <w:bookmarkEnd w:id="1"/>
    <w:p>
      <w:pPr>
        <w:spacing w:after="0" w:line="23"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INCORPORATION OF CERTAIN DOCUMENTS BY REFERENCE</w:t>
      </w:r>
    </w:p>
    <w:p>
      <w:pPr>
        <w:sectPr>
          <w:pgSz w:w="11900" w:h="16862" w:orient="portrait"/>
          <w:cols w:equalWidth="0" w:num="1">
            <w:col w:w="10219"/>
          </w:cols>
          <w:pgMar w:left="240" w:top="140" w:right="1440" w:bottom="0" w:gutter="0" w:footer="0" w:header="0"/>
        </w:sectPr>
      </w:pPr>
    </w:p>
    <w:p>
      <w:pPr>
        <w:spacing w:after="0" w:line="199" w:lineRule="exact"/>
        <w:rPr>
          <w:sz w:val="20"/>
          <w:szCs w:val="20"/>
          <w:color w:val="auto"/>
        </w:rPr>
      </w:pPr>
    </w:p>
    <w:p>
      <w:pPr>
        <w:ind w:firstLine="910"/>
        <w:spacing w:after="0"/>
        <w:rPr>
          <w:sz w:val="20"/>
          <w:szCs w:val="20"/>
          <w:color w:val="auto"/>
        </w:rPr>
      </w:pPr>
      <w:r>
        <w:rPr>
          <w:rFonts w:ascii="Courier New" w:cs="Courier New" w:eastAsia="Courier New" w:hAnsi="Courier New"/>
          <w:sz w:val="17"/>
          <w:szCs w:val="17"/>
          <w:color w:val="auto"/>
        </w:rPr>
        <w:t>The following documents filed Commission (the "Commission") are hereby Registration Statement: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right"/>
        <w:ind w:right="2119"/>
        <w:spacing w:after="0" w:line="269" w:lineRule="auto"/>
        <w:rPr>
          <w:sz w:val="20"/>
          <w:szCs w:val="20"/>
          <w:color w:val="auto"/>
        </w:rPr>
      </w:pPr>
      <w:r>
        <w:rPr>
          <w:rFonts w:ascii="Courier New" w:cs="Courier New" w:eastAsia="Courier New" w:hAnsi="Courier New"/>
          <w:sz w:val="16"/>
          <w:szCs w:val="16"/>
          <w:color w:val="auto"/>
        </w:rPr>
        <w:t>with  the  Securities  and  Exchange incorporated  by  reference in this</w:t>
      </w:r>
    </w:p>
    <w:p>
      <w:pPr>
        <w:spacing w:after="0" w:line="371" w:lineRule="exact"/>
        <w:rPr>
          <w:sz w:val="20"/>
          <w:szCs w:val="20"/>
          <w:color w:val="auto"/>
        </w:rPr>
      </w:pPr>
    </w:p>
    <w:p>
      <w:pPr>
        <w:sectPr>
          <w:pgSz w:w="11900" w:h="16862" w:orient="portrait"/>
          <w:cols w:equalWidth="0" w:num="2">
            <w:col w:w="4360" w:space="100"/>
            <w:col w:w="5759"/>
          </w:cols>
          <w:pgMar w:left="240" w:top="140" w:right="1440" w:bottom="0" w:gutter="0" w:footer="0" w:header="0"/>
          <w:type w:val="continuous"/>
        </w:sectPr>
      </w:pPr>
    </w:p>
    <w:p>
      <w:pPr>
        <w:jc w:val="both"/>
        <w:ind w:right="2119" w:firstLine="1824"/>
        <w:spacing w:after="0"/>
        <w:tabs>
          <w:tab w:leader="none" w:pos="222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Annual Report on Form 10-K for the year ended December 31, 1997, which contains audited financial statements for the most recent fiscal year for which such statements have been filed;</w:t>
      </w:r>
    </w:p>
    <w:p>
      <w:pPr>
        <w:spacing w:after="0" w:line="200" w:lineRule="exact"/>
        <w:rPr>
          <w:rFonts w:ascii="Courier New" w:cs="Courier New" w:eastAsia="Courier New" w:hAnsi="Courier New"/>
          <w:sz w:val="17"/>
          <w:szCs w:val="17"/>
          <w:color w:val="auto"/>
        </w:rPr>
      </w:pPr>
    </w:p>
    <w:p>
      <w:pPr>
        <w:jc w:val="both"/>
        <w:ind w:right="2119" w:firstLine="1824"/>
        <w:spacing w:after="0" w:line="241" w:lineRule="auto"/>
        <w:tabs>
          <w:tab w:leader="none" w:pos="222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reports filed by the Registrant pursuant to Section 13(a) or 15(d) of the Securities Exchange Act of 1934, as amended (the "Exchange Act"), since the end of the fiscal year covered by the Annual Report on Form 10-K referred to in (a) above; and</w:t>
      </w:r>
    </w:p>
    <w:p>
      <w:pPr>
        <w:spacing w:after="0" w:line="198" w:lineRule="exact"/>
        <w:rPr>
          <w:rFonts w:ascii="Courier New" w:cs="Courier New" w:eastAsia="Courier New" w:hAnsi="Courier New"/>
          <w:sz w:val="17"/>
          <w:szCs w:val="17"/>
          <w:color w:val="auto"/>
        </w:rPr>
      </w:pPr>
    </w:p>
    <w:p>
      <w:pPr>
        <w:jc w:val="both"/>
        <w:ind w:right="2119" w:firstLine="1824"/>
        <w:spacing w:after="0" w:line="241" w:lineRule="auto"/>
        <w:tabs>
          <w:tab w:leader="none" w:pos="222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the Registrant's Common Stock contained in the Registration Statement on Form 8-A filed on September 18, 1993 under Section 12(g) of the Exchange Act, including any amendments or reports filed for the purpose of updating such description.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All documents filed by the Registrant pursuant to Sections 13(a), 13(c), 14 and 15(d) of the Exchange Act after the date hereof and prior to the filing of a post-effective amendment, which indicate that the securities offered hereby have been sold or which deregister the securities covered hereby then remaining unsold, shall also be deemed to be incorporated by reference into this Registration Statement and to be a part hereof commencing on the respective dates on which such documents are filed.</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Sections 23B.08.500 through 23B.08.600 of the Washington Business Corporation Act authorize a court to award, or a corporation's board of directors to grant, indemnification to directors and officers on terms sufficiently broad to permit indemnification under certain circumstances for liabilities arising under the Securities Act of 1933, as amended (the "Securities Act"). Section 10 of the Registrant's Restated Bylaws provides for indemnification of the Registrant's directors, officers, employees and agents to the maximum extent permitted by Washington law. Certain of the directors of the Registrant, who are affiliated with principal shareholders of the Registrant, also may be indemnified by such shareholders against liability they may incur in their capacity as a director of the Registrant, including pursuant to a liability insurance policy for such purpose.</w:t>
      </w:r>
    </w:p>
    <w:p>
      <w:pPr>
        <w:spacing w:after="0" w:line="198"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Section 23B.08.320 of the Washington Business Corporation Act authorizes a corporation to limit a director's liability to the corporation or its shareholders for monetary damages for acts or omissions as a director, except in certain circumstances involving intentional misconduct, self-dealing or illegal corporate loans or distributions, or any transactions from which the director personally receives a benefit in money, property or services to which the director is not entitled. Article 9 of the Registrant's Restated Articles of Incorporation contains provisions implementing, to the fullest extent permitted by Washington law, such limitations on a director's liability to the Registrant and its shareholders.</w:t>
      </w:r>
    </w:p>
    <w:p>
      <w:pPr>
        <w:spacing w:after="0" w:line="197" w:lineRule="exact"/>
        <w:rPr>
          <w:sz w:val="20"/>
          <w:szCs w:val="20"/>
          <w:color w:val="auto"/>
        </w:rPr>
      </w:pPr>
    </w:p>
    <w:p>
      <w:pPr>
        <w:jc w:val="both"/>
        <w:ind w:right="2119" w:firstLine="910"/>
        <w:spacing w:after="0" w:line="258" w:lineRule="auto"/>
        <w:rPr>
          <w:sz w:val="20"/>
          <w:szCs w:val="20"/>
          <w:color w:val="auto"/>
        </w:rPr>
      </w:pPr>
      <w:r>
        <w:rPr>
          <w:rFonts w:ascii="Courier New" w:cs="Courier New" w:eastAsia="Courier New" w:hAnsi="Courier New"/>
          <w:sz w:val="16"/>
          <w:szCs w:val="16"/>
          <w:color w:val="auto"/>
        </w:rPr>
        <w:t>The Registrant has entered into an Indemnification Agreement with each of its executive officers and directors in which the Registrant agrees to hold harmless and indemnify the officer or director to the full extent permitted by Washington law. In addition, the Registrant agrees to indemnify the officer or director against any and all losses, claims, damages, liabilities or expenses incurred in connection with any actual, pending or threatened action, suit, claim or proceeding, whether civil, criminal, administrative or investigative and whether formal or informal, in which the officer or director is, was or becomes involved by reason of the fact that the officer or director is or was a director, officer, employee or agent of the Registrant, or that being or having been such a director, officer, employee or agent, such director is or was serving at the request of the Registrant as a director, officer, employee, trustee or agent of another corporation or of a partnership, joint venture, trust or other enterprise, including service with respect to an employee benefit plan, whether the basis of such proceeding is alleged action (or inaction) by the officer or director in an official capacity as a director, officer, employee, trustee or agent or in any other capacity while serving as a director, officer, employee, trustee or agent. The officer or director is not indemnified for any action, suit, claim or proceeding instituted by or at the direction of the officer or director unless such action, suit, claim or proceeding is or was authorized by the Registrant's Board of Directors or unless the action is to enforce the provisions of the Indemnification Agreement.</w:t>
      </w:r>
    </w:p>
    <w:p>
      <w:pPr>
        <w:spacing w:after="0" w:line="381"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No indemnity pursuant to the Indemnification Agreements may be provided by the Registrant on account of any suit in which a final, unappealable judgment is rendered against an officer or director for an accounting of profits made from the purchase or sale by the officer or director of securities of the Registrant in violation of the provisions of Section 16(b) of the Exchange Act, or for damages that have been paid directly to the officer or director by an insurance carrier under a policy of directors' and officers' liability insurance maintained by the Registrant.</w:t>
      </w:r>
    </w:p>
    <w:p>
      <w:pPr>
        <w:sectPr>
          <w:pgSz w:w="11900" w:h="16862" w:orient="portrait"/>
          <w:cols w:equalWidth="0" w:num="1">
            <w:col w:w="10219"/>
          </w:cols>
          <w:pgMar w:left="240" w:top="140" w:right="1440" w:bottom="0" w:gutter="0" w:footer="0" w:header="0"/>
          <w:type w:val="continuous"/>
        </w:sectPr>
      </w:pPr>
    </w:p>
    <w:bookmarkStart w:id="2" w:name="page3"/>
    <w:bookmarkEnd w:id="2"/>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Officers and directors of the Registrant are covered by insurance (with certain exceptions and certain limitations) that indemnifies them against losses and liabilities arising from certain alleged "wrongful acts," including alleged errors or misstatements, or certain other alleged wrongful acts or omissions constituting neglect or breach of duty.</w:t>
      </w:r>
    </w:p>
    <w:p>
      <w:pPr>
        <w:sectPr>
          <w:pgSz w:w="11900" w:h="16838" w:orient="portrait"/>
          <w:cols w:equalWidth="0" w:num="1">
            <w:col w:w="10219"/>
          </w:cols>
          <w:pgMar w:left="240" w:top="336"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3"/>
        </w:trPr>
        <w:tc>
          <w:tcPr>
            <w:tcW w:w="1880" w:type="dxa"/>
            <w:vAlign w:val="bottom"/>
          </w:tcPr>
          <w:p>
            <w:pPr>
              <w:jc w:val="right"/>
              <w:ind w:right="76"/>
              <w:spacing w:after="0"/>
              <w:rPr>
                <w:sz w:val="20"/>
                <w:szCs w:val="20"/>
                <w:color w:val="auto"/>
              </w:rPr>
            </w:pPr>
            <w:r>
              <w:rPr>
                <w:rFonts w:ascii="Courier New" w:cs="Courier New" w:eastAsia="Courier New" w:hAnsi="Courier New"/>
                <w:sz w:val="17"/>
                <w:szCs w:val="17"/>
                <w:color w:val="auto"/>
                <w:w w:val="98"/>
              </w:rPr>
              <w:t>Item 8.  EXHIBITS</w:t>
            </w:r>
          </w:p>
        </w:tc>
        <w:tc>
          <w:tcPr>
            <w:tcW w:w="6220" w:type="dxa"/>
            <w:vAlign w:val="bottom"/>
          </w:tcPr>
          <w:p>
            <w:pPr>
              <w:spacing w:after="0"/>
              <w:rPr>
                <w:sz w:val="16"/>
                <w:szCs w:val="16"/>
                <w:color w:val="auto"/>
              </w:rPr>
            </w:pPr>
          </w:p>
        </w:tc>
      </w:tr>
      <w:tr>
        <w:trPr>
          <w:trHeight w:val="389"/>
        </w:trPr>
        <w:tc>
          <w:tcPr>
            <w:tcW w:w="18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Exhibit</w:t>
            </w:r>
          </w:p>
        </w:tc>
        <w:tc>
          <w:tcPr>
            <w:tcW w:w="6220" w:type="dxa"/>
            <w:vAlign w:val="bottom"/>
          </w:tcPr>
          <w:p>
            <w:pPr>
              <w:spacing w:after="0"/>
              <w:rPr>
                <w:sz w:val="24"/>
                <w:szCs w:val="24"/>
                <w:color w:val="auto"/>
              </w:rPr>
            </w:pPr>
          </w:p>
        </w:tc>
      </w:tr>
      <w:tr>
        <w:trPr>
          <w:trHeight w:val="194"/>
        </w:trPr>
        <w:tc>
          <w:tcPr>
            <w:tcW w:w="18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Number</w:t>
            </w:r>
          </w:p>
        </w:tc>
        <w:tc>
          <w:tcPr>
            <w:tcW w:w="6220" w:type="dxa"/>
            <w:vAlign w:val="bottom"/>
          </w:tcPr>
          <w:p>
            <w:pPr>
              <w:ind w:left="3480"/>
              <w:spacing w:after="0"/>
              <w:rPr>
                <w:sz w:val="20"/>
                <w:szCs w:val="20"/>
                <w:color w:val="auto"/>
              </w:rPr>
            </w:pPr>
            <w:r>
              <w:rPr>
                <w:rFonts w:ascii="Courier New" w:cs="Courier New" w:eastAsia="Courier New" w:hAnsi="Courier New"/>
                <w:sz w:val="17"/>
                <w:szCs w:val="17"/>
                <w:color w:val="auto"/>
              </w:rPr>
              <w:t>Description</w:t>
            </w:r>
          </w:p>
        </w:tc>
      </w:tr>
      <w:tr>
        <w:trPr>
          <w:trHeight w:val="389"/>
        </w:trPr>
        <w:tc>
          <w:tcPr>
            <w:tcW w:w="188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5.1</w:t>
            </w:r>
          </w:p>
        </w:tc>
        <w:tc>
          <w:tcPr>
            <w:tcW w:w="6220" w:type="dxa"/>
            <w:vAlign w:val="bottom"/>
          </w:tcPr>
          <w:p>
            <w:pPr>
              <w:ind w:left="140"/>
              <w:spacing w:after="0"/>
              <w:rPr>
                <w:sz w:val="20"/>
                <w:szCs w:val="20"/>
                <w:color w:val="auto"/>
              </w:rPr>
            </w:pPr>
            <w:r>
              <w:rPr>
                <w:rFonts w:ascii="Courier New" w:cs="Courier New" w:eastAsia="Courier New" w:hAnsi="Courier New"/>
                <w:sz w:val="17"/>
                <w:szCs w:val="17"/>
                <w:color w:val="auto"/>
                <w:w w:val="99"/>
              </w:rPr>
              <w:t>Opinion of Perkins Coie LLP regarding legality of the Common</w:t>
            </w:r>
          </w:p>
        </w:tc>
      </w:tr>
      <w:tr>
        <w:trPr>
          <w:trHeight w:val="194"/>
        </w:trPr>
        <w:tc>
          <w:tcPr>
            <w:tcW w:w="1880" w:type="dxa"/>
            <w:vAlign w:val="bottom"/>
          </w:tcPr>
          <w:p>
            <w:pPr>
              <w:spacing w:after="0"/>
              <w:rPr>
                <w:sz w:val="16"/>
                <w:szCs w:val="16"/>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7"/>
                <w:szCs w:val="17"/>
                <w:color w:val="auto"/>
              </w:rPr>
              <w:t>Stock being registered</w:t>
            </w:r>
          </w:p>
        </w:tc>
      </w:tr>
      <w:tr>
        <w:trPr>
          <w:trHeight w:val="389"/>
        </w:trPr>
        <w:tc>
          <w:tcPr>
            <w:tcW w:w="188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23.1</w:t>
            </w:r>
          </w:p>
        </w:tc>
        <w:tc>
          <w:tcPr>
            <w:tcW w:w="6220" w:type="dxa"/>
            <w:vAlign w:val="bottom"/>
          </w:tcPr>
          <w:p>
            <w:pPr>
              <w:ind w:left="140"/>
              <w:spacing w:after="0"/>
              <w:rPr>
                <w:sz w:val="20"/>
                <w:szCs w:val="20"/>
                <w:color w:val="auto"/>
              </w:rPr>
            </w:pPr>
            <w:r>
              <w:rPr>
                <w:rFonts w:ascii="Courier New" w:cs="Courier New" w:eastAsia="Courier New" w:hAnsi="Courier New"/>
                <w:sz w:val="17"/>
                <w:szCs w:val="17"/>
                <w:color w:val="auto"/>
              </w:rPr>
              <w:t>Consent of Deloitte &amp; Touche LLP</w:t>
            </w:r>
          </w:p>
        </w:tc>
      </w:tr>
      <w:tr>
        <w:trPr>
          <w:trHeight w:val="583"/>
        </w:trPr>
        <w:tc>
          <w:tcPr>
            <w:tcW w:w="188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23.2</w:t>
            </w:r>
          </w:p>
        </w:tc>
        <w:tc>
          <w:tcPr>
            <w:tcW w:w="6220" w:type="dxa"/>
            <w:vAlign w:val="bottom"/>
          </w:tcPr>
          <w:p>
            <w:pPr>
              <w:ind w:left="140"/>
              <w:spacing w:after="0"/>
              <w:rPr>
                <w:sz w:val="20"/>
                <w:szCs w:val="20"/>
                <w:color w:val="auto"/>
              </w:rPr>
            </w:pPr>
            <w:r>
              <w:rPr>
                <w:rFonts w:ascii="Courier New" w:cs="Courier New" w:eastAsia="Courier New" w:hAnsi="Courier New"/>
                <w:sz w:val="17"/>
                <w:szCs w:val="17"/>
                <w:color w:val="auto"/>
              </w:rPr>
              <w:t>Consent of Perkins Coie LLP (included in opinion filed as</w:t>
            </w:r>
          </w:p>
        </w:tc>
      </w:tr>
      <w:tr>
        <w:trPr>
          <w:trHeight w:val="194"/>
        </w:trPr>
        <w:tc>
          <w:tcPr>
            <w:tcW w:w="1880" w:type="dxa"/>
            <w:vAlign w:val="bottom"/>
          </w:tcPr>
          <w:p>
            <w:pPr>
              <w:spacing w:after="0"/>
              <w:rPr>
                <w:sz w:val="16"/>
                <w:szCs w:val="16"/>
                <w:color w:val="auto"/>
              </w:rPr>
            </w:pPr>
          </w:p>
        </w:tc>
        <w:tc>
          <w:tcPr>
            <w:tcW w:w="6220" w:type="dxa"/>
            <w:vAlign w:val="bottom"/>
          </w:tcPr>
          <w:p>
            <w:pPr>
              <w:ind w:left="140"/>
              <w:spacing w:after="0"/>
              <w:rPr>
                <w:sz w:val="20"/>
                <w:szCs w:val="20"/>
                <w:color w:val="auto"/>
              </w:rPr>
            </w:pPr>
            <w:r>
              <w:rPr>
                <w:rFonts w:ascii="Courier New" w:cs="Courier New" w:eastAsia="Courier New" w:hAnsi="Courier New"/>
                <w:sz w:val="17"/>
                <w:szCs w:val="17"/>
                <w:color w:val="auto"/>
              </w:rPr>
              <w:t>Exhibit 5.1)</w:t>
            </w:r>
          </w:p>
        </w:tc>
      </w:tr>
      <w:tr>
        <w:trPr>
          <w:trHeight w:val="389"/>
        </w:trPr>
        <w:tc>
          <w:tcPr>
            <w:tcW w:w="188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24.1</w:t>
            </w:r>
          </w:p>
        </w:tc>
        <w:tc>
          <w:tcPr>
            <w:tcW w:w="6220" w:type="dxa"/>
            <w:vAlign w:val="bottom"/>
          </w:tcPr>
          <w:p>
            <w:pPr>
              <w:ind w:left="140"/>
              <w:spacing w:after="0"/>
              <w:rPr>
                <w:sz w:val="20"/>
                <w:szCs w:val="20"/>
                <w:color w:val="auto"/>
              </w:rPr>
            </w:pPr>
            <w:r>
              <w:rPr>
                <w:rFonts w:ascii="Courier New" w:cs="Courier New" w:eastAsia="Courier New" w:hAnsi="Courier New"/>
                <w:sz w:val="17"/>
                <w:szCs w:val="17"/>
                <w:color w:val="auto"/>
              </w:rPr>
              <w:t>Power of Attorney (see signature page)</w:t>
            </w:r>
          </w:p>
        </w:tc>
      </w:tr>
      <w:tr>
        <w:trPr>
          <w:trHeight w:val="389"/>
        </w:trPr>
        <w:tc>
          <w:tcPr>
            <w:tcW w:w="188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99.1</w:t>
            </w:r>
          </w:p>
        </w:tc>
        <w:tc>
          <w:tcPr>
            <w:tcW w:w="6220" w:type="dxa"/>
            <w:vAlign w:val="bottom"/>
          </w:tcPr>
          <w:p>
            <w:pPr>
              <w:ind w:left="140"/>
              <w:spacing w:after="0"/>
              <w:rPr>
                <w:sz w:val="20"/>
                <w:szCs w:val="20"/>
                <w:color w:val="auto"/>
              </w:rPr>
            </w:pPr>
            <w:r>
              <w:rPr>
                <w:rFonts w:ascii="Courier New" w:cs="Courier New" w:eastAsia="Courier New" w:hAnsi="Courier New"/>
                <w:sz w:val="17"/>
                <w:szCs w:val="17"/>
                <w:color w:val="auto"/>
              </w:rPr>
              <w:t>Itron, Inc. 1996 Employee Stock Purchase Plan</w:t>
            </w:r>
          </w:p>
        </w:tc>
      </w:tr>
    </w:tbl>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96" w:lineRule="exact"/>
        <w:rPr>
          <w:sz w:val="20"/>
          <w:szCs w:val="20"/>
          <w:color w:val="auto"/>
        </w:rPr>
      </w:pPr>
    </w:p>
    <w:p>
      <w:pPr>
        <w:ind w:left="920" w:hanging="916"/>
        <w:spacing w:after="0"/>
        <w:tabs>
          <w:tab w:leader="none" w:pos="9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w:t>
      </w:r>
    </w:p>
    <w:p>
      <w:pPr>
        <w:spacing w:after="0" w:line="198" w:lineRule="exact"/>
        <w:rPr>
          <w:rFonts w:ascii="Courier New" w:cs="Courier New" w:eastAsia="Courier New" w:hAnsi="Courier New"/>
          <w:sz w:val="17"/>
          <w:szCs w:val="17"/>
          <w:color w:val="auto"/>
        </w:rPr>
      </w:pPr>
    </w:p>
    <w:p>
      <w:pPr>
        <w:ind w:right="2119" w:firstLine="914"/>
        <w:spacing w:after="0" w:line="239" w:lineRule="auto"/>
        <w:tabs>
          <w:tab w:leader="none" w:pos="1314"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a post-effective amendment to this Registration Statement:</w:t>
      </w:r>
    </w:p>
    <w:p>
      <w:pPr>
        <w:spacing w:after="0" w:line="199" w:lineRule="exact"/>
        <w:rPr>
          <w:rFonts w:ascii="Courier New" w:cs="Courier New" w:eastAsia="Courier New" w:hAnsi="Courier New"/>
          <w:sz w:val="17"/>
          <w:szCs w:val="17"/>
          <w:color w:val="auto"/>
        </w:rPr>
      </w:pPr>
    </w:p>
    <w:p>
      <w:pPr>
        <w:ind w:left="2940" w:hanging="1116"/>
        <w:spacing w:after="0"/>
        <w:tabs>
          <w:tab w:leader="none" w:pos="294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w:t>
      </w:r>
    </w:p>
    <w:p>
      <w:pPr>
        <w:spacing w:after="0" w:line="11" w:lineRule="exact"/>
        <w:rPr>
          <w:rFonts w:ascii="Courier New" w:cs="Courier New" w:eastAsia="Courier New" w:hAnsi="Courier New"/>
          <w:sz w:val="16"/>
          <w:szCs w:val="16"/>
          <w:color w:val="auto"/>
        </w:rPr>
      </w:pPr>
    </w:p>
    <w:p>
      <w:pPr>
        <w:ind w:left="3340" w:hanging="404"/>
        <w:spacing w:after="0"/>
        <w:tabs>
          <w:tab w:leader="none" w:pos="3340" w:val="left"/>
        </w:tabs>
        <w:numPr>
          <w:ilvl w:val="3"/>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Act;</w:t>
      </w:r>
    </w:p>
    <w:p>
      <w:pPr>
        <w:spacing w:after="0" w:line="198" w:lineRule="exact"/>
        <w:rPr>
          <w:rFonts w:ascii="Courier New" w:cs="Courier New" w:eastAsia="Courier New" w:hAnsi="Courier New"/>
          <w:sz w:val="17"/>
          <w:szCs w:val="17"/>
          <w:color w:val="auto"/>
        </w:rPr>
      </w:pPr>
    </w:p>
    <w:p>
      <w:pPr>
        <w:jc w:val="both"/>
        <w:ind w:right="2119" w:firstLine="1824"/>
        <w:spacing w:after="0" w:line="241" w:lineRule="auto"/>
        <w:tabs>
          <w:tab w:leader="none" w:pos="2326"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99" w:lineRule="exact"/>
        <w:rPr>
          <w:rFonts w:ascii="Courier New" w:cs="Courier New" w:eastAsia="Courier New" w:hAnsi="Courier New"/>
          <w:sz w:val="17"/>
          <w:szCs w:val="17"/>
          <w:color w:val="auto"/>
        </w:rPr>
      </w:pPr>
    </w:p>
    <w:p>
      <w:pPr>
        <w:ind w:right="2119" w:firstLine="1824"/>
        <w:spacing w:after="0" w:line="241" w:lineRule="auto"/>
        <w:tabs>
          <w:tab w:leader="none" w:pos="242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this Registration Statement or any material change to such information in this Registration Statement; provided, however, that paragraphs (1)(i) and (1)(ii) above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spacing w:after="0" w:line="203" w:lineRule="exact"/>
        <w:rPr>
          <w:rFonts w:ascii="Courier New" w:cs="Courier New" w:eastAsia="Courier New" w:hAnsi="Courier New"/>
          <w:sz w:val="17"/>
          <w:szCs w:val="17"/>
          <w:color w:val="auto"/>
        </w:rPr>
      </w:pPr>
    </w:p>
    <w:p>
      <w:pPr>
        <w:jc w:val="both"/>
        <w:ind w:right="2119" w:firstLine="914"/>
        <w:spacing w:after="0" w:line="241" w:lineRule="auto"/>
        <w:tabs>
          <w:tab w:leader="none" w:pos="1314"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Courier New" w:cs="Courier New" w:eastAsia="Courier New" w:hAnsi="Courier New"/>
          <w:sz w:val="17"/>
          <w:szCs w:val="17"/>
          <w:color w:val="auto"/>
        </w:rPr>
      </w:pPr>
    </w:p>
    <w:p>
      <w:pPr>
        <w:jc w:val="both"/>
        <w:ind w:right="2119" w:firstLine="914"/>
        <w:spacing w:after="0"/>
        <w:tabs>
          <w:tab w:leader="none" w:pos="1314"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200" w:lineRule="exact"/>
        <w:rPr>
          <w:rFonts w:ascii="Courier New" w:cs="Courier New" w:eastAsia="Courier New" w:hAnsi="Courier New"/>
          <w:sz w:val="17"/>
          <w:szCs w:val="17"/>
          <w:color w:val="auto"/>
        </w:rPr>
      </w:pPr>
    </w:p>
    <w:p>
      <w:pPr>
        <w:jc w:val="both"/>
        <w:ind w:right="2119" w:firstLine="4"/>
        <w:spacing w:after="0" w:line="241" w:lineRule="auto"/>
        <w:tabs>
          <w:tab w:leader="none" w:pos="40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benefits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4" w:lineRule="exact"/>
        <w:rPr>
          <w:rFonts w:ascii="Courier New" w:cs="Courier New" w:eastAsia="Courier New" w:hAnsi="Courier New"/>
          <w:sz w:val="17"/>
          <w:szCs w:val="17"/>
          <w:color w:val="auto"/>
        </w:rPr>
      </w:pPr>
    </w:p>
    <w:p>
      <w:pPr>
        <w:jc w:val="both"/>
        <w:ind w:right="2119" w:firstLine="4"/>
        <w:spacing w:after="0" w:line="242" w:lineRule="auto"/>
        <w:tabs>
          <w:tab w:leader="none" w:pos="30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219"/>
          </w:cols>
          <w:pgMar w:left="240" w:top="891" w:right="1440" w:bottom="217" w:gutter="0" w:footer="0" w:header="0"/>
        </w:sectPr>
      </w:pPr>
    </w:p>
    <w:bookmarkStart w:id="4" w:name="page5"/>
    <w:bookmarkEnd w:id="4"/>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199" w:lineRule="exact"/>
        <w:rPr>
          <w:sz w:val="20"/>
          <w:szCs w:val="20"/>
          <w:color w:val="auto"/>
        </w:rPr>
      </w:pPr>
    </w:p>
    <w:p>
      <w:pPr>
        <w:ind w:right="2119" w:firstLine="910"/>
        <w:spacing w:after="0" w:line="241"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Spokane, State of Washington, on the 10th day of September, 1998.</w:t>
      </w:r>
    </w:p>
    <w:p>
      <w:pPr>
        <w:spacing w:after="0" w:line="199"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ITRON, INC.</w:t>
      </w:r>
    </w:p>
    <w:p>
      <w:pPr>
        <w:spacing w:after="0" w:line="196" w:lineRule="exact"/>
        <w:rPr>
          <w:sz w:val="20"/>
          <w:szCs w:val="20"/>
          <w:color w:val="auto"/>
        </w:rPr>
      </w:pPr>
    </w:p>
    <w:p>
      <w:pPr>
        <w:ind w:left="4760"/>
        <w:spacing w:after="0"/>
        <w:rPr>
          <w:sz w:val="20"/>
          <w:szCs w:val="20"/>
          <w:color w:val="auto"/>
        </w:rPr>
      </w:pPr>
      <w:r>
        <w:rPr>
          <w:rFonts w:ascii="Courier New" w:cs="Courier New" w:eastAsia="Courier New" w:hAnsi="Courier New"/>
          <w:sz w:val="17"/>
          <w:szCs w:val="17"/>
          <w:color w:val="auto"/>
        </w:rPr>
        <w:t>/s/ DAVID G. REMINGTON</w:t>
      </w:r>
    </w:p>
    <w:p>
      <w:pPr>
        <w:spacing w:after="0" w:line="2" w:lineRule="exact"/>
        <w:rPr>
          <w:sz w:val="20"/>
          <w:szCs w:val="20"/>
          <w:color w:val="auto"/>
        </w:rPr>
      </w:pPr>
    </w:p>
    <w:p>
      <w:pPr>
        <w:ind w:left="4460"/>
        <w:spacing w:after="0"/>
        <w:tabs>
          <w:tab w:leader="none" w:pos="51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David G. Remington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Vice President and Chief Financial Officer</w:t>
      </w:r>
    </w:p>
    <w:p>
      <w:pPr>
        <w:spacing w:after="0" w:line="208"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Each person whose individual signature appears below hereby authorizes Johnny M. Humphreys and David G. Remington, or either of them, as attorneys-in-fact with full power of substitution, to execute in the name and on the behalf of each person, individually and in each capacity stated below, and to file, any and all post-effective amendments to this Registration Statement.</w:t>
      </w:r>
    </w:p>
    <w:p>
      <w:pPr>
        <w:spacing w:after="0" w:line="200"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Pursuant to the requirements of the Securities Act of 1933, this Registration Statement has been signed by the following persons in the capacities indicated below on the 10th day of September, 1998.</w:t>
      </w:r>
    </w:p>
    <w:p>
      <w:pPr>
        <w:sectPr>
          <w:pgSz w:w="11900" w:h="16838" w:orient="portrait"/>
          <w:cols w:equalWidth="0" w:num="1">
            <w:col w:w="10219"/>
          </w:cols>
          <w:pgMar w:left="240" w:top="891" w:right="1440" w:bottom="1440" w:gutter="0" w:footer="0" w:header="0"/>
        </w:sectPr>
      </w:pPr>
    </w:p>
    <w:p>
      <w:pPr>
        <w:spacing w:after="0" w:line="200" w:lineRule="exact"/>
        <w:rPr>
          <w:sz w:val="20"/>
          <w:szCs w:val="20"/>
          <w:color w:val="auto"/>
        </w:rPr>
      </w:pPr>
    </w:p>
    <w:p>
      <w:pPr>
        <w:ind w:left="72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ectPr>
          <w:pgSz w:w="11900" w:h="16838" w:orient="portrait"/>
          <w:cols w:equalWidth="0" w:num="2">
            <w:col w:w="4440" w:space="720"/>
            <w:col w:w="5059"/>
          </w:cols>
          <w:pgMar w:left="240" w:top="891" w:right="1440" w:bottom="1440" w:gutter="0" w:footer="0" w:header="0"/>
          <w:type w:val="continuous"/>
        </w:sectPr>
      </w:pP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JOHNNY M. HUMPHREYS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Johnny M. Humphreys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President and Chief</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Executive Officer (Principal Executive Officer)</w:t>
      </w:r>
    </w:p>
    <w:p>
      <w:pPr>
        <w:spacing w:after="0" w:line="403" w:lineRule="exact"/>
        <w:rPr>
          <w:sz w:val="20"/>
          <w:szCs w:val="20"/>
          <w:color w:val="auto"/>
        </w:rPr>
      </w:pPr>
    </w:p>
    <w:p>
      <w:pPr>
        <w:sectPr>
          <w:pgSz w:w="11900" w:h="16838" w:orient="portrait"/>
          <w:cols w:equalWidth="0" w:num="2">
            <w:col w:w="3140" w:space="200"/>
            <w:col w:w="6879"/>
          </w:cols>
          <w:pgMar w:left="240" w:top="891" w:right="1440" w:bottom="1440" w:gutter="0" w:footer="0" w:header="0"/>
          <w:type w:val="continuous"/>
        </w:sectPr>
      </w:pPr>
    </w:p>
    <w:p>
      <w:pPr>
        <w:spacing w:after="0" w:line="19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DAVID G. REMINGTON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David G. Remington</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and Chief Financial Officer</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(Principal Financial and Accounting Officer)</w:t>
      </w:r>
    </w:p>
    <w:p>
      <w:pPr>
        <w:spacing w:after="0" w:line="403" w:lineRule="exact"/>
        <w:rPr>
          <w:sz w:val="20"/>
          <w:szCs w:val="20"/>
          <w:color w:val="auto"/>
        </w:rPr>
      </w:pPr>
    </w:p>
    <w:p>
      <w:pPr>
        <w:sectPr>
          <w:pgSz w:w="11900" w:h="16838" w:orient="portrait"/>
          <w:cols w:equalWidth="0" w:num="2">
            <w:col w:w="3140" w:space="300"/>
            <w:col w:w="6779"/>
          </w:cols>
          <w:pgMar w:left="240" w:top="891" w:right="1440" w:bottom="1440" w:gutter="0" w:footer="0" w:header="0"/>
          <w:type w:val="continuous"/>
        </w:sectPr>
      </w:pPr>
    </w:p>
    <w:p>
      <w:pPr>
        <w:spacing w:after="0" w:line="19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 MICHAEL B. BRACY</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1" w:lineRule="exact"/>
        <w:rPr>
          <w:sz w:val="20"/>
          <w:szCs w:val="20"/>
          <w:color w:val="auto"/>
        </w:rPr>
      </w:pPr>
    </w:p>
    <w:p>
      <w:pPr>
        <w:sectPr>
          <w:pgSz w:w="11900" w:h="16838" w:orient="portrait"/>
          <w:cols w:equalWidth="0" w:num="2">
            <w:col w:w="3540" w:space="720"/>
            <w:col w:w="5959"/>
          </w:cols>
          <w:pgMar w:left="240" w:top="891" w:right="1440" w:bottom="1440" w:gutter="0" w:footer="0" w:header="0"/>
          <w:type w:val="continuous"/>
        </w:sect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Michael B. Bracy</w:t>
      </w:r>
    </w:p>
    <w:p>
      <w:pPr>
        <w:spacing w:after="0" w:line="391" w:lineRule="exact"/>
        <w:rPr>
          <w:sz w:val="20"/>
          <w:szCs w:val="20"/>
          <w:color w:val="auto"/>
        </w:rPr>
      </w:pPr>
    </w:p>
    <w:p>
      <w:pPr>
        <w:ind w:left="300"/>
        <w:spacing w:after="0"/>
        <w:tabs>
          <w:tab w:leader="none" w:pos="4240" w:val="left"/>
        </w:tabs>
        <w:rPr>
          <w:sz w:val="20"/>
          <w:szCs w:val="20"/>
          <w:color w:val="auto"/>
        </w:rPr>
      </w:pPr>
      <w:r>
        <w:rPr>
          <w:rFonts w:ascii="Courier New" w:cs="Courier New" w:eastAsia="Courier New" w:hAnsi="Courier New"/>
          <w:sz w:val="17"/>
          <w:szCs w:val="17"/>
          <w:color w:val="auto"/>
        </w:rPr>
        <w:t>/s/ TED C. DEMERRITT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Ted C. DeMerritt</w:t>
      </w:r>
    </w:p>
    <w:p>
      <w:pPr>
        <w:spacing w:after="0" w:line="391" w:lineRule="exact"/>
        <w:rPr>
          <w:sz w:val="20"/>
          <w:szCs w:val="20"/>
          <w:color w:val="auto"/>
        </w:rPr>
      </w:pPr>
    </w:p>
    <w:p>
      <w:pPr>
        <w:ind w:left="300"/>
        <w:spacing w:after="0"/>
        <w:tabs>
          <w:tab w:leader="none" w:pos="4240" w:val="left"/>
        </w:tabs>
        <w:rPr>
          <w:sz w:val="20"/>
          <w:szCs w:val="20"/>
          <w:color w:val="auto"/>
        </w:rPr>
      </w:pPr>
      <w:r>
        <w:rPr>
          <w:rFonts w:ascii="Courier New" w:cs="Courier New" w:eastAsia="Courier New" w:hAnsi="Courier New"/>
          <w:sz w:val="17"/>
          <w:szCs w:val="17"/>
          <w:color w:val="auto"/>
        </w:rPr>
        <w:t>/s/ JON E. ELIASSEN</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Jon E. Eliassen</w:t>
      </w:r>
    </w:p>
    <w:p>
      <w:pPr>
        <w:spacing w:after="0" w:line="391" w:lineRule="exact"/>
        <w:rPr>
          <w:sz w:val="20"/>
          <w:szCs w:val="20"/>
          <w:color w:val="auto"/>
        </w:rPr>
      </w:pPr>
    </w:p>
    <w:p>
      <w:pPr>
        <w:ind w:left="300"/>
        <w:spacing w:after="0"/>
        <w:tabs>
          <w:tab w:leader="none" w:pos="4240" w:val="left"/>
        </w:tabs>
        <w:rPr>
          <w:sz w:val="20"/>
          <w:szCs w:val="20"/>
          <w:color w:val="auto"/>
        </w:rPr>
      </w:pPr>
      <w:r>
        <w:rPr>
          <w:rFonts w:ascii="Courier New" w:cs="Courier New" w:eastAsia="Courier New" w:hAnsi="Courier New"/>
          <w:sz w:val="17"/>
          <w:szCs w:val="17"/>
          <w:color w:val="auto"/>
        </w:rPr>
        <w:t>/s/ MARY ANN PETERS</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Mary Ann Peters</w:t>
      </w:r>
    </w:p>
    <w:p>
      <w:pPr>
        <w:spacing w:after="0" w:line="391" w:lineRule="exact"/>
        <w:rPr>
          <w:sz w:val="20"/>
          <w:szCs w:val="20"/>
          <w:color w:val="auto"/>
        </w:rPr>
      </w:pPr>
    </w:p>
    <w:p>
      <w:pPr>
        <w:ind w:left="300"/>
        <w:spacing w:after="0"/>
        <w:tabs>
          <w:tab w:leader="none" w:pos="4240" w:val="left"/>
        </w:tabs>
        <w:rPr>
          <w:sz w:val="20"/>
          <w:szCs w:val="20"/>
          <w:color w:val="auto"/>
        </w:rPr>
      </w:pPr>
      <w:r>
        <w:rPr>
          <w:rFonts w:ascii="Courier New" w:cs="Courier New" w:eastAsia="Courier New" w:hAnsi="Courier New"/>
          <w:sz w:val="17"/>
          <w:szCs w:val="17"/>
          <w:color w:val="auto"/>
        </w:rPr>
        <w:t>/s/ PAUL A. REDMOND</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A. Redmond</w:t>
      </w:r>
    </w:p>
    <w:p>
      <w:pPr>
        <w:spacing w:after="0" w:line="391" w:lineRule="exact"/>
        <w:rPr>
          <w:sz w:val="20"/>
          <w:szCs w:val="20"/>
          <w:color w:val="auto"/>
        </w:rPr>
      </w:pPr>
    </w:p>
    <w:p>
      <w:pPr>
        <w:ind w:left="300"/>
        <w:spacing w:after="0"/>
        <w:tabs>
          <w:tab w:leader="none" w:pos="4240" w:val="left"/>
        </w:tabs>
        <w:rPr>
          <w:sz w:val="20"/>
          <w:szCs w:val="20"/>
          <w:color w:val="auto"/>
        </w:rPr>
      </w:pPr>
      <w:r>
        <w:rPr>
          <w:rFonts w:ascii="Courier New" w:cs="Courier New" w:eastAsia="Courier New" w:hAnsi="Courier New"/>
          <w:sz w:val="17"/>
          <w:szCs w:val="17"/>
          <w:color w:val="auto"/>
        </w:rPr>
        <w:t>/s/ GRAHAM M. WILSON</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Graham M. Wilson</w:t>
      </w:r>
    </w:p>
    <w:p>
      <w:pPr>
        <w:spacing w:after="0" w:line="391" w:lineRule="exact"/>
        <w:rPr>
          <w:sz w:val="20"/>
          <w:szCs w:val="20"/>
          <w:color w:val="auto"/>
        </w:rPr>
      </w:pPr>
    </w:p>
    <w:p>
      <w:pPr>
        <w:ind w:left="300"/>
        <w:spacing w:after="0"/>
        <w:tabs>
          <w:tab w:leader="none" w:pos="4240" w:val="left"/>
        </w:tabs>
        <w:rPr>
          <w:sz w:val="20"/>
          <w:szCs w:val="20"/>
          <w:color w:val="auto"/>
        </w:rPr>
      </w:pPr>
      <w:r>
        <w:rPr>
          <w:rFonts w:ascii="Courier New" w:cs="Courier New" w:eastAsia="Courier New" w:hAnsi="Courier New"/>
          <w:sz w:val="17"/>
          <w:szCs w:val="17"/>
          <w:color w:val="auto"/>
        </w:rPr>
        <w:t>/s/ STUART EDWARD WHITE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00" w:hanging="196"/>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ind w:left="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Stuart Edward White</w:t>
      </w:r>
    </w:p>
    <w:p>
      <w:pPr>
        <w:sectPr>
          <w:pgSz w:w="11900" w:h="16838" w:orient="portrait"/>
          <w:cols w:equalWidth="0" w:num="1">
            <w:col w:w="10219"/>
          </w:cols>
          <w:pgMar w:left="240" w:top="891" w:right="1440" w:bottom="1440" w:gutter="0" w:footer="0" w:header="0"/>
          <w:type w:val="continuous"/>
        </w:sectPr>
      </w:pPr>
    </w:p>
    <w:bookmarkStart w:id="5" w:name="page6"/>
    <w:bookmarkEnd w:id="5"/>
    <w:p>
      <w:pPr>
        <w:spacing w:after="0" w:line="37"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1440" w:right="1440" w:bottom="1440" w:gutter="0" w:footer="0" w:header="0"/>
        </w:sectPr>
      </w:pPr>
    </w:p>
    <w:p>
      <w:pPr>
        <w:spacing w:after="0" w:line="205" w:lineRule="exact"/>
        <w:rPr>
          <w:sz w:val="20"/>
          <w:szCs w:val="20"/>
          <w:color w:val="auto"/>
        </w:rPr>
      </w:pPr>
    </w:p>
    <w:p>
      <w:pPr>
        <w:jc w:val="right"/>
        <w:ind w:right="3420"/>
        <w:spacing w:after="0"/>
        <w:rPr>
          <w:sz w:val="20"/>
          <w:szCs w:val="20"/>
          <w:color w:val="auto"/>
        </w:rPr>
      </w:pPr>
      <w:r>
        <w:rPr>
          <w:rFonts w:ascii="Courier New" w:cs="Courier New" w:eastAsia="Courier New" w:hAnsi="Courier New"/>
          <w:sz w:val="17"/>
          <w:szCs w:val="17"/>
          <w:color w:val="auto"/>
        </w:rPr>
        <w:t>Exhibit</w:t>
      </w:r>
    </w:p>
    <w:p>
      <w:pPr>
        <w:spacing w:after="0" w:line="2" w:lineRule="exact"/>
        <w:rPr>
          <w:sz w:val="20"/>
          <w:szCs w:val="20"/>
          <w:color w:val="auto"/>
        </w:rPr>
      </w:pPr>
    </w:p>
    <w:p>
      <w:pPr>
        <w:jc w:val="right"/>
        <w:ind w:right="3420"/>
        <w:spacing w:after="0"/>
        <w:rPr>
          <w:sz w:val="20"/>
          <w:szCs w:val="20"/>
          <w:color w:val="auto"/>
        </w:rPr>
      </w:pPr>
      <w:r>
        <w:rPr>
          <w:rFonts w:ascii="Courier New" w:cs="Courier New" w:eastAsia="Courier New" w:hAnsi="Courier New"/>
          <w:sz w:val="17"/>
          <w:szCs w:val="17"/>
          <w:color w:val="auto"/>
        </w:rPr>
        <w:t>Number</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ind w:right="3739"/>
        <w:spacing w:after="0"/>
        <w:rPr>
          <w:sz w:val="20"/>
          <w:szCs w:val="20"/>
          <w:color w:val="auto"/>
        </w:rPr>
      </w:pPr>
      <w:r>
        <w:rPr>
          <w:rFonts w:ascii="Courier New" w:cs="Courier New" w:eastAsia="Courier New" w:hAnsi="Courier New"/>
          <w:sz w:val="16"/>
          <w:szCs w:val="16"/>
          <w:color w:val="auto"/>
        </w:rPr>
        <w:t>Description</w:t>
      </w:r>
    </w:p>
    <w:p>
      <w:pPr>
        <w:spacing w:after="0" w:line="208" w:lineRule="exact"/>
        <w:rPr>
          <w:sz w:val="20"/>
          <w:szCs w:val="20"/>
          <w:color w:val="auto"/>
        </w:rPr>
      </w:pPr>
    </w:p>
    <w:p>
      <w:pPr>
        <w:sectPr>
          <w:pgSz w:w="11900" w:h="16838" w:orient="portrait"/>
          <w:cols w:equalWidth="0" w:num="2">
            <w:col w:w="4640" w:space="720"/>
            <w:col w:w="4859"/>
          </w:cols>
          <w:pgMar w:left="240" w:top="144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40" w:right="1440" w:bottom="1440" w:gutter="0" w:footer="0" w:header="0"/>
          <w:type w:val="continuous"/>
        </w:sectPr>
      </w:pPr>
    </w:p>
    <w:p>
      <w:pPr>
        <w:spacing w:after="0" w:line="208" w:lineRule="exact"/>
        <w:rPr>
          <w:sz w:val="20"/>
          <w:szCs w:val="20"/>
          <w:color w:val="auto"/>
        </w:rPr>
      </w:pPr>
    </w:p>
    <w:p>
      <w:pPr>
        <w:ind w:left="2020" w:right="2119" w:hanging="1314"/>
        <w:spacing w:after="0" w:line="239" w:lineRule="auto"/>
        <w:tabs>
          <w:tab w:leader="none" w:pos="20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Opinion of Perkins Coie LLP regarding legality of the Common Stock being registered</w:t>
      </w:r>
    </w:p>
    <w:p>
      <w:pPr>
        <w:spacing w:after="0" w:line="198" w:lineRule="exact"/>
        <w:rPr>
          <w:sz w:val="20"/>
          <w:szCs w:val="20"/>
          <w:color w:val="auto"/>
        </w:rPr>
      </w:pPr>
    </w:p>
    <w:p>
      <w:pPr>
        <w:ind w:left="620"/>
        <w:spacing w:after="0"/>
        <w:tabs>
          <w:tab w:leader="none" w:pos="200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Consent of Deloitte &amp; Touche LLP</w:t>
      </w:r>
    </w:p>
    <w:p>
      <w:pPr>
        <w:spacing w:after="0" w:line="393" w:lineRule="exact"/>
        <w:rPr>
          <w:sz w:val="20"/>
          <w:szCs w:val="20"/>
          <w:color w:val="auto"/>
        </w:rPr>
      </w:pPr>
    </w:p>
    <w:p>
      <w:pPr>
        <w:ind w:left="2020" w:right="2439" w:hanging="1415"/>
        <w:spacing w:after="0" w:line="239" w:lineRule="auto"/>
        <w:tabs>
          <w:tab w:leader="none" w:pos="2000" w:val="left"/>
        </w:tabs>
        <w:rPr>
          <w:sz w:val="20"/>
          <w:szCs w:val="20"/>
          <w:color w:val="auto"/>
        </w:rPr>
      </w:pPr>
      <w:r>
        <w:rPr>
          <w:rFonts w:ascii="Courier New" w:cs="Courier New" w:eastAsia="Courier New" w:hAnsi="Courier New"/>
          <w:sz w:val="17"/>
          <w:szCs w:val="17"/>
          <w:color w:val="auto"/>
        </w:rPr>
        <w:t>23.2</w:t>
      </w:r>
      <w:r>
        <w:rPr>
          <w:sz w:val="20"/>
          <w:szCs w:val="20"/>
          <w:color w:val="auto"/>
        </w:rPr>
        <w:tab/>
      </w:r>
      <w:r>
        <w:rPr>
          <w:rFonts w:ascii="Courier New" w:cs="Courier New" w:eastAsia="Courier New" w:hAnsi="Courier New"/>
          <w:sz w:val="17"/>
          <w:szCs w:val="17"/>
          <w:color w:val="auto"/>
        </w:rPr>
        <w:t>Consent of Perkins Coie LLP (included in opinion filed as Exhibit 5.1)</w:t>
      </w:r>
    </w:p>
    <w:p>
      <w:pPr>
        <w:spacing w:after="0" w:line="198" w:lineRule="exact"/>
        <w:rPr>
          <w:sz w:val="20"/>
          <w:szCs w:val="20"/>
          <w:color w:val="auto"/>
        </w:rPr>
      </w:pPr>
    </w:p>
    <w:p>
      <w:pPr>
        <w:ind w:left="620"/>
        <w:spacing w:after="0"/>
        <w:tabs>
          <w:tab w:leader="none" w:pos="200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6"/>
          <w:szCs w:val="16"/>
          <w:color w:val="auto"/>
        </w:rPr>
        <w:t>Power of Attorney (see signature page)</w:t>
      </w:r>
    </w:p>
    <w:p>
      <w:pPr>
        <w:spacing w:after="0" w:line="196" w:lineRule="exact"/>
        <w:rPr>
          <w:sz w:val="20"/>
          <w:szCs w:val="20"/>
          <w:color w:val="auto"/>
        </w:rPr>
      </w:pPr>
    </w:p>
    <w:p>
      <w:pPr>
        <w:ind w:left="620"/>
        <w:spacing w:after="0"/>
        <w:tabs>
          <w:tab w:leader="none" w:pos="200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6"/>
          <w:szCs w:val="16"/>
          <w:color w:val="auto"/>
        </w:rPr>
        <w:t>Itron, Inc. 1996 Employee Stock Purchase Plan</w:t>
      </w:r>
    </w:p>
    <w:p>
      <w:pPr>
        <w:sectPr>
          <w:pgSz w:w="11900" w:h="16838" w:orient="portrait"/>
          <w:cols w:equalWidth="0" w:num="1">
            <w:col w:w="10219"/>
          </w:cols>
          <w:pgMar w:left="240" w:top="1440" w:right="1440" w:bottom="1440" w:gutter="0" w:footer="0" w:header="0"/>
          <w:type w:val="continuous"/>
        </w:sectPr>
      </w:pPr>
    </w:p>
    <w:bookmarkStart w:id="6" w:name="page7"/>
    <w:bookmarkEnd w:id="6"/>
    <w:p>
      <w:pPr>
        <w:jc w:val="right"/>
        <w:ind w:right="2119"/>
        <w:spacing w:after="0"/>
        <w:rPr>
          <w:sz w:val="20"/>
          <w:szCs w:val="20"/>
          <w:color w:val="auto"/>
        </w:rPr>
      </w:pPr>
      <w:r>
        <w:rPr>
          <w:rFonts w:ascii="Courier New" w:cs="Courier New" w:eastAsia="Courier New" w:hAnsi="Courier New"/>
          <w:sz w:val="17"/>
          <w:szCs w:val="17"/>
          <w:color w:val="auto"/>
        </w:rPr>
        <w:t>EXHIBIT 5.1</w:t>
      </w:r>
    </w:p>
    <w:p>
      <w:pPr>
        <w:spacing w:after="0" w:line="200" w:lineRule="exact"/>
        <w:rPr>
          <w:sz w:val="20"/>
          <w:szCs w:val="20"/>
          <w:color w:val="auto"/>
        </w:rPr>
      </w:pPr>
    </w:p>
    <w:p>
      <w:pPr>
        <w:spacing w:after="0" w:line="385"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PERKINS COIE LLP</w:t>
      </w:r>
    </w:p>
    <w:p>
      <w:pPr>
        <w:spacing w:after="0" w:line="196"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1201 THIRD AVENUE, 40TH FLOOR, SEATTLE, WASHINGTON 98101-3099</w:t>
      </w:r>
    </w:p>
    <w:p>
      <w:pPr>
        <w:spacing w:after="0" w:line="2"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TELEPHONE: 206 583-8888 FACSIMILE: 206 583-8500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September 8, 1998</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Itron,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2818 N. Sullivan Road</w:t>
      </w:r>
    </w:p>
    <w:p>
      <w:pPr>
        <w:spacing w:after="0" w:line="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Spokane, WA</w:t>
      </w:r>
      <w:r>
        <w:rPr>
          <w:sz w:val="20"/>
          <w:szCs w:val="20"/>
          <w:color w:val="auto"/>
        </w:rPr>
        <w:tab/>
      </w:r>
      <w:r>
        <w:rPr>
          <w:rFonts w:ascii="Courier New" w:cs="Courier New" w:eastAsia="Courier New" w:hAnsi="Courier New"/>
          <w:sz w:val="16"/>
          <w:szCs w:val="16"/>
          <w:color w:val="auto"/>
        </w:rPr>
        <w:t>99216-1897</w:t>
      </w:r>
    </w:p>
    <w:p>
      <w:pPr>
        <w:spacing w:after="0" w:line="391" w:lineRule="exact"/>
        <w:rPr>
          <w:sz w:val="20"/>
          <w:szCs w:val="20"/>
          <w:color w:val="auto"/>
        </w:rPr>
      </w:pPr>
    </w:p>
    <w:p>
      <w:pPr>
        <w:ind w:left="920"/>
        <w:spacing w:after="0"/>
        <w:tabs>
          <w:tab w:leader="none" w:pos="180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Registration Statement on Form S-8</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82,851 shares of Common Stock, no par value (the "Shares"), which may be issued pursuant to the Itron, Inc. 1996 Employee Stock Purchase Plan (the "Plan"). We have examined the Registration Statement and such documents and records of the Company and other documents as we have deemed necessary for the purpose of this opinion.</w:t>
      </w:r>
    </w:p>
    <w:p>
      <w:pPr>
        <w:spacing w:after="0" w:line="203"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Based upon and subject to the foregoing, we are of the opinion that any original issuance Shares that may be issued pursuant to the Plan have been duly authorized and that, upon the due execution by the Company and the registration by its registrar of such Shares and the sale thereof by the Company in accordance with the terms of the Plan, and the receipt of consideration therefor in accordance with the terms of the Plan, such Shares will be validly issued, fully paid and nonassessable.</w:t>
      </w:r>
    </w:p>
    <w:p>
      <w:pPr>
        <w:spacing w:after="0" w:line="202"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98" w:lineRule="exact"/>
        <w:rPr>
          <w:sz w:val="20"/>
          <w:szCs w:val="20"/>
          <w:color w:val="auto"/>
        </w:rPr>
      </w:pPr>
    </w:p>
    <w:p>
      <w:pPr>
        <w:ind w:left="3240"/>
        <w:spacing w:after="0"/>
        <w:rPr>
          <w:sz w:val="20"/>
          <w:szCs w:val="20"/>
          <w:color w:val="auto"/>
        </w:rPr>
      </w:pPr>
      <w:r>
        <w:rPr>
          <w:rFonts w:ascii="Courier New" w:cs="Courier New" w:eastAsia="Courier New" w:hAnsi="Courier New"/>
          <w:sz w:val="17"/>
          <w:szCs w:val="17"/>
          <w:color w:val="auto"/>
        </w:rPr>
        <w:t>Very truly yours,</w:t>
      </w:r>
    </w:p>
    <w:p>
      <w:pPr>
        <w:sectPr>
          <w:pgSz w:w="11900" w:h="16838" w:orient="portrait"/>
          <w:cols w:equalWidth="0" w:num="1">
            <w:col w:w="10219"/>
          </w:cols>
          <w:pgMar w:left="240" w:top="917" w:right="1440" w:bottom="1440" w:gutter="0" w:footer="0" w:header="0"/>
        </w:sectPr>
      </w:pPr>
    </w:p>
    <w:bookmarkStart w:id="7" w:name="page8"/>
    <w:bookmarkEnd w:id="7"/>
    <w:p>
      <w:pPr>
        <w:jc w:val="right"/>
        <w:ind w:right="2119"/>
        <w:spacing w:after="0"/>
        <w:rPr>
          <w:sz w:val="20"/>
          <w:szCs w:val="20"/>
          <w:color w:val="auto"/>
        </w:rPr>
      </w:pPr>
      <w:r>
        <w:rPr>
          <w:rFonts w:ascii="Courier New" w:cs="Courier New" w:eastAsia="Courier New" w:hAnsi="Courier New"/>
          <w:sz w:val="17"/>
          <w:szCs w:val="17"/>
          <w:color w:val="auto"/>
        </w:rPr>
        <w:t>EXHIBIT 23.1</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INDEPENDENT AUDITORS CONSENT</w:t>
      </w: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As independent public accountants, we hereby consent to the incorporation by reference in this registration statement on Form S-8 of our report dated February 6, 1998, included in Itron, Inc.'s Annual Report on Form 10-K for the year ended December 31, 1997.</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Seattle, Washington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4, 1998</w:t>
      </w:r>
    </w:p>
    <w:p>
      <w:pPr>
        <w:sectPr>
          <w:pgSz w:w="11900" w:h="16838" w:orient="portrait"/>
          <w:cols w:equalWidth="0" w:num="1">
            <w:col w:w="10219"/>
          </w:cols>
          <w:pgMar w:left="240" w:top="140" w:right="1440" w:bottom="1440" w:gutter="0" w:footer="0" w:header="0"/>
        </w:sectPr>
      </w:pPr>
    </w:p>
    <w:bookmarkStart w:id="8" w:name="page9"/>
    <w:bookmarkEnd w:id="8"/>
    <w:p>
      <w:pPr>
        <w:jc w:val="right"/>
        <w:ind w:right="2119"/>
        <w:spacing w:after="0"/>
        <w:rPr>
          <w:sz w:val="20"/>
          <w:szCs w:val="20"/>
          <w:color w:val="auto"/>
        </w:rPr>
      </w:pPr>
      <w:r>
        <w:rPr>
          <w:rFonts w:ascii="Courier New" w:cs="Courier New" w:eastAsia="Courier New" w:hAnsi="Courier New"/>
          <w:sz w:val="17"/>
          <w:szCs w:val="17"/>
          <w:color w:val="auto"/>
        </w:rPr>
        <w:t>EXHIBIT 99.1</w:t>
      </w:r>
    </w:p>
    <w:p>
      <w:pPr>
        <w:spacing w:after="0" w:line="391" w:lineRule="exact"/>
        <w:rPr>
          <w:sz w:val="20"/>
          <w:szCs w:val="20"/>
          <w:color w:val="auto"/>
        </w:rPr>
      </w:pPr>
    </w:p>
    <w:p>
      <w:pPr>
        <w:jc w:val="center"/>
        <w:ind w:right="2019"/>
        <w:spacing w:after="0"/>
        <w:rPr>
          <w:sz w:val="20"/>
          <w:szCs w:val="20"/>
          <w:color w:val="auto"/>
        </w:rPr>
      </w:pPr>
      <w:r>
        <w:rPr>
          <w:rFonts w:ascii="Courier New" w:cs="Courier New" w:eastAsia="Courier New" w:hAnsi="Courier New"/>
          <w:sz w:val="17"/>
          <w:szCs w:val="17"/>
          <w:color w:val="auto"/>
        </w:rPr>
        <w:t>ITRON, INC.</w:t>
      </w:r>
    </w:p>
    <w:p>
      <w:pPr>
        <w:spacing w:after="0" w:line="196"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1996 EMPLOYEE STOCK PURCHASE PLAN</w:t>
      </w:r>
    </w:p>
    <w:p>
      <w:pPr>
        <w:spacing w:after="0" w:line="200" w:lineRule="exact"/>
        <w:rPr>
          <w:sz w:val="20"/>
          <w:szCs w:val="20"/>
          <w:color w:val="auto"/>
        </w:rPr>
      </w:pPr>
    </w:p>
    <w:p>
      <w:pPr>
        <w:spacing w:after="0" w:line="385"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SECTION 1. PURPOSE</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purposes of the Itron, Inc. 1996 Employee Stock Purchase Plan (the "Plan") are to (a) assist employees of Itron, Inc., a Washington corporation (the "Company"), and its parent and subsidiary corporations in acquiring a stock ownership interest in the Company pursuant to a plan that is intended to qualify as an "employee stock purchase plan" under Section 423 of the Internal Revenue Code of 1986, as amended (the "Code"), and (b) help employees provide for their future security and to encourage them to remain in the employment of the Company and its subsidiary corporations.</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SECTION 2. DEFINITIONS</w:t>
      </w:r>
    </w:p>
    <w:p>
      <w:pPr>
        <w:spacing w:after="0" w:line="199" w:lineRule="exact"/>
        <w:rPr>
          <w:sz w:val="20"/>
          <w:szCs w:val="20"/>
          <w:color w:val="auto"/>
        </w:rPr>
      </w:pPr>
    </w:p>
    <w:p>
      <w:pPr>
        <w:jc w:val="both"/>
        <w:ind w:right="2119" w:firstLine="910"/>
        <w:spacing w:after="0" w:line="239" w:lineRule="auto"/>
        <w:rPr>
          <w:sz w:val="20"/>
          <w:szCs w:val="20"/>
          <w:color w:val="auto"/>
        </w:rPr>
      </w:pPr>
      <w:r>
        <w:rPr>
          <w:rFonts w:ascii="Courier New" w:cs="Courier New" w:eastAsia="Courier New" w:hAnsi="Courier New"/>
          <w:sz w:val="17"/>
          <w:szCs w:val="17"/>
          <w:color w:val="auto"/>
        </w:rPr>
        <w:t>For purposes of the Plan, the following terms shall be defined as set forth below.</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"BOARD" means the Board of Directors of the Company.</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"CHANGE NOTICE DATE" has the meaning set forth in Section 9.2.</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"CODE" means the Internal Revenue Code of 1986, as amended.</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"COMPANY" means Itron, Inc., a Washington corporation.</w:t>
      </w:r>
    </w:p>
    <w:p>
      <w:pPr>
        <w:spacing w:after="0" w:line="199" w:lineRule="exact"/>
        <w:rPr>
          <w:sz w:val="20"/>
          <w:szCs w:val="20"/>
          <w:color w:val="auto"/>
        </w:rPr>
      </w:pPr>
    </w:p>
    <w:p>
      <w:pPr>
        <w:jc w:val="both"/>
        <w:ind w:right="2119" w:firstLine="910"/>
        <w:spacing w:after="0" w:line="239" w:lineRule="auto"/>
        <w:rPr>
          <w:sz w:val="20"/>
          <w:szCs w:val="20"/>
          <w:color w:val="auto"/>
        </w:rPr>
      </w:pPr>
      <w:r>
        <w:rPr>
          <w:rFonts w:ascii="Courier New" w:cs="Courier New" w:eastAsia="Courier New" w:hAnsi="Courier New"/>
          <w:sz w:val="17"/>
          <w:szCs w:val="17"/>
          <w:color w:val="auto"/>
        </w:rPr>
        <w:t>"DESIGNATED CORPORATION" has the meaning set forth under the definition of "Eligible Employee" in this Section 2.</w:t>
      </w:r>
    </w:p>
    <w:p>
      <w:pPr>
        <w:spacing w:after="0" w:line="200"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"ELIGIBLE COMPENSATION" means all regular cash compensation, including overtime, cash bonuses and commissions. Regular cash compensation does not include severance pay, hiring and relocation bonuses, pay in lieu of vacations, sick leave or any other special payments.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"ELIGIBLE EMPLOYEE" means any employee of the Company (or any Parent Corporation or Subsidiary Corporation designated by the Plan Administrator (a "Designated Corporation")) who is in the employ of the Company (or any such Designated Corporation) on one or more Offering Dates and who meets the following criteria:</w:t>
      </w:r>
    </w:p>
    <w:p>
      <w:pPr>
        <w:spacing w:after="0" w:line="200" w:lineRule="exact"/>
        <w:rPr>
          <w:sz w:val="20"/>
          <w:szCs w:val="20"/>
          <w:color w:val="auto"/>
        </w:rPr>
      </w:pPr>
    </w:p>
    <w:p>
      <w:pPr>
        <w:jc w:val="both"/>
        <w:ind w:right="2119" w:firstLine="914"/>
        <w:spacing w:after="0" w:line="241" w:lineRule="auto"/>
        <w:tabs>
          <w:tab w:leader="none" w:pos="131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 does not, immediately after the Option is granted, own stock (as defined by Code Sections 423(b)(3) and 424(d)) possessing 5% or more of the total combined voting power or value of all classes of stock of the Company or of a Parent Corporation or Subsidiary Corporation of the Company;</w:t>
      </w:r>
    </w:p>
    <w:p>
      <w:pPr>
        <w:spacing w:after="0" w:line="198" w:lineRule="exact"/>
        <w:rPr>
          <w:rFonts w:ascii="Courier New" w:cs="Courier New" w:eastAsia="Courier New" w:hAnsi="Courier New"/>
          <w:sz w:val="17"/>
          <w:szCs w:val="17"/>
          <w:color w:val="auto"/>
        </w:rPr>
      </w:pPr>
    </w:p>
    <w:p>
      <w:pPr>
        <w:ind w:left="1820" w:right="2319" w:hanging="906"/>
        <w:spacing w:after="0" w:line="239" w:lineRule="auto"/>
        <w:tabs>
          <w:tab w:leader="none" w:pos="18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employee's customary employment is not 20 hours or fewer per week;</w:t>
      </w:r>
    </w:p>
    <w:p>
      <w:pPr>
        <w:spacing w:after="0" w:line="199" w:lineRule="exact"/>
        <w:rPr>
          <w:rFonts w:ascii="Courier New" w:cs="Courier New" w:eastAsia="Courier New" w:hAnsi="Courier New"/>
          <w:sz w:val="17"/>
          <w:szCs w:val="17"/>
          <w:color w:val="auto"/>
        </w:rPr>
      </w:pPr>
    </w:p>
    <w:p>
      <w:pPr>
        <w:ind w:left="1820" w:right="2639" w:hanging="906"/>
        <w:spacing w:after="0" w:line="239" w:lineRule="auto"/>
        <w:tabs>
          <w:tab w:leader="none" w:pos="18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employee's customary employment is for more than five months in any calendar year; and</w:t>
      </w:r>
    </w:p>
    <w:p>
      <w:pPr>
        <w:spacing w:after="0" w:line="197" w:lineRule="exact"/>
        <w:rPr>
          <w:rFonts w:ascii="Courier New" w:cs="Courier New" w:eastAsia="Courier New" w:hAnsi="Courier New"/>
          <w:sz w:val="17"/>
          <w:szCs w:val="17"/>
          <w:color w:val="auto"/>
        </w:rPr>
      </w:pPr>
    </w:p>
    <w:p>
      <w:pPr>
        <w:ind w:left="1820" w:hanging="906"/>
        <w:spacing w:after="0"/>
        <w:tabs>
          <w:tab w:leader="none" w:pos="18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employee has been employed for at least three months.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If the Company permits any employee of a Designated Corporation to participate in the Plan, then all employees of that Designated Corporation who meet the requirements of this paragraph shall also be considered Eligible Employees.</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"ESPP BROKER" has the meaning set forth in Section 10.</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"EXCHANGE ACT" means the Securities Exchange Act of 1934, as amended.</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"OFFERING" has the meaning set forth in Section 5.1.</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"OFFERING DATE" means the first day of an Offering.</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"OFFERING PERIOD" has the meaning set forth in Section 5.1.</w:t>
      </w:r>
    </w:p>
    <w:p>
      <w:pPr>
        <w:spacing w:after="0" w:line="199" w:lineRule="exact"/>
        <w:rPr>
          <w:sz w:val="20"/>
          <w:szCs w:val="20"/>
          <w:color w:val="auto"/>
        </w:rPr>
      </w:pPr>
    </w:p>
    <w:p>
      <w:pPr>
        <w:jc w:val="both"/>
        <w:ind w:right="2119" w:firstLine="910"/>
        <w:spacing w:after="0" w:line="239" w:lineRule="auto"/>
        <w:rPr>
          <w:sz w:val="20"/>
          <w:szCs w:val="20"/>
          <w:color w:val="auto"/>
        </w:rPr>
      </w:pPr>
      <w:r>
        <w:rPr>
          <w:rFonts w:ascii="Courier New" w:cs="Courier New" w:eastAsia="Courier New" w:hAnsi="Courier New"/>
          <w:sz w:val="17"/>
          <w:szCs w:val="17"/>
          <w:color w:val="auto"/>
        </w:rPr>
        <w:t>"OPTION" means an option granted under the Plan to an Eligible Employee to purchase shares of Stock.</w:t>
      </w:r>
    </w:p>
    <w:p>
      <w:pPr>
        <w:spacing w:after="0" w:line="200"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ectPr>
          <w:pgSz w:w="11900" w:h="16838" w:orient="portrait"/>
          <w:cols w:equalWidth="0" w:num="1">
            <w:col w:w="10219"/>
          </w:cols>
          <w:pgMar w:left="240" w:top="334" w:right="1440" w:bottom="0" w:gutter="0" w:footer="0" w:header="0"/>
        </w:sectPr>
      </w:pPr>
    </w:p>
    <w:bookmarkStart w:id="9" w:name="page10"/>
    <w:bookmarkEnd w:id="9"/>
    <w:p>
      <w:pPr>
        <w:spacing w:after="0" w:line="3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"PARTICIPANT" means any Eligible Employee who has elected to participate in an Offering in accordance with the procedures set forth in Section 6.1 and who has not withdrawn from the Offering or whose participation in the Offering is not terminated.</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"PLAN" means the Itron, Inc. 1996 Employee Stock Purchase Plan.</w:t>
      </w:r>
    </w:p>
    <w:p>
      <w:pPr>
        <w:spacing w:after="0" w:line="199" w:lineRule="exact"/>
        <w:rPr>
          <w:sz w:val="20"/>
          <w:szCs w:val="20"/>
          <w:color w:val="auto"/>
        </w:rPr>
      </w:pPr>
    </w:p>
    <w:p>
      <w:pPr>
        <w:jc w:val="both"/>
        <w:ind w:right="2119" w:firstLine="910"/>
        <w:spacing w:after="0" w:line="239" w:lineRule="auto"/>
        <w:rPr>
          <w:sz w:val="20"/>
          <w:szCs w:val="20"/>
          <w:color w:val="auto"/>
        </w:rPr>
      </w:pPr>
      <w:r>
        <w:rPr>
          <w:rFonts w:ascii="Courier New" w:cs="Courier New" w:eastAsia="Courier New" w:hAnsi="Courier New"/>
          <w:sz w:val="17"/>
          <w:szCs w:val="17"/>
          <w:color w:val="auto"/>
        </w:rPr>
        <w:t>"PLAN ADMINISTRATOR" means any committee of the Board designated to administer the Plan under Section 3.1.</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"PURCHASE DATE" means the last day of each Purchase Period.</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"PURCHASE PERIOD" has the meaning set forth in Section 5.2.</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"PURCHASE PRICE" has the meaning set forth in Section 8.</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"STOCK" means the Common Stock, no par value, of the Company.</w:t>
      </w:r>
    </w:p>
    <w:p>
      <w:pPr>
        <w:spacing w:after="0" w:line="199" w:lineRule="exact"/>
        <w:rPr>
          <w:sz w:val="20"/>
          <w:szCs w:val="20"/>
          <w:color w:val="auto"/>
        </w:rPr>
      </w:pPr>
    </w:p>
    <w:p>
      <w:pPr>
        <w:ind w:right="2539" w:firstLine="910"/>
        <w:spacing w:after="0" w:line="239" w:lineRule="auto"/>
        <w:rPr>
          <w:sz w:val="20"/>
          <w:szCs w:val="20"/>
          <w:color w:val="auto"/>
        </w:rPr>
      </w:pPr>
      <w:r>
        <w:rPr>
          <w:rFonts w:ascii="Courier New" w:cs="Courier New" w:eastAsia="Courier New" w:hAnsi="Courier New"/>
          <w:sz w:val="17"/>
          <w:szCs w:val="17"/>
          <w:color w:val="auto"/>
        </w:rPr>
        <w:t>"SUBSCRIPTION DATE" means the last regular business day prior to an Offering Date.</w:t>
      </w:r>
    </w:p>
    <w:p>
      <w:pPr>
        <w:spacing w:after="0" w:line="200"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"SUBSIDIARY CORPORATION" means any corporation, other than the Company, in an unbroken chain of corporations beginning with the Company if, at the time of the granting of the Option, each of the corporations, other than the last corporation in the unbroken chain, owns stock possessing 50% or more of the total combined voting power of all classes of stock in one of the other corporations in such chain.</w:t>
      </w:r>
    </w:p>
    <w:p>
      <w:pPr>
        <w:spacing w:after="0" w:line="19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SECTION 3. ADMINISTRATION</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6"/>
          <w:szCs w:val="16"/>
          <w:color w:val="auto"/>
        </w:rPr>
        <w:t>Plan Administrator</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Plan shall be administered by the Compensation Committee of the Board, except to the extent that the Board appoints another committee or committees (which term includes subcommittees) consisting of one or more members of the Board to administer the Plan. Committee members shall serve for such terms as the Board may determine, subject to removal by the Board at any time. The administration of the Plan with respect to officers and directors of the Company who are subject to Section 16 of the Exchange Act with respect to securities of the Company shall comply with the requirements of Rule 16b-3 under Section 16(b) of the Exchange Act as then in effect.</w:t>
      </w:r>
    </w:p>
    <w:p>
      <w:pPr>
        <w:spacing w:after="0" w:line="20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6"/>
          <w:szCs w:val="16"/>
          <w:color w:val="auto"/>
        </w:rPr>
        <w:t>Administration and Interpretation by the Plan Administrator</w:t>
      </w:r>
    </w:p>
    <w:p>
      <w:pPr>
        <w:spacing w:after="0" w:line="199" w:lineRule="exact"/>
        <w:rPr>
          <w:sz w:val="20"/>
          <w:szCs w:val="20"/>
          <w:color w:val="auto"/>
        </w:rPr>
      </w:pPr>
    </w:p>
    <w:p>
      <w:pPr>
        <w:jc w:val="both"/>
        <w:ind w:right="2119" w:firstLine="910"/>
        <w:spacing w:after="0" w:line="258" w:lineRule="auto"/>
        <w:rPr>
          <w:sz w:val="20"/>
          <w:szCs w:val="20"/>
          <w:color w:val="auto"/>
        </w:rPr>
      </w:pPr>
      <w:r>
        <w:rPr>
          <w:rFonts w:ascii="Courier New" w:cs="Courier New" w:eastAsia="Courier New" w:hAnsi="Courier New"/>
          <w:sz w:val="16"/>
          <w:szCs w:val="16"/>
          <w:color w:val="auto"/>
        </w:rPr>
        <w:t>Subject to the provisions of the Plan, the Plan Administrator shall have exclusive authority, in its discretion, to determine all matters relating to Options granted under the Plan, including all terms, conditions, restrictions and limitations of Options; provided, however, that all Participants granted Options pursuant to the Plan shall have the same rights and privileges within the meaning of Code Section 423(b)(5). The Plan Administrator shall also have exclusive authority to interpret the Plan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 The Plan Administrator may delegate administrative duties to such of the Company's officers or employees as it so determines.</w:t>
      </w:r>
    </w:p>
    <w:p>
      <w:pPr>
        <w:spacing w:after="0" w:line="187"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SECTION 4. STOCK SUBJECT TO PLAN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Subject to adjustment from time to time as provided in Section 21, a maximum of 180,000 shares of Stock shall be available for issuance under the Plan. Shares issued under the Plan shall be drawn from authorized and unissued shares or shares now held or subsequently acquired by the Company. Any shares of Stock that have been made subject to an Option that cease to be subject to the Option (other than by reason of exercise of the Option), including, without limitation, in connection with the cancellation or termination of the Option shall again be available for issuance in connection with future grants of Options under the Plan.</w:t>
      </w:r>
    </w:p>
    <w:p>
      <w:pPr>
        <w:spacing w:after="0" w:line="202"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SECTION 5. OFFERING DATES</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6"/>
          <w:szCs w:val="16"/>
          <w:color w:val="auto"/>
        </w:rPr>
        <w:t>Offering Periods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Except as otherwise set forth below, the Plan shall be implemented by a series of Offerings (each, an "Offering"). Offerings shall commence on January 1 and July 1 of each year and end on the next June 30 and December 31, respectively, occurring thereafter. Notwithstanding the foregoing, the Plan Administrator may establish (a) a different term for one or more Offerings and</w:t>
      </w:r>
    </w:p>
    <w:p>
      <w:pPr>
        <w:spacing w:after="0" w:line="5" w:lineRule="exact"/>
        <w:rPr>
          <w:sz w:val="20"/>
          <w:szCs w:val="20"/>
          <w:color w:val="auto"/>
        </w:rPr>
      </w:pPr>
    </w:p>
    <w:p>
      <w:pPr>
        <w:jc w:val="both"/>
        <w:ind w:right="2119" w:firstLine="4"/>
        <w:spacing w:after="0" w:line="259" w:lineRule="auto"/>
        <w:tabs>
          <w:tab w:leader="none" w:pos="40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different commencing and ending dates for such Offerings; provided, however, that an Offering Period (the "Offering Period") may not exceed five years; and provided further that if the Purchase Price may be less than 85% of the fair market value of the Stock on the Purchase Date, the Offering Period may not exceed 27 months. An employee who becomes eligible to participate in the Plan after an Offering Period has commenced shall not be eligible to participate in</w:t>
      </w:r>
    </w:p>
    <w:p>
      <w:pPr>
        <w:sectPr>
          <w:pgSz w:w="11900" w:h="16877" w:orient="portrait"/>
          <w:cols w:equalWidth="0" w:num="1">
            <w:col w:w="10219"/>
          </w:cols>
          <w:pgMar w:left="240" w:top="142" w:right="1440" w:bottom="0" w:gutter="0" w:footer="0" w:header="0"/>
        </w:sectPr>
      </w:pPr>
    </w:p>
    <w:bookmarkStart w:id="10" w:name="page11"/>
    <w:bookmarkEnd w:id="10"/>
    <w:p>
      <w:pPr>
        <w:spacing w:after="0" w:line="4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such Offering but may participate in any subsequent Offering, provided that such employee is still an Eligible Employee as of the commencement of any such subsequent Offering. Eligible Employees may not participate in more than one Offering at a time. In the event the first or the last day of an Offering Period is not a regular business day, then the first day of the Offering Period shall be deemed to be the next regular business day and the last day of the Offering Period shall be deemed to be the last preceding regular business day.</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6"/>
          <w:szCs w:val="16"/>
          <w:color w:val="auto"/>
        </w:rPr>
        <w:t>Purchase Periods</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Each Offering Period shall consist of two consecutive Purchase Periods (each, a "Purchase Period"). The last day of each Purchase Period shall be the Purchase Date for such Purchase Period. Purchase Periods commencing on January 1, April 1, July 1 and October 1 shall end on the next March 31, June 30, September 30 and December 31, respectively. Notwithstanding the foregoing, the Plan Administrator may establish (a) a different term for one or more Purchase Periods and (b) different commencing dates and Purchase Dates for any such Purchase Period. In the event the first or last day of a Purchase Period is not a regular business day, then the first day of the Purchase Period shall be deemed to be the next regular business day and the last day of the Purchase Period shall be deemed to be the last preceding regular business day.</w:t>
      </w:r>
    </w:p>
    <w:p>
      <w:pPr>
        <w:spacing w:after="0" w:line="195"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SECTION 6. PARTICIPATION IN THE PLAN</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6"/>
          <w:szCs w:val="16"/>
          <w:color w:val="auto"/>
        </w:rPr>
        <w:t>Initial Participation</w:t>
      </w:r>
    </w:p>
    <w:p>
      <w:pPr>
        <w:spacing w:after="0" w:line="199" w:lineRule="exact"/>
        <w:rPr>
          <w:sz w:val="20"/>
          <w:szCs w:val="20"/>
          <w:color w:val="auto"/>
        </w:rPr>
      </w:pPr>
    </w:p>
    <w:p>
      <w:pPr>
        <w:jc w:val="both"/>
        <w:ind w:right="2119" w:firstLine="910"/>
        <w:spacing w:after="0" w:line="257" w:lineRule="auto"/>
        <w:rPr>
          <w:sz w:val="20"/>
          <w:szCs w:val="20"/>
          <w:color w:val="auto"/>
        </w:rPr>
      </w:pPr>
      <w:r>
        <w:rPr>
          <w:rFonts w:ascii="Courier New" w:cs="Courier New" w:eastAsia="Courier New" w:hAnsi="Courier New"/>
          <w:sz w:val="16"/>
          <w:szCs w:val="16"/>
          <w:color w:val="auto"/>
        </w:rPr>
        <w:t>An Eligible Employee shall become a Participant on the first Offering Date after satisfying the eligibility requirements and delivering to the Company's payroll office not later than the last business day before such Offering Date (the "Subscription Date") a subscription agreement indicating the Eligible Employee's election to participate in the Plan and authorizing payroll deductions. An Eligible Employee who does not deliver a subscription agreement to the Company's payroll office on or before the Subscription Date shall not participate in the Plan for that Offering Period or for any subsequent Offering Period, unless such Eligible Employee subsequently enrolls in the Plan by filing</w:t>
      </w:r>
    </w:p>
    <w:p>
      <w:pPr>
        <w:spacing w:after="0" w:line="3" w:lineRule="exact"/>
        <w:rPr>
          <w:sz w:val="20"/>
          <w:szCs w:val="20"/>
          <w:color w:val="auto"/>
        </w:rPr>
      </w:pPr>
    </w:p>
    <w:p>
      <w:pPr>
        <w:jc w:val="both"/>
        <w:ind w:right="2119" w:firstLine="4"/>
        <w:spacing w:after="0" w:line="241" w:lineRule="auto"/>
        <w:tabs>
          <w:tab w:leader="none" w:pos="3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subscription agreement with the Company by the Subscription Date for such subsequent Offering Period. The Plan Administrator may, from time to time, change the Subscription Date as deemed advisable by the Plan Administrator in its sole discretion for the proper administration of the Plan.</w:t>
      </w:r>
    </w:p>
    <w:p>
      <w:pPr>
        <w:spacing w:after="0" w:line="197"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6"/>
          <w:szCs w:val="16"/>
          <w:color w:val="auto"/>
        </w:rPr>
        <w:t>Continued Participation</w:t>
      </w:r>
    </w:p>
    <w:p>
      <w:pPr>
        <w:spacing w:after="0" w:line="199" w:lineRule="exact"/>
        <w:rPr>
          <w:sz w:val="20"/>
          <w:szCs w:val="20"/>
          <w:color w:val="auto"/>
        </w:rPr>
      </w:pPr>
    </w:p>
    <w:p>
      <w:pPr>
        <w:jc w:val="both"/>
        <w:ind w:right="2119" w:firstLine="914"/>
        <w:spacing w:after="0" w:line="258" w:lineRule="auto"/>
        <w:tabs>
          <w:tab w:leader="none" w:pos="121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shall automatically participate in the next Offering Period until such time as such Participant withdraws from the Plan pursuant to Section 11.2 or terminates employment as provided in Section 13. If a Participant withdraws from an Offering pursuant to Section 11.1, the Participant is not required to file any additional subscription agreements for the next subsequent Offering in order to continue participation in the Plan. If a Participant is automatically withdrawn from an Offering at the end of a Purchase Period pursuant to Section 12, then the Participant shall automatically participate in the Offering Period commencing on the next regular business day.</w:t>
      </w:r>
    </w:p>
    <w:p>
      <w:pPr>
        <w:spacing w:after="0" w:line="189"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SECTION 7. LIMITATIONS ON RIGHT TO PURCHASE SHARES</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6"/>
          <w:szCs w:val="16"/>
          <w:color w:val="auto"/>
        </w:rPr>
        <w:t>$25,000 Limitation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No Participant shall be entitled to purchase Stock under the Plan (or any other employee stock purchase plan that is intended to meet the requirements of Code Section 423 sponsored by the Company, a Parent Corporation or a Subsidiary Corporation) at a rate that exceeds $25,000 in fair market value, determined as of the Offering Date for each Offering Period (or such other limit as may be imposed by the Code), for each calendar year in which a Participant participates in the Plan (or any other employee stock purchase plan described in this Section 7.1).</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6"/>
          <w:szCs w:val="16"/>
          <w:color w:val="auto"/>
        </w:rPr>
        <w:t>Pro Rata Allocation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In the event the number of shares of Stock that might be purchased by all Participants in the Plan exceeds the number of shares of Stock available in the Plan, the Plan Administrator shall make a pro rata allocation of the remaining shares of Stock in as uniform a manner as shall be practicable and as the Plan Administrator shall determine to be equitable. Fractional shares may be issued under the Plan only to the extent permitted by the Board or the Plan Administrator.</w:t>
      </w:r>
    </w:p>
    <w:p>
      <w:pPr>
        <w:spacing w:after="0" w:line="20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SECTION 8. PURCHASE PRICE</w:t>
      </w:r>
    </w:p>
    <w:p>
      <w:pPr>
        <w:spacing w:after="0" w:line="199" w:lineRule="exact"/>
        <w:rPr>
          <w:sz w:val="20"/>
          <w:szCs w:val="20"/>
          <w:color w:val="auto"/>
        </w:rPr>
      </w:pPr>
    </w:p>
    <w:p>
      <w:pPr>
        <w:jc w:val="both"/>
        <w:ind w:right="2119" w:firstLine="910"/>
        <w:spacing w:after="0" w:line="259" w:lineRule="auto"/>
        <w:rPr>
          <w:sz w:val="20"/>
          <w:szCs w:val="20"/>
          <w:color w:val="auto"/>
        </w:rPr>
      </w:pPr>
      <w:r>
        <w:rPr>
          <w:rFonts w:ascii="Courier New" w:cs="Courier New" w:eastAsia="Courier New" w:hAnsi="Courier New"/>
          <w:sz w:val="16"/>
          <w:szCs w:val="16"/>
          <w:color w:val="auto"/>
        </w:rPr>
        <w:t>The purchase price (the "Purchase Price") at which Stock may be acquired in an Offering pursuant to the exercise of all or any portion of an Option granted under the Plan shall be 85% of the lesser of (a) the fair market value of the Stock on the Offering Date of such Offering and (b) the fair market value of the Stock on the Purchase Date. Notwithstanding the foregoing, the Plan Administrator may establish a different Purchase Price for any Offering, which shall not be less than the Purchase Price set forth in the preceding sentence. The fair market value of the Stock on the Offering Date or on the Purchase Date</w:t>
      </w:r>
    </w:p>
    <w:p>
      <w:pPr>
        <w:sectPr>
          <w:pgSz w:w="11900" w:h="16880" w:orient="portrait"/>
          <w:cols w:equalWidth="0" w:num="1">
            <w:col w:w="10219"/>
          </w:cols>
          <w:pgMar w:left="240" w:top="142" w:right="1440" w:bottom="0" w:gutter="0" w:footer="0" w:header="0"/>
        </w:sectPr>
      </w:pPr>
    </w:p>
    <w:bookmarkStart w:id="11" w:name="page12"/>
    <w:bookmarkEnd w:id="11"/>
    <w:p>
      <w:pPr>
        <w:spacing w:after="0" w:line="41" w:lineRule="exact"/>
        <w:rPr>
          <w:sz w:val="20"/>
          <w:szCs w:val="20"/>
          <w:color w:val="auto"/>
        </w:rPr>
      </w:pPr>
    </w:p>
    <w:p>
      <w:pPr>
        <w:jc w:val="both"/>
        <w:ind w:right="2119"/>
        <w:spacing w:after="0" w:line="241" w:lineRule="auto"/>
        <w:rPr>
          <w:sz w:val="20"/>
          <w:szCs w:val="20"/>
          <w:color w:val="auto"/>
        </w:rPr>
      </w:pPr>
      <w:r>
        <w:rPr>
          <w:rFonts w:ascii="Courier New" w:cs="Courier New" w:eastAsia="Courier New" w:hAnsi="Courier New"/>
          <w:sz w:val="17"/>
          <w:szCs w:val="17"/>
          <w:color w:val="auto"/>
        </w:rPr>
        <w:t>shall be the closing price of the Stock as reported by the Nasdaq National Market (or any national stock exchange (an "exchange") on which the Stock is at the time listed or admitted to trading) for a single trading day. If no sales of the Stock were made on the Nasdaq National Market (or an exchange) on the transaction date, fair market value shall mean the closing price of a share of the Stock as reported for the next preceding day on which sales of the Stock were made on the Nasdaq National Market (or an exchange).</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SECTION 9. PAYMENT OF PURCHASE PRICE</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9.1</w:t>
      </w:r>
      <w:r>
        <w:rPr>
          <w:sz w:val="20"/>
          <w:szCs w:val="20"/>
          <w:color w:val="auto"/>
        </w:rPr>
        <w:tab/>
      </w:r>
      <w:r>
        <w:rPr>
          <w:rFonts w:ascii="Courier New" w:cs="Courier New" w:eastAsia="Courier New" w:hAnsi="Courier New"/>
          <w:sz w:val="16"/>
          <w:szCs w:val="16"/>
          <w:color w:val="auto"/>
        </w:rPr>
        <w:t>General Rules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Stock that is acquired pursuant to the exercise of all or any portion of an Option may be paid for only by means of payroll deductions from the Participant's Eligible Compensation. Except as set forth in this Section 9, the amount of compensation to be withheld from a Participant's Eligible Compensation during each pay period shall be determined by the Participant's subscription agreement.</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6"/>
          <w:szCs w:val="16"/>
          <w:color w:val="auto"/>
        </w:rPr>
        <w:t>Change Notices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During an Offering Period, a Participant may elect to decrease the amount withheld from his or her compensation by filing an amended subscription agreement with the Company's payroll office on or before the seventh day prior to the end of the pay period for which such election is to be effective (the "Change Notice Date"); provided, however, that the Plan Administrator may change such Change Notice Date from time to time.</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9.3</w:t>
      </w:r>
      <w:r>
        <w:rPr>
          <w:sz w:val="20"/>
          <w:szCs w:val="20"/>
          <w:color w:val="auto"/>
        </w:rPr>
        <w:tab/>
      </w:r>
      <w:r>
        <w:rPr>
          <w:rFonts w:ascii="Courier New" w:cs="Courier New" w:eastAsia="Courier New" w:hAnsi="Courier New"/>
          <w:sz w:val="16"/>
          <w:szCs w:val="16"/>
          <w:color w:val="auto"/>
        </w:rPr>
        <w:t>Percent Withheld</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amount of payroll withholding with respect to the Plan for any Participant during any pay period shall be at least 1% of the Participant's Eligible Compensation for such pay period, but shall not exceed 10% of the Participant's Eligible Compensation for such pay period. Amounts shall be withheld in only whole percentages.</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9.4</w:t>
      </w:r>
      <w:r>
        <w:rPr>
          <w:sz w:val="20"/>
          <w:szCs w:val="20"/>
          <w:color w:val="auto"/>
        </w:rPr>
        <w:tab/>
      </w:r>
      <w:r>
        <w:rPr>
          <w:rFonts w:ascii="Courier New" w:cs="Courier New" w:eastAsia="Courier New" w:hAnsi="Courier New"/>
          <w:sz w:val="16"/>
          <w:szCs w:val="16"/>
          <w:color w:val="auto"/>
        </w:rPr>
        <w:t>Payroll Deductions</w:t>
      </w:r>
    </w:p>
    <w:p>
      <w:pPr>
        <w:spacing w:after="0" w:line="199"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Payroll deductions shall commence on the first payday following the Offering Date and shall continue to the end of the Offering Period unless sooner altered or terminated as provided in the Plan.</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9.5</w:t>
      </w:r>
      <w:r>
        <w:rPr>
          <w:sz w:val="20"/>
          <w:szCs w:val="20"/>
          <w:color w:val="auto"/>
        </w:rPr>
        <w:tab/>
      </w:r>
      <w:r>
        <w:rPr>
          <w:rFonts w:ascii="Courier New" w:cs="Courier New" w:eastAsia="Courier New" w:hAnsi="Courier New"/>
          <w:sz w:val="16"/>
          <w:szCs w:val="16"/>
          <w:color w:val="auto"/>
        </w:rPr>
        <w:t>Memorandum Accounts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Individual accounts shall be maintained for each Participant for memorandum purposes only. All payroll deductions from a Participant's compensation shall be credited to such account, but shall be deposited with the general funds of the Company. All payroll deductions received or held by the Company may be used by the Company for any corporate purpose.</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9.6</w:t>
      </w:r>
      <w:r>
        <w:rPr>
          <w:sz w:val="20"/>
          <w:szCs w:val="20"/>
          <w:color w:val="auto"/>
        </w:rPr>
        <w:tab/>
      </w:r>
      <w:r>
        <w:rPr>
          <w:rFonts w:ascii="Courier New" w:cs="Courier New" w:eastAsia="Courier New" w:hAnsi="Courier New"/>
          <w:sz w:val="16"/>
          <w:szCs w:val="16"/>
          <w:color w:val="auto"/>
        </w:rPr>
        <w:t>No Interest</w:t>
      </w:r>
    </w:p>
    <w:p>
      <w:pPr>
        <w:spacing w:after="0" w:line="199" w:lineRule="exact"/>
        <w:rPr>
          <w:sz w:val="20"/>
          <w:szCs w:val="20"/>
          <w:color w:val="auto"/>
        </w:rPr>
      </w:pPr>
    </w:p>
    <w:p>
      <w:pPr>
        <w:jc w:val="both"/>
        <w:ind w:right="2119" w:firstLine="910"/>
        <w:spacing w:after="0" w:line="239" w:lineRule="auto"/>
        <w:rPr>
          <w:sz w:val="20"/>
          <w:szCs w:val="20"/>
          <w:color w:val="auto"/>
        </w:rPr>
      </w:pPr>
      <w:r>
        <w:rPr>
          <w:rFonts w:ascii="Courier New" w:cs="Courier New" w:eastAsia="Courier New" w:hAnsi="Courier New"/>
          <w:sz w:val="17"/>
          <w:szCs w:val="17"/>
          <w:color w:val="auto"/>
        </w:rPr>
        <w:t>Interest shall not be paid on sums withheld from a Participant's compensation.</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9.7</w:t>
      </w:r>
      <w:r>
        <w:rPr>
          <w:sz w:val="20"/>
          <w:szCs w:val="20"/>
          <w:color w:val="auto"/>
        </w:rPr>
        <w:tab/>
      </w:r>
      <w:r>
        <w:rPr>
          <w:rFonts w:ascii="Courier New" w:cs="Courier New" w:eastAsia="Courier New" w:hAnsi="Courier New"/>
          <w:sz w:val="16"/>
          <w:szCs w:val="16"/>
          <w:color w:val="auto"/>
        </w:rPr>
        <w:t>Acquisition of Stock</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On each Purchase Date of an Offering Period, each Participant shall automatically acquire, pursuant to the exercise of the Participant's Option, the number of whole shares of Stock arrived at by dividing the total amount of the Participant's accumulated payroll deductions for the Purchase Period by the Purchase Price; provided, however, that in no event shall the number of shares of Stock purchased by the Participant exceed the number of shares of Stock subject to the Participant's Option. Fractional shares may be issued under the Plan only to the extent permitted by the Board or the Plan Administrator.</w:t>
      </w:r>
    </w:p>
    <w:p>
      <w:pPr>
        <w:spacing w:after="0" w:line="20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9.8</w:t>
      </w:r>
      <w:r>
        <w:rPr>
          <w:sz w:val="20"/>
          <w:szCs w:val="20"/>
          <w:color w:val="auto"/>
        </w:rPr>
        <w:tab/>
      </w:r>
      <w:r>
        <w:rPr>
          <w:rFonts w:ascii="Courier New" w:cs="Courier New" w:eastAsia="Courier New" w:hAnsi="Courier New"/>
          <w:sz w:val="16"/>
          <w:szCs w:val="16"/>
          <w:color w:val="auto"/>
        </w:rPr>
        <w:t>Refund of Excess Amounts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Any cash balance remaining in the Participant's account shall be refunded to the Participant as soon as practical after the Purchase Date. In the event the cash to be returned to a Participant pursuant to the preceding sentence is in an amount less than the amount necessary to purchase a whole share of Stock, and the Board or the Plan Administrator has determined that fractional shares may not be issued, the Plan Administrator may establish procedures whereby such cash is maintained in the Participant's account and applied to the purchase of Stock in the subsequent Purchase Period or Offering Period.</w:t>
      </w:r>
    </w:p>
    <w:p>
      <w:pPr>
        <w:spacing w:after="0" w:line="20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9.9</w:t>
      </w:r>
      <w:r>
        <w:rPr>
          <w:sz w:val="20"/>
          <w:szCs w:val="20"/>
          <w:color w:val="auto"/>
        </w:rPr>
        <w:tab/>
      </w:r>
      <w:r>
        <w:rPr>
          <w:rFonts w:ascii="Courier New" w:cs="Courier New" w:eastAsia="Courier New" w:hAnsi="Courier New"/>
          <w:sz w:val="16"/>
          <w:szCs w:val="16"/>
          <w:color w:val="auto"/>
        </w:rPr>
        <w:t>Withholding Obligations</w:t>
      </w:r>
    </w:p>
    <w:p>
      <w:pPr>
        <w:spacing w:after="0" w:line="199" w:lineRule="exact"/>
        <w:rPr>
          <w:sz w:val="20"/>
          <w:szCs w:val="20"/>
          <w:color w:val="auto"/>
        </w:rPr>
      </w:pPr>
    </w:p>
    <w:p>
      <w:pPr>
        <w:jc w:val="both"/>
        <w:ind w:right="2119" w:firstLine="910"/>
        <w:spacing w:after="0" w:line="260" w:lineRule="auto"/>
        <w:rPr>
          <w:sz w:val="20"/>
          <w:szCs w:val="20"/>
          <w:color w:val="auto"/>
        </w:rPr>
      </w:pPr>
      <w:r>
        <w:rPr>
          <w:rFonts w:ascii="Courier New" w:cs="Courier New" w:eastAsia="Courier New" w:hAnsi="Courier New"/>
          <w:sz w:val="16"/>
          <w:szCs w:val="16"/>
          <w:color w:val="auto"/>
        </w:rPr>
        <w:t>At the time the Option is exercised, in whole or in part, or at the time some or all of the Stock is disposed of, the Participant shall make adequate provision for federal and state withholding obligations of the Company, if any, that arise upon exercise of the Option or upon disposition of the Stock. The Company may, but shall not be obligated to, withhold from the Participant's</w:t>
      </w:r>
    </w:p>
    <w:p>
      <w:pPr>
        <w:sectPr>
          <w:pgSz w:w="11900" w:h="16880" w:orient="portrait"/>
          <w:cols w:equalWidth="0" w:num="1">
            <w:col w:w="10219"/>
          </w:cols>
          <w:pgMar w:left="240" w:top="142" w:right="1440" w:bottom="0" w:gutter="0" w:footer="0" w:header="0"/>
        </w:sectPr>
      </w:pPr>
    </w:p>
    <w:bookmarkStart w:id="12" w:name="page13"/>
    <w:bookmarkEnd w:id="12"/>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the amount necessary to meet such withholding obligations.</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9.10</w:t>
      </w:r>
      <w:r>
        <w:rPr>
          <w:sz w:val="20"/>
          <w:szCs w:val="20"/>
          <w:color w:val="auto"/>
        </w:rPr>
        <w:tab/>
      </w:r>
      <w:r>
        <w:rPr>
          <w:rFonts w:ascii="Courier New" w:cs="Courier New" w:eastAsia="Courier New" w:hAnsi="Courier New"/>
          <w:sz w:val="16"/>
          <w:szCs w:val="16"/>
          <w:color w:val="auto"/>
        </w:rPr>
        <w:t>Termination of Participation</w:t>
      </w:r>
    </w:p>
    <w:p>
      <w:pPr>
        <w:spacing w:after="0" w:line="199" w:lineRule="exact"/>
        <w:rPr>
          <w:sz w:val="20"/>
          <w:szCs w:val="20"/>
          <w:color w:val="auto"/>
        </w:rPr>
      </w:pPr>
    </w:p>
    <w:p>
      <w:pPr>
        <w:jc w:val="both"/>
        <w:ind w:right="2119" w:firstLine="910"/>
        <w:spacing w:after="0"/>
        <w:rPr>
          <w:sz w:val="20"/>
          <w:szCs w:val="20"/>
          <w:color w:val="auto"/>
        </w:rPr>
      </w:pPr>
      <w:r>
        <w:rPr>
          <w:rFonts w:ascii="Courier New" w:cs="Courier New" w:eastAsia="Courier New" w:hAnsi="Courier New"/>
          <w:sz w:val="17"/>
          <w:szCs w:val="17"/>
          <w:color w:val="auto"/>
        </w:rPr>
        <w:t>No Stock shall be purchased on behalf of a Participant on a Purchase Date whose participation in the Offering or the Plan has terminated on or before such Purchase Date.</w:t>
      </w:r>
    </w:p>
    <w:p>
      <w:pPr>
        <w:spacing w:after="0" w:line="19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9.11</w:t>
      </w:r>
      <w:r>
        <w:rPr>
          <w:sz w:val="20"/>
          <w:szCs w:val="20"/>
          <w:color w:val="auto"/>
        </w:rPr>
        <w:tab/>
      </w:r>
      <w:r>
        <w:rPr>
          <w:rFonts w:ascii="Courier New" w:cs="Courier New" w:eastAsia="Courier New" w:hAnsi="Courier New"/>
          <w:sz w:val="16"/>
          <w:szCs w:val="16"/>
          <w:color w:val="auto"/>
        </w:rPr>
        <w:t>Procedural Matters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Plan Administrator may, from time to time, establish (a) limitations on the frequency and/or number of changes in the amount withheld during an Offering, (b) an exchange ratio applicable to amounts withheld in a currency other than U.S. dollars, (c) payroll withholding in excess of the amount designated by a Participant in order to adjust for delays or mistakes in the Company's processing of properly completed withholding elections, and (d) such other limitations or procedures as deemed advisable by the Plan Administrator in the Plan Administrator's sole discretion that are consistent with the Plan and in accordance with the requirements of Code Section 423.</w:t>
      </w:r>
    </w:p>
    <w:p>
      <w:pPr>
        <w:spacing w:after="0" w:line="20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9.12</w:t>
      </w:r>
      <w:r>
        <w:rPr>
          <w:sz w:val="20"/>
          <w:szCs w:val="20"/>
          <w:color w:val="auto"/>
        </w:rPr>
        <w:tab/>
      </w:r>
      <w:r>
        <w:rPr>
          <w:rFonts w:ascii="Courier New" w:cs="Courier New" w:eastAsia="Courier New" w:hAnsi="Courier New"/>
          <w:sz w:val="16"/>
          <w:szCs w:val="16"/>
          <w:color w:val="auto"/>
        </w:rPr>
        <w:t>Leaves of Absence</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During leaves of absence approved by the Company and meeting the requirements of Treasury Regulations Section 1.421-7(h)(2), a Participant may continue participation in the Plan by delivering cash payments to the Company's payroll office on the Participant's normal paydays equal to the amount of his or her payroll deduction under the Plan had the Participant not taken a leave of absence.</w:t>
      </w:r>
    </w:p>
    <w:p>
      <w:pPr>
        <w:spacing w:after="0" w:line="199"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SECTION 10. EVIDENCE OF STOCK OWNERSHIP</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in the absence of such a disposition, the shares of Stock must remain in the Participant's account at the ESPP Broker until the holding period set forth in Code Section 423(a) has been satisfied. With respect to shares of Stock for which the Code Section 423(a) holding periods have been satisfied, the Participant may move those shares of Stock to another brokerage account of the Participant's choosing or request that a stock certificate be issued and delivered to him or her. A Participant who is not subject to payment of U.S. income taxes may move his or her shares of Stock to another brokerage account of his or her choosing or request that a stock certificate be delivered to him or her at any time, without regard to the Code Section 423(a) holding period.</w:t>
      </w:r>
    </w:p>
    <w:p>
      <w:pPr>
        <w:spacing w:after="0" w:line="197"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SECTION 11. VOLUNTARY WITHDRAWAL</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6"/>
          <w:szCs w:val="16"/>
          <w:color w:val="auto"/>
        </w:rPr>
        <w:t>Withdrawal From an Offering</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A Participant may withdraw from an Offering by signing and delivering to the Company's payroll office a written notice of withdrawal on a form provided by the Plan Administrator for such purpose. Such withdrawal may be elected at any time prior to the end of an Offering Period; provided, however, that if a Participant withdraws after the Purchase Date for a Purchase Period of an Offering, the withdrawal shall not affect Stock acquired by the Participant in the earlier Purchase Periods. Unless otherwise indicated, withdrawal from an Offering shall not result in a withdrawal from the Plan or any succeeding Offering therein. A Participant is prohibited from again participating in the same Offering at any time upon withdrawal from such Offering. The Company may, from time to time, impose a requirement that the notice of withdrawal be on file with the Company's payroll office for a reasonable period prior to the effectiveness of the Participant's withdrawal.</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6"/>
          <w:szCs w:val="16"/>
          <w:color w:val="auto"/>
        </w:rPr>
        <w:t>Withdrawal From the Plan</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A Participant may withdraw from the Plan by signing a written notice of withdrawal on a form provided by the Plan Administrator for such purpose and delivering such notice to the Company's payroll office. In the event a Participant voluntarily elects to withdraw from the Plan, the withdrawing Participant may not resume participation in the Plan during the same Offering Period, but may participate in any subsequent Offering under the Plan by again satisfying the definition of Participant. The Company may, from time to time impose a requirement that the notice of withdrawal be on file with the Company's payroll office for a reasonable period prior to the effectiveness of the Participant's withdrawal.</w:t>
      </w:r>
    </w:p>
    <w:p>
      <w:pPr>
        <w:spacing w:after="0" w:line="19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11.3</w:t>
      </w:r>
      <w:r>
        <w:rPr>
          <w:sz w:val="20"/>
          <w:szCs w:val="20"/>
          <w:color w:val="auto"/>
        </w:rPr>
        <w:tab/>
      </w:r>
      <w:r>
        <w:rPr>
          <w:rFonts w:ascii="Courier New" w:cs="Courier New" w:eastAsia="Courier New" w:hAnsi="Courier New"/>
          <w:sz w:val="16"/>
          <w:szCs w:val="16"/>
          <w:color w:val="auto"/>
        </w:rPr>
        <w:t>Return of Payroll Deductions</w:t>
      </w:r>
    </w:p>
    <w:p>
      <w:pPr>
        <w:spacing w:after="0" w:line="199" w:lineRule="exact"/>
        <w:rPr>
          <w:sz w:val="20"/>
          <w:szCs w:val="20"/>
          <w:color w:val="auto"/>
        </w:rPr>
      </w:pPr>
    </w:p>
    <w:p>
      <w:pPr>
        <w:jc w:val="both"/>
        <w:ind w:right="2119" w:firstLine="910"/>
        <w:spacing w:after="0" w:line="261" w:lineRule="auto"/>
        <w:rPr>
          <w:sz w:val="20"/>
          <w:szCs w:val="20"/>
          <w:color w:val="auto"/>
        </w:rPr>
      </w:pPr>
      <w:r>
        <w:rPr>
          <w:rFonts w:ascii="Courier New" w:cs="Courier New" w:eastAsia="Courier New" w:hAnsi="Courier New"/>
          <w:sz w:val="16"/>
          <w:szCs w:val="16"/>
          <w:color w:val="auto"/>
        </w:rPr>
        <w:t>Upon withdrawal from an Offering pursuant to Section 11.1 or from the Plan pursuant to Section 11.2, the withdrawing Participant's accumulated payroll deductions that have not been applied to the purchase of Stock shall be returned as soon as practical after the withdrawal, without the payment of any interest,</w:t>
      </w:r>
    </w:p>
    <w:p>
      <w:pPr>
        <w:sectPr>
          <w:pgSz w:w="11900" w:h="16881" w:orient="portrait"/>
          <w:cols w:equalWidth="0" w:num="1">
            <w:col w:w="10219"/>
          </w:cols>
          <w:pgMar w:left="240" w:top="140" w:right="1440" w:bottom="0" w:gutter="0" w:footer="0" w:header="0"/>
        </w:sectPr>
      </w:pPr>
    </w:p>
    <w:bookmarkStart w:id="13" w:name="page14"/>
    <w:bookmarkEnd w:id="13"/>
    <w:p>
      <w:pPr>
        <w:jc w:val="both"/>
        <w:ind w:right="2119"/>
        <w:spacing w:after="0"/>
        <w:rPr>
          <w:sz w:val="20"/>
          <w:szCs w:val="20"/>
          <w:color w:val="auto"/>
        </w:rPr>
      </w:pPr>
      <w:r>
        <w:rPr>
          <w:rFonts w:ascii="Courier New" w:cs="Courier New" w:eastAsia="Courier New" w:hAnsi="Courier New"/>
          <w:sz w:val="17"/>
          <w:szCs w:val="17"/>
          <w:color w:val="auto"/>
        </w:rPr>
        <w:t>to the Participant, and the Participant's interest in the Offering shall terminate. Such accumulated payroll deductions may not be applied to any other Offering under the Plan.</w:t>
      </w:r>
    </w:p>
    <w:p>
      <w:pPr>
        <w:spacing w:after="0" w:line="198"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SECTION 12. AUTOMATIC WITHDRAWAL FROM AN OFFERING</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If the fair market value of the Stock on a Purchase Date of an Offering (other than the final Purchase Date of such Offering) is less than the fair market value of the shares on the Offering Date for such Offering and the Plan Administrator has established that the Purchase Price for the Offering may be the lesser of the fair market value (or a percentage thereof) of the Stock on the Offering Date and the fair market value of the Stock on the Purchase Date, then every Participant shall automatically (a) be withdrawn from such Offering at the close of such Purchase Date and (b) after the acquisition of Stock for such Purchase Period, be enrolled in the Offering commencing on the first business day subsequent to such Purchase Period.</w:t>
      </w:r>
    </w:p>
    <w:p>
      <w:pPr>
        <w:spacing w:after="0" w:line="195"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SECTION 13. TERMINATION OF EMPLOYMENT</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Termination of a Participant's employment with the Company for any reason, including retirement, death or the failure of a Participant to remain an Eligible Employee, shall immediately terminate the Participant's participation in the Plan. In such event, the payroll deductions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13.</w:t>
      </w:r>
    </w:p>
    <w:p>
      <w:pPr>
        <w:spacing w:after="0" w:line="202"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SECTION 14. RESTRICTIONS UPON ASSIGNMENT</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An Option granted under the Plan shall not be transferable otherwise than by will or the laws of descent and distribution, and is exercisable during the Participant's lifetime only by the Participant. The Plan Administrator will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SECTION 15. EXCHANGE ACT HOLDING PERIOD</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Disposition of the shares of Stock obtained upon exercise of the Option within six months of the Purchase Date by persons required to file Forms 3, 4 and 5 pursuant to Section 16 of the Exchange Act could result in short-swing liability under Section 16(b) of the Exchange Act.</w:t>
      </w:r>
    </w:p>
    <w:p>
      <w:pPr>
        <w:spacing w:after="0" w:line="197"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SECTION 16. NO RIGHTS OF SHAREHOLDER UNTIL CERTIFICATE ISSUED</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have been issued following exercise of the Participant's Option.</w:t>
      </w:r>
    </w:p>
    <w:p>
      <w:pPr>
        <w:spacing w:after="0" w:line="198" w:lineRule="exact"/>
        <w:rPr>
          <w:sz w:val="20"/>
          <w:szCs w:val="20"/>
          <w:color w:val="auto"/>
        </w:rPr>
      </w:pPr>
    </w:p>
    <w:p>
      <w:pPr>
        <w:ind w:left="2440"/>
        <w:spacing w:after="0"/>
        <w:rPr>
          <w:sz w:val="20"/>
          <w:szCs w:val="20"/>
          <w:color w:val="auto"/>
        </w:rPr>
      </w:pPr>
      <w:r>
        <w:rPr>
          <w:rFonts w:ascii="Courier New" w:cs="Courier New" w:eastAsia="Courier New" w:hAnsi="Courier New"/>
          <w:sz w:val="17"/>
          <w:szCs w:val="17"/>
          <w:color w:val="auto"/>
        </w:rPr>
        <w:t>SECTION 17. AMENDMENT OF THE PLAN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Board may amend the Plan in such respects as it shall deem advisable; provided, however, that to the extent required for compliance with Rule 16b-3 under the Exchange Act, Code Section 423 or any applicable law or regulation, shareholder approval will be required for any amendment that will</w:t>
      </w:r>
    </w:p>
    <w:p>
      <w:pPr>
        <w:spacing w:after="0" w:line="4" w:lineRule="exact"/>
        <w:rPr>
          <w:sz w:val="20"/>
          <w:szCs w:val="20"/>
          <w:color w:val="auto"/>
        </w:rPr>
      </w:pPr>
    </w:p>
    <w:p>
      <w:pPr>
        <w:jc w:val="both"/>
        <w:ind w:right="2119" w:firstLine="4"/>
        <w:spacing w:after="0" w:line="241" w:lineRule="auto"/>
        <w:tabs>
          <w:tab w:leader="none" w:pos="404"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the total number of shares as to which Options may be granted under the Plan, (b) materially modify the class of persons eligible to receive Options, (c) materially increase the benefits accruing to Participants under the Plan, (d) decrease the Purchase Price below a price computed in the manner stated in Section 8, or (e) otherwise require shareholder approval under any applicable law or regulation.</w:t>
      </w:r>
    </w:p>
    <w:p>
      <w:pPr>
        <w:spacing w:after="0" w:line="19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SECTION 18. TERMINATION OF THE PLAN</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Company's shareholders or the Board may suspend or terminate the Plan at any time. Unless the Plan shall theretofore have been terminated by the Company's shareholders or the Board, the Plan shall terminate on, and no Options shall be made after April 30, 2006, except that such termination shall have no effect on Options made prior thereto. No Options shall be granted during any period of suspension of the Plan.</w:t>
      </w:r>
    </w:p>
    <w:p>
      <w:pPr>
        <w:spacing w:after="0" w:line="199"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SECTION 19. NO RIGHTS AS AN EMPLOYEE</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Nothing in the Plan shall be construed to give any person (including any Eligible Employee or Participant) the right to remain in the employ of the Company or a Parent Corporation or Subsidiary Corporation or to affect the right of the Company and the Parent Corporations and Subsidiary Corporations to terminate the employment of any person (including any Eligible Employee or Participant) at any time with or without cause.</w:t>
      </w:r>
    </w:p>
    <w:p>
      <w:pPr>
        <w:sectPr>
          <w:pgSz w:w="11900" w:h="16838" w:orient="portrait"/>
          <w:cols w:equalWidth="0" w:num="1">
            <w:col w:w="10219"/>
          </w:cols>
          <w:pgMar w:left="240" w:top="142" w:right="1440" w:bottom="0" w:gutter="0" w:footer="0" w:header="0"/>
        </w:sectPr>
      </w:pPr>
    </w:p>
    <w:bookmarkStart w:id="14" w:name="page15"/>
    <w:bookmarkEnd w:id="14"/>
    <w:p>
      <w:pPr>
        <w:ind w:left="2320"/>
        <w:spacing w:after="0"/>
        <w:rPr>
          <w:sz w:val="20"/>
          <w:szCs w:val="20"/>
          <w:color w:val="auto"/>
        </w:rPr>
      </w:pPr>
      <w:r>
        <w:rPr>
          <w:rFonts w:ascii="Courier New" w:cs="Courier New" w:eastAsia="Courier New" w:hAnsi="Courier New"/>
          <w:sz w:val="17"/>
          <w:szCs w:val="17"/>
          <w:color w:val="auto"/>
        </w:rPr>
        <w:t>SECTION 20. EFFECT UPON OTHER PLANS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adoption of the Plan shall not affect any other compensation or incentive plans in effect for the Company or any Parent Corporation or Subsidiary Corporation. Nothing in the Plan shall be construed to limit the right of the Company, any Parent Corporation or any Subsidiary Corporation to</w:t>
      </w:r>
    </w:p>
    <w:p>
      <w:pPr>
        <w:spacing w:after="0" w:line="4" w:lineRule="exact"/>
        <w:rPr>
          <w:sz w:val="20"/>
          <w:szCs w:val="20"/>
          <w:color w:val="auto"/>
        </w:rPr>
      </w:pPr>
    </w:p>
    <w:p>
      <w:pPr>
        <w:jc w:val="both"/>
        <w:ind w:right="2119" w:firstLine="4"/>
        <w:spacing w:after="0" w:line="241" w:lineRule="auto"/>
        <w:tabs>
          <w:tab w:leader="none" w:pos="404"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establish any other forms of incentives or compensation for employees of the Company, any Parent Corporation or any Subsidiary Corporation or (b)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20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SECTION 21. ADJUSTMENTS</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21.1</w:t>
      </w:r>
      <w:r>
        <w:rPr>
          <w:sz w:val="20"/>
          <w:szCs w:val="20"/>
          <w:color w:val="auto"/>
        </w:rPr>
        <w:tab/>
      </w:r>
      <w:r>
        <w:rPr>
          <w:rFonts w:ascii="Courier New" w:cs="Courier New" w:eastAsia="Courier New" w:hAnsi="Courier New"/>
          <w:sz w:val="16"/>
          <w:szCs w:val="16"/>
          <w:color w:val="auto"/>
        </w:rPr>
        <w:t>Adjustment of Shares</w:t>
      </w:r>
    </w:p>
    <w:p>
      <w:pPr>
        <w:spacing w:after="0" w:line="199" w:lineRule="exact"/>
        <w:rPr>
          <w:sz w:val="20"/>
          <w:szCs w:val="20"/>
          <w:color w:val="auto"/>
        </w:rPr>
      </w:pPr>
    </w:p>
    <w:p>
      <w:pPr>
        <w:jc w:val="both"/>
        <w:ind w:right="2119" w:firstLine="910"/>
        <w:spacing w:after="0" w:line="242" w:lineRule="auto"/>
        <w:rPr>
          <w:sz w:val="20"/>
          <w:szCs w:val="20"/>
          <w:color w:val="auto"/>
        </w:rPr>
      </w:pPr>
      <w:r>
        <w:rPr>
          <w:rFonts w:ascii="Courier New" w:cs="Courier New" w:eastAsia="Courier New" w:hAnsi="Courier New"/>
          <w:sz w:val="17"/>
          <w:szCs w:val="17"/>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in its sole discretion, shall make such equitable adjustments as it shall deem appropriate in the circumstances in the maximum number of shares of Stock subject to the Plan as set forth in Section 4. The determination by the Plan Administrator as to the terms of any of the foregoing adjustments shall be conclusive and binding.</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6"/>
          <w:szCs w:val="16"/>
          <w:color w:val="auto"/>
        </w:rPr>
        <w:t>Limitations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grant of Options will in no way affect the Company's right to adjust, reclassify, reorganize or otherwise change its capital or business structure or to merge, consolidate, dissolve, liquidate or sell or transfer all or any part of its business or assets.</w:t>
      </w:r>
    </w:p>
    <w:p>
      <w:pPr>
        <w:spacing w:after="0" w:line="197"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SECTION 22. GENERAL</w:t>
      </w:r>
    </w:p>
    <w:p>
      <w:pPr>
        <w:spacing w:after="0" w:line="1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22.1</w:t>
      </w:r>
      <w:r>
        <w:rPr>
          <w:sz w:val="20"/>
          <w:szCs w:val="20"/>
          <w:color w:val="auto"/>
        </w:rPr>
        <w:tab/>
      </w:r>
      <w:r>
        <w:rPr>
          <w:rFonts w:ascii="Courier New" w:cs="Courier New" w:eastAsia="Courier New" w:hAnsi="Courier New"/>
          <w:sz w:val="16"/>
          <w:szCs w:val="16"/>
          <w:color w:val="auto"/>
        </w:rPr>
        <w:t>Registration; Certificates for Shares</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The Company shall be under no obligation to any Participant to register for offering or resale under the Securities Act of 1933, as amended, or register or qualify under state securities laws, any shares of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22.2</w:t>
      </w:r>
      <w:r>
        <w:rPr>
          <w:sz w:val="20"/>
          <w:szCs w:val="20"/>
          <w:color w:val="auto"/>
        </w:rPr>
        <w:tab/>
      </w:r>
      <w:r>
        <w:rPr>
          <w:rFonts w:ascii="Courier New" w:cs="Courier New" w:eastAsia="Courier New" w:hAnsi="Courier New"/>
          <w:sz w:val="16"/>
          <w:szCs w:val="16"/>
          <w:color w:val="auto"/>
        </w:rPr>
        <w:t>Compliance With Rule 16b-3</w:t>
      </w:r>
    </w:p>
    <w:p>
      <w:pPr>
        <w:spacing w:after="0" w:line="199" w:lineRule="exact"/>
        <w:rPr>
          <w:sz w:val="20"/>
          <w:szCs w:val="20"/>
          <w:color w:val="auto"/>
        </w:rPr>
      </w:pPr>
    </w:p>
    <w:p>
      <w:pPr>
        <w:jc w:val="both"/>
        <w:ind w:right="2119" w:firstLine="910"/>
        <w:spacing w:after="0" w:line="241" w:lineRule="auto"/>
        <w:rPr>
          <w:sz w:val="20"/>
          <w:szCs w:val="20"/>
          <w:color w:val="auto"/>
        </w:rPr>
      </w:pPr>
      <w:r>
        <w:rPr>
          <w:rFonts w:ascii="Courier New" w:cs="Courier New" w:eastAsia="Courier New" w:hAnsi="Courier New"/>
          <w:sz w:val="17"/>
          <w:szCs w:val="17"/>
          <w:color w:val="auto"/>
        </w:rPr>
        <w:t>It is the Company's intention that, so long as any of the Company's equity securities are registered pursuant to Section 12(b) or 12(g) of the Exchange Act, the Plan shall comply in all respects with Rule 16b-3 under the Exchange Act, and if any Plan provision is later found not to be in compliance with such Rule, the provision shall be deemed null and void, and in all events the Plan shall be construed in favor of its meeting the requirements of Rule 16b-3.</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SECTION 23. EFFECTIVE DATE</w:t>
      </w:r>
    </w:p>
    <w:p>
      <w:pPr>
        <w:spacing w:after="0" w:line="199" w:lineRule="exact"/>
        <w:rPr>
          <w:sz w:val="20"/>
          <w:szCs w:val="20"/>
          <w:color w:val="auto"/>
        </w:rPr>
      </w:pPr>
    </w:p>
    <w:p>
      <w:pPr>
        <w:jc w:val="both"/>
        <w:ind w:right="2119" w:firstLine="910"/>
        <w:spacing w:after="0" w:line="239" w:lineRule="auto"/>
        <w:rPr>
          <w:sz w:val="20"/>
          <w:szCs w:val="20"/>
          <w:color w:val="auto"/>
        </w:rPr>
      </w:pPr>
      <w:r>
        <w:rPr>
          <w:rFonts w:ascii="Courier New" w:cs="Courier New" w:eastAsia="Courier New" w:hAnsi="Courier New"/>
          <w:sz w:val="17"/>
          <w:szCs w:val="17"/>
          <w:color w:val="auto"/>
        </w:rPr>
        <w:t>The Plan's effective date is the date on which it is approved by the Company's shareholders.</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206"/>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decimal"/>
      <w:start w:val="3"/>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2"/>
    </w:lvl>
  </w:abstractNum>
  <w:abstractNum w:abstractNumId="16">
    <w:nsid w:val="3F2DBA31"/>
    <w:multiLevelType w:val="hybridMultilevel"/>
    <w:lvl w:ilvl="0">
      <w:lvlJc w:val="left"/>
      <w:lvlText w:val="a"/>
      <w:numFmt w:val="bullet"/>
      <w:start w:val="1"/>
    </w:lvl>
  </w:abstractNum>
  <w:abstractNum w:abstractNumId="17">
    <w:nsid w:val="7C83E458"/>
    <w:multiLevelType w:val="hybridMultilevel"/>
    <w:lvl w:ilvl="0">
      <w:lvlJc w:val="left"/>
      <w:lvlText w:val="A"/>
      <w:numFmt w:val="bullet"/>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2019-12-13T15:53:46Z</dcterms:created>
  <dcterms:modified xsi:type="dcterms:W3CDTF">2019-12-13T15:53:46Z</dcterms:modified>
</cp:coreProperties>
</file>