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12b-25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NOTIFICATION OF LATE FILING</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 File Number: 000-22418</w:t>
      </w:r>
    </w:p>
    <w:p>
      <w:pPr>
        <w:spacing w:after="0" w:line="391" w:lineRule="exact"/>
        <w:rPr>
          <w:sz w:val="24"/>
          <w:szCs w:val="24"/>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(Check One):</w:t>
      </w:r>
      <w:r>
        <w:rPr>
          <w:sz w:val="20"/>
          <w:szCs w:val="20"/>
          <w:color w:val="auto"/>
        </w:rPr>
        <w:tab/>
      </w:r>
      <w:r>
        <w:rPr>
          <w:rFonts w:ascii="Arial" w:cs="Arial" w:eastAsia="Arial" w:hAnsi="Arial"/>
          <w:sz w:val="16"/>
          <w:szCs w:val="16"/>
          <w:color w:val="auto"/>
        </w:rPr>
        <w:t>o Form 10-K o Form 20-F o Form 11-K x Form 10-Q o Form N-SAR o Form N-CSR</w:t>
      </w:r>
    </w:p>
    <w:p>
      <w:pPr>
        <w:spacing w:after="0" w:line="33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For Period Ended: March 31, 2016</w:t>
      </w:r>
    </w:p>
    <w:p>
      <w:pPr>
        <w:spacing w:after="0" w:line="33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o Transition Report on Form 10-K</w:t>
      </w:r>
    </w:p>
    <w:p>
      <w:pPr>
        <w:spacing w:after="0" w:line="6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o Transition Report on Form 20-F</w:t>
      </w:r>
    </w:p>
    <w:p>
      <w:pPr>
        <w:spacing w:after="0" w:line="6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o Transition Report on Form 11-K</w:t>
      </w:r>
    </w:p>
    <w:p>
      <w:pPr>
        <w:spacing w:after="0" w:line="6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o Transition Report on Form 10-Q</w:t>
      </w:r>
    </w:p>
    <w:p>
      <w:pPr>
        <w:spacing w:after="0" w:line="6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o Transition Report on Form N-SAR</w:t>
      </w:r>
    </w:p>
    <w:p>
      <w:pPr>
        <w:spacing w:after="0" w:line="33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For the Transition Period Ended: ________________________</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Nothing in this form shall be construed to imply that the Commission has verified any information contained herein.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2111 N Molter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ectPr>
          <w:pgSz w:w="11900" w:h="16838" w:orient="portrait"/>
          <w:cols w:equalWidth="0" w:num="1">
            <w:col w:w="11420"/>
          </w:cols>
          <w:pgMar w:left="240" w:top="68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203200</wp:posOffset>
            </wp:positionV>
            <wp:extent cx="889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313" w:lineRule="exact"/>
        <w:rPr>
          <w:sz w:val="20"/>
          <w:szCs w:val="20"/>
          <w:color w:val="auto"/>
        </w:rPr>
      </w:pPr>
    </w:p>
    <w:p>
      <w:pPr>
        <w:ind w:left="1640" w:hanging="781"/>
        <w:spacing w:after="0"/>
        <w:tabs>
          <w:tab w:leader="none" w:pos="1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74" w:lineRule="exact"/>
        <w:rPr>
          <w:rFonts w:ascii="Arial" w:cs="Arial" w:eastAsia="Arial" w:hAnsi="Arial"/>
          <w:sz w:val="17"/>
          <w:szCs w:val="17"/>
          <w:color w:val="auto"/>
        </w:rPr>
      </w:pPr>
    </w:p>
    <w:p>
      <w:pPr>
        <w:ind w:left="1640" w:hanging="781"/>
        <w:spacing w:after="0"/>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11-K or Form N-SAR, or portion thereof,</w:t>
      </w:r>
    </w:p>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o</w:t>
            </w:r>
          </w:p>
        </w:tc>
        <w:tc>
          <w:tcPr>
            <w:tcW w:w="10480" w:type="dxa"/>
            <w:vAlign w:val="bottom"/>
          </w:tcPr>
          <w:p>
            <w:pPr>
              <w:ind w:left="740"/>
              <w:spacing w:after="0"/>
              <w:rPr>
                <w:sz w:val="20"/>
                <w:szCs w:val="20"/>
                <w:color w:val="auto"/>
              </w:rPr>
            </w:pPr>
            <w:r>
              <w:rPr>
                <w:rFonts w:ascii="Arial" w:cs="Arial" w:eastAsia="Arial" w:hAnsi="Arial"/>
                <w:sz w:val="18"/>
                <w:szCs w:val="18"/>
                <w:color w:val="auto"/>
                <w:w w:val="96"/>
              </w:rPr>
              <w:t>will be filed on or before the fifteenth calendar day following the prescribed due date; or the subject quarterly report or transition</w:t>
            </w:r>
          </w:p>
        </w:tc>
      </w:tr>
      <w:tr>
        <w:trPr>
          <w:trHeight w:val="230"/>
        </w:trPr>
        <w:tc>
          <w:tcPr>
            <w:tcW w:w="820" w:type="dxa"/>
            <w:vAlign w:val="bottom"/>
          </w:tcPr>
          <w:p>
            <w:pPr>
              <w:spacing w:after="0"/>
              <w:rPr>
                <w:sz w:val="20"/>
                <w:szCs w:val="20"/>
                <w:color w:val="auto"/>
              </w:rPr>
            </w:pPr>
          </w:p>
        </w:tc>
        <w:tc>
          <w:tcPr>
            <w:tcW w:w="10480" w:type="dxa"/>
            <w:vAlign w:val="bottom"/>
          </w:tcPr>
          <w:p>
            <w:pPr>
              <w:ind w:left="740"/>
              <w:spacing w:after="0"/>
              <w:rPr>
                <w:sz w:val="20"/>
                <w:szCs w:val="20"/>
                <w:color w:val="auto"/>
              </w:rPr>
            </w:pPr>
            <w:r>
              <w:rPr>
                <w:rFonts w:ascii="Arial" w:cs="Arial" w:eastAsia="Arial" w:hAnsi="Arial"/>
                <w:sz w:val="18"/>
                <w:szCs w:val="18"/>
                <w:color w:val="auto"/>
                <w:w w:val="98"/>
              </w:rPr>
              <w:t>report on Form 10-Q, or portion thereof will be filed on or before the fifth calendar day following the prescribed due date; and</w:t>
            </w:r>
          </w:p>
        </w:tc>
      </w:tr>
    </w:tbl>
    <w:p>
      <w:pPr>
        <w:spacing w:after="0" w:line="40" w:lineRule="exact"/>
        <w:rPr>
          <w:sz w:val="20"/>
          <w:szCs w:val="20"/>
          <w:color w:val="auto"/>
        </w:rPr>
      </w:pPr>
    </w:p>
    <w:p>
      <w:pPr>
        <w:ind w:left="1640" w:hanging="781"/>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State below in reasonable detail the reasons why Forms 10-K, 20-F, 11-K, 10-Q, N-SAR, N-CSR, or the transition report or portion thereof, could not be filed within the prescribed time period.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reported on March 1, 2016, on February 24, 2016 the audit and finance committee of the board of directors of Itron, Inc. (the “Company”) and management of the Company concluded, after discussion with the Company’s independent registered public accounting firm, Ernst &amp; Young LLP, that the Company has not been able to demonstrate Vendor Specific Objective Evidence (VSOE) of fair value for maintenance contracts associated with certain software solutions for the year ended December 31, 2015. As a result, it has been unable to timely file its Annual Report on Form 10-K (the "Annual Report") for the period ended December 31, 2015.</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continues to perform additional analysis, including evaluating if the current and prior periods are materially impacted, and will be unable to file its Quarterly Report on Form 10-Q (the "Quarterly Report") for the fiscal quarter ended March 31, 2016. The Company does not expect to file the Quarterly Report within the five day extension period offered by Rule 12b-25 of the Securities Exchange Act of 1934, as amended, but intends to file the Quarterly Report as soon as practicable following the filing of its Annual Report.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notice contains certain forward-looking statements (within the meaning of Section 27A of the Securities Act of 1933, as amended, and Section 21E of the Securities Exchange Act of 1934, as amended) and information relating to the Company that are based on the beliefs of the management of the Company. These forward looking statements are subject to risks and uncertainties, including the risk that the evaluation described above results in further adjustments to the financial statements and results of operations. Should one of these risks or uncertainties materialize actual results or outcomes may vary materially from those described as anticipated, believed, estimated, intended, or planned.</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IV -- OTHER INFORMATION</w:t>
      </w:r>
    </w:p>
    <w:p>
      <w:pPr>
        <w:spacing w:after="0" w:line="391" w:lineRule="exact"/>
        <w:rPr>
          <w:sz w:val="20"/>
          <w:szCs w:val="20"/>
          <w:color w:val="auto"/>
        </w:rPr>
      </w:pPr>
    </w:p>
    <w:p>
      <w:pPr>
        <w:ind w:left="840" w:hanging="805"/>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00" w:lineRule="exact"/>
        <w:rPr>
          <w:sz w:val="20"/>
          <w:szCs w:val="20"/>
          <w:color w:val="auto"/>
        </w:rPr>
      </w:pP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W. Mark Schmitz</w:t>
            </w:r>
          </w:p>
        </w:tc>
        <w:tc>
          <w:tcPr>
            <w:tcW w:w="6260" w:type="dxa"/>
            <w:vAlign w:val="bottom"/>
          </w:tcPr>
          <w:p>
            <w:pPr>
              <w:jc w:val="right"/>
              <w:ind w:right="2490"/>
              <w:spacing w:after="0"/>
              <w:rPr>
                <w:sz w:val="20"/>
                <w:szCs w:val="20"/>
                <w:color w:val="auto"/>
              </w:rPr>
            </w:pPr>
            <w:r>
              <w:rPr>
                <w:rFonts w:ascii="Arial" w:cs="Arial" w:eastAsia="Arial" w:hAnsi="Arial"/>
                <w:sz w:val="18"/>
                <w:szCs w:val="18"/>
                <w:color w:val="auto"/>
              </w:rPr>
              <w:t>(509) 924-9900</w:t>
            </w:r>
          </w:p>
        </w:tc>
      </w:tr>
      <w:tr>
        <w:trPr>
          <w:trHeight w:val="54"/>
        </w:trPr>
        <w:tc>
          <w:tcPr>
            <w:tcW w:w="37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r>
      <w:tr>
        <w:trPr>
          <w:trHeight w:val="237"/>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6260" w:type="dxa"/>
            <w:vAlign w:val="bottom"/>
          </w:tcPr>
          <w:p>
            <w:pPr>
              <w:jc w:val="center"/>
              <w:spacing w:after="0"/>
              <w:rPr>
                <w:sz w:val="20"/>
                <w:szCs w:val="20"/>
                <w:color w:val="auto"/>
              </w:rPr>
            </w:pPr>
            <w:r>
              <w:rPr>
                <w:rFonts w:ascii="Arial" w:cs="Arial" w:eastAsia="Arial" w:hAnsi="Arial"/>
                <w:sz w:val="18"/>
                <w:szCs w:val="18"/>
                <w:color w:val="auto"/>
                <w:w w:val="90"/>
              </w:rPr>
              <w:t>(Area Code) (Telephone Number)</w:t>
            </w:r>
          </w:p>
        </w:tc>
      </w:tr>
    </w:tbl>
    <w:p>
      <w:pPr>
        <w:spacing w:after="0" w:line="200" w:lineRule="exact"/>
        <w:rPr>
          <w:sz w:val="20"/>
          <w:szCs w:val="20"/>
          <w:color w:val="auto"/>
        </w:rPr>
      </w:pPr>
    </w:p>
    <w:p>
      <w:pPr>
        <w:spacing w:after="0" w:line="204" w:lineRule="exact"/>
        <w:rPr>
          <w:sz w:val="20"/>
          <w:szCs w:val="20"/>
          <w:color w:val="auto"/>
        </w:rPr>
      </w:pPr>
    </w:p>
    <w:p>
      <w:pPr>
        <w:ind w:left="840" w:right="140" w:hanging="805"/>
        <w:spacing w:after="0" w:line="264"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9" w:lineRule="exact"/>
        <w:rPr>
          <w:sz w:val="20"/>
          <w:szCs w:val="20"/>
          <w:color w:val="auto"/>
        </w:rPr>
      </w:pPr>
    </w:p>
    <w:p>
      <w:pPr>
        <w:ind w:left="10600"/>
        <w:spacing w:after="0"/>
        <w:rPr>
          <w:sz w:val="20"/>
          <w:szCs w:val="20"/>
          <w:color w:val="auto"/>
        </w:rPr>
      </w:pPr>
      <w:r>
        <w:rPr>
          <w:rFonts w:ascii="Arial" w:cs="Arial" w:eastAsia="Arial" w:hAnsi="Arial"/>
          <w:sz w:val="16"/>
          <w:szCs w:val="16"/>
          <w:color w:val="auto"/>
        </w:rPr>
        <w:t>o Yes x No</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Company has not filed its Annual Report on Form 10-K for the year ending December 31, 2015.</w:t>
      </w:r>
    </w:p>
    <w:p>
      <w:pPr>
        <w:spacing w:after="0" w:line="333" w:lineRule="exact"/>
        <w:rPr>
          <w:sz w:val="20"/>
          <w:szCs w:val="20"/>
          <w:color w:val="auto"/>
        </w:rPr>
      </w:pPr>
    </w:p>
    <w:p>
      <w:pPr>
        <w:ind w:left="840" w:right="240" w:hanging="805"/>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8" w:lineRule="exact"/>
        <w:rPr>
          <w:sz w:val="20"/>
          <w:szCs w:val="20"/>
          <w:color w:val="auto"/>
        </w:rPr>
      </w:pPr>
    </w:p>
    <w:p>
      <w:pPr>
        <w:ind w:left="10600"/>
        <w:spacing w:after="0"/>
        <w:rPr>
          <w:sz w:val="20"/>
          <w:szCs w:val="20"/>
          <w:color w:val="auto"/>
        </w:rPr>
      </w:pPr>
      <w:r>
        <w:rPr>
          <w:rFonts w:ascii="Arial" w:cs="Arial" w:eastAsia="Arial" w:hAnsi="Arial"/>
          <w:sz w:val="16"/>
          <w:szCs w:val="16"/>
          <w:color w:val="auto"/>
        </w:rPr>
        <w:t>o Yes x No</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 of Registrant as Specified in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Date: May 3, 2016</w:t>
      </w:r>
      <w:r>
        <w:rPr>
          <w:sz w:val="20"/>
          <w:szCs w:val="20"/>
          <w:color w:val="auto"/>
        </w:rPr>
        <w:tab/>
      </w:r>
      <w:r>
        <w:rPr>
          <w:rFonts w:ascii="Arial" w:cs="Arial" w:eastAsia="Arial" w:hAnsi="Arial"/>
          <w:sz w:val="17"/>
          <w:szCs w:val="17"/>
          <w:u w:val="single" w:color="auto"/>
          <w:color w:val="auto"/>
        </w:rPr>
        <w:t>Itron,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W. Mark Schmitz</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 Mark Schmitz</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2019-12-05T18:13:03Z</dcterms:created>
  <dcterms:modified xsi:type="dcterms:W3CDTF">2019-12-05T18:13:03Z</dcterms:modified>
</cp:coreProperties>
</file>