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613,740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2,333,966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2,333,966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5.758%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2,333,966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2,333,966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5.758%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2,333,966</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5.758%</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613,740</w:t>
      </w:r>
    </w:p>
    <w:p>
      <w:pPr>
        <w:spacing w:after="0" w:line="200" w:lineRule="exact"/>
        <w:rPr>
          <w:sz w:val="20"/>
          <w:szCs w:val="20"/>
          <w:color w:val="auto"/>
        </w:rPr>
      </w:pPr>
    </w:p>
    <w:p>
      <w:pPr>
        <w:sectPr>
          <w:pgSz w:w="11900" w:h="16838" w:orient="portrait"/>
          <w:cols w:equalWidth="0" w:num="2">
            <w:col w:w="1160" w:space="540"/>
            <w:col w:w="8519"/>
          </w:cols>
          <w:pgMar w:left="240" w:top="136"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2,333,966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ITRON INC. No one person's interest in the Common Stock of ITRON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1,656,130 shares or 4.086% of the Common Stock outstanding of ITRON INC ("the Company") as a result of acting as investment adviser to various investment companies registered under Section 8 of the Investment Company Act of 1940. The number of shares</w:t>
      </w:r>
    </w:p>
    <w:p>
      <w:pPr>
        <w:spacing w:after="0" w:line="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of Common Stock of ITRON INC owned by the investment companies at December 31, 2009 included 169,900 shares of Common Stock resulting from the assumed conversion of $11,070,000 principal amount of ITRON INC CV 2.5% 8/01/26 (15.3478 shares of Common Stock for each $1,000 principal amount of debenture).</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1,656,130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1,668 shares, or 0.004%, of the Common Stock stock outstanding of ITRON INC, beneficially owned through Strategic Advisers, Inc.</w:t>
      </w:r>
    </w:p>
    <w:p>
      <w:pPr>
        <w:spacing w:after="0" w:line="212"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220,240 shares or 0.543% of the outstanding Common Stock of</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ITRON INC as a result of its serving as investment adviser to institutional accounts, non-U.S. mutual funds, or investment companies registered under Section 8 of the Investment Company Act of 1940 owning such shares. The number of shares of Common Stock of ITRON INC owned by the institutional account(s) at December 31, 2009 included 159,080 shares of Common Stock resulting from the assumed conversion of $10,365,000 principal amount of ITRON INC</w:t>
      </w:r>
    </w:p>
    <w:p>
      <w:pPr>
        <w:spacing w:after="0" w:line="10"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CV 2.5% 8/01/26 (15.3478 shares of Common Stock for each $1,000 principal amount of debenture).</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220,240 shares and sole power to vote or to direct the voting of 220,240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455,928 shares or 1.125% of the outstanding Common Stock of the ITRON INC as a result of</w:t>
      </w:r>
    </w:p>
    <w:p>
      <w:pPr>
        <w:sectPr>
          <w:pgSz w:w="11900" w:h="16838" w:orient="portrait"/>
          <w:cols w:equalWidth="0" w:num="1">
            <w:col w:w="10219"/>
          </w:cols>
          <w:pgMar w:left="240" w:top="142" w:right="1440" w:bottom="0" w:gutter="0" w:footer="0" w:header="0"/>
        </w:sectPr>
      </w:pPr>
    </w:p>
    <w:bookmarkStart w:id="3" w:name="page4"/>
    <w:bookmarkEnd w:id="3"/>
    <w:p>
      <w:pPr>
        <w:ind w:right="3779"/>
        <w:spacing w:after="0"/>
        <w:rPr>
          <w:sz w:val="20"/>
          <w:szCs w:val="20"/>
          <w:color w:val="auto"/>
        </w:rPr>
      </w:pPr>
      <w:r>
        <w:rPr>
          <w:rFonts w:ascii="Courier New" w:cs="Courier New" w:eastAsia="Courier New" w:hAnsi="Courier New"/>
          <w:sz w:val="18"/>
          <w:szCs w:val="18"/>
          <w:color w:val="auto"/>
        </w:rPr>
        <w:t>its serving as investment manager of institutional accounts owning such shares. The number of shares of Common Stock of ITRON INC owned by the institutional account(s) at December 31, 2009 included 79,348 shares of Common Stock resulting from the assumed conversion of $5,170,000 principal amount of ITRON INC CV 2.5% 8/01/26 (15.3478 shares of Common Stock for each $1,000 principal amount of debenture).</w:t>
      </w:r>
    </w:p>
    <w:p>
      <w:pPr>
        <w:spacing w:after="0" w:line="396"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455,928 shares and sole power to vote or to direct the voting of 391,702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ITRON INC at December 31, 2009.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2019-12-10T05:52:19Z</dcterms:created>
  <dcterms:modified xsi:type="dcterms:W3CDTF">2019-12-10T05:52:19Z</dcterms:modified>
</cp:coreProperties>
</file>