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2 )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Itron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465741106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465741106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Harris Associates 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04-3276558</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w w:val="87"/>
              </w:rPr>
              <w:t>2,119,848</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2,844,143</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2,844,143</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7.4%</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465741106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Harris Associates Inc.</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04-3276549</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w w:val="87"/>
              </w:rPr>
              <w:t>2,119,848</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2,844,143</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2,844,143</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7.4%</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1.</w:t>
      </w:r>
    </w:p>
    <w:p>
      <w:pPr>
        <w:spacing w:after="0" w:line="125" w:lineRule="exact"/>
        <w:rPr>
          <w:sz w:val="20"/>
          <w:szCs w:val="20"/>
          <w:color w:val="auto"/>
        </w:rPr>
      </w:pPr>
    </w:p>
    <w:p>
      <w:pPr>
        <w:ind w:left="1780" w:right="8080" w:hanging="407"/>
        <w:spacing w:after="0" w:line="256"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Issuer </w:t>
      </w:r>
      <w:r>
        <w:rPr>
          <w:rFonts w:ascii="Arial" w:cs="Arial" w:eastAsia="Arial" w:hAnsi="Arial"/>
          <w:sz w:val="22"/>
          <w:szCs w:val="22"/>
          <w:color w:val="auto"/>
        </w:rPr>
        <w:t>Itron</w:t>
      </w:r>
    </w:p>
    <w:p>
      <w:pPr>
        <w:spacing w:after="0" w:line="81" w:lineRule="exact"/>
        <w:rPr>
          <w:rFonts w:ascii="Arial" w:cs="Arial" w:eastAsia="Arial" w:hAnsi="Arial"/>
          <w:sz w:val="22"/>
          <w:szCs w:val="22"/>
          <w:b w:val="1"/>
          <w:bCs w:val="1"/>
          <w:color w:val="auto"/>
        </w:rPr>
      </w:pPr>
    </w:p>
    <w:p>
      <w:pPr>
        <w:ind w:left="1780" w:right="518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2111 N. Molter Road, Liberty Lake WA 99019</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Harris Associates L.P. ("Harris")</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Harris Associates Inc. ("General Partner")</w:t>
      </w:r>
    </w:p>
    <w:p>
      <w:pPr>
        <w:spacing w:after="0" w:line="101"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Principal Business Office or, if None, Residence</w:t>
      </w:r>
    </w:p>
    <w:p>
      <w:pPr>
        <w:spacing w:after="0" w:line="14" w:lineRule="exact"/>
        <w:rPr>
          <w:rFonts w:ascii="Arial" w:cs="Arial" w:eastAsia="Arial" w:hAnsi="Arial"/>
          <w:sz w:val="22"/>
          <w:szCs w:val="22"/>
          <w:b w:val="1"/>
          <w:bCs w:val="1"/>
          <w:color w:val="auto"/>
        </w:rPr>
      </w:pPr>
    </w:p>
    <w:p>
      <w:pPr>
        <w:ind w:left="1780" w:right="3380"/>
        <w:spacing w:after="0" w:line="237" w:lineRule="auto"/>
        <w:rPr>
          <w:rFonts w:ascii="Arial" w:cs="Arial" w:eastAsia="Arial" w:hAnsi="Arial"/>
          <w:sz w:val="22"/>
          <w:szCs w:val="22"/>
          <w:b w:val="1"/>
          <w:bCs w:val="1"/>
          <w:color w:val="auto"/>
        </w:rPr>
      </w:pPr>
      <w:r>
        <w:rPr>
          <w:rFonts w:ascii="Arial" w:cs="Arial" w:eastAsia="Arial" w:hAnsi="Arial"/>
          <w:sz w:val="22"/>
          <w:szCs w:val="22"/>
          <w:color w:val="auto"/>
        </w:rPr>
        <w:t>Both Harris and the General Partner maintain their principal offices at: 111 S. Wacker Drive, Suite 4600, Chicago IL 60606</w:t>
      </w:r>
    </w:p>
    <w:p>
      <w:pPr>
        <w:spacing w:after="0" w:line="97"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Harris is a Delaware limited partnership.</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The General Partner is a Delaware corporation.</w:t>
      </w:r>
    </w:p>
    <w:p>
      <w:pPr>
        <w:spacing w:after="0" w:line="101" w:lineRule="exact"/>
        <w:rPr>
          <w:rFonts w:ascii="Arial" w:cs="Arial" w:eastAsia="Arial" w:hAnsi="Arial"/>
          <w:sz w:val="22"/>
          <w:szCs w:val="22"/>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465741106</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ectPr>
          <w:pgSz w:w="11900" w:h="16838" w:orient="portrait"/>
          <w:cols w:equalWidth="0" w:num="1">
            <w:col w:w="11260"/>
          </w:cols>
          <w:pgMar w:left="320" w:top="423" w:right="319" w:bottom="0" w:gutter="0" w:footer="0" w:header="0"/>
        </w:sectPr>
      </w:pP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8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sz w:val="20"/>
          <w:szCs w:val="20"/>
          <w:color w:val="auto"/>
        </w:rPr>
      </w:pPr>
    </w:p>
    <w:p>
      <w:pPr>
        <w:sectPr>
          <w:pgSz w:w="11900" w:h="16838" w:orient="portrait"/>
          <w:cols w:equalWidth="0" w:num="2">
            <w:col w:w="2080" w:space="160"/>
            <w:col w:w="9020"/>
          </w:cols>
          <w:pgMar w:left="320" w:top="423" w:right="319" w:bottom="0" w:gutter="0" w:footer="0" w:header="0"/>
          <w:type w:val="continuous"/>
        </w:sect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spacing w:after="0" w:line="251" w:lineRule="auto"/>
        <w:rPr>
          <w:rFonts w:ascii="Arial" w:cs="Arial" w:eastAsia="Arial" w:hAnsi="Arial"/>
          <w:sz w:val="22"/>
          <w:szCs w:val="22"/>
          <w:color w:val="auto"/>
        </w:rPr>
      </w:pPr>
      <w:r>
        <w:rPr>
          <w:rFonts w:ascii="Arial" w:cs="Arial" w:eastAsia="Arial" w:hAnsi="Arial"/>
          <w:sz w:val="22"/>
          <w:szCs w:val="22"/>
          <w:color w:val="auto"/>
        </w:rPr>
        <w:t>By reason of advisory and other relationships with the person who owns the Shares, Harris may be deemed to be the beneficial owner of the following shares: 2,844,143</w:t>
      </w:r>
    </w:p>
    <w:p>
      <w:pPr>
        <w:spacing w:after="0" w:line="200" w:lineRule="exact"/>
        <w:rPr>
          <w:rFonts w:ascii="Arial" w:cs="Arial" w:eastAsia="Arial" w:hAnsi="Arial"/>
          <w:sz w:val="22"/>
          <w:szCs w:val="22"/>
          <w:color w:val="auto"/>
        </w:rPr>
      </w:pPr>
    </w:p>
    <w:p>
      <w:pPr>
        <w:ind w:left="1780" w:right="300"/>
        <w:spacing w:after="0" w:line="238" w:lineRule="auto"/>
        <w:rPr>
          <w:rFonts w:ascii="Arial" w:cs="Arial" w:eastAsia="Arial" w:hAnsi="Arial"/>
          <w:sz w:val="22"/>
          <w:szCs w:val="22"/>
          <w:color w:val="auto"/>
        </w:rPr>
      </w:pPr>
      <w:r>
        <w:rPr>
          <w:rFonts w:ascii="Arial" w:cs="Arial" w:eastAsia="Arial" w:hAnsi="Arial"/>
          <w:sz w:val="22"/>
          <w:szCs w:val="22"/>
          <w:color w:val="auto"/>
        </w:rPr>
        <w:t>Harris has been granted the power to vote Shares in circumstances it determines to be appropriate in connection with assisting its advised clients to whom it renders financial advice in the ordinary course of business, by either providing information or advice to the persons having such power, or by exercising the power to vote.</w:t>
      </w:r>
    </w:p>
    <w:p>
      <w:pPr>
        <w:spacing w:after="0" w:line="103"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7.4%</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0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420" w:type="dxa"/>
            <w:vAlign w:val="bottom"/>
          </w:tcPr>
          <w:p>
            <w:pPr>
              <w:ind w:left="1560"/>
              <w:spacing w:after="0"/>
              <w:rPr>
                <w:sz w:val="20"/>
                <w:szCs w:val="20"/>
                <w:color w:val="auto"/>
              </w:rPr>
            </w:pPr>
            <w:r>
              <w:rPr>
                <w:rFonts w:ascii="Arial" w:cs="Arial" w:eastAsia="Arial" w:hAnsi="Arial"/>
                <w:sz w:val="22"/>
                <w:szCs w:val="22"/>
                <w:color w:val="auto"/>
                <w:w w:val="85"/>
              </w:rPr>
              <w:t>2,119,848</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0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420" w:type="dxa"/>
            <w:vAlign w:val="bottom"/>
          </w:tcPr>
          <w:p>
            <w:pPr>
              <w:ind w:left="156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0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420" w:type="dxa"/>
            <w:vAlign w:val="bottom"/>
          </w:tcPr>
          <w:p>
            <w:pPr>
              <w:ind w:left="1560"/>
              <w:spacing w:after="0"/>
              <w:rPr>
                <w:sz w:val="20"/>
                <w:szCs w:val="20"/>
                <w:color w:val="auto"/>
              </w:rPr>
            </w:pPr>
            <w:r>
              <w:rPr>
                <w:rFonts w:ascii="Arial" w:cs="Arial" w:eastAsia="Arial" w:hAnsi="Arial"/>
                <w:sz w:val="22"/>
                <w:szCs w:val="22"/>
                <w:color w:val="auto"/>
                <w:w w:val="85"/>
              </w:rPr>
              <w:t>2,844,143</w:t>
            </w:r>
          </w:p>
        </w:tc>
      </w:tr>
    </w:tbl>
    <w:p>
      <w:pPr>
        <w:sectPr>
          <w:pgSz w:w="11900" w:h="16838" w:orient="portrait"/>
          <w:cols w:equalWidth="0" w:num="1">
            <w:col w:w="11260"/>
          </w:cols>
          <w:pgMar w:left="320" w:top="423" w:right="319" w:bottom="0" w:gutter="0" w:footer="0" w:header="0"/>
          <w:type w:val="continuous"/>
        </w:sectPr>
      </w:pPr>
    </w:p>
    <w:bookmarkStart w:id="4" w:name="page5"/>
    <w:bookmarkEnd w:id="4"/>
    <w:p>
      <w:pPr>
        <w:spacing w:after="0" w:line="1"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6560" w:type="dxa"/>
            <w:vAlign w:val="bottom"/>
          </w:tcPr>
          <w:p>
            <w:pPr>
              <w:spacing w:after="0"/>
              <w:rPr>
                <w:sz w:val="20"/>
                <w:szCs w:val="20"/>
                <w:color w:val="auto"/>
              </w:rPr>
            </w:pPr>
            <w:r>
              <w:rPr>
                <w:rFonts w:ascii="Arial" w:cs="Arial" w:eastAsia="Arial" w:hAnsi="Arial"/>
                <w:sz w:val="22"/>
                <w:szCs w:val="22"/>
                <w:color w:val="auto"/>
              </w:rPr>
              <w:t>(iv)  shared power to dispose or to direct the disposition of</w:t>
            </w:r>
          </w:p>
        </w:tc>
        <w:tc>
          <w:tcPr>
            <w:tcW w:w="1560" w:type="dxa"/>
            <w:vAlign w:val="bottom"/>
          </w:tcPr>
          <w:p>
            <w:pPr>
              <w:jc w:val="right"/>
              <w:spacing w:after="0"/>
              <w:rPr>
                <w:sz w:val="20"/>
                <w:szCs w:val="20"/>
                <w:color w:val="auto"/>
              </w:rPr>
            </w:pPr>
            <w:r>
              <w:rPr>
                <w:rFonts w:ascii="Arial" w:cs="Arial" w:eastAsia="Arial" w:hAnsi="Arial"/>
                <w:sz w:val="22"/>
                <w:szCs w:val="22"/>
                <w:color w:val="auto"/>
              </w:rPr>
              <w:t>0</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right="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1380" w:right="10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88"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39" w:lineRule="exact"/>
        <w:rPr>
          <w:sz w:val="20"/>
          <w:szCs w:val="20"/>
          <w:color w:val="auto"/>
        </w:rPr>
      </w:pPr>
    </w:p>
    <w:p>
      <w:pPr>
        <w:ind w:left="138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00"/>
          </w:cols>
          <w:pgMar w:left="320" w:top="118" w:right="379" w:bottom="1440" w:gutter="0" w:footer="0" w:header="0"/>
        </w:sectPr>
      </w:pPr>
    </w:p>
    <w:bookmarkStart w:id="5" w:name="page6"/>
    <w:bookmarkEnd w:id="5"/>
    <w:p>
      <w:pPr>
        <w:jc w:val="center"/>
        <w:ind w:right="-2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4" w:lineRule="exact"/>
        <w:rPr>
          <w:sz w:val="20"/>
          <w:szCs w:val="20"/>
          <w:color w:val="auto"/>
        </w:rPr>
      </w:pPr>
    </w:p>
    <w:p>
      <w:pPr>
        <w:ind w:left="240"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2440"/>
        <w:spacing w:after="0"/>
        <w:rPr>
          <w:sz w:val="20"/>
          <w:szCs w:val="20"/>
          <w:color w:val="auto"/>
        </w:rPr>
      </w:pPr>
      <w:r>
        <w:rPr>
          <w:rFonts w:ascii="Arial" w:cs="Arial" w:eastAsia="Arial" w:hAnsi="Arial"/>
          <w:sz w:val="22"/>
          <w:szCs w:val="22"/>
          <w:color w:val="auto"/>
        </w:rPr>
        <w:t>Harris Associates L.P.</w:t>
      </w:r>
    </w:p>
    <w:p>
      <w:pPr>
        <w:spacing w:after="0" w:line="44" w:lineRule="exact"/>
        <w:rPr>
          <w:sz w:val="20"/>
          <w:szCs w:val="20"/>
          <w:color w:val="auto"/>
        </w:rPr>
      </w:pPr>
    </w:p>
    <w:p>
      <w:pPr>
        <w:ind w:left="2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Kristi L. Rowsell</w:t>
      </w:r>
    </w:p>
    <w:p>
      <w:pPr>
        <w:spacing w:after="0" w:line="44" w:lineRule="exact"/>
        <w:rPr>
          <w:sz w:val="20"/>
          <w:szCs w:val="20"/>
          <w:color w:val="auto"/>
        </w:rPr>
      </w:pPr>
    </w:p>
    <w:p>
      <w:pPr>
        <w:ind w:left="2440"/>
        <w:spacing w:after="0"/>
        <w:rPr>
          <w:sz w:val="20"/>
          <w:szCs w:val="20"/>
          <w:color w:val="auto"/>
        </w:rPr>
      </w:pPr>
      <w:r>
        <w:rPr>
          <w:rFonts w:ascii="Arial" w:cs="Arial" w:eastAsia="Arial" w:hAnsi="Arial"/>
          <w:sz w:val="22"/>
          <w:szCs w:val="22"/>
          <w:color w:val="auto"/>
        </w:rPr>
        <w:t>Date: February 14, 2017</w:t>
      </w:r>
    </w:p>
    <w:p>
      <w:pPr>
        <w:spacing w:after="0" w:line="44" w:lineRule="exact"/>
        <w:rPr>
          <w:sz w:val="20"/>
          <w:szCs w:val="20"/>
          <w:color w:val="auto"/>
        </w:rPr>
      </w:pPr>
    </w:p>
    <w:p>
      <w:pPr>
        <w:ind w:left="2440"/>
        <w:spacing w:after="0"/>
        <w:rPr>
          <w:sz w:val="20"/>
          <w:szCs w:val="20"/>
          <w:color w:val="auto"/>
        </w:rPr>
      </w:pPr>
      <w:r>
        <w:rPr>
          <w:rFonts w:ascii="Arial" w:cs="Arial" w:eastAsia="Arial" w:hAnsi="Arial"/>
          <w:sz w:val="22"/>
          <w:szCs w:val="22"/>
          <w:color w:val="auto"/>
        </w:rPr>
        <w:t>Name: Kristi L. Rowsell</w:t>
      </w:r>
    </w:p>
    <w:p>
      <w:pPr>
        <w:spacing w:after="0" w:line="44" w:lineRule="exact"/>
        <w:rPr>
          <w:sz w:val="20"/>
          <w:szCs w:val="20"/>
          <w:color w:val="auto"/>
        </w:rPr>
      </w:pPr>
    </w:p>
    <w:p>
      <w:pPr>
        <w:ind w:left="2440"/>
        <w:spacing w:after="0"/>
        <w:rPr>
          <w:sz w:val="20"/>
          <w:szCs w:val="20"/>
          <w:color w:val="auto"/>
        </w:rPr>
      </w:pPr>
      <w:r>
        <w:rPr>
          <w:rFonts w:ascii="Arial" w:cs="Arial" w:eastAsia="Arial" w:hAnsi="Arial"/>
          <w:sz w:val="22"/>
          <w:szCs w:val="22"/>
          <w:color w:val="auto"/>
        </w:rPr>
        <w:t>Title: President</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*Harris Associates Inc., for itself and as General Partner of Harris Associates L.P.</w:t>
      </w:r>
    </w:p>
    <w:sectPr>
      <w:pgSz w:w="11900" w:h="16838" w:orient="portrait"/>
      <w:cols w:equalWidth="0" w:num="1">
        <w:col w:w="9259"/>
      </w:cols>
      <w:pgMar w:left="120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2019-12-05T13:07:13Z</dcterms:created>
  <dcterms:modified xsi:type="dcterms:W3CDTF">2019-12-05T13:07:13Z</dcterms:modified>
</cp:coreProperties>
</file>