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46990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2"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29"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(I.R.S. Employer Identification No.)</w:t>
      </w:r>
    </w:p>
    <w:p>
      <w:pPr>
        <w:spacing w:after="0" w:line="189" w:lineRule="exact"/>
        <w:rPr>
          <w:sz w:val="24"/>
          <w:szCs w:val="24"/>
          <w:color w:val="auto"/>
        </w:rPr>
      </w:pPr>
    </w:p>
    <w:p>
      <w:pPr>
        <w:sectPr>
          <w:pgSz w:w="11900" w:h="16838" w:orient="portrait"/>
          <w:cols w:equalWidth="0" w:num="2">
            <w:col w:w="6340" w:space="720"/>
            <w:col w:w="4180"/>
          </w:cols>
          <w:pgMar w:left="320" w:top="1440"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10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ITRI</w:t>
            </w:r>
          </w:p>
        </w:tc>
        <w:tc>
          <w:tcPr>
            <w:tcW w:w="12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40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5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April 30, 2021, there were outstanding 45,132,612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1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2"/>
          </w:tcPr>
          <w:p>
            <w:pPr>
              <w:jc w:val="center"/>
              <w:ind w:right="3100"/>
              <w:spacing w:after="0"/>
              <w:rPr>
                <w:sz w:val="20"/>
                <w:szCs w:val="20"/>
                <w:color w:val="auto"/>
              </w:rPr>
            </w:pPr>
            <w:r>
              <w:rPr>
                <w:rFonts w:ascii="Arial" w:cs="Arial" w:eastAsia="Arial" w:hAnsi="Arial"/>
                <w:sz w:val="18"/>
                <w:szCs w:val="18"/>
                <w:b w:val="1"/>
                <w:bCs w:val="1"/>
                <w:color w:val="auto"/>
                <w:w w:val="96"/>
              </w:rPr>
              <w:t>Itron,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2"/>
          </w:tcPr>
          <w:p>
            <w:pPr>
              <w:jc w:val="center"/>
              <w:ind w:right="312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10200" w:type="dxa"/>
            <w:vAlign w:val="bottom"/>
            <w:gridSpan w:val="10"/>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0" w:type="dxa"/>
            <w:vAlign w:val="bottom"/>
            <w:gridSpan w:val="10"/>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0200" w:type="dxa"/>
            <w:vAlign w:val="bottom"/>
            <w:gridSpan w:val="10"/>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FF"/>
                </w:rPr>
                <w:t>Financial Statements (Unaudited)</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w:t>
              </w:r>
            </w:hyperlink>
          </w:p>
        </w:tc>
        <w:tc>
          <w:tcPr>
            <w:tcW w:w="64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Comprehensive Income (Loss)</w:t>
              </w:r>
            </w:hyperlink>
          </w:p>
        </w:tc>
        <w:tc>
          <w:tcPr>
            <w:tcW w:w="74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4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w:t>
              </w:r>
            </w:hyperlink>
          </w:p>
        </w:tc>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Equity</w:t>
              </w:r>
            </w:hyperlink>
          </w:p>
        </w:tc>
        <w:tc>
          <w:tcPr>
            <w:tcW w:w="74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74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74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0">
        <w:r>
          <w:rPr>
            <w:rFonts w:ascii="Arial" w:cs="Arial" w:eastAsia="Arial" w:hAnsi="Arial"/>
            <w:sz w:val="18"/>
            <w:szCs w:val="18"/>
            <w:u w:val="single" w:color="auto"/>
            <w:color w:val="0000FF"/>
          </w:rPr>
          <w:t>Management’s Discussion and Analysis of Financial Condition and Results of Operations</w:t>
        </w:r>
      </w:hyperlink>
    </w:p>
    <w:p>
      <w:pPr>
        <w:ind w:left="1078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28</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6">
        <w:r>
          <w:rPr>
            <w:rFonts w:ascii="Arial" w:cs="Arial" w:eastAsia="Arial" w:hAnsi="Arial"/>
            <w:sz w:val="18"/>
            <w:szCs w:val="18"/>
            <w:u w:val="single" w:color="auto"/>
            <w:color w:val="0000FF"/>
          </w:rPr>
          <w:t>Quantitative and Qualitative Disclosures About Market Risk</w:t>
        </w:r>
      </w:hyperlink>
    </w:p>
    <w:p>
      <w:pPr>
        <w:ind w:left="1078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8">
        <w:r>
          <w:rPr>
            <w:rFonts w:ascii="Arial" w:cs="Arial" w:eastAsia="Arial" w:hAnsi="Arial"/>
            <w:sz w:val="18"/>
            <w:szCs w:val="18"/>
            <w:u w:val="single" w:color="auto"/>
            <w:color w:val="0000FF"/>
          </w:rPr>
          <w:t>Controls and Procedures</w:t>
        </w:r>
      </w:hyperlink>
    </w:p>
    <w:p>
      <w:pPr>
        <w:ind w:left="1078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46</w:t>
        </w:r>
      </w:hyperlink>
    </w:p>
    <w:p>
      <w:pPr>
        <w:spacing w:after="0" w:line="200" w:lineRule="exact"/>
        <w:rPr>
          <w:sz w:val="20"/>
          <w:szCs w:val="20"/>
          <w:color w:val="auto"/>
        </w:rPr>
      </w:pPr>
    </w:p>
    <w:p>
      <w:pPr>
        <w:spacing w:after="0" w:line="339"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PART II: OTHER INFORMATION</w:t>
        </w:r>
      </w:hyperlink>
    </w:p>
    <w:p>
      <w:pPr>
        <w:spacing w:after="0" w:line="376"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9">
        <w:r>
          <w:rPr>
            <w:rFonts w:ascii="Arial" w:cs="Arial" w:eastAsia="Arial" w:hAnsi="Arial"/>
            <w:sz w:val="18"/>
            <w:szCs w:val="18"/>
            <w:u w:val="single" w:color="auto"/>
            <w:color w:val="0000FF"/>
          </w:rPr>
          <w:t>Legal Proceedings</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47</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9">
        <w:r>
          <w:rPr>
            <w:rFonts w:ascii="Arial" w:cs="Arial" w:eastAsia="Arial" w:hAnsi="Arial"/>
            <w:sz w:val="18"/>
            <w:szCs w:val="18"/>
            <w:u w:val="single" w:color="auto"/>
            <w:color w:val="0000FF"/>
          </w:rPr>
          <w:t>Risk Factors</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47</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9">
        <w:r>
          <w:rPr>
            <w:rFonts w:ascii="Arial" w:cs="Arial" w:eastAsia="Arial" w:hAnsi="Arial"/>
            <w:sz w:val="18"/>
            <w:szCs w:val="18"/>
            <w:u w:val="single" w:color="auto"/>
            <w:color w:val="0000FF"/>
          </w:rPr>
          <w:t>Unregistered Sales of Equity Securities and Use of Proceeds</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47</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9">
        <w:r>
          <w:rPr>
            <w:rFonts w:ascii="Arial" w:cs="Arial" w:eastAsia="Arial" w:hAnsi="Arial"/>
            <w:sz w:val="18"/>
            <w:szCs w:val="18"/>
            <w:u w:val="single" w:color="auto"/>
            <w:color w:val="0000FF"/>
          </w:rPr>
          <w:t>Other Information</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47</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49">
        <w:r>
          <w:rPr>
            <w:rFonts w:ascii="Arial" w:cs="Arial" w:eastAsia="Arial" w:hAnsi="Arial"/>
            <w:sz w:val="18"/>
            <w:szCs w:val="18"/>
            <w:u w:val="single" w:color="auto"/>
            <w:color w:val="0000FF"/>
          </w:rPr>
          <w:t>Exhibits</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48</w:t>
        </w:r>
      </w:hyperlink>
    </w:p>
    <w:p>
      <w:pPr>
        <w:sectPr>
          <w:pgSz w:w="11900" w:h="16838" w:orient="portrait"/>
          <w:cols w:equalWidth="0" w:num="1">
            <w:col w:w="10960"/>
          </w:cols>
          <w:pgMar w:left="320" w:top="108" w:right="6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10760" w:val="left"/>
        </w:tabs>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SIGNATURE</w:t>
      </w:r>
      <w:r>
        <w:rPr>
          <w:sz w:val="20"/>
          <w:szCs w:val="20"/>
          <w:color w:val="auto"/>
        </w:rPr>
        <w:tab/>
      </w:r>
      <w:hyperlink w:anchor="page50">
        <w:r>
          <w:rPr>
            <w:rFonts w:ascii="Arial" w:cs="Arial" w:eastAsia="Arial" w:hAnsi="Arial"/>
            <w:sz w:val="16"/>
            <w:szCs w:val="16"/>
            <w:u w:val="single" w:color="auto"/>
            <w:color w:val="0000FF"/>
          </w:rPr>
          <w:t>49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 w:right="6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revenues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70,278</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598,415</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cost of revenues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384,681</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cost of revenues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42,168</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352,530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426,849</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167,044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171,566</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80,498</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51,727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53,781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145,196</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30,940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26,370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Itron, Inc.</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common share - Basic</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 - Diluted</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41,526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40,043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2020</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r>
      <w:tr>
        <w:trPr>
          <w:trHeight w:val="257"/>
        </w:trPr>
        <w:tc>
          <w:tcPr>
            <w:tcW w:w="6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67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(25,445)</w:t>
            </w: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Net unrealized gain (loss) on derivative instruments, designated as cash flow hedges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9"/>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 benefit obligation adjustment</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(25,211)</w:t>
            </w:r>
          </w:p>
        </w:tc>
      </w:tr>
      <w:tr>
        <w:trPr>
          <w:trHeight w:val="236"/>
        </w:trPr>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w:t>
            </w:r>
          </w:p>
        </w:tc>
      </w:tr>
      <w:tr>
        <w:trPr>
          <w:trHeight w:val="237"/>
        </w:trPr>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(16,527)</w:t>
            </w: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Arial" w:cs="Arial" w:eastAsia="Arial" w:hAnsi="Arial"/>
                <w:sz w:val="18"/>
                <w:szCs w:val="18"/>
                <w:b w:val="1"/>
                <w:bCs w:val="1"/>
                <w:color w:val="auto"/>
              </w:rPr>
              <w:t>ITRON, INC.</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940" w:type="dxa"/>
            <w:vAlign w:val="bottom"/>
            <w:gridSpan w:val="2"/>
          </w:tcPr>
          <w:p>
            <w:pPr>
              <w:jc w:val="center"/>
              <w:ind w:left="2650"/>
              <w:spacing w:after="0"/>
              <w:rPr>
                <w:sz w:val="20"/>
                <w:szCs w:val="20"/>
                <w:color w:val="auto"/>
              </w:rPr>
            </w:pPr>
            <w:r>
              <w:rPr>
                <w:rFonts w:ascii="Arial" w:cs="Arial" w:eastAsia="Arial" w:hAnsi="Arial"/>
                <w:sz w:val="18"/>
                <w:szCs w:val="18"/>
                <w:b w:val="1"/>
                <w:bCs w:val="1"/>
                <w:color w:val="auto"/>
                <w:w w:val="99"/>
              </w:rPr>
              <w:t>CONSOLIDATED BALANCE SHEETS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22"/>
        </w:trPr>
        <w:tc>
          <w:tcPr>
            <w:tcW w:w="1280" w:type="dxa"/>
            <w:vAlign w:val="bottom"/>
            <w:tcBorders>
              <w:top w:val="single" w:sz="8" w:color="auto"/>
            </w:tcBorders>
          </w:tcPr>
          <w:p>
            <w:pPr>
              <w:spacing w:after="0"/>
              <w:rPr>
                <w:sz w:val="19"/>
                <w:szCs w:val="19"/>
                <w:color w:val="auto"/>
              </w:rPr>
            </w:pPr>
          </w:p>
        </w:tc>
        <w:tc>
          <w:tcPr>
            <w:tcW w:w="548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94"/>
              </w:rPr>
              <w:t>ASSETS</w:t>
            </w:r>
          </w:p>
        </w:tc>
        <w:tc>
          <w:tcPr>
            <w:tcW w:w="4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206,933</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365,826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369,828</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171,124</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930,262</w:t>
            </w:r>
          </w:p>
        </w:tc>
        <w:tc>
          <w:tcPr>
            <w:tcW w:w="0" w:type="dxa"/>
            <w:vAlign w:val="bottom"/>
          </w:tcPr>
          <w:p>
            <w:pPr>
              <w:spacing w:after="0"/>
              <w:rPr>
                <w:sz w:val="1"/>
                <w:szCs w:val="1"/>
                <w:color w:val="auto"/>
              </w:rPr>
            </w:pPr>
          </w:p>
        </w:tc>
      </w:tr>
      <w:tr>
        <w:trPr>
          <w:trHeight w:val="162"/>
        </w:trPr>
        <w:tc>
          <w:tcPr>
            <w:tcW w:w="67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76,276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1,118,322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1,131,916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2,607,023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72,591</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Wages and benefits payable</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Taxes payable</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Current portion of warranty</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Unearned revenue</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112,928</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909,562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549,899</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496,531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902,577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Pension benefit obligation</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115,257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119,457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65,822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1,706,800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1,766,750</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4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6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88"/>
              </w:rPr>
              <w:t>Common stock, no par value, 75,000 shares authorized, 45,122 and 40,444 shares issued</w:t>
            </w:r>
          </w:p>
        </w:tc>
        <w:tc>
          <w:tcPr>
            <w:tcW w:w="4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1,768,517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1,389,419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and outstanding</w:t>
            </w:r>
          </w:p>
        </w:tc>
        <w:tc>
          <w:tcPr>
            <w:tcW w:w="4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(434,345)</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Itron, Inc. shareholders' 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816,548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840,273</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liabilities and equity</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2,927,968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2,607,023</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6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40,444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1,389,419</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816,548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840,273</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13,580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 issued related to equity offering</w:t>
            </w:r>
          </w:p>
        </w:tc>
        <w:tc>
          <w:tcPr>
            <w:tcW w:w="820" w:type="dxa"/>
            <w:vAlign w:val="bottom"/>
          </w:tcPr>
          <w:p>
            <w:pPr>
              <w:jc w:val="right"/>
              <w:spacing w:after="0"/>
              <w:rPr>
                <w:sz w:val="20"/>
                <w:szCs w:val="20"/>
                <w:color w:val="auto"/>
              </w:rPr>
            </w:pPr>
            <w:r>
              <w:rPr>
                <w:rFonts w:ascii="Arial" w:cs="Arial" w:eastAsia="Arial" w:hAnsi="Arial"/>
                <w:sz w:val="14"/>
                <w:szCs w:val="14"/>
                <w:color w:val="auto"/>
              </w:rPr>
              <w:t>4,472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389,419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389,419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warrants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w w:val="95"/>
              </w:rPr>
              <w:t>Purchases of convertible note hedge contracts,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fee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45,122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1,768,517</w:t>
            </w:r>
          </w:p>
        </w:tc>
        <w:tc>
          <w:tcPr>
            <w:tcW w:w="10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(421,742)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1,196,466</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1,221,168</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1,357,600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(376,390)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776,538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9,162</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1,368,329</w:t>
            </w:r>
          </w:p>
        </w:tc>
        <w:tc>
          <w:tcPr>
            <w:tcW w:w="100" w:type="dxa"/>
            <w:vAlign w:val="bottom"/>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(229,883)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(367,706)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770,740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24,755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795,495</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1"/>
        </w:trPr>
        <w:tc>
          <w:tcPr>
            <w:tcW w:w="778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13,580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9,162</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24,031</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4,330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5,496</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8,482</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1,007</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taxes, net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Restructuring, non-cash</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(874)</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 net of sale of business: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1,185</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15,692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(4,526)</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long-term assets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(26,978)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Wages and benefits payable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(19,977)</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18,050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17,395</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Warranty</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w:t>
            </w: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(14,435)</w:t>
            </w: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49,955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18,894</w:t>
            </w: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Net proceeds related to the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2,842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(12,602)</w:t>
            </w: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investing, net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(9,257)</w:t>
            </w: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Proceeds from borrowings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460,000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Issuance of common stock</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2,911</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common stock offering</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389,419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Proceeds from sale of warrants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45,349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convertible note hedge contracts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(664)</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debt fees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financing, net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324,581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401,737</w:t>
            </w: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(6,758)</w:t>
            </w: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Increase in cash and cash equivalents</w:t>
            </w: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367,659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404,616</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206,933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149,904</w:t>
            </w: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574,592</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554,520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7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(received) during the period for:</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Income taxes,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2,147</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(5,370)</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14,804</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2021 and 2020, Consolidated Statements of Equity for the three months ended March 31, 2021 and 2020, the Consolidated Statements of Cash Flows for the three months ended March 31, 2021 and 2020, and the Consolidated Balance Sheets as of March 31, 2021 and December 31, 2020, of Itron, Inc. and its subsidiaries. All entries required for the fair presentation of the financial statements are of a normal recurring nature, except as disclosed. The results of operations for the three months ended March 31, 2021 are not necessarily indicative of the results expected for the full year or for any other period.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2020 filed with the SEC in our Annual Report on Form 10-K on February 24, 2021 (2020 Annual Report). There have been no significant changes in financial statement preparation or significant accounting policies since December 31, 2020.</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has had global economic impacts including disrupting global supply chains and creating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results for 2021. Incremental costs we have incurred related to COVID-19, such as personal protective equipment, increased cleaning and sanitizing of our facilities, and other such items, have not been material to date. At this time, we have not identified any significant decrease in long-term customer demand for our products and services. Certain of our customers' projects and deployments have continued to shift later into 2021 and beyond.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modifies certain provisions of Accounting Standards Codification (ASC) 740,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of accounting for income taxes. ASU 2019-12 is effective for us beginning with our interim financial reports for the first quarter of 2021. The adoption of this standard had no impact to our Q1 consolidated financial position, results of operations, or cash flows and is not expected to have a material impact on full year 2021 financial results.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This amendment simplifies the accounting for certain financial instruments with characteristics of liabilities and equity, including convertible instruments and contracts on an entity’s own equity. We have chosen to early adopt ASU 2020-06 beginning January 1, 2021, due to the issuance of our convertible debt on March 9, 2021. This amendment will have no retrospective changes but will impact how our newly issued convertible debt is both recognized and disclosed. ASU 2020-06 also amends the diluted earnings per share calculation for convertible instruments by requiring the use of the if-converted method. The treasury stock method is no longer available.</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which provides optional expedients and exceptions for applying GAAP to contracts,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hedging relationships, and other transactions affected by 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can be adopted as of March 12, 2020 or thereafter. In January 2021, the FASB issued ASU 2021-01, which further updates the scope of Topic 848.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r>
      <w:tr>
        <w:trPr>
          <w:trHeight w:val="257"/>
        </w:trPr>
        <w:tc>
          <w:tcPr>
            <w:tcW w:w="6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Dilutive effect of stock-based awards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convertible notes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5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41,964</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40,474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common share - Basic</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760" w:type="dxa"/>
            <w:vAlign w:val="bottom"/>
          </w:tcPr>
          <w:p>
            <w:pPr>
              <w:ind w:left="20"/>
              <w:spacing w:after="0"/>
              <w:rPr>
                <w:sz w:val="20"/>
                <w:szCs w:val="20"/>
                <w:color w:val="auto"/>
              </w:rPr>
            </w:pPr>
            <w:r>
              <w:rPr>
                <w:rFonts w:ascii="Arial" w:cs="Arial" w:eastAsia="Arial" w:hAnsi="Arial"/>
                <w:sz w:val="16"/>
                <w:szCs w:val="16"/>
                <w:color w:val="auto"/>
              </w:rPr>
              <w:t>Net income per common share - Diluted</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r>
      <w:tr>
        <w:trPr>
          <w:trHeight w:val="21"/>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0.1 million and 0.3 million stock-based awards were excluded from the calculation of diluted EPS for the three months ended March 31, 2021 and 2020 because they were anti-dilutive. These stock-based awards could be dilutive in future periods.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and Warrants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Convertible Notes issued in March 2021, the dilutive effect is calculated using the if-converted method in accordance with ASU 2020-06.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conversion obligation, assuming all the Convertible Notes are converted. The average closing price of our common stock for the quarter ended March 31, 2021 is used as the basis for determining the dilutive effect on EPS. The average price of our common stock for the quarter ended March 31, 2021 was less than the conversion price of $126.00, and all associated shares were anti-dilutive.</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conjunction with the issuance of the Convertible Notes, we sold warrants to purchase 3.7 million shares of Itron stock. The warrants have a strike price of $180.00 per share. For calculating the dilutive effect of the warrants, we use the treasury stock method. With this method, we assume exercise of the warrants at the beginning of the period, or at time of issuance if later, and issuance of common shares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shares. For periods where the warrants strike price of $180.00 per share is greater than the average share price of Itron stock for the period, the warrants would be anti-dilutive. For the quarter ended March 31, 2021, the average share price was below the warrant strike price, and therefore 3.7 million shares were considered anti-dilutive.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issuance of the Convertible Notes, we entered into privately negotiated call option contracts on our common stock (the Convertible Note Hedge Transactions) with certain commercial banks (the Counterparties). We paid an aggregate amount of $84.1 million for the Convertible Note Hedge Transactions. The Convertible Note Hedge Transactions cover, subject to anti-dilution adjustments substantially similar to those in the Convertible Notes, approximately 3.7 million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1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Accounts receivable, net</w:t>
            </w: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$1,136 and $1,312)</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319,052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318,269</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46,774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51,559</w:t>
            </w: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accounts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369,828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ind w:left="240"/>
              <w:spacing w:after="0"/>
              <w:rPr>
                <w:sz w:val="20"/>
                <w:szCs w:val="20"/>
                <w:color w:val="auto"/>
              </w:rPr>
            </w:pPr>
            <w:r>
              <w:rPr>
                <w:rFonts w:ascii="Arial" w:cs="Arial" w:eastAsia="Arial" w:hAnsi="Arial"/>
                <w:sz w:val="16"/>
                <w:szCs w:val="16"/>
                <w:i w:val="1"/>
                <w:iCs w:val="1"/>
                <w:color w:val="auto"/>
              </w:rPr>
              <w:t>Allowance for credit losses account activity</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13"/>
        </w:trPr>
        <w:tc>
          <w:tcPr>
            <w:tcW w:w="672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i w:val="1"/>
                <w:iCs w:val="1"/>
                <w:color w:val="auto"/>
              </w:rPr>
              <w:t>Inventories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6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March 31, 2021</w:t>
            </w:r>
          </w:p>
        </w:tc>
        <w:tc>
          <w:tcPr>
            <w:tcW w:w="260" w:type="dxa"/>
            <w:vAlign w:val="bottom"/>
          </w:tcPr>
          <w:p>
            <w:pPr>
              <w:spacing w:after="0"/>
              <w:rPr>
                <w:sz w:val="19"/>
                <w:szCs w:val="19"/>
                <w:color w:val="auto"/>
              </w:rPr>
            </w:pPr>
          </w:p>
        </w:tc>
        <w:tc>
          <w:tcPr>
            <w:tcW w:w="1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60" w:type="dxa"/>
            <w:vAlign w:val="bottom"/>
            <w:tcBorders>
              <w:top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114,058</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9,287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8,094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60,225</w:t>
            </w:r>
          </w:p>
        </w:tc>
        <w:tc>
          <w:tcPr>
            <w:tcW w:w="0" w:type="dxa"/>
            <w:vAlign w:val="bottom"/>
          </w:tcPr>
          <w:p>
            <w:pPr>
              <w:spacing w:after="0"/>
              <w:rPr>
                <w:sz w:val="1"/>
                <w:szCs w:val="1"/>
                <w:color w:val="auto"/>
              </w:rPr>
            </w:pPr>
          </w:p>
        </w:tc>
      </w:tr>
      <w:tr>
        <w:trPr>
          <w:trHeight w:val="213"/>
        </w:trPr>
        <w:tc>
          <w:tcPr>
            <w:tcW w:w="672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3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169,412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182,377</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40"/>
              <w:spacing w:after="0"/>
              <w:rPr>
                <w:sz w:val="20"/>
                <w:szCs w:val="20"/>
                <w:color w:val="auto"/>
              </w:rPr>
            </w:pPr>
            <w:r>
              <w:rPr>
                <w:rFonts w:ascii="Arial" w:cs="Arial" w:eastAsia="Arial" w:hAnsi="Arial"/>
                <w:sz w:val="16"/>
                <w:szCs w:val="16"/>
                <w:i w:val="1"/>
                <w:iCs w:val="1"/>
                <w:color w:val="auto"/>
              </w:rPr>
              <w:t>Property, plant, and equipment, net</w:t>
            </w: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3"/>
        </w:trPr>
        <w:tc>
          <w:tcPr>
            <w:tcW w:w="6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March 31, 2021</w:t>
            </w:r>
          </w:p>
        </w:tc>
        <w:tc>
          <w:tcPr>
            <w:tcW w:w="260" w:type="dxa"/>
            <w:vAlign w:val="bottom"/>
          </w:tcPr>
          <w:p>
            <w:pPr>
              <w:spacing w:after="0"/>
              <w:rPr>
                <w:sz w:val="19"/>
                <w:szCs w:val="19"/>
                <w:color w:val="auto"/>
              </w:rPr>
            </w:pPr>
          </w:p>
        </w:tc>
        <w:tc>
          <w:tcPr>
            <w:tcW w:w="1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top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333,973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334,050</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116,121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115,776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155,676</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Land</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13,900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14,303</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31,425</w:t>
            </w:r>
          </w:p>
        </w:tc>
        <w:tc>
          <w:tcPr>
            <w:tcW w:w="0" w:type="dxa"/>
            <w:vAlign w:val="bottom"/>
          </w:tcPr>
          <w:p>
            <w:pPr>
              <w:spacing w:after="0"/>
              <w:rPr>
                <w:sz w:val="1"/>
                <w:szCs w:val="1"/>
                <w:color w:val="auto"/>
              </w:rPr>
            </w:pPr>
          </w:p>
        </w:tc>
      </w:tr>
      <w:tr>
        <w:trPr>
          <w:trHeight w:val="206"/>
        </w:trPr>
        <w:tc>
          <w:tcPr>
            <w:tcW w:w="672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647,447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651,230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(447,797)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(443,414)</w:t>
            </w:r>
          </w:p>
        </w:tc>
        <w:tc>
          <w:tcPr>
            <w:tcW w:w="0" w:type="dxa"/>
            <w:vAlign w:val="bottom"/>
          </w:tcPr>
          <w:p>
            <w:pPr>
              <w:spacing w:after="0"/>
              <w:rPr>
                <w:sz w:val="1"/>
                <w:szCs w:val="1"/>
                <w:color w:val="auto"/>
              </w:rPr>
            </w:pPr>
          </w:p>
        </w:tc>
      </w:tr>
      <w:tr>
        <w:trPr>
          <w:trHeight w:val="213"/>
        </w:trPr>
        <w:tc>
          <w:tcPr>
            <w:tcW w:w="672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207,816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6720" w:type="dxa"/>
            <w:vAlign w:val="bottom"/>
          </w:tcPr>
          <w:p>
            <w:pPr>
              <w:ind w:left="240"/>
              <w:spacing w:after="0"/>
              <w:rPr>
                <w:sz w:val="20"/>
                <w:szCs w:val="20"/>
                <w:color w:val="auto"/>
              </w:rPr>
            </w:pPr>
            <w:r>
              <w:rPr>
                <w:rFonts w:ascii="Arial" w:cs="Arial" w:eastAsia="Arial" w:hAnsi="Arial"/>
                <w:sz w:val="16"/>
                <w:szCs w:val="16"/>
                <w:i w:val="1"/>
                <w:iCs w:val="1"/>
                <w:color w:val="auto"/>
              </w:rPr>
              <w:t>Depreciation expense</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Accretion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(281,965)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96,465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102,748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983,633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(860,772)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(867,082)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979,814</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(16,075)</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gross ending balance</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983,633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963,739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Amortization, net</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(amount remaining at March 31,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26,975</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27,516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27,057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15,700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16,594</w:t>
            </w:r>
          </w:p>
        </w:tc>
        <w:tc>
          <w:tcPr>
            <w:tcW w:w="0" w:type="dxa"/>
            <w:vAlign w:val="bottom"/>
          </w:tcPr>
          <w:p>
            <w:pPr>
              <w:spacing w:after="0"/>
              <w:rPr>
                <w:sz w:val="1"/>
                <w:szCs w:val="1"/>
                <w:color w:val="auto"/>
              </w:rPr>
            </w:pPr>
          </w:p>
        </w:tc>
      </w:tr>
      <w:tr>
        <w:trPr>
          <w:trHeight w:val="235"/>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120,930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4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Note 5:  Goodwill</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8420" w:type="dxa"/>
            <w:vAlign w:val="bottom"/>
            <w:gridSpan w:val="9"/>
          </w:tcPr>
          <w:p>
            <w:pPr>
              <w:spacing w:after="0"/>
              <w:rPr>
                <w:sz w:val="20"/>
                <w:szCs w:val="20"/>
                <w:color w:val="auto"/>
              </w:rPr>
            </w:pPr>
            <w:r>
              <w:rPr>
                <w:rFonts w:ascii="Arial" w:cs="Arial" w:eastAsia="Arial" w:hAnsi="Arial"/>
                <w:sz w:val="18"/>
                <w:szCs w:val="18"/>
                <w:color w:val="auto"/>
                <w:w w:val="91"/>
              </w:rPr>
              <w:t>The following table reflects changes in the carrying amount of goodwill for the three months ended March 31, 2021: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0"/>
        </w:trPr>
        <w:tc>
          <w:tcPr>
            <w:tcW w:w="4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Device Solutions</w:t>
            </w: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Networked Solutions</w:t>
            </w:r>
          </w:p>
        </w:tc>
        <w:tc>
          <w:tcPr>
            <w:tcW w:w="4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Outcomes</w:t>
            </w:r>
          </w:p>
        </w:tc>
        <w:tc>
          <w:tcPr>
            <w:tcW w:w="180" w:type="dxa"/>
            <w:vAlign w:val="bottom"/>
          </w:tcPr>
          <w:p>
            <w:pPr>
              <w:spacing w:after="0"/>
              <w:rPr>
                <w:sz w:val="20"/>
                <w:szCs w:val="20"/>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Total Company</w:t>
            </w:r>
          </w:p>
        </w:tc>
      </w:tr>
      <w:tr>
        <w:trPr>
          <w:trHeight w:val="213"/>
        </w:trPr>
        <w:tc>
          <w:tcPr>
            <w:tcW w:w="4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6"/>
              </w:rPr>
              <w:t>933,814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1,131,916</w:t>
            </w:r>
          </w:p>
        </w:tc>
      </w:tr>
      <w:tr>
        <w:trPr>
          <w:trHeight w:val="213"/>
        </w:trPr>
        <w:tc>
          <w:tcPr>
            <w:tcW w:w="4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w w:val="90"/>
              </w:rPr>
              <w:t>(11,288)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(13,594)</w:t>
            </w:r>
          </w:p>
        </w:tc>
      </w:tr>
      <w:tr>
        <w:trPr>
          <w:trHeight w:val="234"/>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balance at March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6"/>
              </w:rPr>
              <w:t>922,526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1,118,322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6780" w:type="dxa"/>
            <w:vAlign w:val="bottom"/>
            <w:gridSpan w:val="2"/>
          </w:tcPr>
          <w:p>
            <w:pPr>
              <w:spacing w:after="0"/>
              <w:rPr>
                <w:sz w:val="20"/>
                <w:szCs w:val="20"/>
                <w:color w:val="auto"/>
              </w:rPr>
            </w:pPr>
            <w:r>
              <w:rPr>
                <w:rFonts w:ascii="Arial" w:cs="Arial" w:eastAsia="Arial" w:hAnsi="Arial"/>
                <w:sz w:val="16"/>
                <w:szCs w:val="16"/>
                <w:color w:val="auto"/>
              </w:rPr>
              <w:t>Credit facility</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536,094</w:t>
            </w:r>
          </w:p>
        </w:tc>
      </w:tr>
      <w:tr>
        <w:trPr>
          <w:trHeight w:val="213"/>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notes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921,094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936,094</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current portion of debt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18,359</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term loan</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unamortized prepaid debt fees - senior notes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11,689</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convertible notes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Long-term debt,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496,531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902,577</w:t>
            </w:r>
          </w:p>
        </w:tc>
      </w:tr>
      <w:tr>
        <w:trPr>
          <w:trHeight w:val="2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1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3"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Note 7: Derivative Financial Instruments for further details of the Convertible Note Hedge Transactions and Warrant Transactions.</w:t>
      </w:r>
    </w:p>
    <w:p>
      <w:pPr>
        <w:spacing w:after="0" w:line="21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2021.</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right="20" w:firstLine="8"/>
        <w:spacing w:after="0" w:line="25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March 31, 2021, the interest rate for both the term loan and revolver was 1.86%, which includes the LIBOR rate plus a margin of 1.75%.</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we drew $400 million in U.S. dollars under the revolving line of credit within the 2018 credit facility to increase our cash position and preserve future financial flexibility, which was fully repaid as of December 31, 2020. At March 31, 2021, there was no amount outstanding under the revolver, and $64.3 million was utilized by outstanding standby letters of credit, resulting in $435.7 million available for additional borrowings or standby letters of credit. At March 31, 2021, $235.7 million was available for additional standby letters of credit under the letter of credit sub-facility, and no amounts were outstanding under the swingline sub-facility.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2017 and January 2018, we issued $300 million and $100 million of aggregate principal amount of 5.00% senior notes maturing January 15, 2026 (Senior Notes). The proceeds were used to refinance existing indebtedness related to the acquisition of Silver Spring Networks, Inc., pay related fees and expenses, and for general corporate purposes. Interest on the Senior Notes was payable semi-annually in arrears on January 15 and July 15. The Senior Notes were fully and unconditionally guaranteed, jointly and severally, on a senior unsecured basis by each of our subsidiaries that guarantee the senior credit facilities.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 million. As of April 8, 2021 the Senior Notes have been fully discharged, and no principal or unpaid interest remains outstanding. The 2.5%, or $10 million, early redemption premium and write off of $11.1 million prepaid debt fees will be recognized in the second quarter of 2021.</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12, 2021, we closed the sale of the Convertible Notes in a private placement to qualified institutional buyers, resulting in net proceeds to us of approximately $448.5 million after deducting initial purchasers’ discounts of the offering (the Convertible Notes).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Notes for each trading day of the measurement period was less than 98% of the product of the last reported sale price of the common stock and the conversion rate on each such trading day; (3) upon the occurrence of specified corporate events; or (4) upon redemption by us. On or after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09"/>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(amount remaining at March 31,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61,094</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r>
      <w:tr>
        <w:trPr>
          <w:trHeight w:val="238"/>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921,094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Refer to Note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and Note 14: Fair Value of Financial Instruments for additional disclosures on our derivative instruments.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Assets</w:t>
            </w:r>
          </w:p>
        </w:tc>
        <w:tc>
          <w:tcPr>
            <w:tcW w:w="344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March 31, 2021</w:t>
            </w: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1"/>
              </w:rPr>
              <w:t>December 31, 2020</w:t>
            </w:r>
          </w:p>
        </w:tc>
      </w:tr>
      <w:tr>
        <w:trPr>
          <w:trHeight w:val="209"/>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2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options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Cross currency swap contract</w:t>
            </w:r>
          </w:p>
        </w:tc>
        <w:tc>
          <w:tcPr>
            <w:tcW w:w="3440" w:type="dxa"/>
            <w:vAlign w:val="bottom"/>
          </w:tcPr>
          <w:p>
            <w:pPr>
              <w:ind w:left="84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4"/>
        </w:trPr>
        <w:tc>
          <w:tcPr>
            <w:tcW w:w="3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Total asset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33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3"/>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Liabilities</w:t>
            </w:r>
          </w:p>
        </w:tc>
        <w:tc>
          <w:tcPr>
            <w:tcW w:w="34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09"/>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 contracts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Interest rate swap contracts</w:t>
            </w:r>
          </w:p>
        </w:tc>
        <w:tc>
          <w:tcPr>
            <w:tcW w:w="3440" w:type="dxa"/>
            <w:vAlign w:val="bottom"/>
          </w:tcPr>
          <w:p>
            <w:pPr>
              <w:ind w:left="840"/>
              <w:spacing w:after="0"/>
              <w:rPr>
                <w:sz w:val="20"/>
                <w:szCs w:val="20"/>
                <w:color w:val="auto"/>
              </w:rPr>
            </w:pPr>
            <w:r>
              <w:rPr>
                <w:rFonts w:ascii="Arial" w:cs="Arial" w:eastAsia="Arial" w:hAnsi="Arial"/>
                <w:sz w:val="16"/>
                <w:szCs w:val="16"/>
                <w:color w:val="auto"/>
              </w:rPr>
              <w:t>Other long-term obligations</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Cross currency swap contract</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liabilities</w:t>
            </w:r>
          </w:p>
        </w:tc>
        <w:tc>
          <w:tcPr>
            <w:tcW w:w="3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7"/>
        </w:trPr>
        <w:tc>
          <w:tcPr>
            <w:tcW w:w="3320" w:type="dxa"/>
            <w:vAlign w:val="bottom"/>
          </w:tcPr>
          <w:p>
            <w:pPr>
              <w:ind w:left="400"/>
              <w:spacing w:after="0"/>
              <w:rPr>
                <w:sz w:val="20"/>
                <w:szCs w:val="20"/>
                <w:color w:val="auto"/>
              </w:rPr>
            </w:pPr>
            <w:r>
              <w:rPr>
                <w:rFonts w:ascii="Arial" w:cs="Arial" w:eastAsia="Arial" w:hAnsi="Arial"/>
                <w:sz w:val="16"/>
                <w:szCs w:val="16"/>
                <w:b w:val="1"/>
                <w:bCs w:val="1"/>
                <w:color w:val="auto"/>
              </w:rPr>
              <w:t>Total liability derivatives</w:t>
            </w:r>
          </w:p>
        </w:tc>
        <w:tc>
          <w:tcPr>
            <w:tcW w:w="344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r>
      <w:tr>
        <w:trPr>
          <w:trHeight w:val="2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designated as hedging instruments, net of tax, were as follows:</w:t>
      </w:r>
    </w:p>
    <w:tbl>
      <w:tblPr>
        <w:tblLayout w:type="fixed"/>
        <w:tblInd w:w="0" w:type="dxa"/>
        <w:tblCellMar>
          <w:top w:w="0" w:type="dxa"/>
          <w:left w:w="0" w:type="dxa"/>
          <w:bottom w:w="0" w:type="dxa"/>
          <w:right w:w="0" w:type="dxa"/>
        </w:tblCellMar>
      </w:tblP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Unrealized gain (loss) on derivative instruments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losses reclassified into net income (loss)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06"/>
        </w:trPr>
        <w:tc>
          <w:tcPr>
            <w:tcW w:w="676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March 31,</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(13,473)</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(15,870)</w:t>
            </w:r>
          </w:p>
        </w:tc>
      </w:tr>
      <w:tr>
        <w:trPr>
          <w:trHeight w:val="24"/>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March 31, 2021 and 2020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w w:val="96"/>
              </w:rPr>
              <w:t>Cash Collateral Received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0"/>
        </w:trPr>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Cash Collateral Pledged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derivative assets and liabilities subject to netting arrangements consist of foreign exchange forward and interest rate contracts with six counterparties at March 31, 2021 and six counterparties at December 31, 2020. No derivative asset or liability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balance with any of our counterparties was individually significant at March 31, 2021 or December 31, 2020.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floating rate debt under our Credit Facility,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March 31, 2021, our LIBOR-based debt balance was $61.1 million.</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2015, we entered into one interest rate swap, which was effective from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the term loan. This cash flow hedge was expected to be highly effective in achieving offsetting cash flows attributable to the hedged risk through the term of the hedge. Consequently, effective changes in the fair value of the interest rate swap were recognized as a component of other comprehensive income (loss) (OCI) and recognized in earnings when the hedged item affected earnings. The amounts paid or received on the hedge were recognized as adjustment to interest expense.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we entered into one interest rate swap, which was effective from June 30, 2020 to June 30, 2023, and converted $240 million of our LIBOR-based debt from a floating LIBOR interest rate to a fixed interest rate of 0.617% (excluding the applicable margin). The notional balance amortized to maturity at the same rate of originally required amortizations on our term loan. Changes in the fair value of the interest rate swap were recognized as a component of OCI and recognized in earnings when the hedged item affected earnings. The amounts paid or received on the hedge was recognized as an adjustment to interest expense along with the earnings effect of the hedged item. On March 17, 2021 following the paydown of the term loan within the 2018 credit facility, we terminated the interest rate swap, and paid a fee of $1.7 million to settle it, since the likelihood of LIBOR-based interest payments was no longer probable of occurring.</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one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$1.8 million.</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$77 million at a cost of $1.1 million. The contracts will mature ratably through the year with final maturity in October 2021. Changes in the fair value of the option contracts are recognized as a component of OCI and will be recognized in product cost of revenues when the hedged item affects earnings.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3"/>
              </w:rPr>
              <w:t>Derivatives in ASC 815-20</w:t>
            </w:r>
          </w:p>
        </w:tc>
        <w:tc>
          <w:tcPr>
            <w:tcW w:w="2640" w:type="dxa"/>
            <w:vAlign w:val="bottom"/>
            <w:gridSpan w:val="4"/>
            <w:vMerge w:val="restart"/>
          </w:tcPr>
          <w:p>
            <w:pPr>
              <w:jc w:val="center"/>
              <w:ind w:left="739"/>
              <w:spacing w:after="0"/>
              <w:rPr>
                <w:sz w:val="20"/>
                <w:szCs w:val="20"/>
                <w:color w:val="auto"/>
              </w:rPr>
            </w:pPr>
            <w:r>
              <w:rPr>
                <w:rFonts w:ascii="Arial" w:cs="Arial" w:eastAsia="Arial" w:hAnsi="Arial"/>
                <w:sz w:val="16"/>
                <w:szCs w:val="16"/>
                <w:b w:val="1"/>
                <w:bCs w:val="1"/>
                <w:color w:val="auto"/>
                <w:w w:val="91"/>
              </w:rPr>
              <w:t>Amount of Gain (Loss)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5"/>
          </w:tcPr>
          <w:p>
            <w:pPr>
              <w:ind w:left="1540"/>
              <w:spacing w:after="0"/>
              <w:rPr>
                <w:sz w:val="20"/>
                <w:szCs w:val="20"/>
                <w:color w:val="auto"/>
              </w:rPr>
            </w:pPr>
            <w:r>
              <w:rPr>
                <w:rFonts w:ascii="Arial" w:cs="Arial" w:eastAsia="Arial" w:hAnsi="Arial"/>
                <w:sz w:val="16"/>
                <w:szCs w:val="16"/>
                <w:b w:val="1"/>
                <w:bCs w:val="1"/>
                <w:color w:val="auto"/>
              </w:rPr>
              <w:t>Gain (Loss) Reclassified from</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800" w:type="dxa"/>
            <w:vAlign w:val="bottom"/>
            <w:vMerge w:val="continue"/>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gridSpan w:val="5"/>
            <w:vMerge w:val="restart"/>
          </w:tcPr>
          <w:p>
            <w:pPr>
              <w:ind w:left="1940"/>
              <w:spacing w:after="0"/>
              <w:rPr>
                <w:sz w:val="20"/>
                <w:szCs w:val="20"/>
                <w:color w:val="auto"/>
              </w:rPr>
            </w:pPr>
            <w:r>
              <w:rPr>
                <w:rFonts w:ascii="Arial" w:cs="Arial" w:eastAsia="Arial" w:hAnsi="Arial"/>
                <w:sz w:val="16"/>
                <w:szCs w:val="16"/>
                <w:b w:val="1"/>
                <w:bCs w:val="1"/>
                <w:color w:val="auto"/>
              </w:rPr>
              <w:t>AOCI into Income</w:t>
            </w: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800" w:type="dxa"/>
            <w:vAlign w:val="bottom"/>
            <w:vMerge w:val="restart"/>
          </w:tcPr>
          <w:p>
            <w:pPr>
              <w:jc w:val="center"/>
              <w:ind w:left="239"/>
              <w:spacing w:after="0" w:line="162" w:lineRule="exact"/>
              <w:rPr>
                <w:sz w:val="20"/>
                <w:szCs w:val="20"/>
                <w:color w:val="auto"/>
              </w:rPr>
            </w:pPr>
            <w:r>
              <w:rPr>
                <w:rFonts w:ascii="Arial" w:cs="Arial" w:eastAsia="Arial" w:hAnsi="Arial"/>
                <w:sz w:val="16"/>
                <w:szCs w:val="16"/>
                <w:b w:val="1"/>
                <w:bCs w:val="1"/>
                <w:color w:val="auto"/>
                <w:w w:val="89"/>
              </w:rPr>
              <w:t>Cash Flow</w:t>
            </w:r>
          </w:p>
        </w:tc>
        <w:tc>
          <w:tcPr>
            <w:tcW w:w="2640" w:type="dxa"/>
            <w:vAlign w:val="bottom"/>
            <w:gridSpan w:val="4"/>
            <w:vMerge w:val="restart"/>
          </w:tcPr>
          <w:p>
            <w:pPr>
              <w:jc w:val="center"/>
              <w:ind w:left="739"/>
              <w:spacing w:after="0" w:line="162" w:lineRule="exact"/>
              <w:rPr>
                <w:sz w:val="20"/>
                <w:szCs w:val="20"/>
                <w:color w:val="auto"/>
              </w:rPr>
            </w:pPr>
            <w:r>
              <w:rPr>
                <w:rFonts w:ascii="Arial" w:cs="Arial" w:eastAsia="Arial" w:hAnsi="Arial"/>
                <w:sz w:val="16"/>
                <w:szCs w:val="16"/>
                <w:b w:val="1"/>
                <w:bCs w:val="1"/>
                <w:color w:val="auto"/>
                <w:w w:val="93"/>
              </w:rPr>
              <w:t>Recognized in OCI 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20" w:type="dxa"/>
            <w:vAlign w:val="bottom"/>
            <w:tcBorders>
              <w:bottom w:val="single" w:sz="8" w:color="auto"/>
            </w:tcBorders>
            <w:gridSpan w:val="5"/>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00" w:type="dxa"/>
            <w:vAlign w:val="bottom"/>
            <w:vMerge w:val="continue"/>
          </w:tcPr>
          <w:p>
            <w:pPr>
              <w:spacing w:after="0"/>
              <w:rPr>
                <w:sz w:val="2"/>
                <w:szCs w:val="2"/>
                <w:color w:val="auto"/>
              </w:rPr>
            </w:pPr>
          </w:p>
        </w:tc>
        <w:tc>
          <w:tcPr>
            <w:tcW w:w="264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Location</w:t>
            </w:r>
          </w:p>
        </w:tc>
        <w:tc>
          <w:tcPr>
            <w:tcW w:w="840" w:type="dxa"/>
            <w:vAlign w:val="bottom"/>
          </w:tcPr>
          <w:p>
            <w:pPr>
              <w:spacing w:after="0"/>
              <w:rPr>
                <w:sz w:val="2"/>
                <w:szCs w:val="2"/>
                <w:color w:val="auto"/>
              </w:rPr>
            </w:pPr>
          </w:p>
        </w:tc>
        <w:tc>
          <w:tcPr>
            <w:tcW w:w="98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Hedging Relationships</w:t>
            </w:r>
          </w:p>
        </w:tc>
        <w:tc>
          <w:tcPr>
            <w:tcW w:w="1200" w:type="dxa"/>
            <w:vAlign w:val="bottom"/>
          </w:tcPr>
          <w:p>
            <w:pPr>
              <w:spacing w:after="0"/>
              <w:rPr>
                <w:sz w:val="18"/>
                <w:szCs w:val="18"/>
                <w:color w:val="auto"/>
              </w:rPr>
            </w:pPr>
          </w:p>
        </w:tc>
        <w:tc>
          <w:tcPr>
            <w:tcW w:w="14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4"/>
              </w:rPr>
              <w:t>Derivative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swap contracts</w:t>
            </w:r>
          </w:p>
        </w:tc>
        <w:tc>
          <w:tcPr>
            <w:tcW w:w="12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(1,579)</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Arial" w:cs="Arial" w:eastAsia="Arial" w:hAnsi="Arial"/>
                <w:sz w:val="16"/>
                <w:szCs w:val="16"/>
                <w:color w:val="auto"/>
              </w:rPr>
              <w:t>Interest rate swap contracts</w:t>
            </w:r>
          </w:p>
        </w:tc>
        <w:tc>
          <w:tcPr>
            <w:tcW w:w="1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income/(expense), net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(1,681)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cap contracts</w:t>
            </w:r>
          </w:p>
        </w:tc>
        <w:tc>
          <w:tcPr>
            <w:tcW w:w="1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Arial" w:cs="Arial" w:eastAsia="Arial" w:hAnsi="Arial"/>
                <w:sz w:val="16"/>
                <w:szCs w:val="16"/>
                <w:color w:val="auto"/>
              </w:rPr>
              <w:t>Foreign exchange options</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Product cost of revenues</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Cross currency swap contract</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2800" w:type="dxa"/>
            <w:vAlign w:val="bottom"/>
          </w:tcPr>
          <w:p>
            <w:pPr>
              <w:ind w:left="360"/>
              <w:spacing w:after="0"/>
              <w:rPr>
                <w:sz w:val="20"/>
                <w:szCs w:val="20"/>
                <w:color w:val="auto"/>
              </w:rPr>
            </w:pPr>
            <w:r>
              <w:rPr>
                <w:rFonts w:ascii="Arial" w:cs="Arial" w:eastAsia="Arial" w:hAnsi="Arial"/>
                <w:sz w:val="16"/>
                <w:szCs w:val="16"/>
                <w:color w:val="auto"/>
              </w:rPr>
              <w:t>Cross currency swap contract</w:t>
            </w:r>
          </w:p>
        </w:tc>
        <w:tc>
          <w:tcPr>
            <w:tcW w:w="1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income/(expense), net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2021, a total of 40 contracts were offsetting our exposures from the euro, Pound sterling, Canadian dollar, Chinese Yuan, Australian dollar and various other currencies, with notional amounts ranging from $93,300 to $26.4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jc w:val="center"/>
              <w:spacing w:after="0"/>
              <w:rPr>
                <w:sz w:val="20"/>
                <w:szCs w:val="20"/>
                <w:color w:val="auto"/>
              </w:rPr>
            </w:pPr>
            <w:r>
              <w:rPr>
                <w:rFonts w:ascii="Arial" w:cs="Arial" w:eastAsia="Arial" w:hAnsi="Arial"/>
                <w:sz w:val="16"/>
                <w:szCs w:val="16"/>
                <w:b w:val="1"/>
                <w:bCs w:val="1"/>
                <w:color w:val="auto"/>
                <w:w w:val="91"/>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1"/>
              </w:rPr>
              <w:t>Gain (Loss) Recognized on Derivatives in Other Income</w:t>
            </w:r>
          </w:p>
        </w:tc>
        <w:tc>
          <w:tcPr>
            <w:tcW w:w="0" w:type="dxa"/>
            <w:vAlign w:val="bottom"/>
          </w:tcPr>
          <w:p>
            <w:pPr>
              <w:spacing w:after="0"/>
              <w:rPr>
                <w:sz w:val="1"/>
                <w:szCs w:val="1"/>
                <w:color w:val="auto"/>
              </w:rPr>
            </w:pPr>
          </w:p>
        </w:tc>
      </w:tr>
      <w:tr>
        <w:trPr>
          <w:trHeight w:val="213"/>
        </w:trPr>
        <w:tc>
          <w:tcPr>
            <w:tcW w:w="4160" w:type="dxa"/>
            <w:vAlign w:val="bottom"/>
          </w:tcPr>
          <w:p>
            <w:pPr>
              <w:jc w:val="center"/>
              <w:spacing w:after="0"/>
              <w:rPr>
                <w:sz w:val="20"/>
                <w:szCs w:val="20"/>
                <w:color w:val="auto"/>
              </w:rPr>
            </w:pPr>
            <w:r>
              <w:rPr>
                <w:rFonts w:ascii="Arial" w:cs="Arial" w:eastAsia="Arial" w:hAnsi="Arial"/>
                <w:sz w:val="16"/>
                <w:szCs w:val="16"/>
                <w:b w:val="1"/>
                <w:bCs w:val="1"/>
                <w:color w:val="auto"/>
                <w:w w:val="93"/>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jc w:val="center"/>
              <w:ind w:left="1279"/>
              <w:spacing w:after="0"/>
              <w:rPr>
                <w:sz w:val="20"/>
                <w:szCs w:val="20"/>
                <w:color w:val="auto"/>
              </w:rPr>
            </w:pPr>
            <w:r>
              <w:rPr>
                <w:rFonts w:ascii="Arial" w:cs="Arial" w:eastAsia="Arial" w:hAnsi="Arial"/>
                <w:sz w:val="16"/>
                <w:szCs w:val="16"/>
                <w:b w:val="1"/>
                <w:bCs w:val="1"/>
                <w:color w:val="auto"/>
                <w:w w:val="88"/>
              </w:rPr>
              <w:t>(Expense)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 criteria in ASC 815-40 to be classified within Stockholders' Equity, and therefore the transactions are not revalued after their issuance.</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note, and results in a $20.6 million deferred tax asset recognized through equity.</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3,069</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119,457</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Pension benefit obligation,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122,526</w:t>
            </w:r>
          </w:p>
        </w:tc>
      </w:tr>
      <w:tr>
        <w:trPr>
          <w:trHeight w:val="2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stock-based compensation awards including stock options, restricted stock units, phantom stock, and unrestricted stock units, under the Second Amended and Restated 2010 Stock Incentive Plan (Stock Incentive Plan). In the Stock Incentive Plan, we have 12,623,538 shares of common stock reserved and authorized for issuance subject to stock splits, dividends, and other similar events, and at March 31, 2021, 5,334,496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169,194 shares of common stock were available for future issuance at March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7,809</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Phantom stock units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60" w:type="dxa"/>
            <w:vAlign w:val="bottom"/>
            <w:vMerge w:val="restart"/>
          </w:tcPr>
          <w:p>
            <w:pPr>
              <w:jc w:val="center"/>
              <w:ind w:left="279"/>
              <w:spacing w:after="0"/>
              <w:rPr>
                <w:sz w:val="20"/>
                <w:szCs w:val="20"/>
                <w:color w:val="auto"/>
              </w:rPr>
            </w:pPr>
            <w:r>
              <w:rPr>
                <w:rFonts w:ascii="Arial" w:cs="Arial" w:eastAsia="Arial" w:hAnsi="Arial"/>
                <w:sz w:val="16"/>
                <w:szCs w:val="16"/>
                <w:b w:val="1"/>
                <w:bCs w:val="1"/>
                <w:color w:val="auto"/>
                <w:w w:val="89"/>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(years)</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color w:val="auto"/>
                <w:w w:val="92"/>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Forfeited</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Expired</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Outstanding, March 31, 2020</w:t>
            </w:r>
          </w:p>
        </w:tc>
        <w:tc>
          <w:tcPr>
            <w:tcW w:w="9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Outstanding, January 1, 2021</w:t>
            </w:r>
          </w:p>
        </w:tc>
        <w:tc>
          <w:tcPr>
            <w:tcW w:w="3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61.95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Exercised</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67.04</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Outstanding, March 31, 2021</w:t>
            </w:r>
          </w:p>
        </w:tc>
        <w:tc>
          <w:tcPr>
            <w:tcW w:w="9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61.48</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Exercisable, March 31, 2021</w:t>
            </w:r>
          </w:p>
        </w:tc>
        <w:tc>
          <w:tcPr>
            <w:tcW w:w="3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55.03</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2021, total unrecognized stock-based compensation expense related to nonvested stock options was $2.1 million, which is expected to be recognized over a weighted average period of approximately 1.7 years.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73"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2020</w:t>
            </w: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r>
      <w:tr>
        <w:trPr>
          <w:trHeight w:val="213"/>
        </w:trPr>
        <w:tc>
          <w:tcPr>
            <w:tcW w:w="82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employee stock options granted for the three months ended March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182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87.17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March 31, 2020</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18,007</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74.41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March 31,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but not released, March 31,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as gross shares and does not reflect shares withheld by us for employee payroll tax obligations.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total unrecognized compensation expense on restricted stock units was $43.4 million, which is expected to be recognized over a weighted average period of approximately 2.0 years.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39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0"/>
        </w:trPr>
        <w:tc>
          <w:tcPr>
            <w:tcW w:w="65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8"/>
                <w:szCs w:val="18"/>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6"/>
        </w:trPr>
        <w:tc>
          <w:tcPr>
            <w:tcW w:w="6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113.75</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94.28</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tax rate for the three months ended March 31, 2021 of 26% differed from the federal statutory rate of 21% primarily due to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tax rate for the three months ended March 31, 2020 of 45%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stock-based compensation, and uncertain tax positions.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1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1,645</w:t>
            </w:r>
          </w:p>
        </w:tc>
      </w:tr>
    </w:tbl>
    <w:p>
      <w:pPr>
        <w:spacing w:after="0" w:line="34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tbl>
      <w:tblPr>
        <w:tblLayout w:type="fixed"/>
        <w:tblInd w:w="0" w:type="dxa"/>
        <w:tblCellMar>
          <w:top w:w="0" w:type="dxa"/>
          <w:left w:w="0" w:type="dxa"/>
          <w:bottom w:w="0" w:type="dxa"/>
          <w:right w:w="0" w:type="dxa"/>
        </w:tblCellMar>
      </w:tblPr>
      <w:tr>
        <w:trPr>
          <w:trHeight w:val="213"/>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6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135,910</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6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132,836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134,473</w:t>
            </w:r>
          </w:p>
        </w:tc>
      </w:tr>
    </w:tbl>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U.S. Federal government passed the Coronavirus Aid, Relief, and Economic Security (CARES) Act to provide economic relief from COVID-19. The CARES Act contains significant business tax provisions, which the Company has evaluated and determined will not have a material impact on the Company's financial statements or related disclosures.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 and may assess in subsequent quarters the impact and availability of payroll tax credits from the U.S. and similar programs provided for by foreign governments, as applicable.</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6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Long-term borrowings</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(64,948)</w:t>
            </w:r>
          </w:p>
        </w:tc>
      </w:tr>
      <w:tr>
        <w:trPr>
          <w:trHeight w:val="207"/>
        </w:trPr>
        <w:tc>
          <w:tcPr>
            <w:tcW w:w="6760" w:type="dxa"/>
            <w:vAlign w:val="bottom"/>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435,693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435,052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235,693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235,052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99,201</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Standby LOCs issued and outstanding</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(24,478)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(24,966)</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borrowings</w:t>
            </w:r>
          </w:p>
        </w:tc>
        <w:tc>
          <w:tcPr>
            <w:tcW w:w="3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60" w:type="dxa"/>
            <w:vAlign w:val="bottom"/>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71,209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74,235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Unsecured surety bonds in force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162,912</w:t>
            </w:r>
          </w:p>
        </w:tc>
      </w:tr>
      <w:tr>
        <w:trPr>
          <w:trHeight w:val="2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May 3, 2021, we do not believe that any outstanding LOC or bond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53,241</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New product warranties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 and expirations, net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Claims activity</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(5,940)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06"/>
        </w:trPr>
        <w:tc>
          <w:tcPr>
            <w:tcW w:w="67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5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39,334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48,719</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36,409</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Long-term warranty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w:t>
            </w: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r>
    </w:tbl>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17,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The largest component of expected remaining costs to be recognized is related to a non-cash cumulative translation adjustment charge.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the Three Months Ended</w:t>
            </w:r>
          </w:p>
        </w:tc>
        <w:tc>
          <w:tcPr>
            <w:tcW w:w="200" w:type="dxa"/>
            <w:vAlign w:val="bottom"/>
          </w:tcPr>
          <w:p>
            <w:pPr>
              <w:spacing w:after="0"/>
              <w:rPr>
                <w:sz w:val="14"/>
                <w:szCs w:val="14"/>
                <w:color w:val="auto"/>
              </w:rPr>
            </w:pPr>
          </w:p>
        </w:tc>
        <w:tc>
          <w:tcPr>
            <w:tcW w:w="17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2021</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 2021</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March 31, 2021</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6,861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16,242</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56,844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our Board of Directors approved a restructuring plan (the 2018 Projects) to continue our efforts to optimize our global supply chain and manufacturing operations, research and development, and sales and marketing organizations. Actions under the 2018 Projects were substantially completed as of the end of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2021, we incurred additional legal costs related to a facility closure, partially offset by reduced severance costs.</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the Three Months Ended</w:t>
            </w:r>
          </w:p>
        </w:tc>
        <w:tc>
          <w:tcPr>
            <w:tcW w:w="200" w:type="dxa"/>
            <w:vAlign w:val="bottom"/>
          </w:tcPr>
          <w:p>
            <w:pPr>
              <w:spacing w:after="0"/>
              <w:rPr>
                <w:sz w:val="14"/>
                <w:szCs w:val="14"/>
                <w:color w:val="auto"/>
              </w:rPr>
            </w:pPr>
          </w:p>
        </w:tc>
        <w:tc>
          <w:tcPr>
            <w:tcW w:w="17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2021</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 2021</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March 31, 2021</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61,476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2,824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2020 Projects and 2018 Projects during the three months ended March 31, 2021:</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Accrued Employee</w:t>
            </w:r>
          </w:p>
        </w:tc>
        <w:tc>
          <w:tcPr>
            <w:tcW w:w="10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2"/>
              </w:rPr>
              <w:t>Asset Impairments &amp; Net</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180" w:type="dxa"/>
            <w:vAlign w:val="bottom"/>
          </w:tcPr>
          <w:p>
            <w:pPr>
              <w:spacing w:after="0"/>
              <w:rPr>
                <w:sz w:val="14"/>
                <w:szCs w:val="14"/>
                <w:color w:val="auto"/>
              </w:rPr>
            </w:pPr>
          </w:p>
        </w:tc>
        <w:tc>
          <w:tcPr>
            <w:tcW w:w="18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4"/>
              </w:rPr>
              <w:t>Other Accrued Costs</w:t>
            </w:r>
          </w:p>
        </w:tc>
        <w:tc>
          <w:tcPr>
            <w:tcW w:w="1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Severance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72,626</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ind w:left="1020"/>
              <w:spacing w:after="0"/>
              <w:rPr>
                <w:sz w:val="20"/>
                <w:szCs w:val="20"/>
                <w:color w:val="auto"/>
              </w:rPr>
            </w:pPr>
            <w:r>
              <w:rPr>
                <w:rFonts w:ascii="Arial" w:cs="Arial" w:eastAsia="Arial" w:hAnsi="Arial"/>
                <w:sz w:val="16"/>
                <w:szCs w:val="16"/>
                <w:color w:val="auto"/>
                <w:w w:val="94"/>
              </w:rPr>
              <w:t>(1,980)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 receipts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w w:val="94"/>
              </w:rPr>
              <w:t>(5,899)</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20" w:type="dxa"/>
            <w:vAlign w:val="bottom"/>
          </w:tcPr>
          <w:p>
            <w:pPr>
              <w:ind w:left="1020"/>
              <w:spacing w:after="0"/>
              <w:rPr>
                <w:sz w:val="20"/>
                <w:szCs w:val="20"/>
                <w:color w:val="auto"/>
              </w:rPr>
            </w:pPr>
            <w:r>
              <w:rPr>
                <w:rFonts w:ascii="Arial" w:cs="Arial" w:eastAsia="Arial" w:hAnsi="Arial"/>
                <w:sz w:val="16"/>
                <w:szCs w:val="16"/>
                <w:color w:val="auto"/>
                <w:w w:val="94"/>
              </w:rPr>
              <w:t>(1,823)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4"/>
              </w:rPr>
              <w:t>(2,283)</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Ending balance, March 31, 2021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56,471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ind w:left="1000"/>
              <w:spacing w:after="0"/>
              <w:rPr>
                <w:sz w:val="20"/>
                <w:szCs w:val="20"/>
                <w:color w:val="auto"/>
              </w:rPr>
            </w:pPr>
            <w:r>
              <w:rPr>
                <w:rFonts w:ascii="Arial" w:cs="Arial" w:eastAsia="Arial" w:hAnsi="Arial"/>
                <w:sz w:val="16"/>
                <w:szCs w:val="16"/>
                <w:color w:val="auto"/>
              </w:rPr>
              <w:t>60,641</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effected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were $30.2 million and $31.7 million as of March 31, 2021 and December 31, 2020. The current portion of restructuring liabilities is classified within other current liabilities on the Consolidated Balance Sheets. The long-term portion of restructuring liabilities balances were $30.4 million and $40.9 million as of March 31, 2021 and December 31, 2020. The long-term portion of restructuring liabilities is classified within other long-term obligations on the Consolidated Balance Sheets and includes severance accruals and facility exit costs.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March 31, 2021 or December 31, 2020.</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Common Stock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approximately $389.4 million, after deducting underwriters’ discounts of the offering.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and therefore the Convertible Note Hedge Transactions are not revalued after their issuance.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of this tax election makes the call options deductible as original issue discount for tax purposes over the term of the note, and results in a $20.6 million deferred tax asset recognized through equity.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60" w:type="dxa"/>
            <w:vAlign w:val="bottom"/>
          </w:tcPr>
          <w:p>
            <w:pPr>
              <w:spacing w:after="0"/>
              <w:rPr>
                <w:sz w:val="16"/>
                <w:szCs w:val="16"/>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Pension Benefit</w:t>
            </w: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Gain (Loss) on</w:t>
            </w: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Comprehensive</w:t>
            </w:r>
          </w:p>
        </w:tc>
        <w:tc>
          <w:tcPr>
            <w:tcW w:w="0" w:type="dxa"/>
            <w:vAlign w:val="bottom"/>
          </w:tcPr>
          <w:p>
            <w:pPr>
              <w:spacing w:after="0"/>
              <w:rPr>
                <w:sz w:val="1"/>
                <w:szCs w:val="1"/>
                <w:color w:val="auto"/>
              </w:rPr>
            </w:pPr>
          </w:p>
        </w:tc>
      </w:tr>
      <w:tr>
        <w:trPr>
          <w:trHeight w:val="213"/>
        </w:trPr>
        <w:tc>
          <w:tcPr>
            <w:tcW w:w="3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Income (Loss)</w:t>
            </w:r>
          </w:p>
        </w:tc>
        <w:tc>
          <w:tcPr>
            <w:tcW w:w="0" w:type="dxa"/>
            <w:vAlign w:val="bottom"/>
          </w:tcPr>
          <w:p>
            <w:pPr>
              <w:spacing w:after="0"/>
              <w:rPr>
                <w:sz w:val="1"/>
                <w:szCs w:val="1"/>
                <w:color w:val="auto"/>
              </w:rPr>
            </w:pPr>
          </w:p>
        </w:tc>
      </w:tr>
      <w:tr>
        <w:trPr>
          <w:trHeight w:val="212"/>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(204,672)</w:t>
            </w:r>
          </w:p>
        </w:tc>
        <w:tc>
          <w:tcPr>
            <w:tcW w:w="0" w:type="dxa"/>
            <w:vAlign w:val="bottom"/>
          </w:tcPr>
          <w:p>
            <w:pPr>
              <w:spacing w:after="0"/>
              <w:rPr>
                <w:sz w:val="1"/>
                <w:szCs w:val="1"/>
                <w:color w:val="auto"/>
              </w:rPr>
            </w:pPr>
          </w:p>
        </w:tc>
      </w:tr>
      <w:tr>
        <w:trPr>
          <w:trHeight w:val="207"/>
        </w:trPr>
        <w:tc>
          <w:tcPr>
            <w:tcW w:w="356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(24,629)</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06"/>
        </w:trPr>
        <w:tc>
          <w:tcPr>
            <w:tcW w:w="356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(25,211)</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March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(229,883)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(138,526)</w:t>
            </w:r>
          </w:p>
        </w:tc>
        <w:tc>
          <w:tcPr>
            <w:tcW w:w="0" w:type="dxa"/>
            <w:vAlign w:val="bottom"/>
          </w:tcPr>
          <w:p>
            <w:pPr>
              <w:spacing w:after="0"/>
              <w:rPr>
                <w:sz w:val="1"/>
                <w:szCs w:val="1"/>
                <w:color w:val="auto"/>
              </w:rPr>
            </w:pPr>
          </w:p>
        </w:tc>
      </w:tr>
      <w:tr>
        <w:trPr>
          <w:trHeight w:val="207"/>
        </w:trPr>
        <w:tc>
          <w:tcPr>
            <w:tcW w:w="356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(11,603)</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6"/>
        </w:trPr>
        <w:tc>
          <w:tcPr>
            <w:tcW w:w="356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(11,783)</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March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(150,309)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09"/>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(26,593)</w:t>
            </w:r>
          </w:p>
        </w:tc>
      </w:tr>
      <w:tr>
        <w:trPr>
          <w:trHeight w:val="21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r>
      <w:tr>
        <w:trPr>
          <w:trHeight w:val="21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income</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income</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w:t>
            </w:r>
          </w:p>
        </w:tc>
      </w:tr>
      <w:tr>
        <w:trPr>
          <w:trHeight w:val="21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1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income</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w:t>
            </w: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2021 and December 31, 2020 do not reflect subsequent changes in the economy, interest rates, tax rates, and other variables that may affect the determination of fair value.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Carrying</w:t>
            </w:r>
          </w:p>
        </w:tc>
        <w:tc>
          <w:tcPr>
            <w:tcW w:w="640" w:type="dxa"/>
            <w:vAlign w:val="bottom"/>
          </w:tcPr>
          <w:p>
            <w:pPr>
              <w:spacing w:after="0"/>
              <w:rPr>
                <w:sz w:val="13"/>
                <w:szCs w:val="13"/>
                <w:color w:val="auto"/>
              </w:rPr>
            </w:pPr>
          </w:p>
        </w:tc>
        <w:tc>
          <w:tcPr>
            <w:tcW w:w="1080" w:type="dxa"/>
            <w:vAlign w:val="bottom"/>
          </w:tcPr>
          <w:p>
            <w:pPr>
              <w:jc w:val="center"/>
              <w:ind w:right="479"/>
              <w:spacing w:after="0" w:line="158" w:lineRule="exact"/>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Carrying</w:t>
            </w:r>
          </w:p>
        </w:tc>
        <w:tc>
          <w:tcPr>
            <w:tcW w:w="700" w:type="dxa"/>
            <w:vAlign w:val="bottom"/>
          </w:tcPr>
          <w:p>
            <w:pPr>
              <w:spacing w:after="0"/>
              <w:rPr>
                <w:sz w:val="13"/>
                <w:szCs w:val="13"/>
                <w:color w:val="auto"/>
              </w:rPr>
            </w:pPr>
          </w:p>
        </w:tc>
        <w:tc>
          <w:tcPr>
            <w:tcW w:w="1020" w:type="dxa"/>
            <w:vAlign w:val="bottom"/>
          </w:tcPr>
          <w:p>
            <w:pPr>
              <w:jc w:val="right"/>
              <w:ind w:right="579"/>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spacing w:after="0"/>
              <w:rPr>
                <w:sz w:val="18"/>
                <w:szCs w:val="18"/>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59,296</w:t>
            </w: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532,625</w:t>
            </w: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520,347</w:t>
            </w:r>
          </w:p>
        </w:tc>
        <w:tc>
          <w:tcPr>
            <w:tcW w:w="0" w:type="dxa"/>
            <w:vAlign w:val="bottom"/>
          </w:tcPr>
          <w:p>
            <w:pPr>
              <w:spacing w:after="0"/>
              <w:rPr>
                <w:sz w:val="1"/>
                <w:szCs w:val="1"/>
                <w:color w:val="auto"/>
              </w:rPr>
            </w:pPr>
          </w:p>
        </w:tc>
      </w:tr>
      <w:tr>
        <w:trPr>
          <w:trHeight w:val="213"/>
        </w:trPr>
        <w:tc>
          <w:tcPr>
            <w:tcW w:w="434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388,882</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388,311</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410,000</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448,353</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465,042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Credit Facility - term loan and multicurrency revolving line of credit: </w:t>
      </w:r>
      <w:r>
        <w:rPr>
          <w:rFonts w:ascii="Arial" w:cs="Arial" w:eastAsia="Arial" w:hAnsi="Arial"/>
          <w:sz w:val="18"/>
          <w:szCs w:val="18"/>
          <w:color w:val="auto"/>
        </w:rPr>
        <w:t>The term loan and the revolver are not traded publicly. The fair values,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a hypothetical market participant, are calculated using a discounted cash flow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model with Level 2 inputs, including estimates of incremental borrowing rates for debt with similar terms, maturities, and credit profiles. Refer to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 for a further discussion of our debt.</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Senior Notes and Convertible Notes: </w:t>
      </w:r>
      <w:r>
        <w:rPr>
          <w:rFonts w:ascii="Arial" w:cs="Arial" w:eastAsia="Arial" w:hAnsi="Arial"/>
          <w:sz w:val="18"/>
          <w:szCs w:val="18"/>
          <w:color w:val="auto"/>
        </w:rPr>
        <w:t>The Senior Notes and Convertible Notes are not registered securities nor listed on any securities exchange but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actively traded by qualified institutional buyers. The fair value is estimated using Level 1 inputs, as it is based on quoted prices for these instruments in active 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Networked Solutions </w:t>
      </w:r>
      <w:r>
        <w:rPr>
          <w:rFonts w:ascii="Arial" w:cs="Arial" w:eastAsia="Arial" w:hAnsi="Arial"/>
          <w:sz w:val="17"/>
          <w:szCs w:val="17"/>
          <w:color w:val="auto"/>
        </w:rPr>
        <w:t>– This segment primarily includes a combination of communicating devices (e.g., smart meters, modules, endpoints, and sensors),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09"/>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200,168</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258,703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315,437</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12,532</w:t>
            </w:r>
          </w:p>
        </w:tc>
      </w:tr>
      <w:tr>
        <w:trPr>
          <w:trHeight w:val="207"/>
        </w:trPr>
        <w:tc>
          <w:tcPr>
            <w:tcW w:w="67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442,804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528,137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29,611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25,408</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42,759</w:t>
            </w:r>
          </w:p>
        </w:tc>
      </w:tr>
      <w:tr>
        <w:trPr>
          <w:trHeight w:val="207"/>
        </w:trPr>
        <w:tc>
          <w:tcPr>
            <w:tcW w:w="67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7"/>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202,279</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288,314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340,845</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55,291</w:t>
            </w:r>
          </w:p>
        </w:tc>
      </w:tr>
      <w:tr>
        <w:trPr>
          <w:trHeight w:val="207"/>
        </w:trPr>
        <w:tc>
          <w:tcPr>
            <w:tcW w:w="67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519,574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598,415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7"/>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32,367</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112,759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121,750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17,449</w:t>
            </w:r>
          </w:p>
        </w:tc>
      </w:tr>
      <w:tr>
        <w:trPr>
          <w:trHeight w:val="207"/>
        </w:trPr>
        <w:tc>
          <w:tcPr>
            <w:tcW w:w="67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167,044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171,566</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7"/>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18,198</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79,291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88,680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(88,706)</w:t>
            </w:r>
          </w:p>
        </w:tc>
      </w:tr>
      <w:tr>
        <w:trPr>
          <w:trHeight w:val="213"/>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(9,658)</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no customer represented more than 10% of total company revenue. During the three months ended March 31, 2020, one customer represented 11% of total company revenues.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385,325</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160,369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166,984</w:t>
            </w:r>
          </w:p>
        </w:tc>
      </w:tr>
      <w:tr>
        <w:trPr>
          <w:trHeight w:val="219"/>
        </w:trPr>
        <w:tc>
          <w:tcPr>
            <w:tcW w:w="67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Asia Pacific and Latin America</w:t>
            </w:r>
            <w:r>
              <w:rPr>
                <w:rFonts w:ascii="Arial" w:cs="Arial" w:eastAsia="Arial" w:hAnsi="Arial"/>
                <w:sz w:val="21"/>
                <w:szCs w:val="21"/>
                <w:color w:val="auto"/>
                <w:vertAlign w:val="superscript"/>
              </w:rPr>
              <w:t>(1)</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46,106</w:t>
            </w:r>
          </w:p>
        </w:tc>
      </w:tr>
      <w:tr>
        <w:trPr>
          <w:trHeight w:val="207"/>
        </w:trPr>
        <w:tc>
          <w:tcPr>
            <w:tcW w:w="676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519,574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598,415</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On June 25, 2020, we sold our Latin American operations. We continue to sell into the region through an exclusive distributor.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6,435</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3,737</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12,466</w:t>
            </w:r>
          </w:p>
        </w:tc>
      </w:tr>
      <w:tr>
        <w:trPr>
          <w:trHeight w:val="234"/>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ectPr>
          <w:pgSz w:w="11900" w:h="16838" w:orient="portrait"/>
          <w:cols w:equalWidth="0" w:num="1">
            <w:col w:w="11240"/>
          </w:cols>
          <w:pgMar w:left="320" w:top="125"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January 1, 2021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 recognized from beginning contract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catch-up adjustments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Increases due to amounts collected or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Revenues recognized from current period increases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March 31, 2021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 Liabilities, Less</w:t>
      </w:r>
    </w:p>
    <w:p>
      <w:pPr>
        <w:jc w:val="center"/>
        <w:spacing w:after="0"/>
        <w:rPr>
          <w:sz w:val="20"/>
          <w:szCs w:val="20"/>
          <w:color w:val="auto"/>
        </w:rPr>
      </w:pPr>
      <w:r>
        <w:rPr>
          <w:rFonts w:ascii="Arial" w:cs="Arial" w:eastAsia="Arial" w:hAnsi="Arial"/>
          <w:sz w:val="16"/>
          <w:szCs w:val="16"/>
          <w:b w:val="1"/>
          <w:bCs w:val="1"/>
          <w:color w:val="auto"/>
        </w:rPr>
        <w:t>Contract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98,388</w:t>
            </w:r>
          </w:p>
        </w:tc>
      </w:tr>
      <w:tr>
        <w:trPr>
          <w:trHeight w:val="216"/>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(58,754)</w:t>
            </w:r>
          </w:p>
        </w:tc>
      </w:tr>
      <w:tr>
        <w:trPr>
          <w:trHeight w:val="236"/>
        </w:trPr>
        <w:tc>
          <w:tcPr>
            <w:tcW w:w="8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8,668</w:t>
            </w:r>
          </w:p>
        </w:tc>
      </w:tr>
      <w:tr>
        <w:trPr>
          <w:trHeight w:val="210"/>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91,347</w:t>
            </w:r>
          </w:p>
        </w:tc>
      </w:tr>
      <w:tr>
        <w:trPr>
          <w:trHeight w:val="216"/>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(7,434)</w:t>
            </w:r>
          </w:p>
        </w:tc>
      </w:tr>
      <w:tr>
        <w:trPr>
          <w:trHeight w:val="219"/>
        </w:trPr>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r>
      <w:tr>
        <w:trPr>
          <w:trHeight w:val="209"/>
        </w:trPr>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131,768</w:t>
            </w:r>
          </w:p>
        </w:tc>
      </w:tr>
      <w:tr>
        <w:trPr>
          <w:trHeight w:val="23"/>
        </w:trPr>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2021, total contract assets were $49.8 million and total contract liabilities were $148.2 million. On March 31, 2021, total contract assets were $35.3 million and total contract liabilities were $167.1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$1.1 billion for the next twelve months and approximately $1.5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which revenue is recognized over the warranty period, and hardware, which is recognized as units are delivered. The estimate of when remaining performance obligations will be recognized requires significant judgment.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Sale of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Latin America Divestiture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sales price of $35 million included payment of $21.1 million for working capital, which was to be paid in full by December 31, 2020, as evidenced by a promissory note. In January 2021, we agreed to extend the payment terms on the outstanding working capital balance of $18.4 million. Accell agreed to make monthly payments including interest through September 2022. During the quarter ended March 31, 2021, we received $3.5 million of payments on the working capital note, including $0.7 million in interest.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additional loss on sale of business for the quarter ended March 31, 2021 of $1.4 million driven primarily by $1.2 million in adjustment to the working capital note, resulting from a change to the currency denominations of the note.</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2020 filed with the Securities and Exchange Commission (SEC) in our Annual Report on Form 10-K on February 24, 2021 (2020 Annual Report).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that the analysis will enhance a reader’s understanding of our financial condition, cash flows, and other changes in financial condition and results of operations.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4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222222"/>
        </w:rPr>
        <w:t>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2020 Annual Report and other reports on file with the SEC. We undertake no obligation to update or revise any forward-looking statement, whether written or oral.</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222222"/>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vaccines,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risk in Part I, Item 1A: Risk Factors in our 2020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Networked Solutions </w:t>
      </w:r>
      <w:r>
        <w:rPr>
          <w:rFonts w:ascii="Arial" w:cs="Arial" w:eastAsia="Arial" w:hAnsi="Arial"/>
          <w:sz w:val="16"/>
          <w:szCs w:val="16"/>
          <w:color w:val="auto"/>
        </w:rPr>
        <w:t>– This segment primarily includes a combination of communicating devices (e.g., smart meters, modules, endpoints, and sensors),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42-44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three months ended </w:t>
      </w:r>
      <w:r>
        <w:rPr>
          <w:rFonts w:ascii="Arial" w:cs="Arial" w:eastAsia="Arial" w:hAnsi="Arial"/>
          <w:sz w:val="18"/>
          <w:szCs w:val="18"/>
          <w:i w:val="1"/>
          <w:iCs w:val="1"/>
          <w:color w:val="000000"/>
        </w:rPr>
        <w:t>March 31, 2021 compared with the</w:t>
      </w:r>
      <w:r>
        <w:rPr>
          <w:rFonts w:ascii="Arial" w:cs="Arial" w:eastAsia="Arial" w:hAnsi="Arial"/>
          <w:sz w:val="18"/>
          <w:szCs w:val="18"/>
          <w:i w:val="1"/>
          <w:iCs w:val="1"/>
          <w:color w:val="222222"/>
        </w:rPr>
        <w:t xml:space="preserve"> three months ended </w:t>
      </w:r>
      <w:r>
        <w:rPr>
          <w:rFonts w:ascii="Arial" w:cs="Arial" w:eastAsia="Arial" w:hAnsi="Arial"/>
          <w:sz w:val="18"/>
          <w:szCs w:val="18"/>
          <w:i w:val="1"/>
          <w:iCs w:val="1"/>
          <w:color w:val="000000"/>
        </w:rPr>
        <w:t>March 31, 2020</w:t>
      </w:r>
    </w:p>
    <w:p>
      <w:pPr>
        <w:spacing w:after="0" w:line="63"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Revenues were $519.6 million compared with $598.4 million in 2020, a decrease of $78.8 million, or 13%</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Gross margin was 32.2% compared with 28.7%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i w:val="1"/>
          <w:iCs w:val="1"/>
          <w:color w:val="222222"/>
        </w:rPr>
      </w:pPr>
      <w:r>
        <w:rPr>
          <w:rFonts w:ascii="Arial" w:cs="Arial" w:eastAsia="Arial" w:hAnsi="Arial"/>
          <w:sz w:val="18"/>
          <w:szCs w:val="18"/>
          <w:color w:val="222222"/>
        </w:rPr>
        <w:t>Operating expenses decreased $9.1 million, or 6%, compared with 2020</w:t>
      </w:r>
    </w:p>
    <w:p>
      <w:pPr>
        <w:spacing w:after="0" w:line="63" w:lineRule="exact"/>
        <w:rPr>
          <w:rFonts w:ascii="Arial" w:cs="Arial" w:eastAsia="Arial" w:hAnsi="Arial"/>
          <w:sz w:val="18"/>
          <w:szCs w:val="18"/>
          <w:i w:val="1"/>
          <w:iCs w:val="1"/>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Net income attributable to Itron, Inc. was $12.6 million, compared with $8.7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GAAP diluted EPS increased by $0.09 to $0.30 as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$21.9 million compared with $23.0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diluted EPS was $0.52, a decrease of $0.05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Adjusted EBITDA was $49.7 million compared with $52.0 million in 2020</w:t>
      </w:r>
    </w:p>
    <w:p>
      <w:pPr>
        <w:spacing w:after="0" w:line="63" w:lineRule="exact"/>
        <w:rPr>
          <w:rFonts w:ascii="Arial" w:cs="Arial" w:eastAsia="Arial" w:hAnsi="Arial"/>
          <w:sz w:val="18"/>
          <w:szCs w:val="18"/>
          <w:color w:val="222222"/>
        </w:rPr>
      </w:pPr>
    </w:p>
    <w:p>
      <w:pPr>
        <w:ind w:left="260" w:hanging="171"/>
        <w:spacing w:after="0" w:line="277" w:lineRule="auto"/>
        <w:tabs>
          <w:tab w:leader="none" w:pos="255"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Total backlog was $3.4 billion, and twelve-month backlog was $1.3 billion at </w:t>
      </w:r>
      <w:r>
        <w:rPr>
          <w:rFonts w:ascii="Arial" w:cs="Arial" w:eastAsia="Arial" w:hAnsi="Arial"/>
          <w:sz w:val="18"/>
          <w:szCs w:val="18"/>
          <w:color w:val="000000"/>
        </w:rPr>
        <w:t>March 31, 2021, compared with</w:t>
      </w:r>
      <w:r>
        <w:rPr>
          <w:rFonts w:ascii="Arial" w:cs="Arial" w:eastAsia="Arial" w:hAnsi="Arial"/>
          <w:sz w:val="18"/>
          <w:szCs w:val="18"/>
          <w:color w:val="222222"/>
        </w:rPr>
        <w:t xml:space="preserve"> $3.0 billion </w:t>
      </w:r>
      <w:r>
        <w:rPr>
          <w:rFonts w:ascii="Arial" w:cs="Arial" w:eastAsia="Arial" w:hAnsi="Arial"/>
          <w:sz w:val="18"/>
          <w:szCs w:val="18"/>
          <w:color w:val="000000"/>
        </w:rPr>
        <w:t>and</w:t>
      </w:r>
      <w:r>
        <w:rPr>
          <w:rFonts w:ascii="Arial" w:cs="Arial" w:eastAsia="Arial" w:hAnsi="Arial"/>
          <w:sz w:val="18"/>
          <w:szCs w:val="18"/>
          <w:color w:val="222222"/>
        </w:rPr>
        <w:t xml:space="preserve"> $1.3 billion </w:t>
      </w:r>
      <w:r>
        <w:rPr>
          <w:rFonts w:ascii="Arial" w:cs="Arial" w:eastAsia="Arial" w:hAnsi="Arial"/>
          <w:sz w:val="18"/>
          <w:szCs w:val="18"/>
          <w:color w:val="000000"/>
        </w:rPr>
        <w:t>at March 31,</w:t>
      </w:r>
      <w:r>
        <w:rPr>
          <w:rFonts w:ascii="Arial" w:cs="Arial" w:eastAsia="Arial" w:hAnsi="Arial"/>
          <w:sz w:val="18"/>
          <w:szCs w:val="18"/>
          <w:color w:val="222222"/>
        </w:rPr>
        <w:t xml:space="preserve"> </w:t>
      </w:r>
      <w:r>
        <w:rPr>
          <w:rFonts w:ascii="Arial" w:cs="Arial" w:eastAsia="Arial" w:hAnsi="Arial"/>
          <w:sz w:val="18"/>
          <w:szCs w:val="18"/>
          <w:color w:val="000000"/>
        </w:rPr>
        <w:t>2020</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March 12, 2021, we closed the sale of 4,472,222 shares of our common stock in a public offering, resulting in net proceeds to us of approximately </w:t>
      </w:r>
      <w:r>
        <w:rPr>
          <w:rFonts w:ascii="Arial" w:cs="Arial" w:eastAsia="Arial" w:hAnsi="Arial"/>
          <w:sz w:val="18"/>
          <w:szCs w:val="18"/>
          <w:color w:val="222222"/>
        </w:rPr>
        <w:t>$389.4 million</w:t>
      </w:r>
      <w:r>
        <w:rPr>
          <w:rFonts w:ascii="Arial" w:cs="Arial" w:eastAsia="Arial" w:hAnsi="Arial"/>
          <w:sz w:val="18"/>
          <w:szCs w:val="18"/>
          <w:color w:val="000000"/>
        </w:rPr>
        <w:t>, after deducting underwriters’ discounts of the offering, as well as the sale of the Convertible Notes in a private placement to qualified</w:t>
      </w:r>
      <w:r>
        <w:rPr>
          <w:rFonts w:ascii="Arial" w:cs="Arial" w:eastAsia="Arial" w:hAnsi="Arial"/>
          <w:sz w:val="18"/>
          <w:szCs w:val="18"/>
          <w:color w:val="222222"/>
        </w:rPr>
        <w:t xml:space="preserve"> </w:t>
      </w:r>
      <w:r>
        <w:rPr>
          <w:rFonts w:ascii="Arial" w:cs="Arial" w:eastAsia="Arial" w:hAnsi="Arial"/>
          <w:sz w:val="18"/>
          <w:szCs w:val="18"/>
          <w:color w:val="000000"/>
        </w:rPr>
        <w:t xml:space="preserve">institutional buyers, resulting in net proceeds to us of approximately </w:t>
      </w:r>
      <w:r>
        <w:rPr>
          <w:rFonts w:ascii="Arial" w:cs="Arial" w:eastAsia="Arial" w:hAnsi="Arial"/>
          <w:sz w:val="18"/>
          <w:szCs w:val="18"/>
          <w:color w:val="222222"/>
        </w:rPr>
        <w:t>$448.5 million</w:t>
      </w:r>
      <w:r>
        <w:rPr>
          <w:rFonts w:ascii="Arial" w:cs="Arial" w:eastAsia="Arial" w:hAnsi="Arial"/>
          <w:sz w:val="18"/>
          <w:szCs w:val="18"/>
          <w:color w:val="000000"/>
        </w:rPr>
        <w:t xml:space="preserve"> after deducting initial purchasers’ discounts of the offering. Concurrently with the issuance of the Convertible Notes, we entered into the Convertible Note Hedge Transactions and Warrant Transactions. For further description of these transactions, refer to Item 1: Financial Statements (Unaudited), Note 6: Debt and Item 1: Financial Statements (Unaudited), Note 7: Derivative Financial Instruments included in this Quarterly Report on Form 10-Q.</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 Amendment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Item 1: Financial Statements (Unaudited), Note 7: Derivative Financial Instruments, included in this Quarterly Report on Form 10-Q, for further details of the Convertible Note Hedge Transactions and Warrant Transactions.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Outlook for 2021 due to COVID-19</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COVID-19 pandemic has had global economic impacts including disrupting global supply chains and creating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results for 2021. Incremental costs we have incurred related to COVID-19, such as personal protective equipment, increased cleaning and sanitizing of our facilities, and other such items, have not been material to date. At this time, we have not identified any significant decrease in long-term customer demand for our products and services. Certain of our customers' projects and deployments have continued to shift later into 2021 and beyond. For more information on risks associated with the COVID-19 pandemic, please see our risk in Part I, Item 1A, Risk Factors in our 2020 Annual Report.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Other benefits, including options to defer payroll tax payments and additional deductions, have resulted in reduced cash costs in 2020, but will increase cash outlays during the fourth quarter of 2021 and into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 Change</w:t>
            </w:r>
          </w:p>
        </w:tc>
      </w:tr>
      <w:tr>
        <w:trPr>
          <w:trHeight w:val="172"/>
        </w:trPr>
        <w:tc>
          <w:tcPr>
            <w:tcW w:w="20" w:type="dxa"/>
            <w:vAlign w:val="bottom"/>
          </w:tcPr>
          <w:p>
            <w:pPr>
              <w:spacing w:after="0"/>
              <w:rPr>
                <w:sz w:val="14"/>
                <w:szCs w:val="14"/>
                <w:color w:val="auto"/>
              </w:rPr>
            </w:pPr>
          </w:p>
        </w:tc>
        <w:tc>
          <w:tcPr>
            <w:tcW w:w="590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590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442,804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528,137</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(16)%</w:t>
            </w:r>
          </w:p>
        </w:tc>
      </w:tr>
      <w:tr>
        <w:trPr>
          <w:trHeight w:val="213"/>
        </w:trPr>
        <w:tc>
          <w:tcPr>
            <w:tcW w:w="20" w:type="dxa"/>
            <w:vAlign w:val="bottom"/>
            <w:tcBorders>
              <w:bottom w:val="single" w:sz="8" w:color="CCEEFF"/>
            </w:tcBorders>
          </w:tcPr>
          <w:p>
            <w:pPr>
              <w:spacing w:after="0"/>
              <w:rPr>
                <w:sz w:val="18"/>
                <w:szCs w:val="18"/>
                <w:color w:val="auto"/>
              </w:rPr>
            </w:pPr>
          </w:p>
        </w:tc>
        <w:tc>
          <w:tcPr>
            <w:tcW w:w="590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76,770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70,278</w:t>
            </w:r>
          </w:p>
        </w:tc>
        <w:tc>
          <w:tcPr>
            <w:tcW w:w="17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9%</w:t>
            </w:r>
          </w:p>
        </w:tc>
      </w:tr>
      <w:tr>
        <w:trPr>
          <w:trHeight w:val="213"/>
        </w:trPr>
        <w:tc>
          <w:tcPr>
            <w:tcW w:w="2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519,574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598,415</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(13)%</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167,044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171,566</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136,104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145,196</w:t>
            </w:r>
          </w:p>
        </w:tc>
        <w:tc>
          <w:tcPr>
            <w:tcW w:w="172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9"/>
        </w:trPr>
        <w:tc>
          <w:tcPr>
            <w:tcW w:w="20" w:type="dxa"/>
            <w:vAlign w:val="bottom"/>
            <w:shd w:val="clear" w:color="auto" w:fill="CCEEFF"/>
          </w:tcPr>
          <w:p>
            <w:pPr>
              <w:spacing w:after="0"/>
              <w:rPr>
                <w:sz w:val="19"/>
                <w:szCs w:val="19"/>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30,940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26,370</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17%</w:t>
            </w: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(12,699)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(9,658)</w:t>
            </w:r>
          </w:p>
        </w:tc>
        <w:tc>
          <w:tcPr>
            <w:tcW w:w="17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31%</w:t>
            </w:r>
          </w:p>
        </w:tc>
      </w:tr>
      <w:tr>
        <w:trPr>
          <w:trHeight w:val="219"/>
        </w:trPr>
        <w:tc>
          <w:tcPr>
            <w:tcW w:w="20" w:type="dxa"/>
            <w:vAlign w:val="bottom"/>
            <w:shd w:val="clear" w:color="auto" w:fill="CCEEFF"/>
          </w:tcPr>
          <w:p>
            <w:pPr>
              <w:spacing w:after="0"/>
              <w:rPr>
                <w:sz w:val="19"/>
                <w:szCs w:val="19"/>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(7,550)</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(38)%</w:t>
            </w: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Net income attributable to Itron, Inc.</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12,603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8,684</w:t>
            </w:r>
          </w:p>
        </w:tc>
        <w:tc>
          <w:tcPr>
            <w:tcW w:w="17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45%</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9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128,096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133,047</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38,948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38,519</w:t>
            </w:r>
          </w:p>
        </w:tc>
        <w:tc>
          <w:tcPr>
            <w:tcW w:w="17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r>
      <w:tr>
        <w:trPr>
          <w:trHeight w:val="219"/>
        </w:trPr>
        <w:tc>
          <w:tcPr>
            <w:tcW w:w="20" w:type="dxa"/>
            <w:vAlign w:val="bottom"/>
            <w:shd w:val="clear" w:color="auto" w:fill="CCEEFF"/>
          </w:tcPr>
          <w:p>
            <w:pPr>
              <w:spacing w:after="0"/>
              <w:rPr>
                <w:sz w:val="19"/>
                <w:szCs w:val="19"/>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22,969</w:t>
            </w:r>
          </w:p>
        </w:tc>
        <w:tc>
          <w:tcPr>
            <w:tcW w:w="17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49,723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51,973</w:t>
            </w:r>
          </w:p>
        </w:tc>
        <w:tc>
          <w:tcPr>
            <w:tcW w:w="172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590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Earnings Per Share</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0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30.5 %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27.2 %</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90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900" w:type="dxa"/>
            <w:vAlign w:val="bottom"/>
            <w:gridSpan w:val="5"/>
          </w:tcPr>
          <w:p>
            <w:pPr>
              <w:ind w:left="460"/>
              <w:spacing w:after="0"/>
              <w:rPr>
                <w:sz w:val="20"/>
                <w:szCs w:val="20"/>
                <w:color w:val="auto"/>
              </w:rPr>
            </w:pPr>
            <w:r>
              <w:rPr>
                <w:rFonts w:ascii="Arial" w:cs="Arial" w:eastAsia="Arial" w:hAnsi="Arial"/>
                <w:sz w:val="16"/>
                <w:szCs w:val="16"/>
                <w:color w:val="auto"/>
              </w:rPr>
              <w:t>Total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32.2 %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28.7 %</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income per common share - 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6"/>
                <w:szCs w:val="16"/>
                <w:color w:val="auto"/>
              </w:rPr>
              <w:t>Net income per common share - 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59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bl>
    <w:p>
      <w:pPr>
        <w:spacing w:after="0" w:line="98" w:lineRule="exact"/>
        <w:rPr>
          <w:sz w:val="20"/>
          <w:szCs w:val="20"/>
          <w:color w:val="auto"/>
        </w:rPr>
      </w:pPr>
    </w:p>
    <w:p>
      <w:pPr>
        <w:ind w:left="340" w:right="20" w:hanging="332"/>
        <w:spacing w:after="0" w:line="223"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42-44 for information about these non-GAAP measures and reconciliations to the most comparable GAAP measures.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electric, water, and gas meters; streetlights and other types of IIoT sensors and actuators; sensors and other capabilities that the end customer would like Itron to connect and manage on their behalf.</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340" w:type="dxa"/>
            <w:vAlign w:val="bottom"/>
            <w:tcBorders>
              <w:bottom w:val="single" w:sz="8" w:color="auto"/>
            </w:tcBorders>
            <w:gridSpan w:val="3"/>
          </w:tcPr>
          <w:p>
            <w:pPr>
              <w:ind w:left="1140"/>
              <w:spacing w:after="0"/>
              <w:rPr>
                <w:sz w:val="20"/>
                <w:szCs w:val="20"/>
                <w:color w:val="auto"/>
              </w:rPr>
            </w:pPr>
            <w:r>
              <w:rPr>
                <w:rFonts w:ascii="Arial" w:cs="Arial" w:eastAsia="Arial" w:hAnsi="Arial"/>
                <w:sz w:val="16"/>
                <w:szCs w:val="16"/>
                <w:b w:val="1"/>
                <w:bCs w:val="1"/>
                <w:color w:val="auto"/>
                <w:w w:val="99"/>
              </w:rPr>
              <w:t>As of March 31,</w:t>
            </w:r>
          </w:p>
        </w:tc>
        <w:tc>
          <w:tcPr>
            <w:tcW w:w="1060" w:type="dxa"/>
            <w:vAlign w:val="bottom"/>
            <w:tcBorders>
              <w:bottom w:val="single" w:sz="8" w:color="auto"/>
            </w:tcBorders>
          </w:tcPr>
          <w:p>
            <w:pPr>
              <w:spacing w:after="0"/>
              <w:rPr>
                <w:sz w:val="18"/>
                <w:szCs w:val="18"/>
                <w:color w:val="auto"/>
              </w:rPr>
            </w:pP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1640" w:type="dxa"/>
            <w:vAlign w:val="bottom"/>
            <w:shd w:val="clear" w:color="auto" w:fill="CCEEFF"/>
          </w:tcPr>
          <w:p>
            <w:pPr>
              <w:ind w:left="1140"/>
              <w:spacing w:after="0"/>
              <w:rPr>
                <w:sz w:val="20"/>
                <w:szCs w:val="20"/>
                <w:color w:val="auto"/>
              </w:rPr>
            </w:pPr>
            <w:r>
              <w:rPr>
                <w:rFonts w:ascii="Arial" w:cs="Arial" w:eastAsia="Arial" w:hAnsi="Arial"/>
                <w:sz w:val="16"/>
                <w:szCs w:val="16"/>
                <w:color w:val="auto"/>
                <w:w w:val="98"/>
              </w:rPr>
              <w:t>71,388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
                <w:szCs w:val="2"/>
                <w:color w:val="auto"/>
              </w:rPr>
            </w:pPr>
          </w:p>
        </w:tc>
        <w:tc>
          <w:tcPr>
            <w:tcW w:w="13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519,574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(78,841)</w:t>
            </w:r>
          </w:p>
        </w:tc>
        <w:tc>
          <w:tcPr>
            <w:tcW w:w="0" w:type="dxa"/>
            <w:vAlign w:val="bottom"/>
          </w:tcPr>
          <w:p>
            <w:pPr>
              <w:spacing w:after="0"/>
              <w:rPr>
                <w:sz w:val="1"/>
                <w:szCs w:val="1"/>
                <w:color w:val="auto"/>
              </w:rPr>
            </w:pPr>
          </w:p>
        </w:tc>
      </w:tr>
      <w:tr>
        <w:trPr>
          <w:trHeight w:val="210"/>
        </w:trPr>
        <w:tc>
          <w:tcPr>
            <w:tcW w:w="300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2021 vs. Three Months Ended March 31, 2020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 xml:space="preserve">Total revenues decreased $78.8 million, or 13%, for the first </w:t>
      </w:r>
      <w:r>
        <w:rPr>
          <w:rFonts w:ascii="Arial" w:cs="Arial" w:eastAsia="Arial" w:hAnsi="Arial"/>
          <w:sz w:val="17"/>
          <w:szCs w:val="17"/>
          <w:color w:val="000000"/>
        </w:rPr>
        <w:t>three months</w:t>
      </w:r>
      <w:r>
        <w:rPr>
          <w:rFonts w:ascii="Arial" w:cs="Arial" w:eastAsia="Arial" w:hAnsi="Arial"/>
          <w:sz w:val="17"/>
          <w:szCs w:val="17"/>
          <w:color w:val="222222"/>
        </w:rPr>
        <w:t xml:space="preserve"> of </w:t>
      </w:r>
      <w:r>
        <w:rPr>
          <w:rFonts w:ascii="Arial" w:cs="Arial" w:eastAsia="Arial" w:hAnsi="Arial"/>
          <w:sz w:val="17"/>
          <w:szCs w:val="17"/>
          <w:color w:val="000000"/>
        </w:rPr>
        <w:t>2021</w:t>
      </w:r>
      <w:r>
        <w:rPr>
          <w:rFonts w:ascii="Arial" w:cs="Arial" w:eastAsia="Arial" w:hAnsi="Arial"/>
          <w:sz w:val="17"/>
          <w:szCs w:val="17"/>
          <w:color w:val="222222"/>
        </w:rPr>
        <w:t xml:space="preserve">, compared with the same period in </w:t>
      </w:r>
      <w:r>
        <w:rPr>
          <w:rFonts w:ascii="Arial" w:cs="Arial" w:eastAsia="Arial" w:hAnsi="Arial"/>
          <w:sz w:val="17"/>
          <w:szCs w:val="17"/>
          <w:color w:val="000000"/>
        </w:rPr>
        <w:t>2020. We have been unfavorably</w:t>
      </w:r>
      <w:r>
        <w:rPr>
          <w:rFonts w:ascii="Arial" w:cs="Arial" w:eastAsia="Arial" w:hAnsi="Arial"/>
          <w:sz w:val="17"/>
          <w:szCs w:val="17"/>
          <w:color w:val="222222"/>
        </w:rPr>
        <w:t xml:space="preserve"> </w:t>
      </w:r>
      <w:r>
        <w:rPr>
          <w:rFonts w:ascii="Arial" w:cs="Arial" w:eastAsia="Arial" w:hAnsi="Arial"/>
          <w:sz w:val="17"/>
          <w:szCs w:val="17"/>
          <w:color w:val="000000"/>
        </w:rPr>
        <w:t xml:space="preserve">impacted by timing of customer projects and shipments that continue to be impacted by COVD-19, which drove the lower year-over-year results. Product revenues decreased by $85.3 million, and service revenues increased by $6.5 million. </w:t>
      </w:r>
      <w:r>
        <w:rPr>
          <w:rFonts w:ascii="Arial" w:cs="Arial" w:eastAsia="Arial" w:hAnsi="Arial"/>
          <w:sz w:val="17"/>
          <w:szCs w:val="17"/>
          <w:color w:val="222222"/>
        </w:rPr>
        <w:t>Device Solutions decreased by $29.5 million; Networked Solutions</w:t>
      </w:r>
      <w:r>
        <w:rPr>
          <w:rFonts w:ascii="Arial" w:cs="Arial" w:eastAsia="Arial" w:hAnsi="Arial"/>
          <w:sz w:val="17"/>
          <w:szCs w:val="17"/>
          <w:color w:val="000000"/>
        </w:rPr>
        <w:t xml:space="preserve"> </w:t>
      </w:r>
      <w:r>
        <w:rPr>
          <w:rFonts w:ascii="Arial" w:cs="Arial" w:eastAsia="Arial" w:hAnsi="Arial"/>
          <w:sz w:val="17"/>
          <w:szCs w:val="17"/>
          <w:color w:val="222222"/>
        </w:rPr>
        <w:t xml:space="preserve">decreased by </w:t>
      </w:r>
      <w:r>
        <w:rPr>
          <w:rFonts w:ascii="Arial" w:cs="Arial" w:eastAsia="Arial" w:hAnsi="Arial"/>
          <w:sz w:val="17"/>
          <w:szCs w:val="17"/>
          <w:color w:val="000000"/>
        </w:rPr>
        <w:t>$52.5 million</w:t>
      </w:r>
      <w:r>
        <w:rPr>
          <w:rFonts w:ascii="Arial" w:cs="Arial" w:eastAsia="Arial" w:hAnsi="Arial"/>
          <w:sz w:val="17"/>
          <w:szCs w:val="17"/>
          <w:color w:val="222222"/>
        </w:rPr>
        <w:t>; and Outcomes increased by $3.2 million when compared with the same period last year. C</w:t>
      </w:r>
      <w:r>
        <w:rPr>
          <w:rFonts w:ascii="Arial" w:cs="Arial" w:eastAsia="Arial" w:hAnsi="Arial"/>
          <w:sz w:val="17"/>
          <w:szCs w:val="17"/>
          <w:color w:val="000000"/>
        </w:rPr>
        <w:t>hanges in exchange rates favorably</w:t>
      </w:r>
      <w:r>
        <w:rPr>
          <w:rFonts w:ascii="Arial" w:cs="Arial" w:eastAsia="Arial" w:hAnsi="Arial"/>
          <w:sz w:val="17"/>
          <w:szCs w:val="17"/>
          <w:color w:val="222222"/>
        </w:rPr>
        <w:t xml:space="preserve"> </w:t>
      </w:r>
      <w:r>
        <w:rPr>
          <w:rFonts w:ascii="Arial" w:cs="Arial" w:eastAsia="Arial" w:hAnsi="Arial"/>
          <w:sz w:val="17"/>
          <w:szCs w:val="17"/>
          <w:color w:val="000000"/>
        </w:rPr>
        <w:t xml:space="preserve">impacted total revenues by </w:t>
      </w:r>
      <w:r>
        <w:rPr>
          <w:rFonts w:ascii="Arial" w:cs="Arial" w:eastAsia="Arial" w:hAnsi="Arial"/>
          <w:sz w:val="17"/>
          <w:szCs w:val="17"/>
          <w:color w:val="222222"/>
        </w:rPr>
        <w:t>$17.7 million</w:t>
      </w:r>
      <w:r>
        <w:rPr>
          <w:rFonts w:ascii="Arial" w:cs="Arial" w:eastAsia="Arial" w:hAnsi="Arial"/>
          <w:sz w:val="17"/>
          <w:szCs w:val="17"/>
          <w:color w:val="000000"/>
        </w:rPr>
        <w:t xml:space="preserve">, of which </w:t>
      </w:r>
      <w:r>
        <w:rPr>
          <w:rFonts w:ascii="Arial" w:cs="Arial" w:eastAsia="Arial" w:hAnsi="Arial"/>
          <w:sz w:val="17"/>
          <w:szCs w:val="17"/>
          <w:color w:val="222222"/>
        </w:rPr>
        <w:t>$13.4 million</w:t>
      </w:r>
      <w:r>
        <w:rPr>
          <w:rFonts w:ascii="Arial" w:cs="Arial" w:eastAsia="Arial" w:hAnsi="Arial"/>
          <w:sz w:val="17"/>
          <w:szCs w:val="17"/>
          <w:color w:val="000000"/>
        </w:rPr>
        <w:t xml:space="preserve"> favorably impacted Device Solutions.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Three months ended March 31, 2021 vs. Three Months Ended March 31, 2020</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22222"/>
        </w:rPr>
        <w:t xml:space="preserve">Gross margin for the current year was 32.2%, compared with 28.7% in </w:t>
      </w:r>
      <w:r>
        <w:rPr>
          <w:rFonts w:ascii="Arial" w:cs="Arial" w:eastAsia="Arial" w:hAnsi="Arial"/>
          <w:sz w:val="16"/>
          <w:szCs w:val="16"/>
          <w:color w:val="000000"/>
        </w:rPr>
        <w:t>2020</w:t>
      </w:r>
      <w:r>
        <w:rPr>
          <w:rFonts w:ascii="Arial" w:cs="Arial" w:eastAsia="Arial" w:hAnsi="Arial"/>
          <w:sz w:val="16"/>
          <w:szCs w:val="16"/>
          <w:color w:val="222222"/>
        </w:rPr>
        <w:t>. We were impacted by favorable product and solution mix and operating efficiencies in 2021 compared with the first quarter of 2020, which was more negatively impacted by COVID-19</w:t>
      </w:r>
      <w:r>
        <w:rPr>
          <w:rFonts w:ascii="Arial" w:cs="Arial" w:eastAsia="Arial" w:hAnsi="Arial"/>
          <w:sz w:val="16"/>
          <w:szCs w:val="16"/>
          <w:color w:val="000000"/>
        </w:rPr>
        <w:t>.</w:t>
      </w:r>
      <w:r>
        <w:rPr>
          <w:rFonts w:ascii="Arial" w:cs="Arial" w:eastAsia="Arial" w:hAnsi="Arial"/>
          <w:sz w:val="16"/>
          <w:szCs w:val="16"/>
          <w:color w:val="222222"/>
        </w:rPr>
        <w:t xml:space="preserve"> Product sales gross margin increased to 30.5% in the </w:t>
      </w:r>
      <w:r>
        <w:rPr>
          <w:rFonts w:ascii="Arial" w:cs="Arial" w:eastAsia="Arial" w:hAnsi="Arial"/>
          <w:sz w:val="16"/>
          <w:szCs w:val="16"/>
          <w:color w:val="000000"/>
        </w:rPr>
        <w:t>2021 period</w:t>
      </w:r>
      <w:r>
        <w:rPr>
          <w:rFonts w:ascii="Arial" w:cs="Arial" w:eastAsia="Arial" w:hAnsi="Arial"/>
          <w:sz w:val="16"/>
          <w:szCs w:val="16"/>
          <w:color w:val="222222"/>
        </w:rPr>
        <w:t xml:space="preserve">, compared with 27.2% in </w:t>
      </w:r>
      <w:r>
        <w:rPr>
          <w:rFonts w:ascii="Arial" w:cs="Arial" w:eastAsia="Arial" w:hAnsi="Arial"/>
          <w:sz w:val="16"/>
          <w:szCs w:val="16"/>
          <w:color w:val="000000"/>
        </w:rPr>
        <w:t>2020,</w:t>
      </w:r>
      <w:r>
        <w:rPr>
          <w:rFonts w:ascii="Arial" w:cs="Arial" w:eastAsia="Arial" w:hAnsi="Arial"/>
          <w:sz w:val="16"/>
          <w:szCs w:val="16"/>
          <w:color w:val="222222"/>
        </w:rPr>
        <w:t xml:space="preserve"> and gross margin on service revenues increased to 41.6%, compared with 40.0% in </w:t>
      </w:r>
      <w:r>
        <w:rPr>
          <w:rFonts w:ascii="Arial" w:cs="Arial" w:eastAsia="Arial" w:hAnsi="Arial"/>
          <w:sz w:val="16"/>
          <w:szCs w:val="16"/>
          <w:color w:val="000000"/>
        </w:rPr>
        <w:t>2020</w:t>
      </w:r>
      <w:r>
        <w:rPr>
          <w:rFonts w:ascii="Arial" w:cs="Arial" w:eastAsia="Arial" w:hAnsi="Arial"/>
          <w:sz w:val="16"/>
          <w:szCs w:val="16"/>
          <w:color w:val="222222"/>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w w:val="94"/>
              </w:rPr>
              <w:t>(4,506)</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699"/>
              <w:spacing w:after="0"/>
              <w:rPr>
                <w:sz w:val="20"/>
                <w:szCs w:val="20"/>
                <w:color w:val="auto"/>
              </w:rPr>
            </w:pPr>
            <w:r>
              <w:rPr>
                <w:rFonts w:ascii="Arial" w:cs="Arial" w:eastAsia="Arial" w:hAnsi="Arial"/>
                <w:sz w:val="16"/>
                <w:szCs w:val="16"/>
                <w:color w:val="auto"/>
                <w:w w:val="94"/>
              </w:rPr>
              <w:t>(2,054)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w w:val="94"/>
              </w:rPr>
              <w:t>(2,192)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699"/>
              <w:spacing w:after="0"/>
              <w:rPr>
                <w:sz w:val="20"/>
                <w:szCs w:val="20"/>
                <w:color w:val="auto"/>
              </w:rPr>
            </w:pPr>
            <w:r>
              <w:rPr>
                <w:rFonts w:ascii="Arial" w:cs="Arial" w:eastAsia="Arial" w:hAnsi="Arial"/>
                <w:sz w:val="16"/>
                <w:szCs w:val="16"/>
                <w:color w:val="auto"/>
                <w:w w:val="94"/>
              </w:rPr>
              <w:t>(1,732)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4"/>
              </w:rPr>
              <w:t>1,392</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136,104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145,196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(12,991)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center"/>
              <w:ind w:left="699"/>
              <w:spacing w:after="0"/>
              <w:rPr>
                <w:sz w:val="20"/>
                <w:szCs w:val="20"/>
                <w:color w:val="auto"/>
              </w:rPr>
            </w:pPr>
            <w:r>
              <w:rPr>
                <w:rFonts w:ascii="Arial" w:cs="Arial" w:eastAsia="Arial" w:hAnsi="Arial"/>
                <w:sz w:val="16"/>
                <w:szCs w:val="16"/>
                <w:color w:val="auto"/>
                <w:w w:val="94"/>
              </w:rPr>
              <w:t>(9,092)</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$9.1 million for the three months ended March 31, 2021 as compared with the same period in 2020. This was primarily the result of decreases of $4.3 million in travel expense, $1.4 million in facility costs, $2.2 million in amortization of intangible assets, $1.7 million in restructuring, and $1.6 million in acquisition and integration expenses classified within sales, general and administrative. The overall decrease was partially offset by a $3.0 million increase in information technology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37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(7,780)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(10,270)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(24)%</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prepaid debt fees</w:t>
            </w: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168%</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(359)%</w:t>
            </w:r>
          </w:p>
        </w:tc>
      </w:tr>
      <w:tr>
        <w:trPr>
          <w:trHeight w:val="23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income (expense)</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(9,658)</w:t>
            </w: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31%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income (expense) for the three months ended March 31, 2021 was a net expense of $12.7 million, compared with net expense of $9.7 million in the same period in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higher total expense for the three months ended March 31, 2021, as compared with the same period in 2020, was primarily driven by $1.7 million in higher debt fee amortization, $1.7 million related to the extinguishment of debt in other income (expense), and $1.0 million due to higher foreign currency exchange losses resulting from transactions denominated in currency other than the reporting entity's functional currency. The increase was partially offset by a decrease of $2.4 million in interest expense for the term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2021, our income tax expense was $4.7 million compared with income tax expense of $7.6 million for the same period in 2020. Our tax rate for the three months ended March 31, 2021 of 26%, differed from the federal statutory rate of 21% primarily due to losses in jurisdictions for which no benefit is recognized because of valuation allowances on deferred tax assets, the forecasted mix of earnings in domestic and international jurisdictions, a benefit related to stock-based compensation, and uncertain tax positions. Our tax rate for the three months ended March 31, 2020 of 45%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stock-based compensation, and uncertain tax positions.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discussion related to income taxes, see Item 1: Financial Statements (Unaudited), Note 10: Income Taxes included in this Quarterly Report on Form 10-Q.</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3"/>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5"/>
          </w:tcPr>
          <w:p>
            <w:pPr>
              <w:jc w:val="center"/>
              <w:ind w:right="300"/>
              <w:spacing w:after="0" w:line="163" w:lineRule="exact"/>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w w:val="97"/>
              </w:rPr>
              <w:t>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2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5"/>
              </w:rPr>
              <w:t>% Change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172,781</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288,314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519,574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color w:val="auto"/>
                <w:w w:val="93"/>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6"/>
                <w:szCs w:val="16"/>
                <w:b w:val="1"/>
                <w:bCs w:val="1"/>
                <w:color w:val="auto"/>
                <w:w w:val="94"/>
              </w:rPr>
              <w:t>Three Months Ended March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260" w:type="dxa"/>
            <w:vAlign w:val="bottom"/>
          </w:tcPr>
          <w:p>
            <w:pPr>
              <w:jc w:val="center"/>
              <w:ind w:right="7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80" w:type="dxa"/>
            <w:vAlign w:val="bottom"/>
          </w:tcPr>
          <w:p>
            <w:pPr>
              <w:spacing w:after="0"/>
              <w:rPr>
                <w:sz w:val="14"/>
                <w:szCs w:val="14"/>
                <w:color w:val="auto"/>
              </w:rPr>
            </w:pPr>
          </w:p>
        </w:tc>
        <w:tc>
          <w:tcPr>
            <w:tcW w:w="162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1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i w:val="1"/>
                <w:iCs w:val="1"/>
                <w:color w:val="auto"/>
                <w:w w:val="90"/>
              </w:rPr>
              <w:t>Profit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90"/>
              </w:rPr>
              <w:t>Profit</w:t>
            </w: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w w:val="92"/>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2"/>
              </w:rPr>
              <w:t>16.0%</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112,759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239"/>
              <w:spacing w:after="0"/>
              <w:rPr>
                <w:sz w:val="20"/>
                <w:szCs w:val="20"/>
                <w:color w:val="auto"/>
              </w:rPr>
            </w:pPr>
            <w:r>
              <w:rPr>
                <w:rFonts w:ascii="Arial" w:cs="Arial" w:eastAsia="Arial" w:hAnsi="Arial"/>
                <w:sz w:val="16"/>
                <w:szCs w:val="16"/>
                <w:color w:val="auto"/>
                <w:w w:val="92"/>
              </w:rPr>
              <w:t>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121,750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auto"/>
                <w:w w:val="92"/>
              </w:rPr>
              <w:t>35.7%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w w:val="92"/>
              </w:rPr>
              <w:t>37.6%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2"/>
              </w:rPr>
              <w:t>31.6%</w:t>
            </w:r>
          </w:p>
        </w:tc>
        <w:tc>
          <w:tcPr>
            <w:tcW w:w="0" w:type="dxa"/>
            <w:vAlign w:val="bottom"/>
          </w:tcPr>
          <w:p>
            <w:pPr>
              <w:spacing w:after="0"/>
              <w:rPr>
                <w:sz w:val="1"/>
                <w:szCs w:val="1"/>
                <w:color w:val="auto"/>
              </w:rPr>
            </w:pPr>
          </w:p>
        </w:tc>
      </w:tr>
      <w:tr>
        <w:trPr>
          <w:trHeight w:val="213"/>
        </w:trPr>
        <w:tc>
          <w:tcPr>
            <w:tcW w:w="520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239"/>
              <w:spacing w:after="0"/>
              <w:rPr>
                <w:sz w:val="20"/>
                <w:szCs w:val="20"/>
                <w:color w:val="auto"/>
              </w:rPr>
            </w:pPr>
            <w:r>
              <w:rPr>
                <w:rFonts w:ascii="Arial" w:cs="Arial" w:eastAsia="Arial" w:hAnsi="Arial"/>
                <w:sz w:val="16"/>
                <w:szCs w:val="16"/>
                <w:color w:val="auto"/>
                <w:w w:val="92"/>
              </w:rPr>
              <w:t>32.2%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auto"/>
                <w:w w:val="92"/>
              </w:rPr>
              <w:t>28.7%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w w:val="97"/>
              </w:rPr>
              <w:t>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2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5"/>
              </w:rPr>
              <w:t>% Change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10,595</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3"/>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center"/>
              <w:ind w:right="9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6"/>
                <w:szCs w:val="16"/>
                <w:b w:val="1"/>
                <w:bCs w:val="1"/>
                <w:color w:val="auto"/>
                <w:w w:val="94"/>
              </w:rPr>
              <w:t>Three Months Ended March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260" w:type="dxa"/>
            <w:vAlign w:val="bottom"/>
          </w:tcPr>
          <w:p>
            <w:pPr>
              <w:jc w:val="center"/>
              <w:ind w:right="79"/>
              <w:spacing w:after="0" w:line="162" w:lineRule="exact"/>
              <w:rPr>
                <w:sz w:val="20"/>
                <w:szCs w:val="20"/>
                <w:color w:val="auto"/>
              </w:rPr>
            </w:pPr>
            <w:r>
              <w:rPr>
                <w:rFonts w:ascii="Arial" w:cs="Arial" w:eastAsia="Arial" w:hAnsi="Arial"/>
                <w:sz w:val="16"/>
                <w:szCs w:val="16"/>
                <w:b w:val="1"/>
                <w:bCs w:val="1"/>
                <w:i w:val="1"/>
                <w:iCs w:val="1"/>
                <w:color w:val="auto"/>
                <w:w w:val="87"/>
              </w:rPr>
              <w:t>Operating</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180" w:type="dxa"/>
            <w:vAlign w:val="bottom"/>
          </w:tcPr>
          <w:p>
            <w:pPr>
              <w:spacing w:after="0"/>
              <w:rPr>
                <w:sz w:val="14"/>
                <w:szCs w:val="14"/>
                <w:color w:val="auto"/>
              </w:rPr>
            </w:pPr>
          </w:p>
        </w:tc>
        <w:tc>
          <w:tcPr>
            <w:tcW w:w="1620" w:type="dxa"/>
            <w:vAlign w:val="bottom"/>
            <w:gridSpan w:val="3"/>
          </w:tcPr>
          <w:p>
            <w:pPr>
              <w:jc w:val="center"/>
              <w:ind w:right="540"/>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11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i w:val="1"/>
                <w:iCs w:val="1"/>
                <w:color w:val="auto"/>
                <w:w w:val="88"/>
              </w:rPr>
              <w:t>Income (Loss)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8"/>
                <w:szCs w:val="18"/>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6"/>
                <w:szCs w:val="16"/>
                <w:b w:val="1"/>
                <w:bCs w:val="1"/>
                <w:i w:val="1"/>
                <w:iCs w:val="1"/>
                <w:color w:val="auto"/>
                <w:w w:val="88"/>
              </w:rPr>
              <w:t>Income (Loss)</w:t>
            </w: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income (loss) and operating margin</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w w:val="92"/>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3"/>
              </w:rPr>
              <w:t>9.0%</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79,291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239"/>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88,680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auto"/>
                <w:w w:val="92"/>
              </w:rPr>
              <w:t>26.0%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w w:val="92"/>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2"/>
              </w:rPr>
              <w:t>14.8%</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center"/>
              <w:ind w:right="4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center"/>
              <w:ind w:right="1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operating income (loss) and operating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3"/>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3"/>
              </w:rPr>
              <w:t>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
                <w:szCs w:val="2"/>
                <w:color w:val="auto"/>
              </w:rPr>
            </w:pPr>
          </w:p>
        </w:tc>
        <w:tc>
          <w:tcPr>
            <w:tcW w:w="13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(29,498)</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2021 vs. Three months ended March 31, 2020</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decreased $29.5 million, or 15%, for the first three months of 2021 compared with the same period in 2020. Changes in foreign currency exchange rates favorably impacted revenues by $13.4 million. Revenue decreased due to lower shipments to Europe, Middle East and Africa, COVID related delays and a decrease of $9.0 million in the Latin America region primarily due to the sale of the business in June 2020.</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2021 vs. Three months ended March 31, 2020</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ended March 31, 2021, gross margin was 18.7%, compared with 16.0% for the same period in 2020. The 270 basis point increase over the prior year was primarily due to favorable product mix and reduced operating inefficiencies related to COVID-19 compared with the first quarter of 2020.</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2021 vs. Three months ended March 31, 2020</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decreased $3.6 million, or 25%, for the first three months of 2021 compared with the same period in 2020. The decrease was primarily a result of lower research and development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
                <w:szCs w:val="2"/>
                <w:color w:val="auto"/>
              </w:rPr>
            </w:pPr>
          </w:p>
        </w:tc>
        <w:tc>
          <w:tcPr>
            <w:tcW w:w="13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(52,531)</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112,759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(8,991)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2021 vs. Three months ended March 31, 2020</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decreased $52.5 million, or 15%, for the first three months of 2021 compared with the same period in 2020. The change was primarily due to the timing of project completion and the impact of COVID-19 on new deployments, Lower product revenue of $56.7 million was partially offset by higher maintenance service revenue of $4.2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2021 vs. Three months ended March 31,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39.1% for the 2021 period, compared with 35.7% in 2020. The 340 basis point increase was primarily related to favorable product mix and reduced operating inefficiencies related to COVID-19 compared with the first quarter of 2020.</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2021 vs. Three months ended March 31,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$0.4 million, or 1%, for the first three months of 2021, compared with the same period in 2020. The increase was primarily driven by increased investment in research and development.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8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10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58,479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55,291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21,989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11,653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2021 vs. Three months ended March 31, 2020</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Revenues increased $3.2 million, or 6%, for the first three months of 2021 compared with the same period in 2020. This increase was driven by an increase in software license sales, professional services, and maintenance.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2021 vs. Three months ended March 31,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37.6% for the period ending in 2021, compared with 31.6% for last year. The 600 basis point increase was driven by favorable mix, driven by higher one-time software license sales.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2021 vs. Three months ended March 31, 2020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for the first three months of 2021 increased $2.4 million, or 26%, compared with the same period last year. This increase was primarily related to increased research and development investment of $1.7 million and higher product marketing expenses of $0.7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March 31, 2021 vs. Three months ended March 31, 2020</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For the first three months of 2021, Corporate unallocated expenses decreased $8.3 million, or 9%, as compared with the same period in 2020. This was primarily the result of decreases of $3.5 million in travel expense, $2.2 million in amortization of intangible assets, $1.7 million in restructuring, and $1.6 million in acquisition and integration expenses classified within sales, general and administrative. The overall decrease was partially offset by a $3.0 million increase in information technology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220" w:type="dxa"/>
            <w:vAlign w:val="bottom"/>
            <w:vMerge w:val="restart"/>
          </w:tcPr>
          <w:p>
            <w:pPr>
              <w:jc w:val="center"/>
              <w:ind w:left="2019"/>
              <w:spacing w:after="0"/>
              <w:rPr>
                <w:sz w:val="20"/>
                <w:szCs w:val="20"/>
                <w:color w:val="auto"/>
              </w:rPr>
            </w:pPr>
            <w:r>
              <w:rPr>
                <w:rFonts w:ascii="Arial" w:cs="Arial" w:eastAsia="Arial" w:hAnsi="Arial"/>
                <w:sz w:val="16"/>
                <w:szCs w:val="16"/>
                <w:b w:val="1"/>
                <w:bCs w:val="1"/>
                <w:color w:val="auto"/>
                <w:w w:val="95"/>
              </w:rPr>
              <w:t>Quarterly</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99"/>
              <w:spacing w:after="0"/>
              <w:rPr>
                <w:sz w:val="20"/>
                <w:szCs w:val="20"/>
                <w:color w:val="auto"/>
              </w:rPr>
            </w:pPr>
            <w:r>
              <w:rPr>
                <w:rFonts w:ascii="Arial" w:cs="Arial" w:eastAsia="Arial" w:hAnsi="Arial"/>
                <w:sz w:val="16"/>
                <w:szCs w:val="16"/>
                <w:b w:val="1"/>
                <w:bCs w:val="1"/>
                <w:color w:val="auto"/>
                <w:w w:val="95"/>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Arial" w:cs="Arial" w:eastAsia="Arial" w:hAnsi="Arial"/>
                <w:sz w:val="16"/>
                <w:szCs w:val="16"/>
                <w:b w:val="1"/>
                <w:bCs w:val="1"/>
                <w:color w:val="auto"/>
                <w:w w:val="94"/>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Arial" w:cs="Arial" w:eastAsia="Arial" w:hAnsi="Arial"/>
                <w:sz w:val="16"/>
                <w:szCs w:val="16"/>
                <w:b w:val="1"/>
                <w:bCs w:val="1"/>
                <w:color w:val="auto"/>
                <w:w w:val="95"/>
              </w:rPr>
              <w:t>12-Month</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7"/>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9"/>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322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3,421</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973</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3,259</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2,795</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2,895</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3,020</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(5,806)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(9,257)</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401,737</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(6,758)</w:t>
            </w:r>
          </w:p>
        </w:tc>
      </w:tr>
      <w:tr>
        <w:trPr>
          <w:trHeight w:val="234"/>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367,659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404,616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was $574.6 million at March 31, 2021, compared with $206.9 million at December 31, 2020. The $367.7 million increase in cash and cash equivalents in the 2021 period was primarily the result of proceeds from convertible senior note and equity offering in March 2021, along with cash flows from operating activities, partially offset by purchases of equity classified derivative contracts, repayment of term loan, and acquisitions of property, plant, and equipment.</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provided by operating activities during the three months in 2021 was $50.0 million compared with $18.9 million during the same period in 2020. The increase was primarily due to lower variable compensation payouts.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during the three months in 2021 was $3.5 million lower than in 2020. This decrease in use of cash was primarily related to the net cash inflow related to the working capital note from the sale of our Latin America operation, and a decrease of $1.2 million in investment of property, plant, and equipment.</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three months in 2021 was $324.6 million, compared with net cash provided of $401.7 million for the same period in 2020. In March 2021, we entered into a convertible senior note with proceeds used to pay off a portion of the term loan, which resulted in net repayment of $15.0 million of debt. We also received $389.4 million from issuance of common stock related to our equity offering, after deducting underwriters’ discounts of the offering, and purchased $38.8 million of equity classified derivative contacts. Cash payments for prepaid debt fees was $11.7 million.</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March 31, 2021 was a decrease of $1.1 million, compared with a decrease of $6.8 million for the same period in 2020. Our foreign currency exposure relates to non-U.S. dollar denominated balances in our international subsidiary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89"/>
              </w:rPr>
              <w:t>49,955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90"/>
              </w:rPr>
              <w:t>(11,412)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(12,602)</w:t>
            </w:r>
          </w:p>
        </w:tc>
      </w:tr>
      <w:tr>
        <w:trPr>
          <w:trHeight w:val="23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89"/>
              </w:rPr>
              <w:t>38,543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March 31, 2021 and December 31, 2020 that we believe could reasonably likely have a current or future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approximately $389.4 million, after deducting underwriters’ discounts of the offering, as well as the sale of the Convertible Notes in a private placement to qualified institutional buyers, resulting in net proceeds to us of approximately $448.5 million after deducting initial purchasers’ discounts of the offering. Concurrently with the issuance of the Convertible Notes, we entered into the Convertible Note Hedge Transactions and Warrant Transactions. For further description of these transactions, refer to Item 1: Financial Statements (Unaudited), Note 6: Debt and Item 1: Financial Statements (Unaudited), Note 7: Derivative Financial Instruments included in this Quarterly Report on Form 10-Q.</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Item 1: Financial Statements (Unaudited), Note 7: Derivative Financial Instruments for further details of the Convertible Note Hedge Transactions and Warrant Transactions.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 million. As of April 8, 2021 the Senior Notes have been fully discharged, and no principal or unpaid interest remains outstanding. The 2.5%, or $10 million, early redemption premium and write off of $11.1 million prepaid debt fees will be recognized in the second quarter of 2021.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approximately $448.5 million after deducting initial purchasers’ discounts of the offering. The proceeds were used to enter into the Convertible Hedge Transactions (which was partially offset by the proceeds from the Warrant Transactions) and, together with cash on hand, to redeem the outstanding Senior Notes as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our borrowings, refer to Item 1: Financial Statements (Unaudited), Note 6: Debt included in this Quarterly Report on Form 10-Q.</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acquisition of SSNI, we achieved approximately $50 million of annualized savings by the end of 2020. For the three months ended March 31, 2021, we paid out $0.8 million and we have approximately $4 million to $8 million of estimated cash payments remaining on the integration plan, the majority of which is expected to be paid out in the next 12 months.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We estimate pre-tax restructuring charges of $55 million to $65 million. Of the total estimated charge, approximately $35 million to $45 million will result in cash expenditures, and the remainder relates to non-cash charges.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we paid out a net $5.9 million related to all our restructuring projects. As of March 31, 2021, $60.6 million was accrued for these restructuring projects, of which $30.2 million is expected to be paid within the next 12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 included in this Quarterly Report on Form 10-Q.</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U.S. federal taxes, $2 million in state taxes, and approximately $7 million in local and foreign taxes during 2021. For a discussion of our tax provision and unrecognized tax benefits, see Item 1: Financial Statements (Unaudited), Note 10: Income Taxes included in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there was $56.7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2021, $19.0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Arial" w:cs="Arial" w:eastAsia="Arial" w:hAnsi="Arial"/>
          <w:sz w:val="18"/>
          <w:szCs w:val="18"/>
          <w:color w:val="222222"/>
        </w:rPr>
        <w:t>our dependence on certain key vendors and components,</w:t>
      </w:r>
      <w:r>
        <w:rPr>
          <w:rFonts w:ascii="Arial" w:cs="Arial" w:eastAsia="Arial" w:hAnsi="Arial"/>
          <w:sz w:val="18"/>
          <w:szCs w:val="18"/>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2020 Annual Report, as well as Quantitative and Qualitative Disclosures About Market Risk within Item 3 of Part I included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2020 Annual Report and have not changed materially.</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loss on sale of business, corporate transition cost, and acquisition and integration. We define non-GAAP operating income as operating income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Non-GAAP net income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diluted EPS </w:t>
      </w:r>
      <w:r>
        <w:rPr>
          <w:rFonts w:ascii="Arial" w:cs="Arial" w:eastAsia="Arial" w:hAnsi="Arial"/>
          <w:sz w:val="16"/>
          <w:szCs w:val="16"/>
          <w:color w:val="auto"/>
        </w:rPr>
        <w:t>– We define non-GAAP net income as net income attributable to Itron, Inc. excluding the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amortization of intangible assets, amortization of debt placement fees, debt extinguishment, restructuring, loss on sale of business, corporate transition cost,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throughout the year and use the most recent AETR anytime it increases or decreases by 200 basis points or more from the prior interim period.</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We define adjusted EBITDA as net income (a) minus interest income, (b) plus interest expense, depreciation and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debt extinguishment, restructuring, loss on sale of business, corporate transition cost, acquisition and integration related expense,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2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5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100" w:type="dxa"/>
            <w:vAlign w:val="bottom"/>
          </w:tcPr>
          <w:p>
            <w:pPr>
              <w:spacing w:after="0"/>
              <w:rPr>
                <w:sz w:val="18"/>
                <w:szCs w:val="18"/>
                <w:color w:val="auto"/>
              </w:rPr>
            </w:pP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2020</w:t>
            </w:r>
          </w:p>
        </w:tc>
      </w:tr>
      <w:tr>
        <w:trPr>
          <w:trHeight w:val="209"/>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operating expenses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145,196</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(8,973)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(11,165)</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10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38"/>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operating expenses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128,096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133,047</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6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GAAP operating income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30,940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26,370</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11,165</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13"/>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operating income</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38,519</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3"/>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net income attributable to Itron, Inc.</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8,973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11,165</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r>
      <w:tr>
        <w:trPr>
          <w:trHeight w:val="229"/>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Debt extinguishment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1,272</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r>
      <w:tr>
        <w:trPr>
          <w:trHeight w:val="213"/>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22,969</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6"/>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diluted EPS</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6"/>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weighted average common shares outstanding - Diluted</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40,474</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3"/>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net income attributable to Itron, Inc.</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Income tax provision</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7,550</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extinguishment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21,810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24,031</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10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38"/>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51,973</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6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49,955</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18,894</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(12,602)</w:t>
            </w:r>
          </w:p>
        </w:tc>
      </w:tr>
      <w:tr>
        <w:trPr>
          <w:trHeight w:val="213"/>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6,292</w:t>
            </w:r>
          </w:p>
        </w:tc>
      </w:tr>
      <w:tr>
        <w:trPr>
          <w:trHeight w:val="20"/>
        </w:trPr>
        <w:tc>
          <w:tcPr>
            <w:tcW w:w="1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exposed to interest rate risk through our variable rate debt instruments. In March 2020, we entered into an interest rate swap, which is effective from June 30, 2020 to June 30, 2023, and converts $240 million of our LIBOR-based debt from a floating LIBOR interest rate to a fixed interest rate of 0.617% (excluding the applicable margin). The notional balance amortizes to maturity at the same rate of the originally required amortization on our term loan. On March 17, 2021, we paid a fee of $1.68 million to terminate the interest rate swap since the likelihood of LIBOR based interest payments were no longer probable of occurring. At March 31, 2021, our LIBOR-based debt balance was $61.1 million.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2021. Weighted average variable rates in the table are based on implied forward rates in the Reuters U.S. dollar yield curve as of March 31, 2021 and our estimated leverage ratio, which determines our additional interest rate margin at March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Variable Rate Debt</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U.S. dollar term loan</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61,094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59,749</w:t>
            </w:r>
          </w:p>
        </w:tc>
        <w:tc>
          <w:tcPr>
            <w:tcW w:w="0" w:type="dxa"/>
            <w:vAlign w:val="bottom"/>
          </w:tcPr>
          <w:p>
            <w:pPr>
              <w:spacing w:after="0"/>
              <w:rPr>
                <w:sz w:val="1"/>
                <w:szCs w:val="1"/>
                <w:color w:val="auto"/>
              </w:rPr>
            </w:pPr>
          </w:p>
        </w:tc>
      </w:tr>
      <w:tr>
        <w:trPr>
          <w:trHeight w:val="213"/>
        </w:trPr>
        <w:tc>
          <w:tcPr>
            <w:tcW w:w="2760" w:type="dxa"/>
            <w:vAlign w:val="bottom"/>
          </w:tcPr>
          <w:p>
            <w:pPr>
              <w:ind w:left="100"/>
              <w:spacing w:after="0"/>
              <w:rPr>
                <w:sz w:val="20"/>
                <w:szCs w:val="20"/>
                <w:color w:val="auto"/>
              </w:rPr>
            </w:pPr>
            <w:r>
              <w:rPr>
                <w:rFonts w:ascii="Arial" w:cs="Arial" w:eastAsia="Arial" w:hAnsi="Arial"/>
                <w:sz w:val="16"/>
                <w:szCs w:val="16"/>
                <w:color w:val="auto"/>
              </w:rPr>
              <w:t>Weighted average interest rate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line="166" w:lineRule="exact"/>
              <w:rPr>
                <w:sz w:val="20"/>
                <w:szCs w:val="20"/>
                <w:color w:val="auto"/>
              </w:rPr>
            </w:pPr>
            <w:r>
              <w:rPr>
                <w:rFonts w:ascii="Arial" w:cs="Arial" w:eastAsia="Arial" w:hAnsi="Arial"/>
                <w:sz w:val="16"/>
                <w:szCs w:val="16"/>
                <w:color w:val="auto"/>
              </w:rPr>
              <w:t>Principal: Multicurrency revolving line</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60" w:type="dxa"/>
            <w:vAlign w:val="bottom"/>
          </w:tcPr>
          <w:p>
            <w:pPr>
              <w:ind w:left="360"/>
              <w:spacing w:after="0"/>
              <w:rPr>
                <w:sz w:val="20"/>
                <w:szCs w:val="20"/>
                <w:color w:val="auto"/>
              </w:rPr>
            </w:pPr>
            <w:r>
              <w:rPr>
                <w:rFonts w:ascii="Arial" w:cs="Arial" w:eastAsia="Arial" w:hAnsi="Arial"/>
                <w:sz w:val="16"/>
                <w:szCs w:val="16"/>
                <w:color w:val="auto"/>
              </w:rPr>
              <w:t>of credit</w:t>
            </w:r>
          </w:p>
        </w:tc>
        <w:tc>
          <w:tcPr>
            <w:tcW w:w="3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interest 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Cross currency swap</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line="166" w:lineRule="exact"/>
              <w:rPr>
                <w:sz w:val="20"/>
                <w:szCs w:val="20"/>
                <w:color w:val="auto"/>
              </w:rPr>
            </w:pPr>
            <w:r>
              <w:rPr>
                <w:rFonts w:ascii="Arial" w:cs="Arial" w:eastAsia="Arial" w:hAnsi="Arial"/>
                <w:sz w:val="16"/>
                <w:szCs w:val="16"/>
                <w:color w:val="auto"/>
                <w:w w:val="91"/>
              </w:rPr>
              <w:t>Weighted average interest rate (pay)</w:t>
            </w:r>
          </w:p>
        </w:tc>
        <w:tc>
          <w:tcPr>
            <w:tcW w:w="3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360"/>
              <w:spacing w:after="0"/>
              <w:rPr>
                <w:sz w:val="20"/>
                <w:szCs w:val="20"/>
                <w:color w:val="auto"/>
              </w:rPr>
            </w:pPr>
            <w:r>
              <w:rPr>
                <w:rFonts w:ascii="Arial" w:cs="Arial" w:eastAsia="Arial" w:hAnsi="Arial"/>
                <w:sz w:val="16"/>
                <w:szCs w:val="16"/>
                <w:color w:val="auto"/>
              </w:rPr>
              <w:t>Fixed - EURIBOR</w:t>
            </w:r>
          </w:p>
        </w:tc>
        <w:tc>
          <w:tcPr>
            <w:tcW w:w="3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Weighted average interest rate</w:t>
            </w:r>
          </w:p>
        </w:tc>
        <w:tc>
          <w:tcPr>
            <w:tcW w:w="3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0.11 %</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(receive) Floating - LIBOR</w:t>
            </w:r>
          </w:p>
        </w:tc>
        <w:tc>
          <w:tcPr>
            <w:tcW w:w="3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2021, we estimate that, if market interest rates average one percentage point higher in 2021 than in the table above, our financial results in 2021 would not be materially impacted.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 business in a number of countries. Revenues denominated in functional currencies other than the U.S. dollar were 40% of total revenues for the three months ended March 31, 2021 compared with 39% for the same respective periods in 2020.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within other income (expense) in our Consolidated Statements of Operations. We enter into monthly foreign exchange forward contracts, which are not designated for hedge accounting, with the intent to reduce earnings volatility associated with currency exposures. As of March 31, 2021, a total of 40 contracts were offsetting our exposures from the euro, Pound sterling, Canadian dollar, Chinese Yuan, Australian dollar and various other currencies, with notional amounts ranging from $93,300 to $26.4 million. Based on a sensitivity analysis as of March 31, 2021, we estimate that, if foreign currency exchange rates average ten percentage points higher in 2021 for these financial instruments, our financial results in 2021 would not be materially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2021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list of Risk Factors, refer to Part I, Item 1A: Risk Factors of our Annual Report on Form 10-K for the fiscal year ended December 31, 2020, which was filed with the Securities and Exchange Commission on February 24, 2021.</w:t>
      </w:r>
    </w:p>
    <w:p>
      <w:pPr>
        <w:spacing w:after="0" w:line="200" w:lineRule="exact"/>
        <w:rPr>
          <w:sz w:val="20"/>
          <w:szCs w:val="20"/>
          <w:color w:val="auto"/>
        </w:rPr>
      </w:pPr>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 Number of</w:t>
            </w: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jc w:val="center"/>
              <w:ind w:right="220"/>
              <w:spacing w:after="0" w:line="216" w:lineRule="exact"/>
              <w:rPr>
                <w:sz w:val="20"/>
                <w:szCs w:val="20"/>
                <w:color w:val="auto"/>
              </w:rPr>
            </w:pPr>
            <w:r>
              <w:rPr>
                <w:rFonts w:ascii="Arial" w:cs="Arial" w:eastAsia="Arial" w:hAnsi="Arial"/>
                <w:sz w:val="16"/>
                <w:szCs w:val="16"/>
                <w:b w:val="1"/>
                <w:bCs w:val="1"/>
                <w:color w:val="auto"/>
                <w:w w:val="86"/>
              </w:rPr>
              <w:t xml:space="preserve">Shares Purchased </w:t>
            </w:r>
            <w:r>
              <w:rPr>
                <w:rFonts w:ascii="Arial" w:cs="Arial" w:eastAsia="Arial" w:hAnsi="Arial"/>
                <w:sz w:val="21"/>
                <w:szCs w:val="21"/>
                <w:b w:val="1"/>
                <w:bCs w:val="1"/>
                <w:color w:val="auto"/>
                <w:w w:val="86"/>
                <w:vertAlign w:val="superscript"/>
              </w:rPr>
              <w:t>(1)</w:t>
            </w: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2021 through January 31, 2021</w:t>
            </w:r>
          </w:p>
        </w:tc>
        <w:tc>
          <w:tcPr>
            <w:tcW w:w="182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February 1, 2021 through February 28, 2021</w:t>
            </w:r>
          </w:p>
        </w:tc>
        <w:tc>
          <w:tcPr>
            <w:tcW w:w="1600" w:type="dxa"/>
            <w:vAlign w:val="bottom"/>
          </w:tcPr>
          <w:p>
            <w:pPr>
              <w:jc w:val="right"/>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102.18</w:t>
            </w: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2021 through March 31,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110.92</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340" w:right="20" w:hanging="332"/>
        <w:spacing w:after="0" w:line="22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Shares repurchased represent shares transferred to us by certain employees who vested in restricted stock units and used shares to pay all, or a portion of, the related taxes.</w:t>
      </w:r>
    </w:p>
    <w:p>
      <w:pPr>
        <w:spacing w:after="0" w:line="1"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commissions.</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2021 that was not reported.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Item 6:  Exhibits</w:t>
            </w: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984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9840" w:type="dxa"/>
            <w:vAlign w:val="bottom"/>
            <w:gridSpan w:val="1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tcBorders>
            <w:gridSpan w:val="12"/>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Indenture, dated as of March 12, 2021, by and between Itron, Inc. and U.S. Bank National Association, as trustee (Previously filed as</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an Exhibit to the Company’s Current Report on Form 8-K (File 000-22418), filed on March 12, 2021).</w:t>
              </w:r>
            </w:hyperlink>
          </w:p>
        </w:tc>
        <w:tc>
          <w:tcPr>
            <w:tcW w:w="220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Form of 0.00% Convertible Senior Note due 2026 (included in Exhibit 4.1) (Previously filed as an Exhibit to the Company’s Current</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Report on Form 8-K (File No. 000-22418), filed on March 12, 2021).</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Form of Convertible Note Hedge (Previously filed as an Exhibit to the Company’s Current Report on Form 8-K (File No. 000-22418),</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filed on March 12,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Form of Warrant Confirmation (Previously filed as an Exhibit to the Company’s Current Report on Form 8-K (File No. 000-22418),</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filed on March 12,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Amendment No. 3, dated March 8, 2021, to the Credit Agreement, dated January 5, 2018 among Itron, Inc. and certain foreign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borrowers, guarantors, lenders and issuing parties thereto, and Wells Fargo Bank, National Association, as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bottom w:val="single" w:sz="8" w:color="0000FF"/>
            </w:tcBorders>
            <w:gridSpan w:val="5"/>
          </w:tcPr>
          <w:p>
            <w:pPr>
              <w:spacing w:after="0" w:line="15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(Previously filed as an Exhibit to the Company’s Current Report on Form 8-K (File No. 000-22418), filed on March 12, 2021).</w:t>
              </w:r>
            </w:hyperlink>
          </w:p>
        </w:tc>
        <w:tc>
          <w:tcPr>
            <w:tcW w:w="6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420" w:right="20" w:hanging="933"/>
        <w:spacing w:after="0" w:line="232"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March 31, 2021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0" w:lineRule="exact"/>
        <w:rPr>
          <w:sz w:val="20"/>
          <w:szCs w:val="20"/>
          <w:color w:val="auto"/>
        </w:rPr>
      </w:pPr>
    </w:p>
    <w:p>
      <w:pPr>
        <w:ind w:left="1420" w:hanging="933"/>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May 3, 2021</w:t>
            </w:r>
          </w:p>
        </w:tc>
        <w:tc>
          <w:tcPr>
            <w:tcW w:w="1280" w:type="dxa"/>
            <w:vAlign w:val="bottom"/>
          </w:tcPr>
          <w:p>
            <w:pPr>
              <w:ind w:left="52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1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54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Thomas L. Deitrich</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Joan S. Hooper</w:t>
      </w: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2021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40" w:hanging="38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right="740" w:hanging="407"/>
        <w:spacing w:after="0" w:line="277" w:lineRule="auto"/>
        <w:tabs>
          <w:tab w:leader="none" w:pos="8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/s/ THOMAS L. DEITRICH</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May 3, 2021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3"/>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4"/>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/s/ JOAN S. HOOPER</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May 3, 2021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90"/>
              </w:rPr>
              <w:t>Senior Vice President and Chief Financial Officer</w:t>
            </w: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020" w:type="dxa"/>
            <w:vAlign w:val="bottom"/>
            <w:gridSpan w:val="2"/>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5" Type="http://schemas.openxmlformats.org/officeDocument/2006/relationships/hyperlink" Target="https://www.sec.gov/Archives/edgar/data/780571/000119312521079864/d143502dex41.htm" TargetMode="External"/><Relationship Id="rId66" Type="http://schemas.openxmlformats.org/officeDocument/2006/relationships/hyperlink" Target="https://www.sec.gov/Archives/edgar/data/780571/000119312521079864/d143502dex101.htm" TargetMode="External"/><Relationship Id="rId67" Type="http://schemas.openxmlformats.org/officeDocument/2006/relationships/hyperlink" Target="https://www.sec.gov/Archives/edgar/data/780571/000119312521079864/d143502dex102.htm" TargetMode="External"/><Relationship Id="rId68" Type="http://schemas.openxmlformats.org/officeDocument/2006/relationships/hyperlink" Target="https://www.sec.gov/Archives/edgar/data/780571/000119312521079864/d143502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2021-05-03T13:13:19Z</dcterms:created>
  <dcterms:modified xsi:type="dcterms:W3CDTF">2021-05-03T13:13:19Z</dcterms:modified>
</cp:coreProperties>
</file>