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23,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333-166601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333-181685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333-193970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333-143048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333-218086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333-226020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30" w:lineRule="auto"/>
        <w:rPr>
          <w:sz w:val="20"/>
          <w:szCs w:val="20"/>
          <w:color w:val="auto"/>
        </w:rPr>
      </w:pPr>
      <w:r>
        <w:rPr>
          <w:rFonts w:ascii="Arial" w:cs="Arial" w:eastAsia="Arial" w:hAnsi="Arial"/>
          <w:sz w:val="22"/>
          <w:szCs w:val="22"/>
          <w:b w:val="1"/>
          <w:bCs w:val="1"/>
          <w:i w:val="1"/>
          <w:iCs w:val="1"/>
          <w:color w:val="auto"/>
        </w:rPr>
        <w:t>REGISTRATION STATEMENT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89"/>
              </w:rPr>
              <w:t>Washington</w:t>
            </w:r>
          </w:p>
        </w:tc>
        <w:tc>
          <w:tcPr>
            <w:tcW w:w="316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91-1011792</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SECOND AMENDED AND RESTATED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2012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No. 1 (the “Amendment”) incorporates by reference the contents of the Registration Statements on Form S-8 filed by Itron, Inc. (“Itron” or the “Registrant”) with the U.S. Securities and Exchange Commission on the following dates:</w:t>
      </w:r>
    </w:p>
    <w:p>
      <w:pPr>
        <w:spacing w:after="0" w:line="76" w:lineRule="exact"/>
        <w:rPr>
          <w:sz w:val="20"/>
          <w:szCs w:val="20"/>
          <w:color w:val="auto"/>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May 6, 2010 (File No. 333-166601)</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May 24, 2012 (File No. 333-181685)</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February 14, 2014 (File No. 333-193970)</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February 14, 2014 (File No. 333-143048)</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May 1, 2014 (File No. 333-195633)</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May 18, 2017 (File No. 333-218086)</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June 29, 2018 (File No. 333-226020)</w:t>
        </w:r>
      </w:hyperlink>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each as amended from time to time (the “Registration Statements”).</w:t>
      </w:r>
    </w:p>
    <w:p>
      <w:pPr>
        <w:spacing w:after="0" w:line="225" w:lineRule="exact"/>
        <w:rPr>
          <w:rFonts w:ascii="Arial" w:cs="Arial" w:eastAsia="Arial" w:hAnsi="Arial"/>
          <w:sz w:val="18"/>
          <w:szCs w:val="18"/>
          <w:color w:val="auto"/>
        </w:rPr>
      </w:pPr>
    </w:p>
    <w:p>
      <w:pPr>
        <w:ind w:right="80" w:firstLine="440"/>
        <w:spacing w:after="0" w:line="311" w:lineRule="auto"/>
        <w:rPr>
          <w:sz w:val="20"/>
          <w:szCs w:val="20"/>
          <w:color w:val="auto"/>
        </w:rPr>
      </w:pPr>
      <w:r>
        <w:rPr>
          <w:rFonts w:ascii="Arial" w:cs="Arial" w:eastAsia="Arial" w:hAnsi="Arial"/>
          <w:sz w:val="16"/>
          <w:szCs w:val="16"/>
          <w:color w:val="auto"/>
        </w:rPr>
        <w:t>This Amendment incorporates by reference the contents of the Registration Statements and is being filed for the purpose of reallocating 500,000 shares of the Registrant’s common stock, no par value (the “Common Stock”) that were originally registered for issuance under the Registrant’s Second Amended and Restated 2010 Stock Incentive Plan (the “2010 Stock Incentive Plan”) to the 2012 Employee Stock Purchase Plan (“2012 ESPP”).</w:t>
      </w:r>
    </w:p>
    <w:p>
      <w:pPr>
        <w:spacing w:after="0" w:line="149" w:lineRule="exact"/>
        <w:rPr>
          <w:rFonts w:ascii="Arial" w:cs="Arial" w:eastAsia="Arial" w:hAnsi="Arial"/>
          <w:sz w:val="18"/>
          <w:szCs w:val="18"/>
          <w:color w:val="auto"/>
        </w:rPr>
      </w:pPr>
    </w:p>
    <w:p>
      <w:pPr>
        <w:ind w:right="40" w:firstLine="440"/>
        <w:spacing w:after="0" w:line="273" w:lineRule="auto"/>
        <w:rPr>
          <w:sz w:val="20"/>
          <w:szCs w:val="20"/>
          <w:color w:val="auto"/>
        </w:rPr>
      </w:pPr>
      <w:r>
        <w:rPr>
          <w:rFonts w:ascii="Arial" w:cs="Arial" w:eastAsia="Arial" w:hAnsi="Arial"/>
          <w:sz w:val="17"/>
          <w:szCs w:val="17"/>
          <w:color w:val="auto"/>
        </w:rPr>
        <w:t>On May 11, 2023, the shareholders of the Registrant approved the amendment of the 2012 ESPP to increase the number of shares available for issuance under the 2012 ESPP by 500,000 additional shares without seeking an increase to newly authorized shares. As of December 31, 2022, the Registrant had 58,633 shares available for purchase under the 2012 ESPP. The Registrant estimates the remaining shares will be insufficient to allow the Registrant to continue to offer the 2012 ESPP beyond the next offering period commencing on July 1, 2023. With this filing, the aggregate amount of shares of the Registrant’s Common Stock originally registered on the Registration Statements is hereby reallocated to the 2012 ESPP as shown, including shares previously issued or subject to existing awards:</w:t>
      </w:r>
    </w:p>
    <w:p>
      <w:pPr>
        <w:spacing w:after="0" w:line="197" w:lineRule="exact"/>
        <w:rPr>
          <w:rFonts w:ascii="Arial" w:cs="Arial" w:eastAsia="Arial" w:hAnsi="Arial"/>
          <w:sz w:val="18"/>
          <w:szCs w:val="18"/>
          <w:color w:val="auto"/>
        </w:rPr>
      </w:pPr>
    </w:p>
    <w:tbl>
      <w:tblPr>
        <w:tblLayout w:type="fixed"/>
        <w:tblInd w:w="1760" w:type="dxa"/>
        <w:tblCellMar>
          <w:top w:w="0" w:type="dxa"/>
          <w:left w:w="0" w:type="dxa"/>
          <w:bottom w:w="0" w:type="dxa"/>
          <w:right w:w="0" w:type="dxa"/>
        </w:tblCellMar>
      </w:tblPr>
      <w:tr>
        <w:trPr>
          <w:trHeight w:val="191"/>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Plan Name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r>
      <w:tr>
        <w:trPr>
          <w:trHeight w:val="203"/>
        </w:trPr>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Itron, Inc.</w:t>
            </w:r>
          </w:p>
        </w:tc>
        <w:tc>
          <w:tcPr>
            <w:tcW w:w="5920" w:type="dxa"/>
            <w:vAlign w:val="bottom"/>
            <w:tcBorders>
              <w:top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Second Amended and Restated 2010 Stock Incentive Plan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10,375,000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Itron, Inc. 2012 Employee Stock Purchase Plan</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1,125,000</w:t>
            </w:r>
          </w:p>
        </w:tc>
      </w:tr>
    </w:tbl>
    <w:p>
      <w:pPr>
        <w:spacing w:after="0" w:line="39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74"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 this Registration Statement:</w:t>
      </w:r>
    </w:p>
    <w:p>
      <w:pPr>
        <w:spacing w:after="0" w:line="142" w:lineRule="exact"/>
        <w:rPr>
          <w:rFonts w:ascii="Arial" w:cs="Arial" w:eastAsia="Arial" w:hAnsi="Arial"/>
          <w:sz w:val="18"/>
          <w:szCs w:val="18"/>
          <w:color w:val="auto"/>
        </w:rPr>
      </w:pPr>
    </w:p>
    <w:p>
      <w:pPr>
        <w:ind w:left="980" w:right="80" w:hanging="433"/>
        <w:spacing w:after="0" w:line="286" w:lineRule="auto"/>
        <w:tabs>
          <w:tab w:leader="none" w:pos="980" w:val="left"/>
        </w:tabs>
        <w:numPr>
          <w:ilvl w:val="0"/>
          <w:numId w:val="2"/>
        </w:numPr>
        <w:rPr>
          <w:rFonts w:ascii="Arial" w:cs="Arial" w:eastAsia="Arial" w:hAnsi="Arial"/>
          <w:sz w:val="17"/>
          <w:szCs w:val="17"/>
          <w:color w:val="0000EE"/>
        </w:rPr>
      </w:pPr>
      <w:r>
        <w:rPr>
          <w:rFonts w:ascii="Arial" w:cs="Arial" w:eastAsia="Arial" w:hAnsi="Arial"/>
          <w:sz w:val="17"/>
          <w:szCs w:val="17"/>
          <w:color w:val="auto"/>
        </w:rPr>
        <w:t xml:space="preserve">The Registrant’s Annual Report on </w:t>
      </w:r>
      <w:hyperlink r:id="rId2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filed on February 27, 2023, which contains audited </w:t>
      </w:r>
      <w:hyperlink r:id="rId26">
        <w:r>
          <w:rPr>
            <w:rFonts w:ascii="Arial" w:cs="Arial" w:eastAsia="Arial" w:hAnsi="Arial"/>
            <w:sz w:val="17"/>
            <w:szCs w:val="17"/>
            <w:color w:val="auto"/>
          </w:rPr>
          <w:t xml:space="preserve">financial statements for the most recent fiscal year for which such statements have been filed (including those portions of our </w:t>
        </w:r>
        <w:r>
          <w:rPr>
            <w:rFonts w:ascii="Arial" w:cs="Arial" w:eastAsia="Arial" w:hAnsi="Arial"/>
            <w:sz w:val="17"/>
            <w:szCs w:val="17"/>
            <w:u w:val="single" w:color="auto"/>
            <w:color w:val="0000EE"/>
          </w:rPr>
          <w:t>Definitive</w:t>
        </w:r>
      </w:hyperlink>
      <w:r>
        <w:rPr>
          <w:rFonts w:ascii="Arial" w:cs="Arial" w:eastAsia="Arial" w:hAnsi="Arial"/>
          <w:sz w:val="17"/>
          <w:szCs w:val="17"/>
          <w:color w:val="auto"/>
        </w:rPr>
        <w:t xml:space="preserve"> </w:t>
      </w:r>
      <w:hyperlink r:id="rId26">
        <w:r>
          <w:rPr>
            <w:rFonts w:ascii="Arial" w:cs="Arial" w:eastAsia="Arial" w:hAnsi="Arial"/>
            <w:sz w:val="17"/>
            <w:szCs w:val="17"/>
            <w:u w:val="single" w:color="auto"/>
            <w:color w:val="0000EE"/>
          </w:rPr>
          <w:t>Proxy Statement</w:t>
        </w:r>
        <w:r>
          <w:rPr>
            <w:rFonts w:ascii="Arial" w:cs="Arial" w:eastAsia="Arial" w:hAnsi="Arial"/>
            <w:sz w:val="17"/>
            <w:szCs w:val="17"/>
            <w:color w:val="0000EE"/>
          </w:rPr>
          <w:t xml:space="preserve"> </w:t>
        </w:r>
        <w:r>
          <w:rPr>
            <w:rFonts w:ascii="Arial" w:cs="Arial" w:eastAsia="Arial" w:hAnsi="Arial"/>
            <w:sz w:val="17"/>
            <w:szCs w:val="17"/>
            <w:color w:val="000000"/>
          </w:rPr>
          <w:t>for the 2023 Annual Meeting of Shareholder that are incorporated by reference in our Form 10-K);</w:t>
        </w:r>
      </w:hyperlink>
    </w:p>
    <w:p>
      <w:pPr>
        <w:spacing w:after="0" w:line="70" w:lineRule="exact"/>
        <w:rPr>
          <w:rFonts w:ascii="Arial" w:cs="Arial" w:eastAsia="Arial" w:hAnsi="Arial"/>
          <w:sz w:val="17"/>
          <w:szCs w:val="17"/>
          <w:color w:val="0000EE"/>
        </w:rPr>
      </w:pPr>
    </w:p>
    <w:p>
      <w:pPr>
        <w:ind w:left="980" w:right="28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on May 4, 2023, which contain unaudited interim financial statements;</w:t>
      </w:r>
    </w:p>
    <w:p>
      <w:pPr>
        <w:sectPr>
          <w:pgSz w:w="11900" w:h="16838" w:orient="portrait"/>
          <w:cols w:equalWidth="0" w:num="1">
            <w:col w:w="11000"/>
          </w:cols>
          <w:pgMar w:left="440" w:top="486" w:right="459" w:bottom="1440" w:gutter="0" w:footer="0" w:header="0"/>
        </w:sectPr>
      </w:pPr>
    </w:p>
    <w:bookmarkStart w:id="2" w:name="page3"/>
    <w:bookmarkEnd w:id="2"/>
    <w:p>
      <w:pPr>
        <w:jc w:val="both"/>
        <w:ind w:left="980" w:right="160" w:hanging="433"/>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Registrant’s Current Reports on Form 8-K filed on </w:t>
      </w:r>
      <w:hyperlink r:id="rId29">
        <w:r>
          <w:rPr>
            <w:rFonts w:ascii="Arial" w:cs="Arial" w:eastAsia="Arial" w:hAnsi="Arial"/>
            <w:sz w:val="18"/>
            <w:szCs w:val="18"/>
            <w:u w:val="single" w:color="auto"/>
            <w:color w:val="0000EE"/>
          </w:rPr>
          <w:t>February 27, 2023</w:t>
        </w:r>
      </w:hyperlink>
      <w:r>
        <w:rPr>
          <w:rFonts w:ascii="Arial" w:cs="Arial" w:eastAsia="Arial" w:hAnsi="Arial"/>
          <w:sz w:val="18"/>
          <w:szCs w:val="18"/>
          <w:color w:val="auto"/>
        </w:rPr>
        <w:t xml:space="preserve">, and </w:t>
      </w:r>
      <w:hyperlink r:id="rId30">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provided that any portions of such reports that are deemed furnished and not filed pursuant to instructions to Form 8-K shall not be incorporated by reference into this Registration Statement; and</w:t>
      </w:r>
    </w:p>
    <w:p>
      <w:pPr>
        <w:spacing w:after="0" w:line="89"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as set forth as </w:t>
      </w:r>
      <w:hyperlink r:id="rId31">
        <w:r>
          <w:rPr>
            <w:rFonts w:ascii="Arial" w:cs="Arial" w:eastAsia="Arial" w:hAnsi="Arial"/>
            <w:sz w:val="18"/>
            <w:szCs w:val="18"/>
            <w:u w:val="single" w:color="auto"/>
            <w:color w:val="0000EE"/>
          </w:rPr>
          <w:t>Exhibit 4.12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Registrant’s Annual Report on Form 10-K for the year ended December 31, 2022, filed on February 27, 2023.</w:t>
      </w:r>
    </w:p>
    <w:p>
      <w:pPr>
        <w:spacing w:after="0" w:line="75"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 filed </w:t>
      </w:r>
      <w:hyperlink r:id="rId32">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May 11, 2023 for its 2023 Annual Meeting of Shareholders, whereby five proposals were voted upon at the Annual Meeting, including the approval of the amendment of Itron, Inc. 2012 ESPP.</w:t>
      </w:r>
    </w:p>
    <w:p>
      <w:pPr>
        <w:spacing w:after="0" w:line="170" w:lineRule="exact"/>
        <w:rPr>
          <w:rFonts w:ascii="Arial" w:cs="Arial" w:eastAsia="Arial" w:hAnsi="Arial"/>
          <w:sz w:val="18"/>
          <w:szCs w:val="18"/>
          <w:color w:val="auto"/>
        </w:rPr>
      </w:pPr>
    </w:p>
    <w:p>
      <w:pPr>
        <w:ind w:right="80" w:firstLine="440"/>
        <w:spacing w:after="0" w:line="296" w:lineRule="auto"/>
        <w:rPr>
          <w:sz w:val="20"/>
          <w:szCs w:val="20"/>
          <w:color w:val="auto"/>
        </w:rPr>
      </w:pPr>
      <w:r>
        <w:rPr>
          <w:rFonts w:ascii="Arial" w:cs="Arial" w:eastAsia="Arial" w:hAnsi="Arial"/>
          <w:sz w:val="16"/>
          <w:szCs w:val="16"/>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61" w:lineRule="exact"/>
        <w:rPr>
          <w:rFonts w:ascii="Arial" w:cs="Arial" w:eastAsia="Arial" w:hAnsi="Arial"/>
          <w:sz w:val="18"/>
          <w:szCs w:val="18"/>
          <w:color w:val="auto"/>
        </w:rPr>
      </w:pPr>
    </w:p>
    <w:p>
      <w:pPr>
        <w:ind w:right="20" w:firstLine="44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157" w:lineRule="exact"/>
        <w:rPr>
          <w:rFonts w:ascii="Arial" w:cs="Arial" w:eastAsia="Arial" w:hAnsi="Arial"/>
          <w:sz w:val="18"/>
          <w:szCs w:val="18"/>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Itron,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2111 N. Molter Road</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Liberty Lake, Washington 99019</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(509) 924-9900</w:t>
      </w:r>
    </w:p>
    <w:p>
      <w:pPr>
        <w:spacing w:after="0" w:line="355"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490" w:right="439" w:bottom="1440" w:gutter="0" w:footer="0" w:header="0"/>
        </w:sectPr>
      </w:pPr>
    </w:p>
    <w:bookmarkStart w:id="3" w:name="page4"/>
    <w:bookmarkEnd w:id="3"/>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71" w:lineRule="exact"/>
        <w:rPr>
          <w:sz w:val="20"/>
          <w:szCs w:val="20"/>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Section 10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9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84" w:lineRule="exact"/>
        <w:rPr>
          <w:sz w:val="20"/>
          <w:szCs w:val="20"/>
          <w:color w:val="auto"/>
        </w:rPr>
      </w:pPr>
    </w:p>
    <w:p>
      <w:pPr>
        <w:ind w:right="520" w:firstLine="440"/>
        <w:spacing w:after="0" w:line="301"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30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8.</w:t>
            </w:r>
          </w:p>
        </w:tc>
        <w:tc>
          <w:tcPr>
            <w:tcW w:w="998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5"/>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160" w:type="dxa"/>
            <w:vAlign w:val="bottom"/>
            <w:tcBorders>
              <w:top w:val="single" w:sz="8" w:color="auto"/>
              <w:bottom w:val="single" w:sz="8" w:color="0000EE"/>
            </w:tcBorders>
            <w:gridSpan w:val="6"/>
          </w:tcPr>
          <w:p>
            <w:pPr>
              <w:spacing w:after="0"/>
              <w:rPr>
                <w:sz w:val="20"/>
                <w:szCs w:val="20"/>
                <w:color w:val="auto"/>
              </w:rPr>
            </w:pPr>
            <w:r>
              <w:rPr>
                <w:rFonts w:ascii="Arial" w:cs="Arial" w:eastAsia="Arial" w:hAnsi="Arial"/>
                <w:sz w:val="18"/>
                <w:szCs w:val="18"/>
                <w:color w:val="0000EE"/>
                <w:w w:val="91"/>
              </w:rPr>
              <w:t>Opinion of Perkins Coie LP regarding legality of the Common Stock being registered</w:t>
            </w:r>
          </w:p>
        </w:tc>
        <w:tc>
          <w:tcPr>
            <w:tcW w:w="382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Itron, Inc. Second Amended and Restated 2010 Stock Incentive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Itron, Inc. 2012 Employee Stock Purchase Plan (incorporated by reference to Appendix A to the Definitive Proxy Statement on Schedule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14A filed with the Commission on March 21, 2023)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25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Consent of Deloitte &amp; Touche LLP</w:t>
            </w:r>
          </w:p>
        </w:tc>
        <w:tc>
          <w:tcPr>
            <w:tcW w:w="1200" w:type="dxa"/>
            <w:vAlign w:val="bottom"/>
            <w:tcBorders>
              <w:top w:val="single" w:sz="8" w:color="0000EE"/>
            </w:tcBorders>
            <w:gridSpan w:val="2"/>
          </w:tcPr>
          <w:p>
            <w:pPr>
              <w:spacing w:after="0"/>
              <w:rPr>
                <w:sz w:val="24"/>
                <w:szCs w:val="24"/>
                <w:color w:val="auto"/>
              </w:rPr>
            </w:pPr>
          </w:p>
        </w:tc>
        <w:tc>
          <w:tcPr>
            <w:tcW w:w="6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Consent of Perkins Coie LLP (included in opinion filed as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5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Power of Attorney (see signature page)</w:t>
            </w:r>
          </w:p>
        </w:tc>
        <w:tc>
          <w:tcPr>
            <w:tcW w:w="4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9.</w:t>
            </w:r>
          </w:p>
        </w:tc>
        <w:tc>
          <w:tcPr>
            <w:tcW w:w="2820" w:type="dxa"/>
            <w:vAlign w:val="bottom"/>
            <w:tcBorders>
              <w:top w:val="single" w:sz="8" w:color="0000EE"/>
            </w:tcBorders>
            <w:gridSpan w:val="2"/>
          </w:tcPr>
          <w:p>
            <w:pPr>
              <w:ind w:left="60"/>
              <w:spacing w:after="0"/>
              <w:rPr>
                <w:sz w:val="20"/>
                <w:szCs w:val="20"/>
                <w:color w:val="auto"/>
              </w:rPr>
            </w:pPr>
            <w:r>
              <w:rPr>
                <w:rFonts w:ascii="Arial" w:cs="Arial" w:eastAsia="Arial" w:hAnsi="Arial"/>
                <w:sz w:val="18"/>
                <w:szCs w:val="18"/>
                <w:b w:val="1"/>
                <w:bCs w:val="1"/>
                <w:color w:val="auto"/>
              </w:rPr>
              <w:t>Undertakings.</w:t>
            </w:r>
          </w:p>
        </w:tc>
        <w:tc>
          <w:tcPr>
            <w:tcW w:w="7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Registration Statements.</w:t>
      </w:r>
    </w:p>
    <w:p>
      <w:pPr>
        <w:sectPr>
          <w:pgSz w:w="11900" w:h="16838" w:orient="portrait"/>
          <w:cols w:equalWidth="0" w:num="1">
            <w:col w:w="11020"/>
          </w:cols>
          <w:pgMar w:left="440" w:top="486" w:right="4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32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Liberty Lake, State of Washington, on the 22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day of May 2023.</w:t>
      </w:r>
    </w:p>
    <w:p>
      <w:pPr>
        <w:spacing w:after="0" w:line="4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Joan S. Hooper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0860"/>
          </w:cols>
          <w:pgMar w:left="440" w:top="486" w:right="5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or this Post-Effective Amendment No. 1 to the Registration Statement.</w:t>
      </w:r>
    </w:p>
    <w:p>
      <w:pPr>
        <w:spacing w:after="0" w:line="165" w:lineRule="exact"/>
        <w:rPr>
          <w:sz w:val="20"/>
          <w:szCs w:val="20"/>
          <w:color w:val="auto"/>
        </w:rPr>
      </w:pPr>
    </w:p>
    <w:p>
      <w:pPr>
        <w:ind w:right="80" w:firstLine="440"/>
        <w:spacing w:after="0" w:line="293"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below on the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May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THOMAS L. DEITRICH</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Thomas L. Deitrich</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 JOAN S. HOOPER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DIANA D. TREMBLAY</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Chair of the Board,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Diana D. Tremblay</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MARY C. HEMMINGSEN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Mary C. Hemmingsen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FRANK M. JAEHNERT</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Frank M. Jaehnert</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JEROME J. LANDE</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Jerome J. Lande</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TIMOTHY M. LEYDEN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Timothy M. Leyden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SANTIAGO PEREZ</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Santiago Perez</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LYNDA L. ZIEGLER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Lynda L. Ziegler</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171450</wp:posOffset>
            </wp:positionV>
            <wp:extent cx="636079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360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 Post-Effective Amendment No. 1 to Registration Statement on Form S-8 of Shares of Common Stock, no par value per share, of Itron,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acted as special counsel to you to render this opinion in connection with the Post-Effective Amendment No. 1 to Registration Statement on Form S-8 (the “Post-Effective Amendment”) under the Securities Act of 1933, as amended (the “Act”), which you are filing with the Securities and Exchange Commission (the “Commission”) with respect to 500,000 shares of Itron, Inc. common stock, no par value (the “Shares”), that were originally reserved for issuance under the Itron, Inc. Second Amended and Restated 2010 Stock Incentive Plan (the “Stock Plan”) and are being reallocated for issuance pursuant to the Itron, Inc. 2012 Employee Stock Purchase Plan (the “Plan”).</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May 11, 2023, the shareholders of Itron, Inc. approved the amendment of the Plan to increase the number of shares available for issuance under the Plan by 500,000 shares without seeking an increase to newly authorized shares. The Stock Plan was also amended to correspondingly decrease the number of shares available for issuance under the Stock Plan by 500,000 shares.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8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Based upon and subject to the foregoing, we are of the opinion that any original issuance Shares that may be issued pursuant to the Plan, upon the registration by the registrar of such Shares and the issuance thereof by Itron, Inc. in accordance with the terms of the Plan, and the receipt of consideration therefor in accordance with the terms of the Plan, will be legally issued, fully paid and nonassessable.</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58000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580005" cy="43751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2010 STOCK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February 23,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EFFECTIVE DATE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name of this Plan is the Itron, Inc. Second Amended and Restated 2010 Stock Incentive Plan (the “Plan”). The purpose of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Plan is hereby amended and restated, effective as of the date of approval by the shareholders of the Company at the annual shareholders meeting held in 2017 (the “Restatement Effective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“Award” means any Option, Stock Appreciation Right, Stock Award or Performance Award granted pursuant to the provisions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(except in certain circumstances involving government agencies), or conviction or confession of a crime punishable by law (except minor violations), in each case as determined by the Plan Administrator, and its determination shall be conclusive and binding.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U.S.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no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Transaction” has the meaning set forth in Section 16.2.1.</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“Covered Employee” means a “covered employee” as that term is defined in Section 162(m) of the Code or any successor provision and any related U.S. Department of Treasury guidance.</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“Dividend Equivalent” has the meaning set forth in Section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Date” shall mean the date upon which the Plan is approved by the Itron Board of Directors. The Effective Date of a subsequent amendment to the Plan shall be the date on which said amendment is approved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U.S. Securities Exchange Act of 1934, as amended.</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“Fair Market Value” shall be as established by the Plan Administrator acting in good faith to be reasonable and in compliance with Section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 Notwithstanding the foregoing, for income tax reporting and withholding purposes under U.S. federal, state, local or non-U.S. law and for such other purposes as the Plan Administrator deems appropriate, including, without limitation, where Fair Market Value is used in reference to exercise, vesting, settlement or payout of an Award, the Fair Market Value shall be determined by the Plan Administrator in accordance with applicable law and uniform and nondiscriminatory standards adopted by it from time to time.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“Incentive Stock Option” means an Option to purchase Common Stock granted under Section 7 with the intention that it qualify as an “incentive stock option” as that term is defined in Section 422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to purchase Common Stock granted under Section 7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the right to purchase Common Stock granted under Section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Term” has the meaning set forth in Section 7.3.</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“Parent,” except as otherwise provided in Section 8.8 in connection with Incentive Stock Options, means any entity, whether now or hereafter existing, that directly or indirectly controls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the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any Award of Performance Shares or Performance Units granted pursuant to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has the meaning set forth in Section 12.1.</w:t>
      </w:r>
    </w:p>
    <w:p>
      <w:pPr>
        <w:sectPr>
          <w:pgSz w:w="11900" w:h="16838" w:orient="portrait"/>
          <w:cols w:equalWidth="0" w:num="1">
            <w:col w:w="10980"/>
          </w:cols>
          <w:pgMar w:left="440" w:top="490"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“Performance Unit” has the meaning set forth in Section 12.2.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Administrator” has the meaning set forth in Section 3.1.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“Related Corporation” means any Parent or Subsidiary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Act” means the U.S. Securities Act of 1933,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Appreciation Right” or “SAR” has the meaning set forth in Section 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Award” means Unrestricted Stock, Restricted Stock or Stock Units granted under Section 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Unit” has the meaning set forth in Section 11.2.</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“Subsidiary,” except as otherwise provided in Section 8.8 in connection with Incentive Stock Options, means any entity that is directly or indirectly controlled by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“Successor Corporation” has the meaning set forth in Section 16.2.2.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“Termination Date” has the meaning set forth in Section 7.6.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“Vesting Base Date” means the Grant Date or such other date selected by the Plan Administrator as the date from which an Award begins to vest.</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ADMINISTRATION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 Plan Administrator</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Plan shall be administered by the Board and/or a committee or committees (which term includes subcommittees) appointed by, and consisting of, two or more members of the Board who meet the independence standards set forth by the NASDAQ Global Select Market (the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w:t>
      </w:r>
    </w:p>
    <w:p>
      <w:pPr>
        <w:spacing w:after="0" w:line="188" w:lineRule="exact"/>
        <w:rPr>
          <w:sz w:val="20"/>
          <w:szCs w:val="20"/>
          <w:color w:val="auto"/>
        </w:rPr>
      </w:pPr>
    </w:p>
    <w:p>
      <w:pPr>
        <w:ind w:left="4" w:hanging="4"/>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ectPr>
          <w:pgSz w:w="11900" w:h="16838" w:orient="portrait"/>
          <w:cols w:equalWidth="0" w:num="1">
            <w:col w:w="10964"/>
          </w:cols>
          <w:pgMar w:left="436" w:top="490" w:right="49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3.2 Administration and Interpretation by Plan Administrator</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w:t>
      </w:r>
    </w:p>
    <w:p>
      <w:pPr>
        <w:spacing w:after="0" w:line="19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In any event, however, (a) no Option or SAR may be amended to reduce the exercise price of such Option or SAR below the per share Fair Market Value of the Common Stock as of the date the Option or SAR was granted, and (b) except as provided in Section 16.1 and Section 16.3 hereof, and at any time when the then-current fair market value of a share of Common Stock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 any other Award.</w:t>
      </w:r>
    </w:p>
    <w:p>
      <w:pPr>
        <w:spacing w:after="0" w:line="192"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STOCK SUBJECT TO THE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4.1 Number of Shares</w:t>
      </w:r>
    </w:p>
    <w:p>
      <w:pPr>
        <w:spacing w:after="0" w:line="121" w:lineRule="exact"/>
        <w:rPr>
          <w:sz w:val="20"/>
          <w:szCs w:val="20"/>
          <w:color w:val="auto"/>
        </w:rPr>
      </w:pPr>
    </w:p>
    <w:p>
      <w:pPr>
        <w:jc w:val="both"/>
        <w:ind w:left="4" w:right="80" w:hanging="4"/>
        <w:spacing w:after="0" w:line="286"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adjustment from time to time as provided in Section 16.1, the number of shares of Common Stock that shall be authorized for grant under the Plan shall be 10,375,000 shares (which reflects a decrease of 500,000 shares from 10,875,000, the number of shares that were previously authorized for issuance under the Plan) all of which may be issued pursuant to the exercise of Incentive Stock Options.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shares of Common Stock that are subject to Options or SARs shall be counted against this limit as one (1) share of Common Stock for every</w:t>
      </w:r>
    </w:p>
    <w:p>
      <w:pPr>
        <w:spacing w:after="0" w:line="3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one (1) share of Common Stock granted, and any shares that are subject to Awards other than Options or SARs shall be counted against this limit as 1.7 shares of Common Stock for every one (1) share of Common Stock granted. No awards may be granted under the Itron, Inc. Amended and Restated 2000 Stock Incentive Plan (the “Prior Plan”).</w:t>
      </w:r>
    </w:p>
    <w:p>
      <w:pPr>
        <w:sectPr>
          <w:pgSz w:w="11900" w:h="16838" w:orient="portrait"/>
          <w:cols w:equalWidth="0" w:num="1">
            <w:col w:w="11004"/>
          </w:cols>
          <w:pgMar w:left="436" w:top="486" w:right="459" w:bottom="1440" w:gutter="0" w:footer="0" w:header="0"/>
        </w:sectPr>
      </w:pPr>
    </w:p>
    <w:bookmarkStart w:id="11" w:name="page12"/>
    <w:bookmarkEnd w:id="11"/>
    <w:p>
      <w:pPr>
        <w:ind w:left="4" w:hanging="4"/>
        <w:spacing w:after="0" w:line="279"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(i) any shares of Common Stock subject to an Award are forfeited, an Award expires or an Award is settled for cash (in whole or in part), or (ii) any shares of Common Stock subject to an award under the Prior Plan are forfeited, or an award under the Prior Plan expires or is settled for cash (in whole or in part), the shares of Common Stock subject to such Award or award under the Prior Plan shall, to the extent of such forfeiture, expiration or cash settlement, again be available for Awards under the Plan, in accordance with Section 4.1(d) below.</w:t>
      </w:r>
    </w:p>
    <w:p>
      <w:pPr>
        <w:spacing w:after="0" w:line="17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In the event that withholding tax liabilities arising from an Award other than an Option or Stock Appreciation Right or an award other than an option or stock appreciation right under any Prior Plan are satisfied by surrendering of shares subject to the Award, the shares so surrendered shall be added to the shares available for Awards under the Plan in accordance with Section 4.1(d) below. Notwithstanding anything to the contrary contained herein, the following shall not be added to the shares of Common Stock authorized for grant under Section 4.1(a) above: (x) shares of Common Stock subject to an Option or an Award surrendered in payment of the Option exercise price or Award purchase price or shares of Common Stock subject to an option or award granted under the Prior Plan surrendered in payment of the option exercise price or award purchase price, or to satisfy any tax withholding obligation with respect to an Option or SAR or an option or stock appreciation right granted under the Prior Plan, (y) shares of Common Stock that are not issued as a result of a net settlement of an Option or SAR or an option or stock appreciation right granted under the Prior Plan, and (z) shares of Common Stock reacquired by the Company on the open market or otherwise using cash proceeds from the exercise of Options or options granted under the Prior Plan. For purposes of this Section 4.1 and for the avoidance of any doubt, “surrendered” includes the tendering of shares held by the Participant or withheld from an Award voluntarily by the Participant or mandatorily by the Company.</w:t>
      </w:r>
    </w:p>
    <w:p>
      <w:pPr>
        <w:spacing w:after="0" w:line="172" w:lineRule="exact"/>
        <w:rPr>
          <w:sz w:val="20"/>
          <w:szCs w:val="20"/>
          <w:color w:val="auto"/>
        </w:rPr>
      </w:pPr>
    </w:p>
    <w:p>
      <w:pPr>
        <w:ind w:left="4" w:right="40" w:hanging="4"/>
        <w:spacing w:after="0" w:line="311"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Substitute Awards granted pursuant to Section 6.3 below shall not reduce the number of shares of Common Stock authorized for grant under the Plan or the applicable limitations applicable to a Participant under Section 11(e), nor shall shares of Common Stock subject to a substitute Award again be available for Awards under the Plan to the extent of any forfeiture, expiration or cash settlement as provided in Section 4.1(b) above.</w:t>
      </w:r>
    </w:p>
    <w:p>
      <w:pPr>
        <w:spacing w:after="0" w:line="14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Additionally, in the event that a company acquired by the Company or with which the Company combines has shares of stock available under a pre-existing plan approved by such company’s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 Related Corporation prior to such acquisition or combination.</w:t>
      </w:r>
    </w:p>
    <w:p>
      <w:pPr>
        <w:sectPr>
          <w:pgSz w:w="11900" w:h="16838" w:orient="portrait"/>
          <w:cols w:equalWidth="0" w:num="1">
            <w:col w:w="11004"/>
          </w:cols>
          <w:pgMar w:left="436" w:top="490" w:right="459" w:bottom="1440" w:gutter="0" w:footer="0" w:header="0"/>
        </w:sectPr>
      </w:pPr>
    </w:p>
    <w:bookmarkStart w:id="12" w:name="page13"/>
    <w:bookmarkEnd w:id="12"/>
    <w:p>
      <w:pPr>
        <w:ind w:left="4" w:right="80" w:hanging="4"/>
        <w:spacing w:after="0" w:line="291"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shares of Common Stock that again become available for grant pursuant to this Section 4.1 shall be added back as (i) one (1) share of Common Stock if such shares were subject to Options or SARs granted under the Plan or options or stock appreciation rights granted under the Prior Plan, and</w:t>
      </w:r>
    </w:p>
    <w:p>
      <w:pPr>
        <w:ind w:left="4" w:right="480" w:hanging="4"/>
        <w:spacing w:after="0" w:line="260"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1.7 shares of Common Stock if such shares were subject to Awards other than Options or SARs granted under the Plan or awards other than options or stock appreciation rights granted under the Prior Plan.</w:t>
      </w:r>
    </w:p>
    <w:p>
      <w:pPr>
        <w:spacing w:after="0" w:line="185" w:lineRule="exact"/>
        <w:rPr>
          <w:rFonts w:ascii="Arial" w:cs="Arial" w:eastAsia="Arial" w:hAnsi="Arial"/>
          <w:sz w:val="18"/>
          <w:szCs w:val="18"/>
          <w:color w:val="auto"/>
        </w:rPr>
      </w:pPr>
    </w:p>
    <w:p>
      <w:pPr>
        <w:ind w:left="4" w:right="140" w:hanging="4"/>
        <w:spacing w:after="0" w:line="275" w:lineRule="auto"/>
        <w:tabs>
          <w:tab w:leader="none" w:pos="2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the aggregate grant date fair value (computed as of the date of grant in accordance with applicable financial accounting rules) of all Awards granted to any non-employee director plus the total of all cash paid or payable to such non-employee director for services rendered during any single calendar year shall not exceed $500,000. For the avoidance of doubt, any compensation that is deferred shall be counted towards the foregoing limit for the year in which the compensation is earned (and not counted in the year it is paid/settled), and no interest or other earnings on such compensation shall count towards the limit.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Character of Shares</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Any Shares issued hereunder may consist, in whole or in part, of authorized and unissued shares, treasury shares or shares purchased in the open market or otherwise.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ELIGIBILITY</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6. AWARDS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6.1 Form and Grant of Awards</w:t>
      </w:r>
    </w:p>
    <w:p>
      <w:pPr>
        <w:spacing w:after="0" w:line="121"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The Plan Administrator shall have the authority, in its sole discretion, to determine the type or types of Awards to be made under the Plan. Such Awards may include, but are not limited to, Incentive Stock Options, Nonqualified Stock Options, SARs, Dividend Equivalents, Stock Awards and Performance Awards. Awards may be granted singly or in combination.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6.2 Settlement of Awards</w:t>
      </w:r>
    </w:p>
    <w:p>
      <w:pPr>
        <w:spacing w:after="0" w:line="121"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The Company may settle Awards through the delivery of shares of Common Stock, the payment of a cash amount equal to the Fair Market Value of the shares of Common Stock on the date of settlement of an Award other than an Option or SAR,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ectPr>
          <w:pgSz w:w="11900" w:h="16838" w:orient="portrait"/>
          <w:cols w:equalWidth="0" w:num="1">
            <w:col w:w="10984"/>
          </w:cols>
          <w:pgMar w:left="436" w:top="490"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6.3 Acquired Company Awards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Minimum Vesting Requirements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Notwithstanding any other provision of the Plan, except in connection with Awards that are substituted pursuant to Section 6.3 hereof, Awards that may be settled only in cash or an adjustment provided for in Section 16, no portion of an Award granted on or after the Restatement Effective Date may vest before the first anniversary of the date of grant, subject to earlier vesting in whole or in part in connection with a Change in Control Transaction or upon a Participant’s death or Disability; provided, however, that the Company may grant Awards with respect to up to five percent (5%) of the number of shares of Common Stock reserved under Section 4.1 as of the Restatement Effective Date without regard to the minimum vesting period set forth in this Section 6.4. The Committee may accelerate the vesting or exercisability of an Award in circumstances other than a Change in Control Transaction or a Participant’s death or Disability, provided that such acceleration does not cause an Award that is subject to the minimum vesting requirements of this Section 6.4 to vest or become exercisable prior to the first anniversary of the date of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Grant of Options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Option Exercise Price</w:t>
      </w:r>
    </w:p>
    <w:p>
      <w:pPr>
        <w:spacing w:after="0" w:line="1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exercise price for shares purchased under an Option shall be as determined by the Plan Administrator. Except in the case of a substitute or assumed option pursuant to Section 6.3 above, the exercise price shall not be less than 100% of the Fair Market Value of the Common Stock on the Grant Date. For Incentive Stock Options granted to a more than 10% shareholder, the Option exercise price shall be as specified in Section 8.2.</w:t>
      </w:r>
    </w:p>
    <w:p>
      <w:pPr>
        <w:sectPr>
          <w:pgSz w:w="11900" w:h="16838" w:orient="portrait"/>
          <w:cols w:equalWidth="0" w:num="1">
            <w:col w:w="11000"/>
          </w:cols>
          <w:pgMar w:left="440" w:top="486" w:right="45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7.3 Term of Options</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term of each Option (the “Option Term”) shall be as established by the Plan Administrator, but shall not exceed ten years from the Grant Date. For Incentive Stock Options, the maximum Option Term shall be as specified in Sections 8.2 and 8.4.</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7.4 Exercise of Options</w:t>
      </w:r>
    </w:p>
    <w:p>
      <w:pPr>
        <w:spacing w:after="0" w:line="121"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The Plan Administrator may adjust the vesting schedule of an Option held by a Participant who works less than “full-time” as that term is defined by the Plan Administrator (taking into consideration definitions under local law) or who takes a Company-approved leave of absence.</w:t>
      </w:r>
    </w:p>
    <w:p>
      <w:pPr>
        <w:spacing w:after="0" w:line="171"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Alternatively, the Option may be exercised electronically through a third-party stock plan service provider designated by the Company and according to such procedures established by the Company. An Option may not be exercised for less than a reasonable number of shares at any one time, as determined by the Plan Administrator.</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7.5 Payment of Exercise Price</w:t>
      </w:r>
    </w:p>
    <w:p>
      <w:pPr>
        <w:spacing w:after="0" w:line="121"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41" w:lineRule="exact"/>
        <w:rPr>
          <w:sz w:val="20"/>
          <w:szCs w:val="20"/>
          <w:color w:val="auto"/>
        </w:rPr>
      </w:pPr>
    </w:p>
    <w:p>
      <w:pPr>
        <w:ind w:left="244" w:hanging="244"/>
        <w:spacing w:after="0"/>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left="4" w:hanging="4"/>
        <w:spacing w:after="0" w:line="286"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tendering (either actually or, if and so long as the Common Stock is registered under Section 12(b) or 12(g) of the Exchange Act, by attestation) shares of Common Stock already owned by the Participant (for the period necessary to avoid a charge to the Company’s earnings for financial reporting purposes) having a Fair Market Value on the day prior to the exercise date equal to the aggregate Option exercise price;</w:t>
      </w:r>
    </w:p>
    <w:p>
      <w:pPr>
        <w:spacing w:after="0" w:line="165" w:lineRule="exact"/>
        <w:rPr>
          <w:rFonts w:ascii="Arial" w:cs="Arial" w:eastAsia="Arial" w:hAnsi="Arial"/>
          <w:sz w:val="17"/>
          <w:szCs w:val="17"/>
          <w:color w:val="auto"/>
        </w:rPr>
      </w:pPr>
    </w:p>
    <w:p>
      <w:pPr>
        <w:ind w:left="4" w:hanging="4"/>
        <w:spacing w:after="0" w:line="257"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ectPr>
          <w:pgSz w:w="11900" w:h="16838" w:orient="portrait"/>
          <w:cols w:equalWidth="0" w:num="1">
            <w:col w:w="10944"/>
          </w:cols>
          <w:pgMar w:left="436" w:top="486" w:right="51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 such other consideration as the Plan Administrator may permit.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7.6 Post-Termination Exercises</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49" w:lineRule="exact"/>
        <w:rPr>
          <w:sz w:val="20"/>
          <w:szCs w:val="20"/>
          <w:color w:val="auto"/>
        </w:rPr>
      </w:pPr>
    </w:p>
    <w:p>
      <w:pPr>
        <w:ind w:left="4" w:right="280" w:hanging="4"/>
        <w:spacing w:after="0" w:line="277"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225"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225" w:lineRule="exact"/>
        <w:rPr>
          <w:rFonts w:ascii="Arial" w:cs="Arial" w:eastAsia="Arial" w:hAnsi="Arial"/>
          <w:sz w:val="18"/>
          <w:szCs w:val="18"/>
          <w:color w:val="auto"/>
        </w:rPr>
      </w:pPr>
    </w:p>
    <w:p>
      <w:pPr>
        <w:ind w:left="4" w:right="500" w:hanging="4"/>
        <w:spacing w:after="0" w:line="277"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Participant’s Termination Date occurs by reason of Retirement, Disability or death, the one-year anniversary of such Termination Date.</w:t>
      </w:r>
    </w:p>
    <w:p>
      <w:pPr>
        <w:spacing w:after="0" w:line="23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8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the extent required by Section 422 of the Code, Incentive Stock Options shall be subject to the following additional terms and conditions:</w:t>
      </w:r>
    </w:p>
    <w:p>
      <w:pPr>
        <w:sectPr>
          <w:pgSz w:w="11900" w:h="16838" w:orient="portrait"/>
          <w:cols w:equalWidth="0" w:num="1">
            <w:col w:w="10984"/>
          </w:cols>
          <w:pgMar w:left="436" w:top="490"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8.1 Dollar Limitation</w:t>
      </w:r>
    </w:p>
    <w:p>
      <w:pPr>
        <w:spacing w:after="0" w:line="121" w:lineRule="exact"/>
        <w:rPr>
          <w:sz w:val="20"/>
          <w:szCs w:val="20"/>
          <w:color w:val="auto"/>
        </w:rPr>
      </w:pPr>
    </w:p>
    <w:p>
      <w:pPr>
        <w:ind w:left="4" w:right="120"/>
        <w:spacing w:after="0" w:line="301"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8.2 More Than 10% Shareholders</w:t>
      </w:r>
    </w:p>
    <w:p>
      <w:pPr>
        <w:spacing w:after="0" w:line="12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8.3 Eligible Employees</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8.4 Term</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8.5 Exercisability</w:t>
      </w:r>
    </w:p>
    <w:p>
      <w:pPr>
        <w:spacing w:after="0" w:line="121" w:lineRule="exact"/>
        <w:rPr>
          <w:sz w:val="20"/>
          <w:szCs w:val="20"/>
          <w:color w:val="auto"/>
        </w:rPr>
      </w:pPr>
    </w:p>
    <w:p>
      <w:pPr>
        <w:jc w:val="both"/>
        <w:ind w:left="4" w:right="400"/>
        <w:spacing w:after="0" w:line="291"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w:t>
      </w:r>
    </w:p>
    <w:p>
      <w:pPr>
        <w:ind w:left="4"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than one year after the Termination Date by reason of Disability, or (c) after the Participant has been on leave of absence for more than 90 days, unless the Participant’s reemployment rights are guaranteed by statute or contract.</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8.6 Notification of Disqualifying Disposition</w:t>
      </w:r>
    </w:p>
    <w:p>
      <w:pPr>
        <w:spacing w:after="0" w:line="121"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The Participant must promptly notify the Company of any disposition of the shares of Common Stock acquired upon exercise of an Incentive Stock Option that occurs prior to the expiration of the holding period required to receive the favorable tax treatment applicable to Incentive Stock Options, which period shall be set forth in the instrument evidencing the Option.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8.7 Code Definitions</w:t>
      </w:r>
    </w:p>
    <w:p>
      <w:pPr>
        <w:spacing w:after="0" w:line="12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Plan Administrator is authorized to make Awards which shall entitle a Participant to exercise all or a specified portion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Appreciation Rights” or “SARs”).</w:t>
      </w:r>
    </w:p>
    <w:p>
      <w:pPr>
        <w:sectPr>
          <w:pgSz w:w="11900" w:h="16838" w:orient="portrait"/>
          <w:cols w:equalWidth="0" w:num="1">
            <w:col w:w="11004"/>
          </w:cols>
          <w:pgMar w:left="436" w:top="486" w:right="459" w:bottom="1440" w:gutter="0" w:footer="0" w:header="0"/>
        </w:sectPr>
      </w:pPr>
    </w:p>
    <w:bookmarkStart w:id="17" w:name="page18"/>
    <w:bookmarkEnd w:id="1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SARs may be granted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exercise of the SAR, whether the SAR shall be payable in cash or in shares of Common Stock, and the circumstances under which forfeiture of the SAR shall occur by reason of termination of the Participant’s employment or service relationship.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term of a SAR shall not exceed ten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DIVIDEND EQUIVALENTS/DIVIDENDS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Plan Administrator is authorized to make Awards which shall entitle a Participant to receive credit based on dividends that would have been paid on shares of Common Stock subject to an Award if such shares had been held by Participant at the time such dividend was declared (“Dividend Equivalents”), provided, however, that Dividend Equivalents shall not be granted in connection with Options or SARs. Dividend Equivalents may be granted on such terms and conditions and subject to such restrictions as the Plan Administrator shall determine, in its sole discretion, which terms, conditions and restrictions shall be set forth in the instrument evidencing the underlying Award. Notwithstanding the provisions of this Section 10, Dividend Equivalents granted with respect to any Award shall either be credited and accumulated and/or reinvested as additional units or shares in a bookkeeping account or otherwise, and in all events shall be subject to restrictions and risk of forfeiture to the same extent as the underlying Award and shall not be paid unless and until the underlying Award vests.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dividends that are distributable with respect to Restricted Stock shall be credited/accumulated, subject to restrictions and risk of forfeiture to the same extent as the underlying Award, and shall not be paid unless and until the underlying Award vests.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Restricted and Unrestricted Stock</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Plan Administrator is authorized to make Awards of Common Stock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(“Restricted Stock”). The terms, conditions and restrictions that the Plan Administrator shall have the power to determine shall include, without limitation, the manner in which shares of Restricted Stock are held during the periods they are subject to restrictions and the circumstances under which forfeiture of the Restricted Stock shall occur by reason of termination of the Participant’s employment or service relationship, if any.</w:t>
      </w:r>
    </w:p>
    <w:p>
      <w:pPr>
        <w:sectPr>
          <w:pgSz w:w="11900" w:h="16838" w:orient="portrait"/>
          <w:cols w:equalWidth="0" w:num="1">
            <w:col w:w="10960"/>
          </w:cols>
          <w:pgMar w:left="440" w:top="490" w:right="499" w:bottom="1440" w:gutter="0" w:footer="0" w:header="0"/>
        </w:sectPr>
      </w:pPr>
    </w:p>
    <w:bookmarkStart w:id="18" w:name="page19"/>
    <w:bookmarkEnd w:id="18"/>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Stock Units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issuance of the shares subject to the Stock Units to the Participant and the circumstances under which forfeiture of the Stock Units shall occur by reason of termination of the Participant’s employment or service relationship.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Issuance of Shares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Waiver of Restrictions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PERFORMANCE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Performance Shares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 Administrator may grant Awards of performance shares (“Performance Shares”)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ectPr>
          <w:pgSz w:w="11900" w:h="16838" w:orient="portrait"/>
          <w:cols w:equalWidth="0" w:num="1">
            <w:col w:w="10940"/>
          </w:cols>
          <w:pgMar w:left="440" w:top="490" w:right="51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12.2 Performance Units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13. CODE SECTION 162(m) PROVISIONS</w:t>
      </w:r>
    </w:p>
    <w:p>
      <w:pPr>
        <w:spacing w:after="0" w:line="121" w:lineRule="exact"/>
        <w:rPr>
          <w:sz w:val="20"/>
          <w:szCs w:val="20"/>
          <w:color w:val="auto"/>
        </w:rPr>
      </w:pPr>
    </w:p>
    <w:p>
      <w:pPr>
        <w:ind w:left="4" w:right="160" w:hanging="4"/>
        <w:spacing w:after="0" w:line="259"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13 is applicable to such Award.</w:t>
      </w:r>
    </w:p>
    <w:p>
      <w:pPr>
        <w:spacing w:after="0" w:line="186" w:lineRule="exact"/>
        <w:rPr>
          <w:rFonts w:ascii="Arial" w:cs="Arial" w:eastAsia="Arial" w:hAnsi="Arial"/>
          <w:sz w:val="18"/>
          <w:szCs w:val="18"/>
          <w:color w:val="auto"/>
        </w:rPr>
      </w:pPr>
    </w:p>
    <w:p>
      <w:pPr>
        <w:ind w:left="4" w:right="20" w:hanging="4"/>
        <w:spacing w:after="0" w:line="284"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13,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following business criteria,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share price or total shareholder return;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w:t>
      </w:r>
    </w:p>
    <w:p>
      <w:pPr>
        <w:sectPr>
          <w:pgSz w:w="11900" w:h="16838" w:orient="portrait"/>
          <w:cols w:equalWidth="0" w:num="1">
            <w:col w:w="11024"/>
          </w:cols>
          <w:pgMar w:left="436" w:top="486" w:right="439" w:bottom="1440" w:gutter="0" w:footer="0" w:header="0"/>
        </w:sectPr>
      </w:pPr>
    </w:p>
    <w:bookmarkStart w:id="20" w:name="page21"/>
    <w:bookmarkEnd w:id="20"/>
    <w:p>
      <w:pPr>
        <w:ind w:left="4" w:right="20" w:hanging="4"/>
        <w:spacing w:after="0" w:line="263"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w:t>
      </w:r>
    </w:p>
    <w:p>
      <w:pPr>
        <w:spacing w:after="0" w:line="184" w:lineRule="exact"/>
        <w:rPr>
          <w:sz w:val="20"/>
          <w:szCs w:val="20"/>
          <w:color w:val="auto"/>
        </w:rPr>
      </w:pPr>
    </w:p>
    <w:p>
      <w:pPr>
        <w:ind w:left="264" w:hanging="264"/>
        <w:spacing w:after="0"/>
        <w:tabs>
          <w:tab w:leader="none" w:pos="2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change in the fiscal year of the Company, (i) the refinancing or repurchase of bank loans or debt securities, (j), unbudgeted capital expenditures,</w:t>
      </w:r>
    </w:p>
    <w:p>
      <w:pPr>
        <w:spacing w:after="0" w:line="46" w:lineRule="exact"/>
        <w:rPr>
          <w:rFonts w:ascii="Arial" w:cs="Arial" w:eastAsia="Arial" w:hAnsi="Arial"/>
          <w:sz w:val="16"/>
          <w:szCs w:val="16"/>
          <w:color w:val="auto"/>
        </w:rPr>
      </w:pPr>
    </w:p>
    <w:p>
      <w:pPr>
        <w:ind w:left="4" w:right="260" w:hanging="4"/>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or repurchase of equity securities and other changes in the number of outstanding shares, (l) conversion of some or all of convertible securities to common stock, (m) any business interruption event</w:t>
      </w:r>
    </w:p>
    <w:p>
      <w:pPr>
        <w:spacing w:after="0" w:line="185" w:lineRule="exact"/>
        <w:rPr>
          <w:sz w:val="20"/>
          <w:szCs w:val="20"/>
          <w:color w:val="auto"/>
        </w:rPr>
      </w:pPr>
    </w:p>
    <w:p>
      <w:pPr>
        <w:ind w:left="4" w:hanging="4"/>
        <w:spacing w:after="0" w:line="259"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cumulative effects of tax or accounting changes in accordance with U.S. generally accepted accounting principles, or (o) the effect of changes in other laws or regulatory rules affecting reported results. Such performance goals (and any exclusions) shall be set by the Plan Administrator within the time period prescribed by, and shall otherwise comply with the requirements of, Section 162(m) of the Code, or any successor provision thereto, and the regulations thereunder.</w:t>
      </w:r>
    </w:p>
    <w:p>
      <w:pPr>
        <w:spacing w:after="0" w:line="187" w:lineRule="exact"/>
        <w:rPr>
          <w:sz w:val="20"/>
          <w:szCs w:val="20"/>
          <w:color w:val="auto"/>
        </w:rPr>
      </w:pPr>
    </w:p>
    <w:p>
      <w:pPr>
        <w:ind w:left="4" w:right="280" w:hanging="4"/>
        <w:spacing w:after="0" w:line="301"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provision of the Plan other than Section 16, with respect to any Stock Award or Performance Award that is subject to this Section 13, the Plan Administrator may adjust downwards, but not upwards, the amount payable pursuant to such Award, and the Plan Administrator may not waive the achievement of the applicable performance goals except in the case of the death or Disability of the Covered Employee or as otherwise determined by the Plan Administrator in special circumstances subject to any restrictions of Section 162(m) of the Code.</w:t>
      </w:r>
    </w:p>
    <w:p>
      <w:pPr>
        <w:sectPr>
          <w:pgSz w:w="11900" w:h="16838" w:orient="portrait"/>
          <w:cols w:equalWidth="0" w:num="1">
            <w:col w:w="10964"/>
          </w:cols>
          <w:pgMar w:left="436" w:top="490" w:right="499" w:bottom="1440" w:gutter="0" w:footer="0" w:header="0"/>
        </w:sectPr>
      </w:pPr>
    </w:p>
    <w:bookmarkStart w:id="21" w:name="page22"/>
    <w:bookmarkEnd w:id="21"/>
    <w:p>
      <w:pPr>
        <w:ind w:left="244" w:hanging="244"/>
        <w:spacing w:after="0"/>
        <w:tabs>
          <w:tab w:leader="none" w:pos="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Plan Administrator shall have the power to impose such other restrictions on Awards subject to this Section 13 as it may deem necessary or</w:t>
      </w:r>
    </w:p>
    <w:p>
      <w:pPr>
        <w:spacing w:after="0" w:line="46"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appropriate to ensure that such Awards satisfy all requirements for “performance-based compensation” within the meaning of Section 162(m)(4)(C) of the Code, or any successor provision thereto.</w:t>
      </w:r>
    </w:p>
    <w:p>
      <w:pPr>
        <w:spacing w:after="0" w:line="185" w:lineRule="exact"/>
        <w:rPr>
          <w:rFonts w:ascii="Arial" w:cs="Arial" w:eastAsia="Arial" w:hAnsi="Arial"/>
          <w:sz w:val="16"/>
          <w:szCs w:val="16"/>
          <w:color w:val="auto"/>
        </w:rPr>
      </w:pPr>
    </w:p>
    <w:p>
      <w:pPr>
        <w:ind w:left="4" w:right="60" w:hanging="4"/>
        <w:spacing w:after="0" w:line="255"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Section 16.1, no Participant may be granted Options, SARs, Stock Awards or Performance Shares subject to this Section 13, in each case, to the extent the Awards are intended to constitute “Qualified Performance-Based Compensation,” in any calendar year period with respect to more than 300,000 shares of Common Stock for such Award in the aggregate, except that the Company may make additional one time grants of such Awards for up to 300,000 shares in the aggregate to newly hired individuals (for the applicable year of hire), and the maximum dollar value payable with respect to Performance Units subject to this Section 13 granted to any Participant in any one calendar year is $4,000,000.</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 WITHHOLDING</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Company or the Related Corporation, as applicable, shall have the authority and right to deduct or withhold from any payments made to the Participant by the Company or the Related Corporation, or require the Participant to pay to the Company or the Related Corporation, the amount of any withholding taxes that the Company or a Related Corporation determines is required to withhold with respect to the grant, vesting or exercise of any Award. Subject to the Plan and applicable law, the Plan Administrator may, in its sole discretion and in satisfaction of the foregoing requirement, in whole or in part, (a) allow a Participant to pay cash, (b) allow the Company to withhold, or allow a Participant to elect to have the Company withhold, shares of Common Stock having a fair market value equal to the sums required to be withheld, which may be determined using rates of up to the minimum federal, state, local and/or foreign rates applicable in a particular jurisdiction (with the fair market value of the shares to be withheld and the applicable rate of tax withholding determined on the date that the amount of tax to be withheld is to be determined) or as determined by the Plan Administrator, (c) allow the transfer to the Company shares of Common Stock (already owned by the Participant for the period necessary to avoid a charge to the Company’s earnings for financial reporting purposes), in such amounts as are equivalent to the fair market value of the withholding obligation, or (d) may permit any other method set forth in the instrument evidencing the Award. No Common Stock shall be delivered hereunder to any Participant or other person until the Participant or such other person has made arrangements acceptable to the Plan Administrator for the satisfaction of these tax obligations with respect to any taxable event concerning the Participant or such other person arising as a result of Awards made under this Plan.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15. ASSIGNABILITY</w:t>
      </w:r>
    </w:p>
    <w:p>
      <w:pPr>
        <w:spacing w:after="0" w:line="121"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Except as provided below, 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the instrument evidencing the Award provides that a Participant may designate a beneficiary on a Company-approved form who may exercise the Award or receive payment under the Award after the Participant’s death, and the Participant has made such a designation. During a Participant’s lifetime, Awards may be exercised only by the Participant. To the extent permitted by Section 422 of the Code and under such terms and conditions as determined by the Plan Administrator and provided such transfer is consistent with securities offerings registered on a Form S-8, a Participant may assign or transfer an Award without consideration (each transferee thereof, a “Permitted Assignee”);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w:t>
      </w:r>
    </w:p>
    <w:p>
      <w:pPr>
        <w:sectPr>
          <w:pgSz w:w="11900" w:h="16838" w:orient="portrait"/>
          <w:cols w:equalWidth="0" w:num="1">
            <w:col w:w="11004"/>
          </w:cols>
          <w:pgMar w:left="436" w:top="49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16. ADJUSTMENTS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16.1 Adjustment of Shares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the event that, at any time or from time to time, a stock dividend, stock split, reverse stock split, reorganization, split-up, spin-off, combination, repurchase, or exchange of shares of Common Stock or other securities of the Company, recapitalization, merger, consolidation, distribution to shareholders other than a normal cash dividend (whether in the form of cash, securities of the Company or other property), or other change in the Company’s corporate or capital structure affects the Common Stock or its value or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and the maximum number and kind of securities that may be made subject to certain Awards as set forth in Section 4.1, (ii) the number and kind of securities that are subject to any outstanding Award and the per share price of such securities, without any change in the aggregate price to be paid therefor, (iii) the number and kind of securities automatically granted pursuant to a formula program established under the Plan, and (iv) the maximum number of securities subject to an Award to which Section 13 applies as set forth in Section 13(e). The determination by the Plan Administrator as to the terms of any of the foregoing adjustments shall be conclusive and binding.</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 Change in Control Transaction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16.2.1 Definitions</w:t>
      </w:r>
    </w:p>
    <w:p>
      <w:pPr>
        <w:spacing w:after="0" w:line="12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“Change in Control Transaction” shall be deemed to have occurred if any of the events set forth in any one of the following paragraphs shall have occurred:</w:t>
      </w:r>
    </w:p>
    <w:p>
      <w:pPr>
        <w:spacing w:after="0" w:line="62" w:lineRule="exact"/>
        <w:rPr>
          <w:sz w:val="20"/>
          <w:szCs w:val="20"/>
          <w:color w:val="auto"/>
        </w:rPr>
      </w:pPr>
    </w:p>
    <w:p>
      <w:pPr>
        <w:jc w:val="both"/>
        <w:ind w:left="4" w:right="80" w:hanging="4"/>
        <w:spacing w:after="0" w:line="259"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is or becomes the Beneficial Owner (as such term is set forth in Rule 13d-3 under the Exchange Act),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16.2.1(c)(i);</w:t>
      </w:r>
    </w:p>
    <w:p>
      <w:pPr>
        <w:sectPr>
          <w:pgSz w:w="11900" w:h="16838" w:orient="portrait"/>
          <w:cols w:equalWidth="0" w:num="1">
            <w:col w:w="10984"/>
          </w:cols>
          <w:pgMar w:left="436" w:top="486" w:right="479" w:bottom="1440" w:gutter="0" w:footer="0" w:header="0"/>
        </w:sectPr>
      </w:pPr>
    </w:p>
    <w:bookmarkStart w:id="23" w:name="page24"/>
    <w:bookmarkEnd w:id="23"/>
    <w:p>
      <w:pPr>
        <w:ind w:left="4" w:hanging="4"/>
        <w:spacing w:after="0" w:line="254"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91" w:lineRule="exact"/>
        <w:rPr>
          <w:rFonts w:ascii="Arial" w:cs="Arial" w:eastAsia="Arial" w:hAnsi="Arial"/>
          <w:sz w:val="18"/>
          <w:szCs w:val="18"/>
          <w:color w:val="auto"/>
        </w:rPr>
      </w:pPr>
    </w:p>
    <w:p>
      <w:pPr>
        <w:ind w:left="4" w:right="100" w:hanging="4"/>
        <w:spacing w:after="0" w:line="272" w:lineRule="auto"/>
        <w:tabs>
          <w:tab w:leader="none" w:pos="2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177" w:lineRule="exact"/>
        <w:rPr>
          <w:rFonts w:ascii="Arial" w:cs="Arial" w:eastAsia="Arial" w:hAnsi="Arial"/>
          <w:sz w:val="17"/>
          <w:szCs w:val="17"/>
          <w:color w:val="auto"/>
        </w:rPr>
      </w:pPr>
    </w:p>
    <w:p>
      <w:pPr>
        <w:ind w:left="4" w:right="60" w:hanging="4"/>
        <w:spacing w:after="0" w:line="279"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17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For purposes of this Section 16.2.1,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88"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For clarity, a Change in Control Transaction shall not be deemed to have occurred in the event of a reorganization of the Company and/or any Related Corporations nor in the event of a reincorporation of the Company or any Related Corporation in another jurisdiction.</w:t>
      </w:r>
    </w:p>
    <w:p>
      <w:pPr>
        <w:sectPr>
          <w:pgSz w:w="11900" w:h="16838" w:orient="portrait"/>
          <w:cols w:equalWidth="0" w:num="1">
            <w:col w:w="10984"/>
          </w:cols>
          <w:pgMar w:left="436" w:top="490"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16.2.2 Assumption of Awards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Section 16.1 hereof, and except as provided in Section 16.2.3 and as may otherwise be provided in the instrument evidencing the Award or in written employment or services or other agreement between a Participant and the Company or a Related Corporation in connection with an Award, if in the event of a Change in Control Transaction a Participant’s Awards are not assumed, converted, continued, replaced or an equivalent award is not substituted for the Awards by the surviving corporation, the successor corporation or its parent corporation, as applicable, (the “Successor Corporation”), the Participant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assumption or substitution in the event of a Change in Control Transaction, the Plan Administrator shall notify the Participant in writing or electronically that the Award shall be fully vested and exercisable for a specified time period after the date of such notice, and the Award shall terminate upon the expiration of such period, in each case conditioned on the consummation of the Change in Control Transaction. For the purposes of this Section 16.2.2, the Award shall be considered assumed if, following the Change in Control Transaction, the assumed right confers the right to purchase or receive, for each share of Common Stock subject to the Award immediately prior to the Change in Control Transaction, the consideration (whether stock, cash, or other securities or property) received in the Change in Control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Transaction is not solely common stock of the Successor Corporation, the Plan Administrator may, with the consent of the Successor Corporation, provide for the consideration to be received upon the settlement or exercise of the Award, for each share of Common Stock subject thereto, to be solely common stock of the Successor Corporation equal in fair market value to the per share consideration received by holders of Common Stock in the Change in Control Transaction. The Plan Administrator may provide that Awards shall terminate and cease to remain outstanding immediately prior to the consummation of the Change in Control Transaction, except to the extent assumed by the Successor Corporation. The portion of any Incentive Stock Option accelerated in connection with a Change in Control Transaction shall remain exercisable as an Incentive Stock Option only to the extent the applicable One Hundred Thousand Dollar ($100,000) limitation is not exceeded. To the extent such dollar limitation is exceeded, the accelerated portion of such Option shall be exercisable as a non-statutory option under the U.S. federal tax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16.2.3 Performance Awards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event of a Change in Control Transaction, the vesting and payout of Performance Awards shall be as provided in the instrument evidencing the Award or in a written employment or services agreement between a Participant and the Company or a Related Corporation.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Further Adjustment of Awards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Subject to Section 16.2,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The Plan Administrator may take such action before or after granting Awards to which the action relates and before or after any public announcement with respect to such sale, merger, consolidation, reorganization, liquidation or change in control that is the reason for such action. Such authorized action may include (but shall not be limited to) the following, and the Plan Administrator may take such actions with respect to all Participants, to certain categories of Participants or only to individual Participants; provided, however, that any vesting acceleration of outstanding Awards shall in all cases be subject to the consummation of the sale, merger, other similar transaction or change in control:</w:t>
      </w:r>
    </w:p>
    <w:p>
      <w:pPr>
        <w:sectPr>
          <w:pgSz w:w="11900" w:h="16838" w:orient="portrait"/>
          <w:cols w:equalWidth="0" w:num="1">
            <w:col w:w="11000"/>
          </w:cols>
          <w:pgMar w:left="440" w:top="486" w:right="459" w:bottom="1440" w:gutter="0" w:footer="0" w:header="0"/>
        </w:sectPr>
      </w:pPr>
    </w:p>
    <w:bookmarkStart w:id="25" w:name="page26"/>
    <w:bookmarkEnd w:id="25"/>
    <w:p>
      <w:pPr>
        <w:ind w:left="4" w:right="10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establishing, amending or waiving the type, terms, conditions or duration of, or restrictions on, Awards so as to provide for earlier, later, extended or additional time for exercise, lifting restrictions and other modifications;</w:t>
      </w:r>
    </w:p>
    <w:p>
      <w:pPr>
        <w:spacing w:after="0" w:line="170" w:lineRule="exact"/>
        <w:rPr>
          <w:rFonts w:ascii="Arial" w:cs="Arial" w:eastAsia="Arial" w:hAnsi="Arial"/>
          <w:sz w:val="18"/>
          <w:szCs w:val="18"/>
          <w:color w:val="auto"/>
        </w:rPr>
      </w:pPr>
    </w:p>
    <w:p>
      <w:pPr>
        <w:ind w:left="4" w:right="140" w:hanging="4"/>
        <w:spacing w:after="0" w:line="275"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providing for either (i)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16.3 the Plan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Plan Administrator in its sole discretion;</w:t>
      </w:r>
    </w:p>
    <w:p>
      <w:pPr>
        <w:spacing w:after="0" w:line="176" w:lineRule="exact"/>
        <w:rPr>
          <w:rFonts w:ascii="Arial" w:cs="Arial" w:eastAsia="Arial" w:hAnsi="Arial"/>
          <w:sz w:val="17"/>
          <w:szCs w:val="17"/>
          <w:color w:val="auto"/>
        </w:rPr>
      </w:pPr>
    </w:p>
    <w:p>
      <w:pPr>
        <w:ind w:left="4" w:right="6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adjustments in the number and type of shares of Common Stock (or other securities or property) subject to outstanding Awards, and/or in the terms and conditions of (including the grant or exercise price), and the criteria included in, outstanding Awards;</w:t>
      </w:r>
    </w:p>
    <w:p>
      <w:pPr>
        <w:spacing w:after="0" w:line="170" w:lineRule="exact"/>
        <w:rPr>
          <w:rFonts w:ascii="Arial" w:cs="Arial" w:eastAsia="Arial" w:hAnsi="Arial"/>
          <w:sz w:val="18"/>
          <w:szCs w:val="18"/>
          <w:color w:val="auto"/>
        </w:rPr>
      </w:pPr>
    </w:p>
    <w:p>
      <w:pPr>
        <w:ind w:left="4" w:right="1060" w:hanging="4"/>
        <w:spacing w:after="0" w:line="277"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16.4 Limitations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16.5 Fractional Shares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17. AMENDMENT AND TERMINATION OF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17.1 Amendment of Plan</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ectPr>
          <w:pgSz w:w="11900" w:h="16838" w:orient="portrait"/>
          <w:cols w:equalWidth="0" w:num="1">
            <w:col w:w="11004"/>
          </w:cols>
          <w:pgMar w:left="436" w:top="490"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17.2 Suspension or Termination of Plan</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17.3 Consent of Participant</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16 and any amendment or other action contemplated under Section 18.9 or as may necessary or advisable to facilitate compliance with applicable law, as determined in the sole discretion of the Plan Administrator, shall not be subject to these restrictions.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18. GENERAL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18.1 Evidence of Awards</w:t>
      </w:r>
    </w:p>
    <w:p>
      <w:pPr>
        <w:spacing w:after="0" w:line="121"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Awards granted under the Plan shall be evidenced by a written instrument (which may also be in electronic form) that shall contain such terms, conditions, limitations and restrictions as the Plan Administrator shall deem advisable and that are not inconsistent with the Plan.</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18.2 No Individual Rights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18.3 Transfer of Employment or Service Relationship; Leaves of Absence</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the Plan, provided, however, that (i) written authorization of the Company’s Chief Executive Officer or a delegate of the Chief Executive Office must be obtained in order to rely on this provision, and</w:t>
      </w:r>
    </w:p>
    <w:p>
      <w:pPr>
        <w:spacing w:after="0" w:line="187" w:lineRule="exact"/>
        <w:rPr>
          <w:sz w:val="20"/>
          <w:szCs w:val="20"/>
          <w:color w:val="auto"/>
        </w:rPr>
      </w:pPr>
    </w:p>
    <w:p>
      <w:pPr>
        <w:ind w:left="4" w:right="420" w:hanging="4"/>
        <w:spacing w:after="0" w:line="277"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 transfer of employment or change in status may affect whether an Incentive Stock Option granted to Participant continues to qualify for favorable tax treatment as an Incentive Stock Option.</w:t>
      </w:r>
    </w:p>
    <w:p>
      <w:pPr>
        <w:sectPr>
          <w:pgSz w:w="11900" w:h="16838" w:orient="portrait"/>
          <w:cols w:equalWidth="0" w:num="1">
            <w:col w:w="10944"/>
          </w:cols>
          <w:pgMar w:left="436" w:top="486" w:right="51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effect of a Company-approved leave of absence on the terms and conditions of an Award shall be determined by the Plan Administrator, in its sole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Compliance with Law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exchange control law), and the applicable requirements of any securities exchange, similar entity or other governmental regulatory body, or prior to obtaining any approval or other clearance from any governmental authority, which compliance or approval the Company shall, in its absolute discretion, deem necessary or advisable; provided, however, that the Company shall have no any obligation to register or qualify the Common Stock with, or to seek approval or clearance from any, governmental authority for the issuance, sale or delivery of Common Stock.</w:t>
      </w:r>
    </w:p>
    <w:p>
      <w:pPr>
        <w:spacing w:after="0" w:line="1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or any non-U.S. securities laws, any shares of Common Stock, security or interest in a security paid or issued under, or created by, the Plan, to continue in effect any such registrations or qualifications if made, or to seek approval or clearance from any governmental authority for the issuance, sale or delivery of Common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No Rights as a Shareholder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Option, SAR, Stock Unit or Performance Unit shall entitle the Participant to any cash dividend, voting or other right of a shareholder unless and until the date of issuance under the Plan of the shares that are the subject of such Award.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Interpretive Authority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ectPr>
          <w:pgSz w:w="11900" w:h="16838" w:orient="portrait"/>
          <w:cols w:equalWidth="0" w:num="1">
            <w:col w:w="11000"/>
          </w:cols>
          <w:pgMar w:left="440" w:top="49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18.7 Participants in Foreign Countries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facilitate compliance with the laws in non-U.S. countries in which the Company and its Related Corporations operate or have Participants and/or to take advantage of specific tax treatment for Awards granted to Participants in such countries, the Plan Administrator shall have the power and authority to: (i) modify the terms and conditions of any Award; (ii) establish subplans and modify exercise procedures and other terms and procedures, to the extent such actions may be necessary or desirable, including adoption of rules, procedures or sub-plans applicable to particular Related Corporations or Participants residing in particular locations; provided, however, that no such subplans and/or modifications shall increase the share limitations contained in Sections 4 and 13(e) of the Plan; and (iii) take any action, before or after an Award is made, that it deems advisable to obtain approval or comply with any necessary local governmental regulatory exemptions or approvals. Notwithstanding the foregoing, the Plan Administrator may not take any actions hereunder, and no Awards shall be granted, that would violate the Exchange Act, the Code, any securities law or governing statute or any other law applicable to the Common Stock or the issuance of Common Stock under the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18.8 No Trust or Fund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 Section 409A</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To the extent that the Plan Administrator determines that any Award granted under the Plan is subject to Section 409A of the Code, the written instrument evidencing such Award shall incorporate the terms and conditions required by Section 409A of the Code. To the extent applicable, the Plan and any written instrument evidencing any Award shall be interpreted in accordance with Section 409A of the Code and U.S. Department of Treasury regulations and other interpretive guidance issued thereunder, including without limitation any such regulations or other guidance that may be issued after the Restatement Effective Date. Notwithstanding any provision of the Plan to the contrary, in the event that following the Restatement Effective Date the Plan Administrator determines that any Award may be subject to Section 409A of the Code and related U.S. Department of Treasury guidance (including such U.S. Department of Treasury guidance as may be issued after the Restatement Effective Date), the Plan Administrator may, without consent of the Participant, adopt such amendments to the Plan and the applicable written instrument evidencing the Award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Plan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 Notwithstanding the foregoing, the Company makes no representation or covenant to ensure that the Awards and the payment are exempt from or compliant with Section 409A of the Code and will have no liability to the Participants or any other party if the Awards or payment of the Awards that are intended to be exempt from, or compliant with, Section 409A of the Code, are not so exempt or compliant or for any action taken by the Plan Administrator with respect thereto.</w:t>
      </w:r>
    </w:p>
    <w:p>
      <w:pPr>
        <w:sectPr>
          <w:pgSz w:w="11900" w:h="16838" w:orient="portrait"/>
          <w:cols w:equalWidth="0" w:num="1">
            <w:col w:w="11000"/>
          </w:cols>
          <w:pgMar w:left="44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18.10 Severability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Choice of Law</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conflict of laws principles.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CLAWBACK/RECOVERY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on an Award as the Plan Administrator determines necessary or appropriate, including, but not limited to, a reacquisition right in respect of previously acquired shares of Common Stock or other cash or property upon the occurrence of cause (as determined by the Plan Administrator).</w:t>
      </w:r>
    </w:p>
    <w:p>
      <w:pPr>
        <w:sectPr>
          <w:pgSz w:w="11900" w:h="16838" w:orient="portrait"/>
          <w:cols w:equalWidth="0" w:num="1">
            <w:col w:w="11000"/>
          </w:cols>
          <w:pgMar w:left="440" w:top="486" w:right="459" w:bottom="1440" w:gutter="0" w:footer="0" w:header="0"/>
        </w:sectPr>
      </w:pPr>
    </w:p>
    <w:bookmarkStart w:id="30" w:name="page31"/>
    <w:bookmarkEnd w:id="30"/>
    <w:p>
      <w:pPr>
        <w:ind w:left="1008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68805" cy="419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868805" cy="419735"/>
                    </a:xfrm>
                    <a:prstGeom prst="rect">
                      <a:avLst/>
                    </a:prstGeom>
                    <a:noFill/>
                  </pic:spPr>
                </pic:pic>
              </a:graphicData>
            </a:graphic>
          </wp:anchor>
        </w:drawing>
      </w:r>
    </w:p>
    <w:p>
      <w:pPr>
        <w:ind w:left="8580"/>
        <w:spacing w:after="0" w:line="196" w:lineRule="auto"/>
        <w:rPr>
          <w:sz w:val="20"/>
          <w:szCs w:val="20"/>
          <w:color w:val="auto"/>
        </w:rPr>
      </w:pPr>
      <w:r>
        <w:rPr>
          <w:rFonts w:ascii="Arial" w:cs="Arial" w:eastAsia="Arial" w:hAnsi="Arial"/>
          <w:sz w:val="18"/>
          <w:szCs w:val="18"/>
          <w:color w:val="auto"/>
        </w:rPr>
        <w:t>1015 2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Avenue,</w:t>
      </w:r>
    </w:p>
    <w:p>
      <w:pPr>
        <w:spacing w:after="0" w:line="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Suite 500</w:t>
      </w:r>
    </w:p>
    <w:p>
      <w:pPr>
        <w:spacing w:after="0" w:line="7"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Seattle, WA98104</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Tel: +1 206 716 7000</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Fax: +1 206 965 7000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www.deloitte.com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27, 2023 relating to the financial statements of Itron, Inc. and the effectiveness of Itron, Inc.’s internal control over financial reporting, appearing in the Annual Report on Form 10-K of Itron, Inc.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33731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337310" cy="2228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3"/>
    </w:lvl>
  </w:abstractNum>
  <w:abstractNum w:abstractNumId="8">
    <w:nsid w:val="519B500D"/>
    <w:multiLevelType w:val="hybridMultilevel"/>
    <w:lvl w:ilvl="0">
      <w:lvlJc w:val="left"/>
      <w:lvlText w:val="(%1)"/>
      <w:numFmt w:val="lowerLetter"/>
      <w:start w:val="4"/>
    </w:lvl>
  </w:abstractNum>
  <w:abstractNum w:abstractNumId="9">
    <w:nsid w:val="431BD7B7"/>
    <w:multiLevelType w:val="hybridMultilevel"/>
    <w:lvl w:ilvl="0">
      <w:lvlJc w:val="left"/>
      <w:lvlText w:val="(%1)"/>
      <w:numFmt w:val="lowerLetter"/>
      <w:start w:val="35"/>
    </w:lvl>
  </w:abstractNum>
  <w:abstractNum w:abstractNumId="10">
    <w:nsid w:val="3F2DBA31"/>
    <w:multiLevelType w:val="hybridMultilevel"/>
    <w:lvl w:ilvl="0">
      <w:lvlJc w:val="left"/>
      <w:lvlText w:val="(%1)"/>
      <w:numFmt w:val="lowerLetter"/>
      <w:start w:val="5"/>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5"/>
    </w:lvl>
  </w:abstractNum>
  <w:abstractNum w:abstractNumId="17">
    <w:nsid w:val="721DA317"/>
    <w:multiLevelType w:val="hybridMultilevel"/>
    <w:lvl w:ilvl="0">
      <w:lvlJc w:val="left"/>
      <w:lvlText w:val="(%1)"/>
      <w:numFmt w:val="lowerLetter"/>
      <w:start w:val="8"/>
    </w:lvl>
  </w:abstractNum>
  <w:abstractNum w:abstractNumId="18">
    <w:nsid w:val="2443A858"/>
    <w:multiLevelType w:val="hybridMultilevel"/>
    <w:lvl w:ilvl="0">
      <w:lvlJc w:val="left"/>
      <w:lvlText w:val="(%1)"/>
      <w:numFmt w:val="lowerLetter"/>
      <w:start w:val="11"/>
    </w:lvl>
  </w:abstractNum>
  <w:abstractNum w:abstractNumId="19">
    <w:nsid w:val="2D1D5AE9"/>
    <w:multiLevelType w:val="hybridMultilevel"/>
    <w:lvl w:ilvl="0">
      <w:lvlJc w:val="left"/>
      <w:lvlText w:val="(%1)"/>
      <w:numFmt w:val="lowerLetter"/>
      <w:start w:val="14"/>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jpeg"/><Relationship Id="rId62" Type="http://schemas.openxmlformats.org/officeDocument/2006/relationships/image" Target="media/image41.jpeg"/><Relationship Id="rId18" Type="http://schemas.openxmlformats.org/officeDocument/2006/relationships/hyperlink" Target="http://www.sec.gov/Archives/edgar/data/780571/000119312510111102/ds8.htm" TargetMode="External"/><Relationship Id="rId19" Type="http://schemas.openxmlformats.org/officeDocument/2006/relationships/hyperlink" Target="http://www.sec.gov/Archives/edgar/data/780571/000119312512247610/d355508ds8.htm" TargetMode="External"/><Relationship Id="rId20" Type="http://schemas.openxmlformats.org/officeDocument/2006/relationships/hyperlink" Target="http://www.sec.gov/Archives/edgar/data/780571/000119312514055106/d658422ds8.htm" TargetMode="External"/><Relationship Id="rId21" Type="http://schemas.openxmlformats.org/officeDocument/2006/relationships/hyperlink" Target="http://www.sec.gov/Archives/edgar/data/780571/000119312514055082/d658435ds8pos.htm" TargetMode="External"/><Relationship Id="rId22" Type="http://schemas.openxmlformats.org/officeDocument/2006/relationships/hyperlink" Target="http://www.sec.gov/Archives/edgar/data/780571/000119312514177524/d711501ds8.htm" TargetMode="External"/><Relationship Id="rId23" Type="http://schemas.openxmlformats.org/officeDocument/2006/relationships/hyperlink" Target="http://www.sec.gov/Archives/edgar/data/780571/000119312517175322/d399161ds8.htm" TargetMode="External"/><Relationship Id="rId24" Type="http://schemas.openxmlformats.org/officeDocument/2006/relationships/hyperlink" Target="http://www.sec.gov/Archives/edgar/data/780571/000078057118000037/itrons-8.htm" TargetMode="External"/><Relationship Id="rId25" Type="http://schemas.openxmlformats.org/officeDocument/2006/relationships/hyperlink" Target="http://www.sec.gov/ix?doc=/Archives/edgar/data/780571/000078057123000010/itri-20221231.htm" TargetMode="External"/><Relationship Id="rId26" Type="http://schemas.openxmlformats.org/officeDocument/2006/relationships/hyperlink" Target="http://www.sec.gov/ix?doc=/Archives/edgar/data/780571/000114036123012718/ny20005713x1_def14a.htm" TargetMode="External"/><Relationship Id="rId27" Type="http://schemas.openxmlformats.org/officeDocument/2006/relationships/hyperlink" Target="http://www.sec.gov/ix?doc=/Archives/edgar/data/780571/000078057123000016/itri-20230331.htm" TargetMode="External"/><Relationship Id="rId29" Type="http://schemas.openxmlformats.org/officeDocument/2006/relationships/hyperlink" Target="http://www.sec.gov/ix?doc=/Archives/edgar/data/780571/000115752323000359/a53346520.htm" TargetMode="External"/><Relationship Id="rId30" Type="http://schemas.openxmlformats.org/officeDocument/2006/relationships/hyperlink" Target="http://www.sec.gov/ix?doc=/Archives/edgar/data/780571/000078057123000013/itri-20230413.htm" TargetMode="External"/><Relationship Id="rId31" Type="http://schemas.openxmlformats.org/officeDocument/2006/relationships/hyperlink" Target="http://www.sec.gov/Archives/edgar/data/780571/000078057123000010/itriex-41212312022exdescri.htm" TargetMode="External"/><Relationship Id="rId32" Type="http://schemas.openxmlformats.org/officeDocument/2006/relationships/hyperlink" Target="http://www.sec.gov/ix?doc=/Archives/edgar/data/780571/000078057123000020/itri-202305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2023-05-23T11:24:09Z</dcterms:created>
  <dcterms:modified xsi:type="dcterms:W3CDTF">2023-05-23T11:24:09Z</dcterms:modified>
</cp:coreProperties>
</file>