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left="1160" w:right="380"/>
        <w:spacing w:after="0" w:line="342" w:lineRule="auto"/>
        <w:rPr>
          <w:sz w:val="20"/>
          <w:szCs w:val="20"/>
          <w:color w:val="auto"/>
        </w:rPr>
      </w:pPr>
      <w:r>
        <w:rPr>
          <w:rFonts w:ascii="Arial" w:cs="Arial" w:eastAsia="Arial" w:hAnsi="Arial"/>
          <w:sz w:val="16"/>
          <w:szCs w:val="16"/>
          <w:color w:val="auto"/>
        </w:rPr>
        <w:t>On May 8, 2017, the Company issued a press release announcing it has signed an agreement to acquire Comverge, Inc. by purchasing its parent company, Peak Holding Corp. A copy of this press release is attached as Exhibit 99.1 and is incorporated by reference herein.</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8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2017.</w:t>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our business, financial performance and restructuring activities, the closing of the Comverge transaction and synergies related to the Comverge acquisition and its integration.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our ability to close the Comverge transaction, our ability to execute on the integration of Comverge, our ability to achieve estimated synergies, the market for Comverge’s products and other factors that are more fully described in our Annual Report on Form 10-K for the year ended December 31, 2016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ITRON, INC.</w:t>
            </w:r>
          </w:p>
        </w:tc>
        <w:tc>
          <w:tcPr>
            <w:tcW w:w="1140" w:type="dxa"/>
            <w:vAlign w:val="bottom"/>
          </w:tcPr>
          <w:p>
            <w:pPr>
              <w:spacing w:after="0"/>
              <w:rPr>
                <w:sz w:val="20"/>
                <w:szCs w:val="20"/>
                <w:color w:val="auto"/>
              </w:rPr>
            </w:pPr>
          </w:p>
        </w:tc>
      </w:tr>
      <w:tr>
        <w:trPr>
          <w:trHeight w:val="736"/>
        </w:trPr>
        <w:tc>
          <w:tcPr>
            <w:tcW w:w="3380" w:type="dxa"/>
            <w:vAlign w:val="bottom"/>
          </w:tcPr>
          <w:p>
            <w:pPr>
              <w:spacing w:after="0"/>
              <w:rPr>
                <w:sz w:val="20"/>
                <w:szCs w:val="20"/>
                <w:color w:val="auto"/>
              </w:rPr>
            </w:pPr>
            <w:r>
              <w:rPr>
                <w:rFonts w:ascii="Arial" w:cs="Arial" w:eastAsia="Arial" w:hAnsi="Arial"/>
                <w:sz w:val="18"/>
                <w:szCs w:val="18"/>
                <w:color w:val="auto"/>
              </w:rPr>
              <w:t>Dated:   May 8, 2017</w:t>
            </w:r>
          </w:p>
        </w:tc>
        <w:tc>
          <w:tcPr>
            <w:tcW w:w="2120" w:type="dxa"/>
            <w:vAlign w:val="bottom"/>
          </w:tcPr>
          <w:p>
            <w:pPr>
              <w:ind w:left="17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Robert H.A. Farrow</w:t>
            </w:r>
          </w:p>
        </w:tc>
        <w:tc>
          <w:tcPr>
            <w:tcW w:w="114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Robert H.A. Farrow</w:t>
            </w:r>
          </w:p>
        </w:tc>
        <w:tc>
          <w:tcPr>
            <w:tcW w:w="1140" w:type="dxa"/>
            <w:vAlign w:val="bottom"/>
          </w:tcPr>
          <w:p>
            <w:pPr>
              <w:spacing w:after="0"/>
              <w:rPr>
                <w:sz w:val="20"/>
                <w:szCs w:val="20"/>
                <w:color w:val="auto"/>
              </w:rPr>
            </w:pPr>
          </w:p>
        </w:tc>
      </w:tr>
      <w:tr>
        <w:trPr>
          <w:trHeight w:val="242"/>
        </w:trPr>
        <w:tc>
          <w:tcPr>
            <w:tcW w:w="33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Interim Chief Financial Officer</w:t>
            </w:r>
          </w:p>
        </w:tc>
        <w:tc>
          <w:tcPr>
            <w:tcW w:w="1140" w:type="dxa"/>
            <w:vAlign w:val="bottom"/>
          </w:tcPr>
          <w:p>
            <w:pPr>
              <w:spacing w:after="0"/>
              <w:rPr>
                <w:sz w:val="21"/>
                <w:szCs w:val="21"/>
                <w:color w:val="auto"/>
              </w:rPr>
            </w:pPr>
          </w:p>
        </w:tc>
      </w:tr>
      <w:tr>
        <w:trPr>
          <w:trHeight w:val="149"/>
        </w:trPr>
        <w:tc>
          <w:tcPr>
            <w:tcW w:w="3380" w:type="dxa"/>
            <w:vAlign w:val="bottom"/>
            <w:tcBorders>
              <w:bottom w:val="single" w:sz="8" w:color="9A9A9A"/>
            </w:tcBorders>
          </w:tcPr>
          <w:p>
            <w:pPr>
              <w:spacing w:after="0"/>
              <w:rPr>
                <w:sz w:val="12"/>
                <w:szCs w:val="12"/>
                <w:color w:val="auto"/>
              </w:rPr>
            </w:pPr>
          </w:p>
        </w:tc>
        <w:tc>
          <w:tcPr>
            <w:tcW w:w="2120" w:type="dxa"/>
            <w:vAlign w:val="bottom"/>
            <w:tcBorders>
              <w:bottom w:val="single" w:sz="8" w:color="9A9A9A"/>
            </w:tcBorders>
          </w:tcPr>
          <w:p>
            <w:pPr>
              <w:spacing w:after="0"/>
              <w:rPr>
                <w:sz w:val="12"/>
                <w:szCs w:val="12"/>
                <w:color w:val="auto"/>
              </w:rPr>
            </w:pPr>
          </w:p>
        </w:tc>
        <w:tc>
          <w:tcPr>
            <w:tcW w:w="4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r>
      <w:tr>
        <w:trPr>
          <w:trHeight w:val="21"/>
        </w:trPr>
        <w:tc>
          <w:tcPr>
            <w:tcW w:w="338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47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2017.</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Itron Poised to Drive New Grid and Customer Experience Solutions with Comverge Acquisition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Comverge’s demand response, energy efficiency and customer engagement solutions complement Itron’s strategy to provide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more value to utilities and their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Itron to host webcast today at 12:00 p.m. EDT to discuss the transaction</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LIBERTY LAKE, Wash.--(BUSINESS WIRE)--May 8, 2017--Itron, Inc. (NASDAQ: ITRI), a world-leading technology and services company dedicated to the resourceful use of energy and water, announced today that it has signed a definitive agreement to acquire privately held Comverge by purchasing its parent company, Peak Holding Corp., in a cash transaction valued at approximately $100 million. The acquisition combines a world-leader in gas, water, electricity and smart cities solutions with a longtime leader of demand response, which expands the scope of smart grid offerings for the industry.</w:t>
      </w:r>
    </w:p>
    <w:p>
      <w:pPr>
        <w:spacing w:after="0" w:line="148"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acquisition of Comverge enables Itron to offer a unique solution set that brings Comverge’s demand management solutions to the edge of the network using OpenWay Riva’s edge intelligence and processing capabilities. This will enable utilities to better integrate distributed energy resources and optimize grid performance and reliability. With this acquisition, we are delivering even more value for our customers on top of industry-leading AMI and smart grid solutions enabling a robust, active grid,” said Philip Mezey, Itron’s president and chief executive officer.</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Comverge is an industry-leading provider of integrated cloud-based demand response, energy efficiency and customer engagement solutions that enable electric utilities to ensure grid reliability, lower energy costs, meet regulatory demands and enhance the customer experience. Through its combination of software, hardware and services, Comverge helps utilities optimize every aspect of a demand management program, from participant recruitment and device installation to call center support, control events, and measurement and verification. Comverge has enrolled and deployed nearly 3 million energy management devices into mass market demand management programs. In 2016, the company generated $60 million in revenue.</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“There are tremendous opportunities that exist, between our technologies, operations and customer relationships. The combination of Comverge and Itron is beneficial for both companies and, most importantly, to our employees and customers,” said Gregory Dukat, Comverge’s chairman, president and chief executive officer. “We’ve spent the last several years successfully pivoting from a hardware-oriented demand response company to a software and services company focused on delivering increased value to our customers. By integrating with Itron’s platform, we create a more compelling offer that leverages data and analytics to optimize the management of distributed energy resources, delivering even greater customer value.”</w:t>
      </w:r>
    </w:p>
    <w:p>
      <w:pPr>
        <w:spacing w:after="0" w:line="151" w:lineRule="exact"/>
        <w:rPr>
          <w:sz w:val="20"/>
          <w:szCs w:val="20"/>
          <w:color w:val="auto"/>
        </w:rPr>
      </w:pPr>
    </w:p>
    <w:p>
      <w:pPr>
        <w:ind w:right="500"/>
        <w:spacing w:after="0" w:line="297" w:lineRule="auto"/>
        <w:rPr>
          <w:sz w:val="20"/>
          <w:szCs w:val="20"/>
          <w:color w:val="auto"/>
        </w:rPr>
      </w:pPr>
      <w:r>
        <w:rPr>
          <w:rFonts w:ascii="Arial" w:cs="Arial" w:eastAsia="Arial" w:hAnsi="Arial"/>
          <w:sz w:val="19"/>
          <w:szCs w:val="19"/>
          <w:color w:val="auto"/>
        </w:rPr>
        <w:t>Excluding acquisition and integration-related costs, amortization of acquired intangible assets and purchase accounting adjustments, the company anticipates the acquisition will be neutral to non-GAAP earnings per share in 2017 and accretive beginning in 2018. The transaction is expected to close in the second quarter of 2017,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Company Webcast</w:t>
      </w: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 xml:space="preserve">Itron will host a webcast on May 8, 2017, at 12:00 p.m. EDT to discuss this transaction. The call will be webcast in a listen-only mode. The webcast and presentation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May 13, 2017. To access the telephone replay, dial (888) 203-1112 (Domestic) or (719) 457-0820 (International) and enter passcode 2028923.</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340"/>
        <w:spacing w:after="0" w:line="235" w:lineRule="auto"/>
        <w:rPr>
          <w:sz w:val="20"/>
          <w:szCs w:val="20"/>
          <w:color w:val="auto"/>
        </w:rPr>
      </w:pPr>
      <w:r>
        <w:rPr>
          <w:rFonts w:ascii="Arial" w:cs="Arial" w:eastAsia="Arial" w:hAnsi="Arial"/>
          <w:sz w:val="19"/>
          <w:szCs w:val="19"/>
          <w:color w:val="auto"/>
        </w:rPr>
        <w:t>Itron</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and OpenWay</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are registered trademarks of Itron, Inc. All third-party trademarks are property of their respective owners and any usage herein does not suggest or imply any relationship between Itron and the third party unless expressly stated.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cash flows, the closing of the Comverge transaction and synergies related to the Comverge acquisition and its integration.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close the Comverge transaction, our ability to execute on the integration of Comverge, our ability to achieve estimated synergies, the market for Comverge’s products and other factors that are more fully described in our Annual Report on Form 10-K for the year ended December 31, 2016,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our 10-K for the year ended Dec. 31, 2016.</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Media:</w:t>
      </w:r>
    </w:p>
    <w:p>
      <w:pPr>
        <w:spacing w:after="0" w:line="231" w:lineRule="auto"/>
        <w:rPr>
          <w:sz w:val="20"/>
          <w:szCs w:val="20"/>
          <w:color w:val="auto"/>
        </w:rPr>
      </w:pPr>
      <w:r>
        <w:rPr>
          <w:rFonts w:ascii="Arial" w:cs="Arial" w:eastAsia="Arial" w:hAnsi="Arial"/>
          <w:sz w:val="22"/>
          <w:szCs w:val="22"/>
          <w:color w:val="auto"/>
        </w:rPr>
        <w:t>Sharelynn Moore, 509-891-3524</w:t>
      </w:r>
    </w:p>
    <w:p>
      <w:pPr>
        <w:spacing w:after="0" w:line="231" w:lineRule="auto"/>
        <w:rPr>
          <w:sz w:val="20"/>
          <w:szCs w:val="20"/>
          <w:color w:val="auto"/>
        </w:rPr>
      </w:pPr>
      <w:r>
        <w:rPr>
          <w:rFonts w:ascii="Arial" w:cs="Arial" w:eastAsia="Arial" w:hAnsi="Arial"/>
          <w:sz w:val="22"/>
          <w:szCs w:val="22"/>
          <w:color w:val="auto"/>
        </w:rPr>
        <w:t>Vice President, Global Marketing and Public Affairs</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Investors:</w:t>
      </w:r>
    </w:p>
    <w:p>
      <w:pPr>
        <w:spacing w:after="0" w:line="231" w:lineRule="auto"/>
        <w:rPr>
          <w:sz w:val="20"/>
          <w:szCs w:val="20"/>
          <w:color w:val="auto"/>
        </w:rPr>
      </w:pPr>
      <w:r>
        <w:rPr>
          <w:rFonts w:ascii="Arial" w:cs="Arial" w:eastAsia="Arial" w:hAnsi="Arial"/>
          <w:sz w:val="22"/>
          <w:szCs w:val="22"/>
          <w:color w:val="auto"/>
        </w:rPr>
        <w:t>Barbara Doyle, 509-891-3443</w:t>
      </w:r>
    </w:p>
    <w:p>
      <w:pPr>
        <w:spacing w:after="0"/>
        <w:rPr>
          <w:sz w:val="20"/>
          <w:szCs w:val="20"/>
          <w:color w:val="auto"/>
        </w:rPr>
      </w:pPr>
      <w:r>
        <w:rPr>
          <w:rFonts w:ascii="Arial" w:cs="Arial" w:eastAsia="Arial" w:hAnsi="Arial"/>
          <w:sz w:val="22"/>
          <w:szCs w:val="22"/>
          <w:color w:val="auto"/>
        </w:rPr>
        <w:t>Vice President, Investor Relations</w:t>
      </w:r>
    </w:p>
    <w:sectPr>
      <w:pgSz w:w="11900" w:h="16838" w:orient="portrait"/>
      <w:cols w:equalWidth="0" w:num="1">
        <w:col w:w="11380"/>
      </w:cols>
      <w:pgMar w:left="240" w:top="11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2019-12-05T12:57:35Z</dcterms:created>
  <dcterms:modified xsi:type="dcterms:W3CDTF">2019-12-05T12:57:35Z</dcterms:modified>
</cp:coreProperties>
</file>