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May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31115</wp:posOffset>
            </wp:positionV>
            <wp:extent cx="36620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69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0"/>
          <w:szCs w:val="20"/>
          <w:b w:val="1"/>
          <w:bCs w:val="1"/>
          <w:color w:val="auto"/>
        </w:rPr>
        <w:t>Item 3.01</w:t>
      </w:r>
      <w:r>
        <w:rPr>
          <w:sz w:val="20"/>
          <w:szCs w:val="20"/>
          <w:color w:val="auto"/>
        </w:rPr>
        <w:tab/>
      </w:r>
      <w:r>
        <w:rPr>
          <w:rFonts w:ascii="Arial" w:cs="Arial" w:eastAsia="Arial" w:hAnsi="Arial"/>
          <w:sz w:val="18"/>
          <w:szCs w:val="18"/>
          <w:b w:val="1"/>
          <w:bCs w:val="1"/>
          <w:color w:val="auto"/>
        </w:rPr>
        <w:t>Notice of Delisting or Failure to Satisfy a Continued Listing Rule or Standard; Transfer of Listing.</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NASDAQ Stock Market (“NASDAQ”) notified Itron, Inc. (the “Company”), by letter dated May 12, 2016, that the Company is not in compliance with NASDAQ’s continued listing requirement set forth in Rule 5250(c)(1) of the NASDAQ Listing Rules (the “Rules”), due to its failure to file its Quarterly Report on Form 10-Q for the fiscal quarter ended March 31, 2016 (the “Quarterly Report”), and because it remains delinquent in filings its Annual Report on Form 10-K for the period ended December 31, 2015 (the “Annual Report”) with the Securities and Exchange Commission (the “SEC”).</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previously reported, the Company is completing a review of revenue recognition for certain software solutions for which the Company has not been able to demonstrate Vendor Specific Objective Evidence of fair value for maintenance. The Company continues to perform additional analysis, including evaluating if the current and prior periods are materially impacted, and to work with its independent auditor, Ernst &amp; Young LLP, to conclude on these matters as soon as reasonably practicable.</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today submitted a plan to NASDAQ to regain compliance with the Rules. If NASDAQ accepts the plan, it can grant an exception of up to 180 calendar days from the due date of the filing of the Annual Report (as extended by the Company’s filing on Form 12b-25), or until September 12, 2016, for the Company to regain compliance with Rule 5250(c)(1). The Company may regain compliance at any time during this 180-day period upon filing the Annual Report, as well as all subsequent periodic reports that are due within that period, with the SEC. If NASDAQ does not accept the Company’s compliance plan, the Company will have the opportunity to appeal that decision.</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notice contains certain forward-looking statements (within the meaning of Section 27A of the Securities Act of 1933, as amended, and Section 21E of the Securities Exchange Act of 1934, as amended) and information relating to the Company that are based on the beliefs of the management of the Company. These forward looking statements are subject to risks and uncertainties, including the risk that the evaluation described above results in further adjustments to the financial statements and results of operations. Should one of these risks or uncertainties materialize actual results or outcomes may vary materially from those described as anticipated, believed, estimated, intended, or planned.</w:t>
      </w:r>
    </w:p>
    <w:p>
      <w:pPr>
        <w:sectPr>
          <w:pgSz w:w="11900" w:h="16838" w:orient="portrait"/>
          <w:cols w:equalWidth="0" w:num="1">
            <w:col w:w="11420"/>
          </w:cols>
          <w:pgMar w:left="240" w:top="576"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4460" w:type="dxa"/>
            <w:vAlign w:val="bottom"/>
            <w:gridSpan w:val="2"/>
          </w:tcPr>
          <w:p>
            <w:pPr>
              <w:ind w:left="3340"/>
              <w:spacing w:after="0"/>
              <w:rPr>
                <w:sz w:val="20"/>
                <w:szCs w:val="20"/>
                <w:color w:val="auto"/>
              </w:rPr>
            </w:pPr>
            <w:r>
              <w:rPr>
                <w:rFonts w:ascii="Arial" w:cs="Arial" w:eastAsia="Arial" w:hAnsi="Arial"/>
                <w:sz w:val="20"/>
                <w:szCs w:val="20"/>
                <w:color w:val="auto"/>
                <w:w w:val="97"/>
              </w:rPr>
              <w:t>ITRON, INC.</w:t>
            </w:r>
          </w:p>
        </w:tc>
        <w:tc>
          <w:tcPr>
            <w:tcW w:w="4740" w:type="dxa"/>
            <w:vAlign w:val="bottom"/>
          </w:tcPr>
          <w:p>
            <w:pPr>
              <w:spacing w:after="0"/>
              <w:rPr>
                <w:sz w:val="21"/>
                <w:szCs w:val="21"/>
                <w:color w:val="auto"/>
              </w:rPr>
            </w:pPr>
          </w:p>
        </w:tc>
      </w:tr>
      <w:tr>
        <w:trPr>
          <w:trHeight w:val="608"/>
        </w:trPr>
        <w:tc>
          <w:tcPr>
            <w:tcW w:w="4460" w:type="dxa"/>
            <w:vAlign w:val="bottom"/>
            <w:gridSpan w:val="2"/>
          </w:tcPr>
          <w:p>
            <w:pPr>
              <w:ind w:left="3340"/>
              <w:spacing w:after="0"/>
              <w:rPr>
                <w:sz w:val="20"/>
                <w:szCs w:val="20"/>
                <w:color w:val="auto"/>
              </w:rPr>
            </w:pPr>
            <w:r>
              <w:rPr>
                <w:rFonts w:ascii="Arial" w:cs="Arial" w:eastAsia="Arial" w:hAnsi="Arial"/>
                <w:sz w:val="18"/>
                <w:szCs w:val="18"/>
                <w:color w:val="auto"/>
              </w:rPr>
              <w:t>By:</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6"/>
              </w:rPr>
              <w:t>/s/ W. MARK SCHMITZ</w:t>
            </w:r>
          </w:p>
        </w:tc>
      </w:tr>
      <w:tr>
        <w:trPr>
          <w:trHeight w:val="23"/>
        </w:trPr>
        <w:tc>
          <w:tcPr>
            <w:tcW w:w="3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54"/>
        </w:trPr>
        <w:tc>
          <w:tcPr>
            <w:tcW w:w="4460" w:type="dxa"/>
            <w:vAlign w:val="bottom"/>
            <w:gridSpan w:val="2"/>
          </w:tcPr>
          <w:p>
            <w:pPr>
              <w:spacing w:after="0"/>
              <w:rPr>
                <w:sz w:val="20"/>
                <w:szCs w:val="20"/>
                <w:color w:val="auto"/>
              </w:rPr>
            </w:pPr>
            <w:r>
              <w:rPr>
                <w:rFonts w:ascii="Arial" w:cs="Arial" w:eastAsia="Arial" w:hAnsi="Arial"/>
                <w:sz w:val="20"/>
                <w:szCs w:val="20"/>
                <w:color w:val="auto"/>
              </w:rPr>
              <w:t>Dated: May 13, 2016</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W. Mark Schmitz</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1" w:lineRule="exact"/>
        <w:rPr>
          <w:sz w:val="20"/>
          <w:szCs w:val="20"/>
          <w:color w:val="auto"/>
        </w:rPr>
      </w:pPr>
    </w:p>
    <w:sectPr>
      <w:pgSz w:w="11900" w:h="16838" w:orient="portrait"/>
      <w:cols w:equalWidth="0" w:num="1">
        <w:col w:w="11300"/>
      </w:cols>
      <w:pgMar w:left="24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2019-12-05T18:14:15Z</dcterms:created>
  <dcterms:modified xsi:type="dcterms:W3CDTF">2019-12-05T18:14:15Z</dcterms:modified>
</cp:coreProperties>
</file>