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9, 2024</w:t>
      </w:r>
    </w:p>
    <w:p>
      <w:pPr>
        <w:spacing w:after="0" w:line="22"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Registration No. 333-40356</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333-97571</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333-115987</w:t>
      </w:r>
    </w:p>
    <w:p>
      <w:pPr>
        <w:ind w:left="8160"/>
        <w:spacing w:after="0" w:line="229" w:lineRule="auto"/>
        <w:rPr>
          <w:sz w:val="20"/>
          <w:szCs w:val="20"/>
          <w:color w:val="auto"/>
        </w:rPr>
      </w:pPr>
      <w:r>
        <w:rPr>
          <w:rFonts w:ascii="Times New Roman" w:cs="Times New Roman" w:eastAsia="Times New Roman" w:hAnsi="Times New Roman"/>
          <w:sz w:val="16"/>
          <w:szCs w:val="16"/>
          <w:b w:val="1"/>
          <w:bCs w:val="1"/>
          <w:color w:val="auto"/>
        </w:rPr>
        <w:t>Registration No. 333-125461</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333-134749</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333-143048</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333-166601</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333-193970</w:t>
      </w:r>
    </w:p>
    <w:p>
      <w:pPr>
        <w:ind w:left="8160"/>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333-195633</w:t>
      </w: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333-218086</w:t>
      </w:r>
    </w:p>
    <w:p>
      <w:pPr>
        <w:spacing w:after="0" w:line="5"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6"/>
          <w:szCs w:val="16"/>
          <w:b w:val="1"/>
          <w:bCs w:val="1"/>
          <w:color w:val="auto"/>
        </w:rPr>
        <w:t>Registration No. 333-226020</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333-40356</w:t>
      </w:r>
    </w:p>
    <w:p>
      <w:pPr>
        <w:spacing w:after="0" w:line="2"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333-97571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333-115987</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333-125461</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333-134749</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3 to Form S-8 Registration Statement, No. 333-143048</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333-166601</w:t>
      </w:r>
    </w:p>
    <w:p>
      <w:pPr>
        <w:ind w:left="1220"/>
        <w:spacing w:after="0" w:line="234"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333-193970</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333-195633</w:t>
      </w:r>
    </w:p>
    <w:p>
      <w:pPr>
        <w:ind w:left="1220"/>
        <w:spacing w:after="0" w:line="235" w:lineRule="auto"/>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333-218086</w:t>
      </w:r>
    </w:p>
    <w:p>
      <w:pPr>
        <w:ind w:left="122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333-226020</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 THE SECURITIES ACT OF 1933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0120"/>
          </w:cols>
          <w:pgMar w:left="1440" w:top="1440" w:right="339" w:bottom="1440" w:gutter="0" w:footer="0" w:header="0"/>
        </w:sectPr>
      </w:pPr>
    </w:p>
    <w:p>
      <w:pPr>
        <w:spacing w:after="0" w:line="27"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48" w:lineRule="exact"/>
        <w:rPr>
          <w:sz w:val="24"/>
          <w:szCs w:val="24"/>
          <w:color w:val="auto"/>
        </w:rPr>
      </w:pPr>
    </w:p>
    <w:p>
      <w:pPr>
        <w:sectPr>
          <w:pgSz w:w="11900" w:h="16838" w:orient="portrait"/>
          <w:cols w:equalWidth="0" w:num="2">
            <w:col w:w="6240" w:space="720"/>
            <w:col w:w="3160"/>
          </w:cols>
          <w:pgMar w:left="144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(I.R.S. Employer</w:t>
      </w:r>
    </w:p>
    <w:p>
      <w:pPr>
        <w:spacing w:after="0" w:line="42" w:lineRule="exact"/>
        <w:rPr>
          <w:sz w:val="24"/>
          <w:szCs w:val="24"/>
          <w:color w:val="auto"/>
        </w:rPr>
      </w:pPr>
    </w:p>
    <w:p>
      <w:pPr>
        <w:sectPr>
          <w:pgSz w:w="11900" w:h="16838" w:orient="portrait"/>
          <w:cols w:equalWidth="0" w:num="2">
            <w:col w:w="6040" w:space="720"/>
            <w:col w:w="3360"/>
          </w:cols>
          <w:pgMar w:left="1440" w:top="1440"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2">
            <w:col w:w="5980" w:space="720"/>
            <w:col w:w="3420"/>
          </w:cols>
          <w:pgMar w:left="1440" w:top="1440" w:right="339" w:bottom="1440" w:gutter="0" w:footer="0" w:header="0"/>
          <w:type w:val="continuous"/>
        </w:sectPr>
      </w:pPr>
    </w:p>
    <w:p>
      <w:pPr>
        <w:spacing w:after="0" w:line="1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ITRON, INC. AMENDED AND RESTATED 2000 STOCK INCENTIVE PLAN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ITRON, INC. THIRD AMENDED AND RESTATED 2010 STOCK INCENTIVE PLAN</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ectPr>
          <w:pgSz w:w="11900" w:h="16838" w:orient="portrait"/>
          <w:cols w:equalWidth="0" w:num="1">
            <w:col w:w="10120"/>
          </w:cols>
          <w:pgMar w:left="1440" w:top="1440" w:right="339" w:bottom="144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57"/>
        </w:trPr>
        <w:tc>
          <w:tcPr>
            <w:tcW w:w="3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r>
      <w:tr>
        <w:trPr>
          <w:trHeight w:val="303"/>
        </w:trPr>
        <w:tc>
          <w:tcPr>
            <w:tcW w:w="3800" w:type="dxa"/>
            <w:vAlign w:val="bottom"/>
          </w:tcPr>
          <w:p>
            <w:pPr>
              <w:spacing w:after="0"/>
              <w:rPr>
                <w:sz w:val="24"/>
                <w:szCs w:val="24"/>
                <w:color w:val="auto"/>
              </w:rPr>
            </w:pPr>
          </w:p>
        </w:tc>
        <w:tc>
          <w:tcPr>
            <w:tcW w:w="4120" w:type="dxa"/>
            <w:vAlign w:val="bottom"/>
          </w:tcPr>
          <w:p>
            <w:pPr>
              <w:ind w:left="1940"/>
              <w:spacing w:after="0" w:line="207" w:lineRule="exact"/>
              <w:rPr>
                <w:sz w:val="20"/>
                <w:szCs w:val="20"/>
                <w:color w:val="auto"/>
              </w:rPr>
            </w:pPr>
            <w:r>
              <w:rPr>
                <w:rFonts w:ascii="Times New Roman" w:cs="Times New Roman" w:eastAsia="Times New Roman" w:hAnsi="Times New Roman"/>
                <w:sz w:val="18"/>
                <w:szCs w:val="18"/>
                <w:color w:val="auto"/>
                <w:w w:val="98"/>
              </w:rPr>
              <w:t xml:space="preserve">Emerging growth company </w:t>
            </w:r>
            <w:r>
              <w:rPr>
                <w:rFonts w:ascii="MS PGothic" w:cs="MS PGothic" w:eastAsia="MS PGothic" w:hAnsi="MS PGothic"/>
                <w:sz w:val="18"/>
                <w:szCs w:val="18"/>
                <w:color w:val="auto"/>
                <w:w w:val="98"/>
              </w:rPr>
              <w:t>☐</w:t>
            </w:r>
          </w:p>
        </w:tc>
      </w:tr>
    </w:tbl>
    <w:p>
      <w:pPr>
        <w:spacing w:after="0" w:line="29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Itron, Inc., a Washington corporation (“Itron” or the “Registrant”), previously registered the offering of shares of the Registrant’s common stock, no par value per share (the “Common Stock”), issuable under the Itron, Inc. Amended and Restated 2000 Stock Incentive Plan (the “2000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2000 Plan, the Registrant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Itron, Inc. Third Amended and Restated 2010 Stock Incentive Plan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2010 Plan, which was originally approved on May 4, 2010, replaced the 2000 Plan and no further awards were able be made under the 2000 Plan. The 2010 Plan was most recently amended on May 9, 2024 (the “Effective Date”) to reserve an additional 3,000,000 shares for issuance under the 2010 Plan (the “New Shares”) and also provides for the reallocation of shares of Common Stock previously subject to awards under the 2000 Plan that are forfeited, expire or are otherwise cancelled or settled in cash after the initial adoption of the 2010 Plan to the 2010 Plan, which number of shares equals 634,000 shares of Common Stock (the “2000 Carryover Shares”).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in addition to filing this Post-Effective Amendment to Form S-8 to the Prior Registration Statements (the “Post-Effective Amendment”), pursuant to the undertaking in Item 512(a)(1)(iii) of Regulation S-K that the Registrant disclose a material change in the plan of distribution as it was originally disclosed in the Prior Registration Statements and Commission Compliance and Disclosure Interpretation 126.43, the Registrant is filing this Post-Effective Amendment to reflect that, as of the Effective Date, the 2000 Carryover Shares may be issued under the 2010 Plan and to file as an exhibit hereto a copy of the 2010 Plan and a new opinion as to the validity of the 2000 Carryover Shares that may be issued under the 2010 Plan. This Post-Effective Amendment amends and supplements the items contained in the Prior Registration Statements. All other items of the Prior Registration Statements are incorporated herein by reference without change.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is concurrently filing a separate registration statement on Form S-8 to register the New Shares for offer or sale pursuant to the 2010 Plan, excluding the 2000 Carryover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and delivered to participants as specified by Rule 428(b)(1) under the Securities Act. Such documents are not required to be, and are not, filed with the Securities and Exchange Commission (the “Commission”) either as part of this Registration Statement or as prospectuses or prospectus supplements pursuant to Rule 424 of the Securities Act.</w:t>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hereby incorporated by reference in this Registration Statement:</w:t>
      </w:r>
    </w:p>
    <w:p>
      <w:pPr>
        <w:spacing w:after="0" w:line="333" w:lineRule="exact"/>
        <w:rPr>
          <w:sz w:val="20"/>
          <w:szCs w:val="20"/>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year ended December 31, 2023, filed on February 26, 2024;</w:t>
      </w:r>
    </w:p>
    <w:p>
      <w:pPr>
        <w:spacing w:after="0" w:line="333" w:lineRule="exact"/>
        <w:rPr>
          <w:rFonts w:ascii="Times New Roman" w:cs="Times New Roman" w:eastAsia="Times New Roman" w:hAnsi="Times New Roman"/>
          <w:sz w:val="18"/>
          <w:szCs w:val="18"/>
          <w:color w:val="auto"/>
        </w:rPr>
      </w:pPr>
    </w:p>
    <w:p>
      <w:pPr>
        <w:ind w:left="1720" w:hanging="722"/>
        <w:spacing w:after="0"/>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quarter ended March 31, 2024, filed on May 2, 2024;</w:t>
      </w:r>
    </w:p>
    <w:p>
      <w:pPr>
        <w:spacing w:after="0" w:line="333" w:lineRule="exact"/>
        <w:rPr>
          <w:rFonts w:ascii="Times New Roman" w:cs="Times New Roman" w:eastAsia="Times New Roman" w:hAnsi="Times New Roman"/>
          <w:sz w:val="18"/>
          <w:szCs w:val="18"/>
          <w:color w:val="auto"/>
        </w:rPr>
      </w:pPr>
    </w:p>
    <w:p>
      <w:pPr>
        <w:jc w:val="both"/>
        <w:ind w:left="1720" w:right="20" w:hanging="722"/>
        <w:spacing w:after="0" w:line="266"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p>
      <w:pPr>
        <w:spacing w:after="0" w:line="283" w:lineRule="exact"/>
        <w:rPr>
          <w:rFonts w:ascii="Times New Roman" w:cs="Times New Roman" w:eastAsia="Times New Roman" w:hAnsi="Times New Roman"/>
          <w:sz w:val="18"/>
          <w:szCs w:val="18"/>
          <w:color w:val="auto"/>
        </w:rPr>
      </w:pPr>
    </w:p>
    <w:p>
      <w:pPr>
        <w:ind w:left="1720" w:right="40" w:hanging="722"/>
        <w:spacing w:after="0" w:line="282" w:lineRule="auto"/>
        <w:tabs>
          <w:tab w:leader="none" w:pos="17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as set forth as Exhibit 4.12 in the Registrant’s Annual Report on Form 10-K for the year ended December 31, 2022, filed on February 27, 2023.</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Itron,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2111 N. Molter Road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Liberty Lake, Washington 99019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(509) 924-9900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286" w:lineRule="exact"/>
        <w:rPr>
          <w:sz w:val="20"/>
          <w:szCs w:val="20"/>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finally adjudged to be intentional misconduct or a knowing violation of the law;</w:t>
      </w:r>
    </w:p>
    <w:p>
      <w:pPr>
        <w:spacing w:after="0" w:line="292" w:lineRule="exact"/>
        <w:rPr>
          <w:rFonts w:ascii="Times New Roman" w:cs="Times New Roman" w:eastAsia="Times New Roman" w:hAnsi="Times New Roman"/>
          <w:sz w:val="18"/>
          <w:szCs w:val="18"/>
          <w:color w:val="auto"/>
        </w:rPr>
      </w:pPr>
    </w:p>
    <w:p>
      <w:pPr>
        <w:ind w:left="1320" w:hanging="646"/>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 director or officer finally adjudged to be an unlawful distribution; or</w:t>
      </w:r>
    </w:p>
    <w:p>
      <w:pPr>
        <w:spacing w:after="0" w:line="292" w:lineRule="exact"/>
        <w:rPr>
          <w:rFonts w:ascii="Times New Roman" w:cs="Times New Roman" w:eastAsia="Times New Roman" w:hAnsi="Times New Roman"/>
          <w:sz w:val="18"/>
          <w:szCs w:val="18"/>
          <w:color w:val="auto"/>
        </w:rPr>
      </w:pPr>
    </w:p>
    <w:p>
      <w:pPr>
        <w:ind w:left="1320" w:right="20" w:hanging="646"/>
        <w:spacing w:after="0" w:line="237" w:lineRule="auto"/>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3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Exhibit</w:t>
      </w:r>
    </w:p>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38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5683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2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Itron, Inc. Third Amended and Restated 2010 Stock Incentive Plan (incorporated by reference to the Registrant’s Definitive</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Proxy Statement on Schedule 14A filed with the Commission on March 19, 2024)</w:t>
        </w:r>
      </w:hyperlink>
    </w:p>
    <w:p>
      <w:pPr>
        <w:spacing w:after="0" w:line="226" w:lineRule="exact"/>
        <w:rPr>
          <w:sz w:val="20"/>
          <w:szCs w:val="20"/>
          <w:color w:val="auto"/>
        </w:rPr>
      </w:pPr>
    </w:p>
    <w:p>
      <w:pPr>
        <w:ind w:right="100"/>
        <w:spacing w:after="0" w:line="236" w:lineRule="auto"/>
        <w:rPr>
          <w:rFonts w:ascii="Times New Roman" w:cs="Times New Roman" w:eastAsia="Times New Roman" w:hAnsi="Times New Roman"/>
          <w:sz w:val="17"/>
          <w:szCs w:val="17"/>
          <w:u w:val="single" w:color="auto"/>
          <w:color w:val="0000FF"/>
        </w:rPr>
      </w:pPr>
      <w:hyperlink r:id="rId11">
        <w:r>
          <w:rPr>
            <w:rFonts w:ascii="Times New Roman" w:cs="Times New Roman" w:eastAsia="Times New Roman" w:hAnsi="Times New Roman"/>
            <w:sz w:val="17"/>
            <w:szCs w:val="17"/>
            <w:u w:val="single" w:color="auto"/>
            <w:color w:val="0000FF"/>
          </w:rPr>
          <w:t>Amended and Restated Articles of Incorporation of Itron, Inc. (incorporated by reference to Exhibit 3.1 to the Registrant’s</w:t>
        </w:r>
      </w:hyperlink>
      <w:r>
        <w:rPr>
          <w:rFonts w:ascii="Times New Roman" w:cs="Times New Roman" w:eastAsia="Times New Roman" w:hAnsi="Times New Roman"/>
          <w:sz w:val="17"/>
          <w:szCs w:val="17"/>
          <w:u w:val="single" w:color="auto"/>
          <w:color w:val="0000FF"/>
        </w:rPr>
        <w:t xml:space="preserve"> </w:t>
      </w:r>
      <w:hyperlink r:id="rId11">
        <w:r>
          <w:rPr>
            <w:rFonts w:ascii="Times New Roman" w:cs="Times New Roman" w:eastAsia="Times New Roman" w:hAnsi="Times New Roman"/>
            <w:sz w:val="17"/>
            <w:szCs w:val="17"/>
            <w:u w:val="single" w:color="auto"/>
            <w:color w:val="0000FF"/>
          </w:rPr>
          <w:t>Annual Report on Form 10-K for the fiscal year ended December 31, 2022, as filed with the Commission on March 27,</w:t>
        </w:r>
      </w:hyperlink>
    </w:p>
    <w:p>
      <w:pPr>
        <w:spacing w:after="0"/>
        <w:rPr>
          <w:rFonts w:ascii="Times New Roman" w:cs="Times New Roman" w:eastAsia="Times New Roman" w:hAnsi="Times New Roman"/>
          <w:sz w:val="18"/>
          <w:szCs w:val="18"/>
          <w:u w:val="single" w:color="auto"/>
          <w:color w:val="0000FF"/>
        </w:rPr>
      </w:pPr>
      <w:hyperlink r:id="rId11">
        <w:r>
          <w:rPr>
            <w:rFonts w:ascii="Times New Roman" w:cs="Times New Roman" w:eastAsia="Times New Roman" w:hAnsi="Times New Roman"/>
            <w:sz w:val="18"/>
            <w:szCs w:val="18"/>
            <w:u w:val="single" w:color="auto"/>
            <w:color w:val="0000FF"/>
          </w:rPr>
          <w:t>2023)</w:t>
        </w:r>
      </w:hyperlink>
    </w:p>
    <w:p>
      <w:pPr>
        <w:spacing w:after="0" w:line="219"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Amended and Restated Bylaws of Itron, Inc. (incorporated by reference to Exhibit 3.2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for the fiscal year ended December 31, 2021, as filed with the Commission on February 28, 2022)</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Opinion of Perkins Coie LP regarding legality of the Common Stock being registered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Deloitte &amp; Touche LLP (filed herewith)</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Perkins Coie LLP (included in Opinion of Perkins Coie LP filed as Exhibit 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(see signature page)</w:t>
      </w:r>
    </w:p>
    <w:p>
      <w:pPr>
        <w:sectPr>
          <w:pgSz w:w="11900" w:h="16838" w:orient="portrait"/>
          <w:cols w:equalWidth="0" w:num="2">
            <w:col w:w="1580" w:space="720"/>
            <w:col w:w="8900"/>
          </w:cols>
          <w:pgMar w:left="320" w:top="14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38"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20" w:hanging="220"/>
        <w:spacing w:after="0"/>
        <w:tabs>
          <w:tab w:leader="none" w:pos="12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000"/>
        <w:spacing w:after="0" w:line="256" w:lineRule="auto"/>
        <w:tabs>
          <w:tab w:leader="none" w:pos="127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firstLine="1000"/>
        <w:spacing w:after="0" w:line="282" w:lineRule="auto"/>
        <w:tabs>
          <w:tab w:leader="none" w:pos="131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992"/>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Securities Exchange Act of 1934 that are incorporated by reference herein.</w:t>
      </w:r>
    </w:p>
    <w:p>
      <w:pPr>
        <w:spacing w:after="0" w:line="175" w:lineRule="exact"/>
        <w:rPr>
          <w:sz w:val="20"/>
          <w:szCs w:val="20"/>
          <w:color w:val="auto"/>
        </w:rPr>
      </w:pPr>
    </w:p>
    <w:p>
      <w:pPr>
        <w:jc w:val="both"/>
        <w:ind w:firstLine="1000"/>
        <w:spacing w:after="0" w:line="266" w:lineRule="auto"/>
        <w:tabs>
          <w:tab w:leader="none" w:pos="12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20" w:firstLine="1000"/>
        <w:spacing w:after="0" w:line="282" w:lineRule="auto"/>
        <w:tabs>
          <w:tab w:leader="none" w:pos="126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42" w:lineRule="exact"/>
        <w:rPr>
          <w:rFonts w:ascii="Times New Roman" w:cs="Times New Roman" w:eastAsia="Times New Roman" w:hAnsi="Times New Roman"/>
          <w:sz w:val="18"/>
          <w:szCs w:val="18"/>
          <w:color w:val="auto"/>
        </w:rPr>
      </w:pPr>
    </w:p>
    <w:p>
      <w:pPr>
        <w:jc w:val="both"/>
        <w:ind w:left="480" w:right="20" w:hanging="454"/>
        <w:spacing w:after="0" w:line="258"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372" w:lineRule="exact"/>
        <w:rPr>
          <w:rFonts w:ascii="Times New Roman" w:cs="Times New Roman" w:eastAsia="Times New Roman" w:hAnsi="Times New Roman"/>
          <w:sz w:val="18"/>
          <w:szCs w:val="18"/>
          <w:color w:val="auto"/>
        </w:rPr>
      </w:pPr>
    </w:p>
    <w:p>
      <w:pPr>
        <w:jc w:val="both"/>
        <w:ind w:left="480" w:right="20" w:hanging="454"/>
        <w:spacing w:after="0" w:line="254" w:lineRule="auto"/>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20" w:top="141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City of Liberty Lake, State of Washington,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3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Itron, Inc.</w:t>
      </w:r>
    </w:p>
    <w:p>
      <w:pPr>
        <w:spacing w:after="0" w:line="2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413" w:right="339" w:bottom="1440" w:gutter="0" w:footer="0" w:header="0"/>
        </w:sectPr>
      </w:pPr>
    </w:p>
    <w:bookmarkStart w:id="8" w:name="page9"/>
    <w:bookmarkEnd w:id="8"/>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w:t>
      </w:r>
    </w:p>
    <w:p>
      <w:pPr>
        <w:spacing w:after="0" w:line="17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2024.</w:t>
      </w:r>
    </w:p>
    <w:p>
      <w:pPr>
        <w:sectPr>
          <w:pgSz w:w="11900" w:h="16838" w:orient="portrait"/>
          <w:cols w:equalWidth="0" w:num="1">
            <w:col w:w="11240"/>
          </w:cols>
          <w:pgMar w:left="320" w:top="1440" w:right="339" w:bottom="1440" w:gutter="0" w:footer="0" w:header="0"/>
        </w:sectPr>
      </w:pPr>
    </w:p>
    <w:p>
      <w:pPr>
        <w:spacing w:after="0" w:line="3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23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5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24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DIANA D. TREMBLAY</w:t>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Diana D. Tremblay</w:t>
      </w:r>
    </w:p>
    <w:p>
      <w:pPr>
        <w:spacing w:after="0" w:line="24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MARY C. HEMMINGSEN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Mary C. Hemmingsen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FRANK M. JAEHNERT</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Frank M. Jaehnert</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JEROME J. LANDE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Jerome J. Lande</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TIMOTHY M. LEYDEN</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Timothy M. Leyden</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/s/ SANJAY MIRCHANDANI</w:t>
      </w:r>
    </w:p>
    <w:p>
      <w:pPr>
        <w:spacing w:after="0" w:line="3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Sanjay Mirchandani</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SANTIAGO PEREZ</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Santiago Perez</w:t>
      </w:r>
    </w:p>
    <w:p>
      <w:pPr>
        <w:spacing w:after="0" w:line="27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/s/ LYNDA L. ZIEGLER</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Lynda L. Ziegler</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-672465</wp:posOffset>
            </wp:positionH>
            <wp:positionV relativeFrom="paragraph">
              <wp:posOffset>19685</wp:posOffset>
            </wp:positionV>
            <wp:extent cx="3745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5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Chair of the Board, Director</w:t>
      </w:r>
    </w:p>
    <w:p>
      <w:pPr>
        <w:spacing w:after="0" w:line="200" w:lineRule="exact"/>
        <w:rPr>
          <w:sz w:val="20"/>
          <w:szCs w:val="20"/>
          <w:color w:val="auto"/>
        </w:rPr>
      </w:pPr>
    </w:p>
    <w:p>
      <w:pPr>
        <w:spacing w:after="0" w:line="3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680" w:space="720"/>
            <w:col w:w="4840"/>
          </w:cols>
          <w:pgMar w:left="320" w:top="1440"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779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9,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Itron,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2111 N. Molter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Liberty Lake, WA 99019</w:t>
      </w:r>
    </w:p>
    <w:p>
      <w:pPr>
        <w:spacing w:after="0" w:line="23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Re: Post-Effective Amendments to Registration Statements on Form S-8 of Shares of Common Stock, no par value per share, of Itron,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We have acted as special counsel to you to render this opinion in connection with the Post-Effective Amendments to the following Registration Statements on Form S-8 (together, the "Post-Effective Amendment") under the Securities Act of 1933, as amended (the "Act"), which you are filing with the Securities and Exchange Commission (the "Commission") with respect to 634,000 shares of Itron, Inc. common stock, no par value (the "2000 Carryover Shares"), that were forfeited, expired or are otherwise cancelled or settled in cash after the initial adoption of the Third Amended and Restated 2010 Stock Incentive Plan (the “2010 Plan"), were originally registered for issuance under the Itron, Inc. Amended and Restated 2000 Stock Incentive Plan, and are being reallocated for issuance pursuant to the 2010 Plan.</w:t>
      </w:r>
    </w:p>
    <w:p>
      <w:pPr>
        <w:spacing w:after="0" w:line="18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333-40356</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333-97571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333-115987</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333-125461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1 to Form S-8 Registration Statement, No. 333-134749</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3 to Form S-8 Registration Statement, No. 333-143048</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333-166601</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333-193970</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333-195633</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333-218086</w:t>
      </w:r>
    </w:p>
    <w:p>
      <w:pPr>
        <w:spacing w:after="0" w:line="21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Post-Effective Amendment No. 2 to Form S-8 Registration Statement, No. 333-226020</w:t>
      </w:r>
    </w:p>
    <w:p>
      <w:pPr>
        <w:sectPr>
          <w:pgSz w:w="11900" w:h="16838" w:orient="portrait"/>
          <w:cols w:equalWidth="0" w:num="1">
            <w:col w:w="11240"/>
          </w:cols>
          <w:pgMar w:left="320" w:top="122"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21"/>
          <w:szCs w:val="21"/>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Based upon and subject to the foregoing, we are of the opinion that any original issuance 2000 Carryover Shares that may be issued pursuant to the 2010 Plan, upon the registration by the registrar of such 2000 Carryover Shares and the issuance thereof by Itron, Inc. in accordance with the terms of the 2010 Plan, and the receipt of consideration therefor in accordance with the terms of the 2010 Plan, will be legally issued, fully paid and nonassessable.</w:t>
      </w:r>
    </w:p>
    <w:p>
      <w:pPr>
        <w:spacing w:after="0" w:line="176"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Perkins Coie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20"/>
          </w:cols>
          <w:pgMar w:left="320" w:top="1440" w:right="35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937760" cy="908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937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libri" w:cs="Calibri" w:eastAsia="Calibri" w:hAnsi="Calibri"/>
          <w:sz w:val="20"/>
          <w:szCs w:val="20"/>
          <w:color w:val="auto"/>
        </w:rPr>
        <w:t>CONSENT OF INDEPENDENT REGISTERED PUBLIC ACCOUNTING FIRM</w:t>
      </w:r>
    </w:p>
    <w:p>
      <w:pPr>
        <w:spacing w:after="0" w:line="144"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We consent to the incorporaton by reference in this Post-Efectve Amendments to Registraton Statements No. 333-40356, No. 333-97571, No. 333-115987, No. 333-125461, No. 333-134749, No. 333-143048, No. 333-166601, No. 333-193970, No. 333-195633, No. 333-218086 and No. 333-226020 on Form S-8 of our reports dated February 26, 2024 relatng to the fnancial statements of Itron, Inc. and the efectveness of Itron, Inc.'s internal control over fnancial reportng, appearing in the Annual Report on Form 10-K of Itron, Inc. for the year ended December 31, 2023.</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alibri" w:cs="Calibri" w:eastAsia="Calibri" w:hAnsi="Calibri"/>
          <w:sz w:val="20"/>
          <w:szCs w:val="20"/>
          <w:color w:val="auto"/>
        </w:rPr>
        <w:t>/s/ DELOITTE &amp; TOUCHE LLP</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Seatle, Washington</w:t>
      </w:r>
    </w:p>
    <w:p>
      <w:pPr>
        <w:spacing w:after="0" w:line="225" w:lineRule="auto"/>
        <w:rPr>
          <w:sz w:val="20"/>
          <w:szCs w:val="20"/>
          <w:color w:val="auto"/>
        </w:rPr>
      </w:pPr>
      <w:r>
        <w:rPr>
          <w:rFonts w:ascii="Calibri" w:cs="Calibri" w:eastAsia="Calibri" w:hAnsi="Calibri"/>
          <w:sz w:val="20"/>
          <w:szCs w:val="20"/>
          <w:color w:val="auto"/>
        </w:rPr>
        <w:t>May 9,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jpeg"/><Relationship Id="rId17" Type="http://schemas.openxmlformats.org/officeDocument/2006/relationships/image" Target="media/image7.jpeg"/><Relationship Id="rId10" Type="http://schemas.openxmlformats.org/officeDocument/2006/relationships/hyperlink" Target="https://www.sec.gov/ix?doc=/Archives/edgar/data/780571/000114036124014059/ny20010140x2_def14a.htm" TargetMode="External"/><Relationship Id="rId11" Type="http://schemas.openxmlformats.org/officeDocument/2006/relationships/hyperlink" Target="https://www.sec.gov/ix?doc=/Archives/edgar/data/780571/000078057123000010/itri-20221231.htm" TargetMode="External"/><Relationship Id="rId12" Type="http://schemas.openxmlformats.org/officeDocument/2006/relationships/hyperlink" Target="https://www.sec.gov/ix?doc=/Archives/edgar/data/780571/000078057122000004/itri-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2024-05-10T05:12:37Z</dcterms:created>
  <dcterms:modified xsi:type="dcterms:W3CDTF">2024-05-10T05:12:37Z</dcterms:modified>
</cp:coreProperties>
</file>