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83820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7" w:lineRule="exact"/>
        <w:rPr>
          <w:sz w:val="24"/>
          <w:szCs w:val="24"/>
          <w:color w:val="auto"/>
        </w:rPr>
      </w:pPr>
    </w:p>
    <w:p>
      <w:pPr>
        <w:ind w:left="2720"/>
        <w:spacing w:after="0"/>
        <w:rPr>
          <w:sz w:val="20"/>
          <w:szCs w:val="20"/>
          <w:color w:val="auto"/>
        </w:rPr>
      </w:pPr>
      <w:r>
        <w:rPr>
          <w:rFonts w:ascii="Arial" w:cs="Arial" w:eastAsia="Arial" w:hAnsi="Arial"/>
          <w:sz w:val="29"/>
          <w:szCs w:val="29"/>
          <w:b w:val="1"/>
          <w:bCs w:val="1"/>
          <w:color w:val="auto"/>
        </w:rPr>
        <w:t>SCHEDULE 14A INFORMATION</w:t>
      </w:r>
    </w:p>
    <w:p>
      <w:pPr>
        <w:spacing w:after="0" w:line="14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Securities Exchange Act of 1934</w:t>
      </w:r>
    </w:p>
    <w:p>
      <w:pPr>
        <w:jc w:val="center"/>
        <w:ind w:right="-36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109220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1" w:lineRule="exact"/>
        <w:rPr>
          <w:sz w:val="24"/>
          <w:szCs w:val="24"/>
          <w:color w:val="auto"/>
        </w:rPr>
      </w:pPr>
    </w:p>
    <w:p>
      <w:pPr>
        <w:spacing w:after="0" w:line="184" w:lineRule="exact"/>
        <w:tabs>
          <w:tab w:leader="none" w:pos="23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0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94" w:lineRule="exact"/>
        <w:rPr>
          <w:rFonts w:ascii="MS PGothic" w:cs="MS PGothic" w:eastAsia="MS PGothic" w:hAnsi="MS PGothic"/>
          <w:sz w:val="16"/>
          <w:szCs w:val="16"/>
          <w:color w:val="auto"/>
        </w:rPr>
      </w:pPr>
    </w:p>
    <w:p>
      <w:pPr>
        <w:ind w:left="440" w:hanging="436"/>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24" w:lineRule="exact"/>
        <w:rPr>
          <w:sz w:val="24"/>
          <w:szCs w:val="24"/>
          <w:color w:val="auto"/>
        </w:rPr>
      </w:pPr>
    </w:p>
    <w:p>
      <w:pPr>
        <w:jc w:val="center"/>
        <w:ind w:right="-360"/>
        <w:spacing w:after="0"/>
        <w:rPr>
          <w:sz w:val="20"/>
          <w:szCs w:val="20"/>
          <w:color w:val="auto"/>
        </w:rPr>
      </w:pPr>
      <w:r>
        <w:rPr>
          <w:rFonts w:ascii="Arial" w:cs="Arial" w:eastAsia="Arial" w:hAnsi="Arial"/>
          <w:sz w:val="36"/>
          <w:szCs w:val="36"/>
          <w:b w:val="1"/>
          <w:bCs w:val="1"/>
          <w:color w:val="auto"/>
        </w:rPr>
        <w:t>ITRON, INC.</w:t>
      </w:r>
    </w:p>
    <w:p>
      <w:pPr>
        <w:spacing w:after="0" w:line="44" w:lineRule="exact"/>
        <w:rPr>
          <w:sz w:val="24"/>
          <w:szCs w:val="24"/>
          <w:color w:val="auto"/>
        </w:rPr>
      </w:pPr>
    </w:p>
    <w:p>
      <w:pPr>
        <w:ind w:left="306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11"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94"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381000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158115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217805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7029450" cy="9112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911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135255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102870</wp:posOffset>
            </wp:positionV>
            <wp:extent cx="2263140" cy="7517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140" cy="751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When: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May 7, 2026 at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9:00 a.m., Pacific Time</w:t>
      </w: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Where:</w:t>
      </w:r>
    </w:p>
    <w:p>
      <w:pPr>
        <w:spacing w:after="0" w:line="43" w:lineRule="exact"/>
        <w:rPr>
          <w:sz w:val="20"/>
          <w:szCs w:val="20"/>
          <w:color w:val="auto"/>
        </w:rPr>
      </w:pPr>
    </w:p>
    <w:p>
      <w:pPr>
        <w:ind w:left="120" w:right="860"/>
        <w:spacing w:after="0" w:line="277" w:lineRule="auto"/>
        <w:rPr>
          <w:sz w:val="20"/>
          <w:szCs w:val="20"/>
          <w:color w:val="auto"/>
        </w:rPr>
      </w:pPr>
      <w:r>
        <w:rPr>
          <w:rFonts w:ascii="Arial" w:cs="Arial" w:eastAsia="Arial" w:hAnsi="Arial"/>
          <w:sz w:val="16"/>
          <w:szCs w:val="16"/>
          <w:color w:val="FFFFFF"/>
        </w:rPr>
        <w:t>Virtual Meeting – see details on the right</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Who Can Vote: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Shareholders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Itron’s common stock</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as of the record date,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March 3, 2026</w:t>
      </w: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Attending the Meeting:</w:t>
      </w:r>
    </w:p>
    <w:p>
      <w:pPr>
        <w:spacing w:after="0" w:line="43" w:lineRule="exact"/>
        <w:rPr>
          <w:sz w:val="20"/>
          <w:szCs w:val="20"/>
          <w:color w:val="auto"/>
        </w:rPr>
      </w:pPr>
    </w:p>
    <w:p>
      <w:pPr>
        <w:ind w:left="120" w:right="1000"/>
        <w:spacing w:after="0" w:line="249" w:lineRule="auto"/>
        <w:rPr>
          <w:sz w:val="20"/>
          <w:szCs w:val="20"/>
          <w:color w:val="auto"/>
        </w:rPr>
      </w:pPr>
      <w:r>
        <w:rPr>
          <w:rFonts w:ascii="Arial" w:cs="Arial" w:eastAsia="Arial" w:hAnsi="Arial"/>
          <w:sz w:val="16"/>
          <w:szCs w:val="16"/>
          <w:color w:val="FFFFFF"/>
        </w:rPr>
        <w:t>Shareholders who wish to attend the meeting virtually should review the instructions set forth below under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b w:val="1"/>
          <w:bCs w:val="1"/>
          <w:color w:val="FFFFFF"/>
        </w:rPr>
        <w:t>Attending the Annual Meeting</w:t>
      </w:r>
      <w:r>
        <w:rPr>
          <w:rFonts w:ascii="Arial" w:cs="Arial" w:eastAsia="Arial" w:hAnsi="Arial"/>
          <w:sz w:val="16"/>
          <w:szCs w:val="16"/>
          <w:color w:val="FFFFFF"/>
        </w:rPr>
        <w:t>.”</w:t>
      </w:r>
    </w:p>
    <w:p>
      <w:pPr>
        <w:spacing w:after="0" w:line="200" w:lineRule="exact"/>
        <w:rPr>
          <w:sz w:val="20"/>
          <w:szCs w:val="20"/>
          <w:color w:val="auto"/>
        </w:rPr>
      </w:pPr>
    </w:p>
    <w:p>
      <w:pPr>
        <w:spacing w:after="0" w:line="343" w:lineRule="exact"/>
        <w:rPr>
          <w:sz w:val="20"/>
          <w:szCs w:val="20"/>
          <w:color w:val="auto"/>
        </w:rPr>
      </w:pPr>
    </w:p>
    <w:p>
      <w:pPr>
        <w:ind w:left="120" w:right="760"/>
        <w:spacing w:after="0" w:line="256" w:lineRule="auto"/>
        <w:rPr>
          <w:sz w:val="20"/>
          <w:szCs w:val="20"/>
          <w:color w:val="auto"/>
        </w:rPr>
      </w:pPr>
      <w:r>
        <w:rPr>
          <w:rFonts w:ascii="Arial" w:cs="Arial" w:eastAsia="Arial" w:hAnsi="Arial"/>
          <w:sz w:val="16"/>
          <w:szCs w:val="16"/>
          <w:b w:val="1"/>
          <w:bCs w:val="1"/>
          <w:color w:val="FFFFFF"/>
        </w:rPr>
        <w:t>Important notice regarding the availability of proxy materials for the Annual Meeting of Shareholders to be held on</w:t>
      </w:r>
    </w:p>
    <w:p>
      <w:pPr>
        <w:ind w:left="120" w:right="360"/>
        <w:spacing w:after="0" w:line="249" w:lineRule="auto"/>
        <w:rPr>
          <w:sz w:val="20"/>
          <w:szCs w:val="20"/>
          <w:color w:val="auto"/>
        </w:rPr>
      </w:pPr>
      <w:r>
        <w:rPr>
          <w:rFonts w:ascii="Arial" w:cs="Arial" w:eastAsia="Arial" w:hAnsi="Arial"/>
          <w:sz w:val="16"/>
          <w:szCs w:val="16"/>
          <w:b w:val="1"/>
          <w:bCs w:val="1"/>
          <w:color w:val="FFFFFF"/>
        </w:rPr>
        <w:t xml:space="preserve">May 7, 2026. </w:t>
      </w:r>
      <w:r>
        <w:rPr>
          <w:rFonts w:ascii="Arial" w:cs="Arial" w:eastAsia="Arial" w:hAnsi="Arial"/>
          <w:sz w:val="16"/>
          <w:szCs w:val="16"/>
          <w:color w:val="FFFFFF"/>
        </w:rPr>
        <w:t>Our 2026 proxy</w:t>
      </w:r>
      <w:r>
        <w:rPr>
          <w:rFonts w:ascii="Arial" w:cs="Arial" w:eastAsia="Arial" w:hAnsi="Arial"/>
          <w:sz w:val="16"/>
          <w:szCs w:val="16"/>
          <w:b w:val="1"/>
          <w:bCs w:val="1"/>
          <w:color w:val="FFFFFF"/>
        </w:rPr>
        <w:t xml:space="preserve"> </w:t>
      </w:r>
      <w:r>
        <w:rPr>
          <w:rFonts w:ascii="Arial" w:cs="Arial" w:eastAsia="Arial" w:hAnsi="Arial"/>
          <w:sz w:val="16"/>
          <w:szCs w:val="16"/>
          <w:color w:val="FFFFFF"/>
        </w:rPr>
        <w:t xml:space="preserve">statement is attached and, along with the Annual Report, is available for all shareholders at </w:t>
      </w:r>
      <w:r>
        <w:rPr>
          <w:rFonts w:ascii="Arial" w:cs="Arial" w:eastAsia="Arial" w:hAnsi="Arial"/>
          <w:sz w:val="16"/>
          <w:szCs w:val="16"/>
          <w:b w:val="1"/>
          <w:bCs w:val="1"/>
          <w:color w:val="FFC729"/>
        </w:rPr>
        <w:t xml:space="preserve">https://materials.proxyvote.com. </w:t>
      </w:r>
      <w:r>
        <w:rPr>
          <w:rFonts w:ascii="Arial" w:cs="Arial" w:eastAsia="Arial" w:hAnsi="Arial"/>
          <w:sz w:val="16"/>
          <w:szCs w:val="16"/>
          <w:color w:val="FFFFFF"/>
        </w:rPr>
        <w:t>Financial and other information concerning Itron is contained in our Annual Report for the 2025 fiscal year.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C729"/>
        </w:rPr>
        <w:t>Your vote is very important.</w:t>
      </w:r>
    </w:p>
    <w:p>
      <w:pPr>
        <w:spacing w:after="0" w:line="21"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FFFFFF"/>
        </w:rPr>
        <w:t>To ensure representation at the annual meeting, shareholders are urged to vote as promptly as possible. To vote your shares, please refer to the voting instruction form on the website noted above, or review the section titled “Quorum and Voting” in the proxy statement. Any shareholder attending the annual meeting may vote in person (virtually) even if that shareholder has returned a proxy.</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659765"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765" cy="28321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2111 N. Molter Road</w:t>
      </w:r>
    </w:p>
    <w:p>
      <w:pPr>
        <w:jc w:val="right"/>
        <w:spacing w:after="0" w:line="233" w:lineRule="auto"/>
        <w:rPr>
          <w:sz w:val="20"/>
          <w:szCs w:val="20"/>
          <w:color w:val="auto"/>
        </w:rPr>
      </w:pPr>
      <w:r>
        <w:rPr>
          <w:rFonts w:ascii="Arial" w:cs="Arial" w:eastAsia="Arial" w:hAnsi="Arial"/>
          <w:sz w:val="14"/>
          <w:szCs w:val="14"/>
          <w:color w:val="auto"/>
        </w:rPr>
        <w:t>Liberty Lake, Washington 99019</w:t>
      </w:r>
    </w:p>
    <w:p>
      <w:pPr>
        <w:spacing w:after="0"/>
        <w:rPr>
          <w:sz w:val="20"/>
          <w:szCs w:val="20"/>
          <w:color w:val="auto"/>
        </w:rPr>
      </w:pPr>
      <w:r>
        <w:rPr>
          <w:rFonts w:ascii="Arial" w:cs="Arial" w:eastAsia="Arial" w:hAnsi="Arial"/>
          <w:sz w:val="16"/>
          <w:szCs w:val="16"/>
          <w:b w:val="1"/>
          <w:bCs w:val="1"/>
          <w:color w:val="auto"/>
        </w:rPr>
        <w:t> </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NOTICE OF 2026</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ANNUAL MEETING OF SHAREHOLDERS</w:t>
      </w:r>
    </w:p>
    <w:p>
      <w:pPr>
        <w:spacing w:after="0" w:line="10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We are holding our annual meeting via a “virtual” format. Therefore, we cordially invite you to electronically attend the Annual Meeting of Shareholders of Itron, Inc., which will be held on </w:t>
      </w:r>
      <w:r>
        <w:rPr>
          <w:rFonts w:ascii="Arial" w:cs="Arial" w:eastAsia="Arial" w:hAnsi="Arial"/>
          <w:sz w:val="18"/>
          <w:szCs w:val="18"/>
          <w:b w:val="1"/>
          <w:bCs w:val="1"/>
          <w:color w:val="auto"/>
        </w:rPr>
        <w:t>May 7, 2026, at 9:00 a.m., Pacific Time</w:t>
      </w:r>
      <w:r>
        <w:rPr>
          <w:rFonts w:ascii="Arial" w:cs="Arial" w:eastAsia="Arial" w:hAnsi="Arial"/>
          <w:sz w:val="18"/>
          <w:szCs w:val="18"/>
          <w:color w:val="auto"/>
        </w:rPr>
        <w:t xml:space="preserve">. We are pleased to announce that this year’s annual meeting will be a virtual meeting via live webcast on the Internet. You will be able to attend the annual meeting, vote and submit your questions during the meeting by visiting: </w:t>
      </w:r>
      <w:r>
        <w:rPr>
          <w:rFonts w:ascii="Arial" w:cs="Arial" w:eastAsia="Arial" w:hAnsi="Arial"/>
          <w:sz w:val="18"/>
          <w:szCs w:val="18"/>
          <w:b w:val="1"/>
          <w:bCs w:val="1"/>
          <w:color w:val="0063A6"/>
        </w:rPr>
        <w:t>www.virtualshareholdermeeting.com/ITRI2026</w:t>
      </w:r>
      <w:r>
        <w:rPr>
          <w:rFonts w:ascii="Arial" w:cs="Arial" w:eastAsia="Arial" w:hAnsi="Arial"/>
          <w:sz w:val="18"/>
          <w:szCs w:val="18"/>
          <w:color w:val="0063A6"/>
        </w:rPr>
        <w:t>.</w:t>
      </w:r>
    </w:p>
    <w:p>
      <w:pPr>
        <w:spacing w:after="0" w:line="137"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You will need to have your 16-Digit Control Number included on your Notice or your proxy card (if you received a printed copy of the proxy materials) to join the annual meeting. As always, we encourage you to vote your shares prior to the annual meeting. The annual meeting will be held for the following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63A6"/>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4166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7"/>
          <w:szCs w:val="27"/>
          <w:b w:val="1"/>
          <w:bCs w:val="1"/>
          <w:color w:val="0063A6"/>
        </w:rPr>
        <w:t xml:space="preserve">1. </w:t>
      </w:r>
      <w:r>
        <w:rPr>
          <w:rFonts w:ascii="Arial" w:cs="Arial" w:eastAsia="Arial" w:hAnsi="Arial"/>
          <w:sz w:val="17"/>
          <w:szCs w:val="17"/>
          <w:color w:val="000000"/>
        </w:rPr>
        <w:t>To elect five directors to the Company’s Board of Directors.</w:t>
      </w:r>
    </w:p>
    <w:p>
      <w:pPr>
        <w:spacing w:after="0" w:line="62" w:lineRule="exact"/>
        <w:rPr>
          <w:sz w:val="20"/>
          <w:szCs w:val="20"/>
          <w:color w:val="auto"/>
        </w:rPr>
      </w:pPr>
    </w:p>
    <w:p>
      <w:pPr>
        <w:jc w:val="both"/>
        <w:ind w:left="400" w:right="54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2.</w:t>
      </w:r>
      <w:r>
        <w:rPr>
          <w:sz w:val="20"/>
          <w:szCs w:val="20"/>
          <w:color w:val="auto"/>
        </w:rPr>
        <w:tab/>
      </w:r>
      <w:r>
        <w:rPr>
          <w:rFonts w:ascii="Arial" w:cs="Arial" w:eastAsia="Arial" w:hAnsi="Arial"/>
          <w:sz w:val="15"/>
          <w:szCs w:val="15"/>
          <w:color w:val="auto"/>
        </w:rPr>
        <w:t>To approve, on a non-binding advisory basis, the compensation of our named executive officers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4166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8" w:lineRule="exact"/>
        <w:rPr>
          <w:sz w:val="20"/>
          <w:szCs w:val="20"/>
          <w:color w:val="auto"/>
        </w:rPr>
      </w:pPr>
    </w:p>
    <w:p>
      <w:pPr>
        <w:ind w:left="400" w:right="68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3.</w:t>
      </w:r>
      <w:r>
        <w:rPr>
          <w:sz w:val="20"/>
          <w:szCs w:val="20"/>
          <w:color w:val="auto"/>
        </w:rPr>
        <w:tab/>
      </w:r>
      <w:r>
        <w:rPr>
          <w:rFonts w:ascii="Arial" w:cs="Arial" w:eastAsia="Arial" w:hAnsi="Arial"/>
          <w:sz w:val="15"/>
          <w:szCs w:val="15"/>
          <w:color w:val="auto"/>
        </w:rPr>
        <w:t>To ratify the appointment of Deloitte &amp; Touche LLP as the Company’s independent registered public accountant for the 2026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166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53" w:lineRule="exact"/>
        <w:rPr>
          <w:sz w:val="20"/>
          <w:szCs w:val="20"/>
          <w:color w:val="auto"/>
        </w:rPr>
      </w:pPr>
    </w:p>
    <w:p>
      <w:pPr>
        <w:ind w:left="400" w:right="340" w:hanging="399"/>
        <w:spacing w:after="0"/>
        <w:tabs>
          <w:tab w:leader="none" w:pos="380" w:val="left"/>
        </w:tabs>
        <w:rPr>
          <w:sz w:val="20"/>
          <w:szCs w:val="20"/>
          <w:color w:val="auto"/>
        </w:rPr>
      </w:pPr>
      <w:r>
        <w:rPr>
          <w:rFonts w:ascii="Arial" w:cs="Arial" w:eastAsia="Arial" w:hAnsi="Arial"/>
          <w:sz w:val="38"/>
          <w:szCs w:val="38"/>
          <w:b w:val="1"/>
          <w:bCs w:val="1"/>
          <w:color w:val="0063A6"/>
          <w:vertAlign w:val="subscript"/>
        </w:rPr>
        <w:t>4.</w:t>
      </w:r>
      <w:r>
        <w:rPr>
          <w:sz w:val="20"/>
          <w:szCs w:val="20"/>
          <w:color w:val="auto"/>
        </w:rPr>
        <w:tab/>
      </w:r>
      <w:r>
        <w:rPr>
          <w:rFonts w:ascii="Arial" w:cs="Arial" w:eastAsia="Arial" w:hAnsi="Arial"/>
          <w:sz w:val="15"/>
          <w:szCs w:val="15"/>
          <w:color w:val="auto"/>
        </w:rPr>
        <w:t>To transact any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41662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-253365</wp:posOffset>
            </wp:positionV>
            <wp:extent cx="4166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9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to address questions from shareholders, as appropriate. In addition, we expect the director nominees, together with those directors continuing in office, will attend the annual meeting.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60007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22288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E. Ware</w:t>
      </w:r>
    </w:p>
    <w:p>
      <w:pPr>
        <w:spacing w:after="0" w:line="234" w:lineRule="auto"/>
        <w:rPr>
          <w:sz w:val="20"/>
          <w:szCs w:val="20"/>
          <w:color w:val="auto"/>
        </w:rPr>
      </w:pPr>
      <w:r>
        <w:rPr>
          <w:rFonts w:ascii="Arial" w:cs="Arial" w:eastAsia="Arial" w:hAnsi="Arial"/>
          <w:sz w:val="18"/>
          <w:szCs w:val="18"/>
          <w:color w:val="auto"/>
        </w:rPr>
        <w:t>Corporate Secretary</w:t>
      </w:r>
    </w:p>
    <w:p>
      <w:pPr>
        <w:spacing w:after="0" w:line="235" w:lineRule="auto"/>
        <w:rPr>
          <w:sz w:val="20"/>
          <w:szCs w:val="20"/>
          <w:color w:val="auto"/>
        </w:rPr>
      </w:pPr>
      <w:r>
        <w:rPr>
          <w:rFonts w:ascii="Arial" w:cs="Arial" w:eastAsia="Arial" w:hAnsi="Arial"/>
          <w:sz w:val="18"/>
          <w:szCs w:val="18"/>
          <w:color w:val="auto"/>
        </w:rPr>
        <w:t> </w:t>
      </w:r>
    </w:p>
    <w:p>
      <w:pPr>
        <w:spacing w:after="0" w:line="235" w:lineRule="auto"/>
        <w:rPr>
          <w:sz w:val="20"/>
          <w:szCs w:val="20"/>
          <w:color w:val="auto"/>
        </w:rPr>
      </w:pPr>
      <w:r>
        <w:rPr>
          <w:rFonts w:ascii="Arial" w:cs="Arial" w:eastAsia="Arial" w:hAnsi="Arial"/>
          <w:sz w:val="18"/>
          <w:szCs w:val="18"/>
          <w:color w:val="auto"/>
        </w:rPr>
        <w:t>Liberty Lake, Washington</w:t>
      </w:r>
    </w:p>
    <w:p>
      <w:pPr>
        <w:spacing w:after="0"/>
        <w:rPr>
          <w:sz w:val="20"/>
          <w:szCs w:val="20"/>
          <w:color w:val="auto"/>
        </w:rPr>
      </w:pPr>
      <w:r>
        <w:rPr>
          <w:rFonts w:ascii="Arial" w:cs="Arial" w:eastAsia="Arial" w:hAnsi="Arial"/>
          <w:sz w:val="18"/>
          <w:szCs w:val="18"/>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1326515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40" w:space="720"/>
            <w:col w:w="6560"/>
          </w:cols>
          <w:pgMar w:left="680" w:top="114"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gridSpan w:val="5"/>
          </w:tcPr>
          <w:p>
            <w:pPr>
              <w:spacing w:after="0"/>
              <w:rPr>
                <w:sz w:val="20"/>
                <w:szCs w:val="20"/>
                <w:color w:val="auto"/>
              </w:rPr>
            </w:pPr>
            <w:r>
              <w:rPr>
                <w:rFonts w:ascii="Arial" w:cs="Arial" w:eastAsia="Arial" w:hAnsi="Arial"/>
                <w:sz w:val="13"/>
                <w:szCs w:val="13"/>
                <w:b w:val="1"/>
                <w:bCs w:val="1"/>
                <w:color w:val="0000EE"/>
              </w:rPr>
              <w:t>PROXY STATEMENT</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0000EE"/>
                <w:w w:val="82"/>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6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340" w:type="dxa"/>
            <w:vAlign w:val="bottom"/>
            <w:tcBorders>
              <w:bottom w:val="single" w:sz="8" w:color="0063A6"/>
            </w:tcBorders>
          </w:tcPr>
          <w:p>
            <w:pPr>
              <w:spacing w:after="0" w:line="20" w:lineRule="exact"/>
              <w:rPr>
                <w:sz w:val="1"/>
                <w:szCs w:val="1"/>
                <w:color w:val="auto"/>
              </w:rPr>
            </w:pPr>
          </w:p>
        </w:tc>
        <w:tc>
          <w:tcPr>
            <w:tcW w:w="140" w:type="dxa"/>
            <w:vAlign w:val="bottom"/>
            <w:tcBorders>
              <w:bottom w:val="single" w:sz="8" w:color="0063A6"/>
            </w:tcBorders>
          </w:tcPr>
          <w:p>
            <w:pPr>
              <w:spacing w:after="0" w:line="20" w:lineRule="exact"/>
              <w:rPr>
                <w:sz w:val="1"/>
                <w:szCs w:val="1"/>
                <w:color w:val="auto"/>
              </w:rPr>
            </w:pPr>
          </w:p>
        </w:tc>
        <w:tc>
          <w:tcPr>
            <w:tcW w:w="1440" w:type="dxa"/>
            <w:vAlign w:val="bottom"/>
            <w:tcBorders>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80" w:type="dxa"/>
            <w:vAlign w:val="bottom"/>
            <w:tcBorders>
              <w:bottom w:val="single" w:sz="8" w:color="5D6673"/>
            </w:tcBorders>
          </w:tcPr>
          <w:p>
            <w:pPr>
              <w:spacing w:after="0"/>
              <w:rPr>
                <w:sz w:val="10"/>
                <w:szCs w:val="10"/>
                <w:color w:val="auto"/>
              </w:rPr>
            </w:pPr>
          </w:p>
        </w:tc>
        <w:tc>
          <w:tcPr>
            <w:tcW w:w="4200" w:type="dxa"/>
            <w:vAlign w:val="bottom"/>
            <w:tcBorders>
              <w:bottom w:val="single" w:sz="8" w:color="5D6673"/>
            </w:tcBorders>
            <w:gridSpan w:val="11"/>
          </w:tcPr>
          <w:p>
            <w:pPr>
              <w:spacing w:after="0" w:line="116" w:lineRule="exact"/>
              <w:rPr>
                <w:sz w:val="20"/>
                <w:szCs w:val="20"/>
                <w:color w:val="auto"/>
              </w:rPr>
            </w:pPr>
            <w:r>
              <w:rPr>
                <w:rFonts w:ascii="Arial" w:cs="Arial" w:eastAsia="Arial" w:hAnsi="Arial"/>
                <w:sz w:val="13"/>
                <w:szCs w:val="13"/>
                <w:color w:val="0000EE"/>
              </w:rPr>
              <w:t>Attending the Annual Meeting</w:t>
            </w:r>
          </w:p>
        </w:tc>
        <w:tc>
          <w:tcPr>
            <w:tcW w:w="80" w:type="dxa"/>
            <w:vAlign w:val="bottom"/>
            <w:tcBorders>
              <w:bottom w:val="single" w:sz="8" w:color="5D6673"/>
            </w:tcBorders>
          </w:tcPr>
          <w:p>
            <w:pPr>
              <w:jc w:val="right"/>
              <w:spacing w:after="0" w:line="116" w:lineRule="exact"/>
              <w:rPr>
                <w:sz w:val="20"/>
                <w:szCs w:val="20"/>
                <w:color w:val="auto"/>
              </w:rPr>
            </w:pPr>
            <w:r>
              <w:rPr>
                <w:rFonts w:ascii="Arial" w:cs="Arial" w:eastAsia="Arial" w:hAnsi="Arial"/>
                <w:sz w:val="13"/>
                <w:szCs w:val="13"/>
                <w:color w:val="0000EE"/>
                <w:w w:val="82"/>
              </w:rPr>
              <w:t>1</w:t>
            </w:r>
          </w:p>
        </w:tc>
        <w:tc>
          <w:tcPr>
            <w:tcW w:w="20" w:type="dxa"/>
            <w:vAlign w:val="bottom"/>
            <w:tcBorders>
              <w:bottom w:val="single" w:sz="8" w:color="5D6673"/>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Internet Availability of Annual Meeting Materials</w:t>
            </w:r>
          </w:p>
        </w:tc>
        <w:tc>
          <w:tcPr>
            <w:tcW w:w="80" w:type="dxa"/>
            <w:vAlign w:val="bottom"/>
            <w:tcBorders>
              <w:bottom w:val="single" w:sz="8" w:color="5D6673"/>
            </w:tcBorders>
          </w:tcPr>
          <w:p>
            <w:pPr>
              <w:jc w:val="right"/>
              <w:spacing w:after="0" w:line="135" w:lineRule="exact"/>
              <w:rPr>
                <w:sz w:val="20"/>
                <w:szCs w:val="20"/>
                <w:color w:val="auto"/>
              </w:rPr>
            </w:pPr>
            <w:r>
              <w:rPr>
                <w:rFonts w:ascii="Arial" w:cs="Arial" w:eastAsia="Arial" w:hAnsi="Arial"/>
                <w:sz w:val="13"/>
                <w:szCs w:val="13"/>
                <w:color w:val="0000EE"/>
                <w:w w:val="82"/>
              </w:rPr>
              <w:t>1</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Proposals to Be Voted on at the Annual Meeting</w:t>
            </w:r>
          </w:p>
        </w:tc>
        <w:tc>
          <w:tcPr>
            <w:tcW w:w="80" w:type="dxa"/>
            <w:vAlign w:val="bottom"/>
            <w:tcBorders>
              <w:bottom w:val="single" w:sz="8" w:color="5D6673"/>
            </w:tcBorders>
          </w:tcPr>
          <w:p>
            <w:pPr>
              <w:jc w:val="right"/>
              <w:spacing w:after="0" w:line="135" w:lineRule="exact"/>
              <w:rPr>
                <w:sz w:val="20"/>
                <w:szCs w:val="20"/>
                <w:color w:val="auto"/>
              </w:rPr>
            </w:pPr>
            <w:r>
              <w:rPr>
                <w:rFonts w:ascii="Arial" w:cs="Arial" w:eastAsia="Arial" w:hAnsi="Arial"/>
                <w:sz w:val="13"/>
                <w:szCs w:val="13"/>
                <w:color w:val="0000EE"/>
                <w:w w:val="82"/>
              </w:rPr>
              <w:t>1</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Record Date and Outstanding Shares</w:t>
            </w:r>
          </w:p>
        </w:tc>
        <w:tc>
          <w:tcPr>
            <w:tcW w:w="80" w:type="dxa"/>
            <w:vAlign w:val="bottom"/>
            <w:tcBorders>
              <w:bottom w:val="single" w:sz="8" w:color="5D6673"/>
            </w:tcBorders>
          </w:tcPr>
          <w:p>
            <w:pPr>
              <w:jc w:val="right"/>
              <w:spacing w:after="0" w:line="135" w:lineRule="exact"/>
              <w:rPr>
                <w:sz w:val="20"/>
                <w:szCs w:val="20"/>
                <w:color w:val="auto"/>
              </w:rPr>
            </w:pPr>
            <w:r>
              <w:rPr>
                <w:rFonts w:ascii="Arial" w:cs="Arial" w:eastAsia="Arial" w:hAnsi="Arial"/>
                <w:sz w:val="13"/>
                <w:szCs w:val="13"/>
                <w:color w:val="0000EE"/>
                <w:w w:val="82"/>
              </w:rPr>
              <w:t>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140" w:type="dxa"/>
            <w:vAlign w:val="bottom"/>
            <w:tcBorders>
              <w:bottom w:val="single" w:sz="8" w:color="5D6673"/>
            </w:tcBorders>
            <w:gridSpan w:val="4"/>
          </w:tcPr>
          <w:p>
            <w:pPr>
              <w:spacing w:after="0" w:line="135" w:lineRule="exact"/>
              <w:rPr>
                <w:sz w:val="20"/>
                <w:szCs w:val="20"/>
                <w:color w:val="auto"/>
              </w:rPr>
            </w:pPr>
            <w:r>
              <w:rPr>
                <w:rFonts w:ascii="Arial" w:cs="Arial" w:eastAsia="Arial" w:hAnsi="Arial"/>
                <w:sz w:val="13"/>
                <w:szCs w:val="13"/>
                <w:color w:val="0000EE"/>
                <w:w w:val="99"/>
              </w:rPr>
              <w:t>Quorum and Voting</w:t>
            </w:r>
          </w:p>
        </w:tc>
        <w:tc>
          <w:tcPr>
            <w:tcW w:w="46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160" w:type="dxa"/>
            <w:vAlign w:val="bottom"/>
            <w:tcBorders>
              <w:bottom w:val="single" w:sz="8" w:color="5D6673"/>
            </w:tcBorders>
          </w:tcPr>
          <w:p>
            <w:pPr>
              <w:spacing w:after="0"/>
              <w:rPr>
                <w:sz w:val="12"/>
                <w:szCs w:val="12"/>
                <w:color w:val="auto"/>
              </w:rPr>
            </w:pPr>
          </w:p>
        </w:tc>
        <w:tc>
          <w:tcPr>
            <w:tcW w:w="480" w:type="dxa"/>
            <w:vAlign w:val="bottom"/>
            <w:tcBorders>
              <w:bottom w:val="single" w:sz="8" w:color="5D6673"/>
            </w:tcBorders>
          </w:tcPr>
          <w:p>
            <w:pPr>
              <w:spacing w:after="0"/>
              <w:rPr>
                <w:sz w:val="12"/>
                <w:szCs w:val="12"/>
                <w:color w:val="auto"/>
              </w:rPr>
            </w:pPr>
          </w:p>
        </w:tc>
        <w:tc>
          <w:tcPr>
            <w:tcW w:w="340" w:type="dxa"/>
            <w:vAlign w:val="bottom"/>
            <w:tcBorders>
              <w:bottom w:val="single" w:sz="8" w:color="5D6673"/>
            </w:tcBorders>
          </w:tcPr>
          <w:p>
            <w:pPr>
              <w:spacing w:after="0"/>
              <w:rPr>
                <w:sz w:val="12"/>
                <w:szCs w:val="12"/>
                <w:color w:val="auto"/>
              </w:rPr>
            </w:pPr>
          </w:p>
        </w:tc>
        <w:tc>
          <w:tcPr>
            <w:tcW w:w="140" w:type="dxa"/>
            <w:vAlign w:val="bottom"/>
            <w:tcBorders>
              <w:bottom w:val="single" w:sz="8" w:color="5D6673"/>
            </w:tcBorders>
          </w:tcPr>
          <w:p>
            <w:pPr>
              <w:spacing w:after="0"/>
              <w:rPr>
                <w:sz w:val="12"/>
                <w:szCs w:val="12"/>
                <w:color w:val="auto"/>
              </w:rPr>
            </w:pPr>
          </w:p>
        </w:tc>
        <w:tc>
          <w:tcPr>
            <w:tcW w:w="144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jc w:val="right"/>
              <w:spacing w:after="0" w:line="135" w:lineRule="exact"/>
              <w:rPr>
                <w:sz w:val="20"/>
                <w:szCs w:val="20"/>
                <w:color w:val="auto"/>
              </w:rPr>
            </w:pPr>
            <w:r>
              <w:rPr>
                <w:rFonts w:ascii="Arial" w:cs="Arial" w:eastAsia="Arial" w:hAnsi="Arial"/>
                <w:sz w:val="13"/>
                <w:szCs w:val="13"/>
                <w:color w:val="0000EE"/>
                <w:w w:val="82"/>
              </w:rPr>
              <w:t>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Revocability of Proxies</w:t>
            </w:r>
          </w:p>
        </w:tc>
        <w:tc>
          <w:tcPr>
            <w:tcW w:w="80" w:type="dxa"/>
            <w:vAlign w:val="bottom"/>
            <w:tcBorders>
              <w:bottom w:val="single" w:sz="8" w:color="5D6673"/>
            </w:tcBorders>
          </w:tcPr>
          <w:p>
            <w:pPr>
              <w:jc w:val="right"/>
              <w:spacing w:after="0" w:line="135" w:lineRule="exact"/>
              <w:rPr>
                <w:sz w:val="20"/>
                <w:szCs w:val="20"/>
                <w:color w:val="auto"/>
              </w:rPr>
            </w:pPr>
            <w:r>
              <w:rPr>
                <w:rFonts w:ascii="Arial" w:cs="Arial" w:eastAsia="Arial" w:hAnsi="Arial"/>
                <w:sz w:val="13"/>
                <w:szCs w:val="13"/>
                <w:color w:val="0000EE"/>
                <w:w w:val="82"/>
              </w:rPr>
              <w:t>3</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line="122" w:lineRule="exact"/>
              <w:rPr>
                <w:sz w:val="20"/>
                <w:szCs w:val="20"/>
                <w:color w:val="auto"/>
              </w:rPr>
            </w:pPr>
            <w:r>
              <w:rPr>
                <w:rFonts w:ascii="Arial" w:cs="Arial" w:eastAsia="Arial" w:hAnsi="Arial"/>
                <w:sz w:val="13"/>
                <w:szCs w:val="13"/>
                <w:color w:val="auto"/>
              </w:rPr>
              <w:t> </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3"/>
                <w:szCs w:val="13"/>
                <w:color w:val="0000EE"/>
                <w:w w:val="82"/>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140" w:type="dxa"/>
            <w:vAlign w:val="bottom"/>
            <w:gridSpan w:val="4"/>
          </w:tcPr>
          <w:p>
            <w:pPr>
              <w:spacing w:after="0" w:line="7" w:lineRule="exact"/>
              <w:rPr>
                <w:sz w:val="20"/>
                <w:szCs w:val="20"/>
                <w:color w:val="auto"/>
              </w:rPr>
            </w:pPr>
            <w:r>
              <w:rPr>
                <w:rFonts w:ascii="Arial" w:cs="Arial" w:eastAsia="Arial" w:hAnsi="Arial"/>
                <w:sz w:val="1"/>
                <w:szCs w:val="1"/>
                <w:color w:val="0000EE"/>
              </w:rPr>
              <w:t>Proxy Solicitation</w:t>
            </w: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Borders>
              <w:bottom w:val="single" w:sz="8" w:color="FFC729"/>
              <w:right w:val="single" w:sz="8" w:color="0063A6"/>
            </w:tcBorders>
            <w:shd w:val="clear" w:color="auto" w:fill="FFC729"/>
          </w:tcPr>
          <w:p>
            <w:pPr>
              <w:spacing w:after="0"/>
              <w:rPr>
                <w:sz w:val="16"/>
                <w:szCs w:val="16"/>
                <w:color w:val="auto"/>
              </w:rPr>
            </w:pPr>
          </w:p>
        </w:tc>
        <w:tc>
          <w:tcPr>
            <w:tcW w:w="800" w:type="dxa"/>
            <w:vAlign w:val="bottom"/>
            <w:tcBorders>
              <w:bottom w:val="single" w:sz="8" w:color="0063A6"/>
            </w:tcBorders>
            <w:gridSpan w:val="2"/>
            <w:shd w:val="clear" w:color="auto" w:fill="0063A6"/>
          </w:tcPr>
          <w:p>
            <w:pPr>
              <w:ind w:left="60"/>
              <w:spacing w:after="0"/>
              <w:rPr>
                <w:sz w:val="20"/>
                <w:szCs w:val="20"/>
                <w:color w:val="auto"/>
              </w:rPr>
            </w:pPr>
            <w:r>
              <w:rPr>
                <w:rFonts w:ascii="Arial" w:cs="Arial" w:eastAsia="Arial" w:hAnsi="Arial"/>
                <w:sz w:val="13"/>
                <w:szCs w:val="13"/>
                <w:b w:val="1"/>
                <w:bCs w:val="1"/>
                <w:color w:val="FFFFFF"/>
                <w:w w:val="98"/>
              </w:rPr>
              <w:t xml:space="preserve">PROPOSAL </w:t>
            </w:r>
          </w:p>
        </w:tc>
        <w:tc>
          <w:tcPr>
            <w:tcW w:w="3400" w:type="dxa"/>
            <w:vAlign w:val="bottom"/>
            <w:tcBorders>
              <w:bottom w:val="single" w:sz="8" w:color="0063A6"/>
              <w:right w:val="single" w:sz="8" w:color="0063A6"/>
            </w:tcBorders>
            <w:gridSpan w:val="9"/>
            <w:shd w:val="clear" w:color="auto" w:fill="0063A6"/>
          </w:tcPr>
          <w:p>
            <w:pPr>
              <w:ind w:left="20"/>
              <w:spacing w:after="0"/>
              <w:rPr>
                <w:sz w:val="20"/>
                <w:szCs w:val="20"/>
                <w:color w:val="auto"/>
              </w:rPr>
            </w:pPr>
            <w:r>
              <w:rPr>
                <w:rFonts w:ascii="Arial" w:cs="Arial" w:eastAsia="Arial" w:hAnsi="Arial"/>
                <w:sz w:val="13"/>
                <w:szCs w:val="13"/>
                <w:b w:val="1"/>
                <w:bCs w:val="1"/>
                <w:color w:val="FFFFFF"/>
              </w:rPr>
              <w:t>1 – ELECTION OF DIRECTORS</w:t>
            </w:r>
          </w:p>
        </w:tc>
        <w:tc>
          <w:tcPr>
            <w:tcW w:w="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w w:val="82"/>
              </w:rPr>
              <w:t>4</w:t>
            </w:r>
          </w:p>
        </w:tc>
        <w:tc>
          <w:tcPr>
            <w:tcW w:w="20" w:type="dxa"/>
            <w:vAlign w:val="bottom"/>
            <w:tcBorders>
              <w:bottom w:val="single" w:sz="8" w:color="0063A6"/>
            </w:tcBorders>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80" w:type="dxa"/>
            <w:vAlign w:val="bottom"/>
            <w:gridSpan w:val="12"/>
          </w:tcPr>
          <w:p>
            <w:pPr>
              <w:spacing w:after="0" w:line="135" w:lineRule="exact"/>
              <w:rPr>
                <w:sz w:val="20"/>
                <w:szCs w:val="20"/>
                <w:color w:val="auto"/>
              </w:rPr>
            </w:pPr>
            <w:r>
              <w:rPr>
                <w:rFonts w:ascii="Arial" w:cs="Arial" w:eastAsia="Arial" w:hAnsi="Arial"/>
                <w:sz w:val="13"/>
                <w:szCs w:val="13"/>
                <w:b w:val="1"/>
                <w:bCs w:val="1"/>
                <w:color w:val="0000EE"/>
              </w:rPr>
              <w:t>MORE INFORMATION ABOUT OUR DIRECTORS</w:t>
            </w:r>
          </w:p>
        </w:tc>
        <w:tc>
          <w:tcPr>
            <w:tcW w:w="80" w:type="dxa"/>
            <w:vAlign w:val="bottom"/>
          </w:tcPr>
          <w:p>
            <w:pPr>
              <w:jc w:val="right"/>
              <w:spacing w:after="0" w:line="135" w:lineRule="exact"/>
              <w:rPr>
                <w:sz w:val="20"/>
                <w:szCs w:val="20"/>
                <w:color w:val="auto"/>
              </w:rPr>
            </w:pPr>
            <w:r>
              <w:rPr>
                <w:rFonts w:ascii="Arial" w:cs="Arial" w:eastAsia="Arial" w:hAnsi="Arial"/>
                <w:sz w:val="13"/>
                <w:szCs w:val="13"/>
                <w:b w:val="1"/>
                <w:bCs w:val="1"/>
                <w:color w:val="0000EE"/>
                <w:w w:val="82"/>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6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46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480" w:type="dxa"/>
            <w:vAlign w:val="bottom"/>
            <w:tcBorders>
              <w:top w:val="single" w:sz="8" w:color="0000EE"/>
              <w:bottom w:val="single" w:sz="8" w:color="0063A6"/>
            </w:tcBorders>
          </w:tcPr>
          <w:p>
            <w:pPr>
              <w:spacing w:after="0" w:line="20" w:lineRule="exact"/>
              <w:rPr>
                <w:sz w:val="1"/>
                <w:szCs w:val="1"/>
                <w:color w:val="auto"/>
              </w:rPr>
            </w:pPr>
          </w:p>
        </w:tc>
        <w:tc>
          <w:tcPr>
            <w:tcW w:w="34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1440" w:type="dxa"/>
            <w:vAlign w:val="bottom"/>
            <w:tcBorders>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 w:type="dxa"/>
            <w:vAlign w:val="bottom"/>
            <w:tcBorders>
              <w:bottom w:val="single" w:sz="8" w:color="5D6673"/>
            </w:tcBorders>
          </w:tcPr>
          <w:p>
            <w:pPr>
              <w:spacing w:after="0"/>
              <w:rPr>
                <w:sz w:val="10"/>
                <w:szCs w:val="10"/>
                <w:color w:val="auto"/>
              </w:rPr>
            </w:pPr>
          </w:p>
        </w:tc>
        <w:tc>
          <w:tcPr>
            <w:tcW w:w="4200" w:type="dxa"/>
            <w:vAlign w:val="bottom"/>
            <w:tcBorders>
              <w:bottom w:val="single" w:sz="8" w:color="5D6673"/>
            </w:tcBorders>
            <w:gridSpan w:val="11"/>
          </w:tcPr>
          <w:p>
            <w:pPr>
              <w:spacing w:after="0" w:line="116" w:lineRule="exact"/>
              <w:rPr>
                <w:sz w:val="20"/>
                <w:szCs w:val="20"/>
                <w:color w:val="auto"/>
              </w:rPr>
            </w:pPr>
            <w:r>
              <w:rPr>
                <w:rFonts w:ascii="Arial" w:cs="Arial" w:eastAsia="Arial" w:hAnsi="Arial"/>
                <w:sz w:val="13"/>
                <w:szCs w:val="13"/>
                <w:color w:val="0000EE"/>
              </w:rPr>
              <w:t>Compensation of Directors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15</w:t>
            </w:r>
          </w:p>
        </w:tc>
        <w:tc>
          <w:tcPr>
            <w:tcW w:w="0" w:type="dxa"/>
            <w:vAlign w:val="bottom"/>
          </w:tcPr>
          <w:p>
            <w:pPr>
              <w:spacing w:after="0"/>
              <w:rPr>
                <w:sz w:val="1"/>
                <w:szCs w:val="1"/>
                <w:color w:val="auto"/>
              </w:rPr>
            </w:pPr>
          </w:p>
        </w:tc>
      </w:tr>
      <w:tr>
        <w:trPr>
          <w:trHeight w:val="135"/>
        </w:trPr>
        <w:tc>
          <w:tcPr>
            <w:tcW w:w="4380" w:type="dxa"/>
            <w:vAlign w:val="bottom"/>
            <w:gridSpan w:val="12"/>
          </w:tcPr>
          <w:p>
            <w:pPr>
              <w:spacing w:after="0" w:line="135" w:lineRule="exact"/>
              <w:rPr>
                <w:sz w:val="20"/>
                <w:szCs w:val="20"/>
                <w:color w:val="auto"/>
              </w:rPr>
            </w:pPr>
            <w:r>
              <w:rPr>
                <w:rFonts w:ascii="Arial" w:cs="Arial" w:eastAsia="Arial" w:hAnsi="Arial"/>
                <w:sz w:val="13"/>
                <w:szCs w:val="13"/>
                <w:b w:val="1"/>
                <w:bCs w:val="1"/>
                <w:color w:val="0000EE"/>
              </w:rPr>
              <w:t>CORPORATE GOVERNANCE</w:t>
            </w:r>
          </w:p>
        </w:tc>
        <w:tc>
          <w:tcPr>
            <w:tcW w:w="100" w:type="dxa"/>
            <w:vAlign w:val="bottom"/>
            <w:gridSpan w:val="2"/>
          </w:tcPr>
          <w:p>
            <w:pPr>
              <w:jc w:val="right"/>
              <w:ind w:right="20"/>
              <w:spacing w:after="0"/>
              <w:rPr>
                <w:sz w:val="20"/>
                <w:szCs w:val="20"/>
                <w:color w:val="auto"/>
              </w:rPr>
            </w:pPr>
            <w:r>
              <w:rPr>
                <w:rFonts w:ascii="Arial" w:cs="Arial" w:eastAsia="Arial" w:hAnsi="Arial"/>
                <w:sz w:val="6"/>
                <w:szCs w:val="6"/>
                <w:b w:val="1"/>
                <w:bCs w:val="1"/>
                <w:color w:val="0000EE"/>
                <w:w w:val="89"/>
              </w:rPr>
              <w:t>17</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6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46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340" w:type="dxa"/>
            <w:vAlign w:val="bottom"/>
            <w:tcBorders>
              <w:bottom w:val="single" w:sz="8" w:color="0063A6"/>
            </w:tcBorders>
          </w:tcPr>
          <w:p>
            <w:pPr>
              <w:spacing w:after="0" w:line="20" w:lineRule="exact"/>
              <w:rPr>
                <w:sz w:val="1"/>
                <w:szCs w:val="1"/>
                <w:color w:val="auto"/>
              </w:rPr>
            </w:pPr>
          </w:p>
        </w:tc>
        <w:tc>
          <w:tcPr>
            <w:tcW w:w="140" w:type="dxa"/>
            <w:vAlign w:val="bottom"/>
            <w:tcBorders>
              <w:bottom w:val="single" w:sz="8" w:color="0063A6"/>
            </w:tcBorders>
          </w:tcPr>
          <w:p>
            <w:pPr>
              <w:spacing w:after="0" w:line="20" w:lineRule="exact"/>
              <w:rPr>
                <w:sz w:val="1"/>
                <w:szCs w:val="1"/>
                <w:color w:val="auto"/>
              </w:rPr>
            </w:pPr>
          </w:p>
        </w:tc>
        <w:tc>
          <w:tcPr>
            <w:tcW w:w="1440" w:type="dxa"/>
            <w:vAlign w:val="bottom"/>
            <w:tcBorders>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 w:type="dxa"/>
            <w:vAlign w:val="bottom"/>
            <w:tcBorders>
              <w:bottom w:val="single" w:sz="8" w:color="5D6673"/>
            </w:tcBorders>
          </w:tcPr>
          <w:p>
            <w:pPr>
              <w:spacing w:after="0"/>
              <w:rPr>
                <w:sz w:val="10"/>
                <w:szCs w:val="10"/>
                <w:color w:val="auto"/>
              </w:rPr>
            </w:pPr>
          </w:p>
        </w:tc>
        <w:tc>
          <w:tcPr>
            <w:tcW w:w="4200" w:type="dxa"/>
            <w:vAlign w:val="bottom"/>
            <w:tcBorders>
              <w:bottom w:val="single" w:sz="8" w:color="5D6673"/>
            </w:tcBorders>
            <w:gridSpan w:val="11"/>
          </w:tcPr>
          <w:p>
            <w:pPr>
              <w:spacing w:after="0" w:line="116" w:lineRule="exact"/>
              <w:rPr>
                <w:sz w:val="20"/>
                <w:szCs w:val="20"/>
                <w:color w:val="auto"/>
              </w:rPr>
            </w:pPr>
            <w:r>
              <w:rPr>
                <w:rFonts w:ascii="Arial" w:cs="Arial" w:eastAsia="Arial" w:hAnsi="Arial"/>
                <w:sz w:val="13"/>
                <w:szCs w:val="13"/>
                <w:color w:val="0000EE"/>
              </w:rPr>
              <w:t>Leadership Structure of the Board of Directors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17</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Corporate Governance Guiding Principles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17</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Board Matters – Meeting Attendance</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17</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Director Independence</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17</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Committees of the Board</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18</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4020" w:type="dxa"/>
            <w:vAlign w:val="bottom"/>
            <w:tcBorders>
              <w:bottom w:val="single" w:sz="8" w:color="5D6673"/>
            </w:tcBorders>
            <w:gridSpan w:val="10"/>
          </w:tcPr>
          <w:p>
            <w:pPr>
              <w:spacing w:after="0" w:line="135" w:lineRule="exact"/>
              <w:rPr>
                <w:sz w:val="20"/>
                <w:szCs w:val="20"/>
                <w:color w:val="auto"/>
              </w:rPr>
            </w:pPr>
            <w:r>
              <w:rPr>
                <w:rFonts w:ascii="Arial" w:cs="Arial" w:eastAsia="Arial" w:hAnsi="Arial"/>
                <w:sz w:val="13"/>
                <w:szCs w:val="13"/>
                <w:color w:val="0000EE"/>
              </w:rPr>
              <w:t>Nominating and Corporate Governance Committee</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18</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4020" w:type="dxa"/>
            <w:vAlign w:val="bottom"/>
            <w:tcBorders>
              <w:bottom w:val="single" w:sz="8" w:color="5D6673"/>
            </w:tcBorders>
            <w:gridSpan w:val="10"/>
          </w:tcPr>
          <w:p>
            <w:pPr>
              <w:spacing w:after="0" w:line="135" w:lineRule="exact"/>
              <w:rPr>
                <w:sz w:val="20"/>
                <w:szCs w:val="20"/>
                <w:color w:val="auto"/>
              </w:rPr>
            </w:pPr>
            <w:r>
              <w:rPr>
                <w:rFonts w:ascii="Arial" w:cs="Arial" w:eastAsia="Arial" w:hAnsi="Arial"/>
                <w:sz w:val="13"/>
                <w:szCs w:val="13"/>
                <w:color w:val="0000EE"/>
              </w:rPr>
              <w:t>Audit/Finance Committee</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19</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4020" w:type="dxa"/>
            <w:vAlign w:val="bottom"/>
            <w:tcBorders>
              <w:bottom w:val="single" w:sz="8" w:color="5D6673"/>
            </w:tcBorders>
            <w:gridSpan w:val="10"/>
          </w:tcPr>
          <w:p>
            <w:pPr>
              <w:spacing w:after="0" w:line="135" w:lineRule="exact"/>
              <w:rPr>
                <w:sz w:val="20"/>
                <w:szCs w:val="20"/>
                <w:color w:val="auto"/>
              </w:rPr>
            </w:pPr>
            <w:r>
              <w:rPr>
                <w:rFonts w:ascii="Arial" w:cs="Arial" w:eastAsia="Arial" w:hAnsi="Arial"/>
                <w:sz w:val="13"/>
                <w:szCs w:val="13"/>
                <w:color w:val="0000EE"/>
              </w:rPr>
              <w:t>Compensation Committee</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19</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200" w:type="dxa"/>
            <w:vAlign w:val="bottom"/>
            <w:gridSpan w:val="11"/>
          </w:tcPr>
          <w:p>
            <w:pPr>
              <w:spacing w:after="0" w:line="135" w:lineRule="exact"/>
              <w:rPr>
                <w:sz w:val="20"/>
                <w:szCs w:val="20"/>
                <w:color w:val="auto"/>
              </w:rPr>
            </w:pPr>
            <w:r>
              <w:rPr>
                <w:rFonts w:ascii="Arial" w:cs="Arial" w:eastAsia="Arial" w:hAnsi="Arial"/>
                <w:sz w:val="13"/>
                <w:szCs w:val="13"/>
                <w:color w:val="0000EE"/>
              </w:rPr>
              <w:t>Compensation Committee Interlocks and Insider</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6"/>
                <w:szCs w:val="6"/>
                <w:color w:val="0000EE"/>
                <w:w w:val="89"/>
              </w:rPr>
              <w:t>19</w:t>
            </w:r>
          </w:p>
        </w:tc>
        <w:tc>
          <w:tcPr>
            <w:tcW w:w="0" w:type="dxa"/>
            <w:vAlign w:val="bottom"/>
          </w:tcPr>
          <w:p>
            <w:pPr>
              <w:spacing w:after="0"/>
              <w:rPr>
                <w:sz w:val="1"/>
                <w:szCs w:val="1"/>
                <w:color w:val="auto"/>
              </w:rPr>
            </w:pPr>
          </w:p>
        </w:tc>
      </w:tr>
      <w:tr>
        <w:trPr>
          <w:trHeight w:val="135"/>
        </w:trPr>
        <w:tc>
          <w:tcPr>
            <w:tcW w:w="180" w:type="dxa"/>
            <w:vAlign w:val="bottom"/>
            <w:tcBorders>
              <w:bottom w:val="single" w:sz="8" w:color="5D6673"/>
            </w:tcBorders>
          </w:tcPr>
          <w:p>
            <w:pPr>
              <w:spacing w:after="0"/>
              <w:rPr>
                <w:sz w:val="11"/>
                <w:szCs w:val="11"/>
                <w:color w:val="auto"/>
              </w:rPr>
            </w:pPr>
          </w:p>
        </w:tc>
        <w:tc>
          <w:tcPr>
            <w:tcW w:w="800" w:type="dxa"/>
            <w:vAlign w:val="bottom"/>
            <w:tcBorders>
              <w:top w:val="single" w:sz="8" w:color="0000EE"/>
              <w:bottom w:val="single" w:sz="8" w:color="5D6673"/>
            </w:tcBorders>
            <w:gridSpan w:val="2"/>
          </w:tcPr>
          <w:p>
            <w:pPr>
              <w:spacing w:after="0" w:line="129" w:lineRule="exact"/>
              <w:rPr>
                <w:sz w:val="20"/>
                <w:szCs w:val="20"/>
                <w:color w:val="auto"/>
              </w:rPr>
            </w:pPr>
            <w:r>
              <w:rPr>
                <w:rFonts w:ascii="Arial" w:cs="Arial" w:eastAsia="Arial" w:hAnsi="Arial"/>
                <w:sz w:val="13"/>
                <w:szCs w:val="13"/>
                <w:color w:val="0000EE"/>
              </w:rPr>
              <w:t>Participation</w:t>
            </w:r>
          </w:p>
        </w:tc>
        <w:tc>
          <w:tcPr>
            <w:tcW w:w="280" w:type="dxa"/>
            <w:vAlign w:val="bottom"/>
            <w:tcBorders>
              <w:top w:val="single" w:sz="8" w:color="0000EE"/>
              <w:bottom w:val="single" w:sz="8" w:color="5D6673"/>
            </w:tcBorders>
          </w:tcPr>
          <w:p>
            <w:pPr>
              <w:spacing w:after="0"/>
              <w:rPr>
                <w:sz w:val="11"/>
                <w:szCs w:val="11"/>
                <w:color w:val="auto"/>
              </w:rPr>
            </w:pPr>
          </w:p>
        </w:tc>
        <w:tc>
          <w:tcPr>
            <w:tcW w:w="60" w:type="dxa"/>
            <w:vAlign w:val="bottom"/>
            <w:tcBorders>
              <w:top w:val="single" w:sz="8" w:color="0000EE"/>
              <w:bottom w:val="single" w:sz="8" w:color="5D6673"/>
            </w:tcBorders>
          </w:tcPr>
          <w:p>
            <w:pPr>
              <w:spacing w:after="0"/>
              <w:rPr>
                <w:sz w:val="11"/>
                <w:szCs w:val="11"/>
                <w:color w:val="auto"/>
              </w:rPr>
            </w:pPr>
          </w:p>
        </w:tc>
        <w:tc>
          <w:tcPr>
            <w:tcW w:w="460" w:type="dxa"/>
            <w:vAlign w:val="bottom"/>
            <w:tcBorders>
              <w:top w:val="single" w:sz="8" w:color="0000EE"/>
              <w:bottom w:val="single" w:sz="8" w:color="5D6673"/>
            </w:tcBorders>
          </w:tcPr>
          <w:p>
            <w:pPr>
              <w:spacing w:after="0"/>
              <w:rPr>
                <w:sz w:val="11"/>
                <w:szCs w:val="11"/>
                <w:color w:val="auto"/>
              </w:rPr>
            </w:pPr>
          </w:p>
        </w:tc>
        <w:tc>
          <w:tcPr>
            <w:tcW w:w="40" w:type="dxa"/>
            <w:vAlign w:val="bottom"/>
            <w:tcBorders>
              <w:top w:val="single" w:sz="8" w:color="0000EE"/>
              <w:bottom w:val="single" w:sz="8" w:color="5D6673"/>
            </w:tcBorders>
          </w:tcPr>
          <w:p>
            <w:pPr>
              <w:spacing w:after="0"/>
              <w:rPr>
                <w:sz w:val="11"/>
                <w:szCs w:val="11"/>
                <w:color w:val="auto"/>
              </w:rPr>
            </w:pPr>
          </w:p>
        </w:tc>
        <w:tc>
          <w:tcPr>
            <w:tcW w:w="160" w:type="dxa"/>
            <w:vAlign w:val="bottom"/>
            <w:tcBorders>
              <w:top w:val="single" w:sz="8" w:color="0000EE"/>
              <w:bottom w:val="single" w:sz="8" w:color="5D6673"/>
            </w:tcBorders>
          </w:tcPr>
          <w:p>
            <w:pPr>
              <w:spacing w:after="0"/>
              <w:rPr>
                <w:sz w:val="11"/>
                <w:szCs w:val="11"/>
                <w:color w:val="auto"/>
              </w:rPr>
            </w:pPr>
          </w:p>
        </w:tc>
        <w:tc>
          <w:tcPr>
            <w:tcW w:w="480" w:type="dxa"/>
            <w:vAlign w:val="bottom"/>
            <w:tcBorders>
              <w:top w:val="single" w:sz="8" w:color="0000EE"/>
              <w:bottom w:val="single" w:sz="8" w:color="5D6673"/>
            </w:tcBorders>
          </w:tcPr>
          <w:p>
            <w:pPr>
              <w:spacing w:after="0"/>
              <w:rPr>
                <w:sz w:val="11"/>
                <w:szCs w:val="11"/>
                <w:color w:val="auto"/>
              </w:rPr>
            </w:pPr>
          </w:p>
        </w:tc>
        <w:tc>
          <w:tcPr>
            <w:tcW w:w="340" w:type="dxa"/>
            <w:vAlign w:val="bottom"/>
            <w:tcBorders>
              <w:top w:val="single" w:sz="8" w:color="0000EE"/>
              <w:bottom w:val="single" w:sz="8" w:color="5D6673"/>
            </w:tcBorders>
          </w:tcPr>
          <w:p>
            <w:pPr>
              <w:spacing w:after="0"/>
              <w:rPr>
                <w:sz w:val="11"/>
                <w:szCs w:val="11"/>
                <w:color w:val="auto"/>
              </w:rPr>
            </w:pPr>
          </w:p>
        </w:tc>
        <w:tc>
          <w:tcPr>
            <w:tcW w:w="140" w:type="dxa"/>
            <w:vAlign w:val="bottom"/>
            <w:tcBorders>
              <w:top w:val="single" w:sz="8" w:color="0000EE"/>
              <w:bottom w:val="single" w:sz="8" w:color="5D6673"/>
            </w:tcBorders>
          </w:tcPr>
          <w:p>
            <w:pPr>
              <w:spacing w:after="0"/>
              <w:rPr>
                <w:sz w:val="11"/>
                <w:szCs w:val="11"/>
                <w:color w:val="auto"/>
              </w:rPr>
            </w:pPr>
          </w:p>
        </w:tc>
        <w:tc>
          <w:tcPr>
            <w:tcW w:w="1440" w:type="dxa"/>
            <w:vAlign w:val="bottom"/>
            <w:tcBorders>
              <w:bottom w:val="single" w:sz="8" w:color="5D6673"/>
            </w:tcBorders>
          </w:tcPr>
          <w:p>
            <w:pPr>
              <w:spacing w:after="0"/>
              <w:rPr>
                <w:sz w:val="11"/>
                <w:szCs w:val="11"/>
                <w:color w:val="auto"/>
              </w:rPr>
            </w:pPr>
          </w:p>
        </w:tc>
        <w:tc>
          <w:tcPr>
            <w:tcW w:w="100" w:type="dxa"/>
            <w:vAlign w:val="bottom"/>
            <w:tcBorders>
              <w:bottom w:val="single" w:sz="8" w:color="5D6673"/>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Transactions with Related Persons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19</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Our Board’s Role in Risk Oversight</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19</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140" w:type="dxa"/>
            <w:vAlign w:val="bottom"/>
            <w:tcBorders>
              <w:bottom w:val="single" w:sz="8" w:color="5D6673"/>
            </w:tcBorders>
            <w:gridSpan w:val="4"/>
          </w:tcPr>
          <w:p>
            <w:pPr>
              <w:spacing w:after="0" w:line="135" w:lineRule="exact"/>
              <w:rPr>
                <w:sz w:val="20"/>
                <w:szCs w:val="20"/>
                <w:color w:val="auto"/>
              </w:rPr>
            </w:pPr>
            <w:r>
              <w:rPr>
                <w:rFonts w:ascii="Arial" w:cs="Arial" w:eastAsia="Arial" w:hAnsi="Arial"/>
                <w:sz w:val="13"/>
                <w:szCs w:val="13"/>
                <w:color w:val="0000EE"/>
              </w:rPr>
              <w:t>Code of Conduct</w:t>
            </w:r>
          </w:p>
        </w:tc>
        <w:tc>
          <w:tcPr>
            <w:tcW w:w="46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160" w:type="dxa"/>
            <w:vAlign w:val="bottom"/>
            <w:tcBorders>
              <w:bottom w:val="single" w:sz="8" w:color="5D6673"/>
            </w:tcBorders>
          </w:tcPr>
          <w:p>
            <w:pPr>
              <w:spacing w:after="0"/>
              <w:rPr>
                <w:sz w:val="12"/>
                <w:szCs w:val="12"/>
                <w:color w:val="auto"/>
              </w:rPr>
            </w:pPr>
          </w:p>
        </w:tc>
        <w:tc>
          <w:tcPr>
            <w:tcW w:w="480" w:type="dxa"/>
            <w:vAlign w:val="bottom"/>
            <w:tcBorders>
              <w:bottom w:val="single" w:sz="8" w:color="5D6673"/>
            </w:tcBorders>
          </w:tcPr>
          <w:p>
            <w:pPr>
              <w:spacing w:after="0"/>
              <w:rPr>
                <w:sz w:val="12"/>
                <w:szCs w:val="12"/>
                <w:color w:val="auto"/>
              </w:rPr>
            </w:pPr>
          </w:p>
        </w:tc>
        <w:tc>
          <w:tcPr>
            <w:tcW w:w="340" w:type="dxa"/>
            <w:vAlign w:val="bottom"/>
            <w:tcBorders>
              <w:bottom w:val="single" w:sz="8" w:color="5D6673"/>
            </w:tcBorders>
          </w:tcPr>
          <w:p>
            <w:pPr>
              <w:spacing w:after="0"/>
              <w:rPr>
                <w:sz w:val="12"/>
                <w:szCs w:val="12"/>
                <w:color w:val="auto"/>
              </w:rPr>
            </w:pPr>
          </w:p>
        </w:tc>
        <w:tc>
          <w:tcPr>
            <w:tcW w:w="140" w:type="dxa"/>
            <w:vAlign w:val="bottom"/>
            <w:tcBorders>
              <w:bottom w:val="single" w:sz="8" w:color="5D6673"/>
            </w:tcBorders>
          </w:tcPr>
          <w:p>
            <w:pPr>
              <w:spacing w:after="0"/>
              <w:rPr>
                <w:sz w:val="12"/>
                <w:szCs w:val="12"/>
                <w:color w:val="auto"/>
              </w:rPr>
            </w:pPr>
          </w:p>
        </w:tc>
        <w:tc>
          <w:tcPr>
            <w:tcW w:w="1440" w:type="dxa"/>
            <w:vAlign w:val="bottom"/>
            <w:tcBorders>
              <w:bottom w:val="single" w:sz="8" w:color="5D6673"/>
            </w:tcBorders>
          </w:tcPr>
          <w:p>
            <w:pPr>
              <w:spacing w:after="0"/>
              <w:rPr>
                <w:sz w:val="12"/>
                <w:szCs w:val="12"/>
                <w:color w:val="auto"/>
              </w:rPr>
            </w:pP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20</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Insider Trading Policies and Procedures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20</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140" w:type="dxa"/>
            <w:vAlign w:val="bottom"/>
            <w:tcBorders>
              <w:bottom w:val="single" w:sz="8" w:color="5D6673"/>
            </w:tcBorders>
            <w:gridSpan w:val="4"/>
          </w:tcPr>
          <w:p>
            <w:pPr>
              <w:spacing w:after="0" w:line="135" w:lineRule="exact"/>
              <w:rPr>
                <w:sz w:val="20"/>
                <w:szCs w:val="20"/>
                <w:color w:val="auto"/>
              </w:rPr>
            </w:pPr>
            <w:r>
              <w:rPr>
                <w:rFonts w:ascii="Arial" w:cs="Arial" w:eastAsia="Arial" w:hAnsi="Arial"/>
                <w:sz w:val="13"/>
                <w:szCs w:val="13"/>
                <w:color w:val="0000EE"/>
                <w:w w:val="98"/>
              </w:rPr>
              <w:t>Anti-Hedging Policy</w:t>
            </w:r>
          </w:p>
        </w:tc>
        <w:tc>
          <w:tcPr>
            <w:tcW w:w="46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160" w:type="dxa"/>
            <w:vAlign w:val="bottom"/>
            <w:tcBorders>
              <w:bottom w:val="single" w:sz="8" w:color="5D6673"/>
            </w:tcBorders>
          </w:tcPr>
          <w:p>
            <w:pPr>
              <w:spacing w:after="0"/>
              <w:rPr>
                <w:sz w:val="12"/>
                <w:szCs w:val="12"/>
                <w:color w:val="auto"/>
              </w:rPr>
            </w:pPr>
          </w:p>
        </w:tc>
        <w:tc>
          <w:tcPr>
            <w:tcW w:w="480" w:type="dxa"/>
            <w:vAlign w:val="bottom"/>
            <w:tcBorders>
              <w:bottom w:val="single" w:sz="8" w:color="5D6673"/>
            </w:tcBorders>
          </w:tcPr>
          <w:p>
            <w:pPr>
              <w:spacing w:after="0"/>
              <w:rPr>
                <w:sz w:val="12"/>
                <w:szCs w:val="12"/>
                <w:color w:val="auto"/>
              </w:rPr>
            </w:pPr>
          </w:p>
        </w:tc>
        <w:tc>
          <w:tcPr>
            <w:tcW w:w="340" w:type="dxa"/>
            <w:vAlign w:val="bottom"/>
            <w:tcBorders>
              <w:bottom w:val="single" w:sz="8" w:color="5D6673"/>
            </w:tcBorders>
          </w:tcPr>
          <w:p>
            <w:pPr>
              <w:spacing w:after="0"/>
              <w:rPr>
                <w:sz w:val="12"/>
                <w:szCs w:val="12"/>
                <w:color w:val="auto"/>
              </w:rPr>
            </w:pPr>
          </w:p>
        </w:tc>
        <w:tc>
          <w:tcPr>
            <w:tcW w:w="140" w:type="dxa"/>
            <w:vAlign w:val="bottom"/>
            <w:tcBorders>
              <w:bottom w:val="single" w:sz="8" w:color="5D6673"/>
            </w:tcBorders>
          </w:tcPr>
          <w:p>
            <w:pPr>
              <w:spacing w:after="0"/>
              <w:rPr>
                <w:sz w:val="12"/>
                <w:szCs w:val="12"/>
                <w:color w:val="auto"/>
              </w:rPr>
            </w:pPr>
          </w:p>
        </w:tc>
        <w:tc>
          <w:tcPr>
            <w:tcW w:w="1440" w:type="dxa"/>
            <w:vAlign w:val="bottom"/>
            <w:tcBorders>
              <w:bottom w:val="single" w:sz="8" w:color="5D6673"/>
            </w:tcBorders>
          </w:tcPr>
          <w:p>
            <w:pPr>
              <w:spacing w:after="0"/>
              <w:rPr>
                <w:sz w:val="12"/>
                <w:szCs w:val="12"/>
                <w:color w:val="auto"/>
              </w:rPr>
            </w:pP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20</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Director Term Limit and Retirement Guidelines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20</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Director Nominations by Shareholders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21</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Shareholder Communications with the Board</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21</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line="122" w:lineRule="exact"/>
              <w:rPr>
                <w:sz w:val="20"/>
                <w:szCs w:val="20"/>
                <w:color w:val="auto"/>
              </w:rPr>
            </w:pPr>
            <w:r>
              <w:rPr>
                <w:rFonts w:ascii="Arial" w:cs="Arial" w:eastAsia="Arial" w:hAnsi="Arial"/>
                <w:sz w:val="13"/>
                <w:szCs w:val="13"/>
                <w:color w:val="auto"/>
              </w:rPr>
              <w:t> </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6"/>
                <w:szCs w:val="6"/>
                <w:color w:val="0000EE"/>
                <w:w w:val="89"/>
              </w:rPr>
              <w:t>22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00" w:type="dxa"/>
            <w:vAlign w:val="bottom"/>
            <w:tcBorders>
              <w:right w:val="single" w:sz="8" w:color="0000EE"/>
            </w:tcBorders>
            <w:gridSpan w:val="11"/>
          </w:tcPr>
          <w:p>
            <w:pPr>
              <w:spacing w:after="0" w:line="7" w:lineRule="exact"/>
              <w:rPr>
                <w:sz w:val="20"/>
                <w:szCs w:val="20"/>
                <w:color w:val="auto"/>
              </w:rPr>
            </w:pPr>
            <w:r>
              <w:rPr>
                <w:rFonts w:ascii="Arial" w:cs="Arial" w:eastAsia="Arial" w:hAnsi="Arial"/>
                <w:sz w:val="1"/>
                <w:szCs w:val="1"/>
                <w:color w:val="0000EE"/>
              </w:rPr>
              <w:t>Corporate Sustainability Report</w:t>
            </w: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80" w:type="dxa"/>
            <w:vAlign w:val="bottom"/>
            <w:tcBorders>
              <w:right w:val="single" w:sz="8" w:color="0063A6"/>
            </w:tcBorders>
            <w:shd w:val="clear" w:color="auto" w:fill="FFC729"/>
          </w:tcPr>
          <w:p>
            <w:pPr>
              <w:spacing w:after="0"/>
              <w:rPr>
                <w:sz w:val="11"/>
                <w:szCs w:val="11"/>
                <w:color w:val="auto"/>
              </w:rPr>
            </w:pPr>
          </w:p>
        </w:tc>
        <w:tc>
          <w:tcPr>
            <w:tcW w:w="1800" w:type="dxa"/>
            <w:vAlign w:val="bottom"/>
            <w:gridSpan w:val="7"/>
            <w:shd w:val="clear" w:color="auto" w:fill="0063A6"/>
          </w:tcPr>
          <w:p>
            <w:pPr>
              <w:ind w:left="60"/>
              <w:spacing w:after="0" w:line="134" w:lineRule="exact"/>
              <w:rPr>
                <w:sz w:val="20"/>
                <w:szCs w:val="20"/>
                <w:color w:val="auto"/>
              </w:rPr>
            </w:pPr>
            <w:r>
              <w:rPr>
                <w:rFonts w:ascii="Arial" w:cs="Arial" w:eastAsia="Arial" w:hAnsi="Arial"/>
                <w:sz w:val="13"/>
                <w:szCs w:val="13"/>
                <w:b w:val="1"/>
                <w:bCs w:val="1"/>
                <w:color w:val="FFFFFF"/>
              </w:rPr>
              <w:t>PROPOSAL 2 – ADVISORY</w:t>
            </w:r>
          </w:p>
        </w:tc>
        <w:tc>
          <w:tcPr>
            <w:tcW w:w="2400" w:type="dxa"/>
            <w:vAlign w:val="bottom"/>
            <w:tcBorders>
              <w:right w:val="single" w:sz="8" w:color="0063A6"/>
            </w:tcBorders>
            <w:gridSpan w:val="4"/>
            <w:shd w:val="clear" w:color="auto" w:fill="0063A6"/>
          </w:tcPr>
          <w:p>
            <w:pPr>
              <w:spacing w:after="0" w:line="134" w:lineRule="exact"/>
              <w:rPr>
                <w:sz w:val="20"/>
                <w:szCs w:val="20"/>
                <w:color w:val="auto"/>
              </w:rPr>
            </w:pPr>
            <w:r>
              <w:rPr>
                <w:rFonts w:ascii="Arial" w:cs="Arial" w:eastAsia="Arial" w:hAnsi="Arial"/>
                <w:sz w:val="13"/>
                <w:szCs w:val="13"/>
                <w:b w:val="1"/>
                <w:bCs w:val="1"/>
                <w:color w:val="FFFFFF"/>
              </w:rPr>
              <w:t>APPROVAL OF EXECUTIVE</w:t>
            </w:r>
          </w:p>
        </w:tc>
        <w:tc>
          <w:tcPr>
            <w:tcW w:w="100" w:type="dxa"/>
            <w:vAlign w:val="bottom"/>
            <w:gridSpan w:val="2"/>
            <w:vMerge w:val="restart"/>
            <w:shd w:val="clear" w:color="auto" w:fill="0063A6"/>
          </w:tcPr>
          <w:p>
            <w:pPr>
              <w:jc w:val="right"/>
              <w:ind w:right="20"/>
              <w:spacing w:after="0"/>
              <w:rPr>
                <w:sz w:val="20"/>
                <w:szCs w:val="20"/>
                <w:color w:val="auto"/>
              </w:rPr>
            </w:pPr>
            <w:r>
              <w:rPr>
                <w:rFonts w:ascii="Arial" w:cs="Arial" w:eastAsia="Arial" w:hAnsi="Arial"/>
                <w:sz w:val="6"/>
                <w:szCs w:val="6"/>
                <w:b w:val="1"/>
                <w:bCs w:val="1"/>
                <w:color w:val="FFFFFF"/>
                <w:w w:val="89"/>
              </w:rPr>
              <w:t xml:space="preserve">24 </w:t>
            </w:r>
          </w:p>
        </w:tc>
        <w:tc>
          <w:tcPr>
            <w:tcW w:w="0" w:type="dxa"/>
            <w:vAlign w:val="bottom"/>
          </w:tcPr>
          <w:p>
            <w:pPr>
              <w:spacing w:after="0"/>
              <w:rPr>
                <w:sz w:val="1"/>
                <w:szCs w:val="1"/>
                <w:color w:val="auto"/>
              </w:rPr>
            </w:pPr>
          </w:p>
        </w:tc>
      </w:tr>
      <w:tr>
        <w:trPr>
          <w:trHeight w:val="190"/>
        </w:trPr>
        <w:tc>
          <w:tcPr>
            <w:tcW w:w="180" w:type="dxa"/>
            <w:vAlign w:val="bottom"/>
            <w:tcBorders>
              <w:bottom w:val="single" w:sz="8" w:color="FFC729"/>
              <w:right w:val="single" w:sz="8" w:color="0063A6"/>
            </w:tcBorders>
            <w:shd w:val="clear" w:color="auto" w:fill="FFC729"/>
          </w:tcPr>
          <w:p>
            <w:pPr>
              <w:spacing w:after="0"/>
              <w:rPr>
                <w:sz w:val="16"/>
                <w:szCs w:val="16"/>
                <w:color w:val="auto"/>
              </w:rPr>
            </w:pPr>
          </w:p>
        </w:tc>
        <w:tc>
          <w:tcPr>
            <w:tcW w:w="1140" w:type="dxa"/>
            <w:vAlign w:val="bottom"/>
            <w:tcBorders>
              <w:bottom w:val="single" w:sz="8" w:color="0063A6"/>
            </w:tcBorders>
            <w:gridSpan w:val="4"/>
            <w:shd w:val="clear" w:color="auto" w:fill="0063A6"/>
          </w:tcPr>
          <w:p>
            <w:pPr>
              <w:ind w:left="60"/>
              <w:spacing w:after="0"/>
              <w:rPr>
                <w:sz w:val="20"/>
                <w:szCs w:val="20"/>
                <w:color w:val="auto"/>
              </w:rPr>
            </w:pPr>
            <w:r>
              <w:rPr>
                <w:rFonts w:ascii="Arial" w:cs="Arial" w:eastAsia="Arial" w:hAnsi="Arial"/>
                <w:sz w:val="13"/>
                <w:szCs w:val="13"/>
                <w:b w:val="1"/>
                <w:bCs w:val="1"/>
                <w:color w:val="FFFFFF"/>
                <w:w w:val="99"/>
              </w:rPr>
              <w:t xml:space="preserve">COMPENSATION </w:t>
            </w:r>
          </w:p>
        </w:tc>
        <w:tc>
          <w:tcPr>
            <w:tcW w:w="3060" w:type="dxa"/>
            <w:vAlign w:val="bottom"/>
            <w:tcBorders>
              <w:bottom w:val="single" w:sz="8" w:color="0063A6"/>
              <w:right w:val="single" w:sz="8" w:color="0063A6"/>
            </w:tcBorders>
            <w:gridSpan w:val="7"/>
            <w:shd w:val="clear" w:color="auto" w:fill="0063A6"/>
          </w:tcPr>
          <w:p>
            <w:pPr>
              <w:spacing w:after="0"/>
              <w:rPr>
                <w:sz w:val="20"/>
                <w:szCs w:val="20"/>
                <w:color w:val="auto"/>
              </w:rPr>
            </w:pPr>
            <w:r>
              <w:rPr>
                <w:rFonts w:ascii="Arial" w:cs="Arial" w:eastAsia="Arial" w:hAnsi="Arial"/>
                <w:sz w:val="13"/>
                <w:szCs w:val="13"/>
                <w:b w:val="1"/>
                <w:bCs w:val="1"/>
                <w:color w:val="FFFFFF"/>
              </w:rPr>
              <w:t>(SAY-ON-PAY)</w:t>
            </w:r>
          </w:p>
        </w:tc>
        <w:tc>
          <w:tcPr>
            <w:tcW w:w="100" w:type="dxa"/>
            <w:vAlign w:val="bottom"/>
            <w:tcBorders>
              <w:bottom w:val="single" w:sz="8" w:color="0063A6"/>
            </w:tcBorders>
            <w:gridSpan w:val="2"/>
            <w:vMerge w:val="continue"/>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200" w:type="dxa"/>
            <w:vAlign w:val="bottom"/>
            <w:gridSpan w:val="11"/>
          </w:tcPr>
          <w:p>
            <w:pPr>
              <w:spacing w:after="0" w:line="135" w:lineRule="exact"/>
              <w:rPr>
                <w:sz w:val="20"/>
                <w:szCs w:val="20"/>
                <w:color w:val="auto"/>
              </w:rPr>
            </w:pPr>
            <w:r>
              <w:rPr>
                <w:rFonts w:ascii="Arial" w:cs="Arial" w:eastAsia="Arial" w:hAnsi="Arial"/>
                <w:sz w:val="13"/>
                <w:szCs w:val="13"/>
                <w:b w:val="1"/>
                <w:bCs w:val="1"/>
                <w:color w:val="0000EE"/>
              </w:rPr>
              <w:t>EXECUTIVE COMPENSATION</w:t>
            </w:r>
          </w:p>
        </w:tc>
        <w:tc>
          <w:tcPr>
            <w:tcW w:w="100" w:type="dxa"/>
            <w:vAlign w:val="bottom"/>
            <w:gridSpan w:val="2"/>
          </w:tcPr>
          <w:p>
            <w:pPr>
              <w:jc w:val="right"/>
              <w:ind w:right="20"/>
              <w:spacing w:after="0"/>
              <w:rPr>
                <w:sz w:val="20"/>
                <w:szCs w:val="20"/>
                <w:color w:val="auto"/>
              </w:rPr>
            </w:pPr>
            <w:r>
              <w:rPr>
                <w:rFonts w:ascii="Arial" w:cs="Arial" w:eastAsia="Arial" w:hAnsi="Arial"/>
                <w:sz w:val="6"/>
                <w:szCs w:val="6"/>
                <w:b w:val="1"/>
                <w:bCs w:val="1"/>
                <w:color w:val="0000EE"/>
                <w:w w:val="89"/>
              </w:rPr>
              <w:t>26</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6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46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340" w:type="dxa"/>
            <w:vAlign w:val="bottom"/>
            <w:tcBorders>
              <w:bottom w:val="single" w:sz="8" w:color="0063A6"/>
            </w:tcBorders>
          </w:tcPr>
          <w:p>
            <w:pPr>
              <w:spacing w:after="0" w:line="20" w:lineRule="exact"/>
              <w:rPr>
                <w:sz w:val="1"/>
                <w:szCs w:val="1"/>
                <w:color w:val="auto"/>
              </w:rPr>
            </w:pPr>
          </w:p>
        </w:tc>
        <w:tc>
          <w:tcPr>
            <w:tcW w:w="140" w:type="dxa"/>
            <w:vAlign w:val="bottom"/>
            <w:tcBorders>
              <w:bottom w:val="single" w:sz="8" w:color="0063A6"/>
            </w:tcBorders>
          </w:tcPr>
          <w:p>
            <w:pPr>
              <w:spacing w:after="0" w:line="20" w:lineRule="exact"/>
              <w:rPr>
                <w:sz w:val="1"/>
                <w:szCs w:val="1"/>
                <w:color w:val="auto"/>
              </w:rPr>
            </w:pPr>
          </w:p>
        </w:tc>
        <w:tc>
          <w:tcPr>
            <w:tcW w:w="1440" w:type="dxa"/>
            <w:vAlign w:val="bottom"/>
            <w:tcBorders>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80" w:type="dxa"/>
            <w:vAlign w:val="bottom"/>
            <w:gridSpan w:val="12"/>
          </w:tcPr>
          <w:p>
            <w:pPr>
              <w:spacing w:after="0" w:line="116" w:lineRule="exact"/>
              <w:rPr>
                <w:sz w:val="20"/>
                <w:szCs w:val="20"/>
                <w:color w:val="auto"/>
              </w:rPr>
            </w:pPr>
            <w:r>
              <w:rPr>
                <w:rFonts w:ascii="Arial" w:cs="Arial" w:eastAsia="Arial" w:hAnsi="Arial"/>
                <w:sz w:val="13"/>
                <w:szCs w:val="13"/>
                <w:b w:val="1"/>
                <w:bCs w:val="1"/>
                <w:color w:val="0000EE"/>
              </w:rPr>
              <w:t>Compensation Discussion and Analysis</w:t>
            </w:r>
          </w:p>
        </w:tc>
        <w:tc>
          <w:tcPr>
            <w:tcW w:w="100" w:type="dxa"/>
            <w:vAlign w:val="bottom"/>
            <w:gridSpan w:val="2"/>
          </w:tcPr>
          <w:p>
            <w:pPr>
              <w:jc w:val="right"/>
              <w:ind w:right="20"/>
              <w:spacing w:after="0"/>
              <w:rPr>
                <w:sz w:val="20"/>
                <w:szCs w:val="20"/>
                <w:color w:val="auto"/>
              </w:rPr>
            </w:pPr>
            <w:r>
              <w:rPr>
                <w:rFonts w:ascii="Arial" w:cs="Arial" w:eastAsia="Arial" w:hAnsi="Arial"/>
                <w:sz w:val="6"/>
                <w:szCs w:val="6"/>
                <w:b w:val="1"/>
                <w:bCs w:val="1"/>
                <w:color w:val="0000EE"/>
                <w:w w:val="89"/>
              </w:rPr>
              <w:t>26</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6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46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480" w:type="dxa"/>
            <w:vAlign w:val="bottom"/>
            <w:tcBorders>
              <w:top w:val="single" w:sz="8" w:color="0000EE"/>
              <w:bottom w:val="single" w:sz="8" w:color="0063A6"/>
            </w:tcBorders>
          </w:tcPr>
          <w:p>
            <w:pPr>
              <w:spacing w:after="0" w:line="20" w:lineRule="exact"/>
              <w:rPr>
                <w:sz w:val="1"/>
                <w:szCs w:val="1"/>
                <w:color w:val="auto"/>
              </w:rPr>
            </w:pPr>
          </w:p>
        </w:tc>
        <w:tc>
          <w:tcPr>
            <w:tcW w:w="340" w:type="dxa"/>
            <w:vAlign w:val="bottom"/>
            <w:tcBorders>
              <w:bottom w:val="single" w:sz="8" w:color="0063A6"/>
            </w:tcBorders>
          </w:tcPr>
          <w:p>
            <w:pPr>
              <w:spacing w:after="0" w:line="20" w:lineRule="exact"/>
              <w:rPr>
                <w:sz w:val="1"/>
                <w:szCs w:val="1"/>
                <w:color w:val="auto"/>
              </w:rPr>
            </w:pPr>
          </w:p>
        </w:tc>
        <w:tc>
          <w:tcPr>
            <w:tcW w:w="140" w:type="dxa"/>
            <w:vAlign w:val="bottom"/>
            <w:tcBorders>
              <w:bottom w:val="single" w:sz="8" w:color="0063A6"/>
            </w:tcBorders>
          </w:tcPr>
          <w:p>
            <w:pPr>
              <w:spacing w:after="0" w:line="20" w:lineRule="exact"/>
              <w:rPr>
                <w:sz w:val="1"/>
                <w:szCs w:val="1"/>
                <w:color w:val="auto"/>
              </w:rPr>
            </w:pPr>
          </w:p>
        </w:tc>
        <w:tc>
          <w:tcPr>
            <w:tcW w:w="1440" w:type="dxa"/>
            <w:vAlign w:val="bottom"/>
            <w:tcBorders>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 w:type="dxa"/>
            <w:vAlign w:val="bottom"/>
            <w:tcBorders>
              <w:bottom w:val="single" w:sz="8" w:color="5D6673"/>
            </w:tcBorders>
          </w:tcPr>
          <w:p>
            <w:pPr>
              <w:spacing w:after="0"/>
              <w:rPr>
                <w:sz w:val="10"/>
                <w:szCs w:val="10"/>
                <w:color w:val="auto"/>
              </w:rPr>
            </w:pPr>
          </w:p>
        </w:tc>
        <w:tc>
          <w:tcPr>
            <w:tcW w:w="4200" w:type="dxa"/>
            <w:vAlign w:val="bottom"/>
            <w:tcBorders>
              <w:bottom w:val="single" w:sz="8" w:color="5D6673"/>
            </w:tcBorders>
            <w:gridSpan w:val="11"/>
          </w:tcPr>
          <w:p>
            <w:pPr>
              <w:spacing w:after="0" w:line="116" w:lineRule="exact"/>
              <w:rPr>
                <w:sz w:val="20"/>
                <w:szCs w:val="20"/>
                <w:color w:val="auto"/>
              </w:rPr>
            </w:pPr>
            <w:r>
              <w:rPr>
                <w:rFonts w:ascii="Arial" w:cs="Arial" w:eastAsia="Arial" w:hAnsi="Arial"/>
                <w:sz w:val="13"/>
                <w:szCs w:val="13"/>
                <w:color w:val="0000EE"/>
              </w:rPr>
              <w:t>Executive Summary</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26</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4020" w:type="dxa"/>
            <w:vAlign w:val="bottom"/>
            <w:tcBorders>
              <w:bottom w:val="single" w:sz="8" w:color="5D6673"/>
            </w:tcBorders>
            <w:gridSpan w:val="10"/>
          </w:tcPr>
          <w:p>
            <w:pPr>
              <w:spacing w:after="0" w:line="135" w:lineRule="exact"/>
              <w:rPr>
                <w:sz w:val="20"/>
                <w:szCs w:val="20"/>
                <w:color w:val="auto"/>
              </w:rPr>
            </w:pPr>
            <w:r>
              <w:rPr>
                <w:rFonts w:ascii="Arial" w:cs="Arial" w:eastAsia="Arial" w:hAnsi="Arial"/>
                <w:sz w:val="13"/>
                <w:szCs w:val="13"/>
                <w:color w:val="0000EE"/>
              </w:rPr>
              <w:t>Business Performance</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26</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4020" w:type="dxa"/>
            <w:vAlign w:val="bottom"/>
            <w:tcBorders>
              <w:bottom w:val="single" w:sz="8" w:color="5D6673"/>
            </w:tcBorders>
            <w:gridSpan w:val="10"/>
          </w:tcPr>
          <w:p>
            <w:pPr>
              <w:spacing w:after="0" w:line="135" w:lineRule="exact"/>
              <w:rPr>
                <w:sz w:val="20"/>
                <w:szCs w:val="20"/>
                <w:color w:val="auto"/>
              </w:rPr>
            </w:pPr>
            <w:r>
              <w:rPr>
                <w:rFonts w:ascii="Arial" w:cs="Arial" w:eastAsia="Arial" w:hAnsi="Arial"/>
                <w:sz w:val="13"/>
                <w:szCs w:val="13"/>
                <w:color w:val="0000EE"/>
              </w:rPr>
              <w:t>Compensation Highlights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27</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4020" w:type="dxa"/>
            <w:vAlign w:val="bottom"/>
            <w:tcBorders>
              <w:bottom w:val="single" w:sz="8" w:color="5D6673"/>
            </w:tcBorders>
            <w:gridSpan w:val="10"/>
          </w:tcPr>
          <w:p>
            <w:pPr>
              <w:spacing w:after="0" w:line="135" w:lineRule="exact"/>
              <w:rPr>
                <w:sz w:val="20"/>
                <w:szCs w:val="20"/>
                <w:color w:val="auto"/>
              </w:rPr>
            </w:pPr>
            <w:r>
              <w:rPr>
                <w:rFonts w:ascii="Arial" w:cs="Arial" w:eastAsia="Arial" w:hAnsi="Arial"/>
                <w:sz w:val="13"/>
                <w:szCs w:val="13"/>
                <w:color w:val="0000EE"/>
              </w:rPr>
              <w:t>Best Compensation Practices &amp; Policies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27</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4020" w:type="dxa"/>
            <w:vAlign w:val="bottom"/>
            <w:tcBorders>
              <w:bottom w:val="single" w:sz="8" w:color="5D6673"/>
            </w:tcBorders>
            <w:gridSpan w:val="10"/>
          </w:tcPr>
          <w:p>
            <w:pPr>
              <w:spacing w:after="0" w:line="135" w:lineRule="exact"/>
              <w:rPr>
                <w:sz w:val="20"/>
                <w:szCs w:val="20"/>
                <w:color w:val="auto"/>
              </w:rPr>
            </w:pPr>
            <w:r>
              <w:rPr>
                <w:rFonts w:ascii="Arial" w:cs="Arial" w:eastAsia="Arial" w:hAnsi="Arial"/>
                <w:sz w:val="13"/>
                <w:szCs w:val="13"/>
                <w:color w:val="0000EE"/>
              </w:rPr>
              <w:t>2025 Say-on-Pay &amp; Shareholder Engagement</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28</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200" w:type="dxa"/>
            <w:vAlign w:val="bottom"/>
            <w:tcBorders>
              <w:bottom w:val="single" w:sz="8" w:color="5D6673"/>
            </w:tcBorders>
            <w:gridSpan w:val="11"/>
          </w:tcPr>
          <w:p>
            <w:pPr>
              <w:spacing w:after="0" w:line="135" w:lineRule="exact"/>
              <w:rPr>
                <w:sz w:val="20"/>
                <w:szCs w:val="20"/>
                <w:color w:val="auto"/>
              </w:rPr>
            </w:pPr>
            <w:r>
              <w:rPr>
                <w:rFonts w:ascii="Arial" w:cs="Arial" w:eastAsia="Arial" w:hAnsi="Arial"/>
                <w:sz w:val="13"/>
                <w:szCs w:val="13"/>
                <w:color w:val="0000EE"/>
              </w:rPr>
              <w:t>What Guides Our Program</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28</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4020" w:type="dxa"/>
            <w:vAlign w:val="bottom"/>
            <w:tcBorders>
              <w:bottom w:val="single" w:sz="8" w:color="5D6673"/>
            </w:tcBorders>
            <w:gridSpan w:val="10"/>
          </w:tcPr>
          <w:p>
            <w:pPr>
              <w:spacing w:after="0" w:line="135" w:lineRule="exact"/>
              <w:rPr>
                <w:sz w:val="20"/>
                <w:szCs w:val="20"/>
                <w:color w:val="auto"/>
              </w:rPr>
            </w:pPr>
            <w:r>
              <w:rPr>
                <w:rFonts w:ascii="Arial" w:cs="Arial" w:eastAsia="Arial" w:hAnsi="Arial"/>
                <w:sz w:val="13"/>
                <w:szCs w:val="13"/>
                <w:color w:val="0000EE"/>
              </w:rPr>
              <w:t>Our Compensation Philosophy &amp; Objectives</w:t>
            </w:r>
          </w:p>
        </w:tc>
        <w:tc>
          <w:tcPr>
            <w:tcW w:w="100" w:type="dxa"/>
            <w:vAlign w:val="bottom"/>
            <w:tcBorders>
              <w:bottom w:val="single" w:sz="8" w:color="5D6673"/>
            </w:tcBorders>
            <w:gridSpan w:val="2"/>
          </w:tcPr>
          <w:p>
            <w:pPr>
              <w:jc w:val="right"/>
              <w:ind w:right="20"/>
              <w:spacing w:after="0"/>
              <w:rPr>
                <w:sz w:val="20"/>
                <w:szCs w:val="20"/>
                <w:color w:val="auto"/>
              </w:rPr>
            </w:pPr>
            <w:r>
              <w:rPr>
                <w:rFonts w:ascii="Arial" w:cs="Arial" w:eastAsia="Arial" w:hAnsi="Arial"/>
                <w:sz w:val="6"/>
                <w:szCs w:val="6"/>
                <w:color w:val="0000EE"/>
                <w:w w:val="89"/>
              </w:rPr>
              <w:t>28</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20" w:type="dxa"/>
            <w:vAlign w:val="bottom"/>
            <w:gridSpan w:val="10"/>
          </w:tcPr>
          <w:p>
            <w:pPr>
              <w:spacing w:after="0" w:line="135" w:lineRule="exact"/>
              <w:rPr>
                <w:sz w:val="20"/>
                <w:szCs w:val="20"/>
                <w:color w:val="auto"/>
              </w:rPr>
            </w:pPr>
            <w:r>
              <w:rPr>
                <w:rFonts w:ascii="Arial" w:cs="Arial" w:eastAsia="Arial" w:hAnsi="Arial"/>
                <w:sz w:val="13"/>
                <w:szCs w:val="13"/>
                <w:color w:val="0000EE"/>
              </w:rPr>
              <w:t>The Principal Elements of Pay: Total Direct</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6"/>
                <w:szCs w:val="6"/>
                <w:color w:val="0000EE"/>
                <w:w w:val="89"/>
              </w:rPr>
              <w:t>29</w:t>
            </w:r>
          </w:p>
        </w:tc>
        <w:tc>
          <w:tcPr>
            <w:tcW w:w="0" w:type="dxa"/>
            <w:vAlign w:val="bottom"/>
          </w:tcPr>
          <w:p>
            <w:pPr>
              <w:spacing w:after="0"/>
              <w:rPr>
                <w:sz w:val="1"/>
                <w:szCs w:val="1"/>
                <w:color w:val="auto"/>
              </w:rPr>
            </w:pPr>
          </w:p>
        </w:tc>
      </w:tr>
      <w:tr>
        <w:trPr>
          <w:trHeight w:val="149"/>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2440" w:type="dxa"/>
            <w:vAlign w:val="bottom"/>
            <w:tcBorders>
              <w:top w:val="single" w:sz="8" w:color="0000EE"/>
              <w:bottom w:val="single" w:sz="8" w:color="5D6673"/>
            </w:tcBorders>
            <w:gridSpan w:val="8"/>
          </w:tcPr>
          <w:p>
            <w:pPr>
              <w:spacing w:after="0" w:line="129" w:lineRule="exact"/>
              <w:rPr>
                <w:sz w:val="20"/>
                <w:szCs w:val="20"/>
                <w:color w:val="auto"/>
              </w:rPr>
            </w:pPr>
            <w:r>
              <w:rPr>
                <w:rFonts w:ascii="Arial" w:cs="Arial" w:eastAsia="Arial" w:hAnsi="Arial"/>
                <w:sz w:val="13"/>
                <w:szCs w:val="13"/>
                <w:color w:val="0000EE"/>
              </w:rPr>
              <w:t>Compensation (TDC)</w:t>
            </w:r>
          </w:p>
        </w:tc>
        <w:tc>
          <w:tcPr>
            <w:tcW w:w="1580" w:type="dxa"/>
            <w:vAlign w:val="bottom"/>
            <w:tcBorders>
              <w:bottom w:val="single" w:sz="8" w:color="5D6673"/>
            </w:tcBorders>
            <w:gridSpan w:val="2"/>
          </w:tcPr>
          <w:p>
            <w:pPr>
              <w:spacing w:after="0"/>
              <w:rPr>
                <w:sz w:val="12"/>
                <w:szCs w:val="12"/>
                <w:color w:val="auto"/>
              </w:rPr>
            </w:pPr>
          </w:p>
        </w:tc>
        <w:tc>
          <w:tcPr>
            <w:tcW w:w="100" w:type="dxa"/>
            <w:vAlign w:val="bottom"/>
            <w:tcBorders>
              <w:bottom w:val="single" w:sz="8" w:color="5D6673"/>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-3676650</wp:posOffset>
            </wp:positionV>
            <wp:extent cx="1680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-3685540</wp:posOffset>
            </wp:positionV>
            <wp:extent cx="457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2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-1276350</wp:posOffset>
            </wp:positionV>
            <wp:extent cx="21475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757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-1182370</wp:posOffset>
            </wp:positionV>
            <wp:extent cx="1233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380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-1182370</wp:posOffset>
            </wp:positionV>
            <wp:extent cx="91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80" w:type="dxa"/>
            <w:vAlign w:val="bottom"/>
            <w:tcBorders>
              <w:bottom w:val="single" w:sz="8" w:color="5D6673"/>
            </w:tcBorders>
          </w:tcPr>
          <w:p>
            <w:pPr>
              <w:spacing w:after="0"/>
              <w:rPr>
                <w:sz w:val="13"/>
                <w:szCs w:val="13"/>
                <w:color w:val="auto"/>
              </w:rPr>
            </w:pPr>
          </w:p>
        </w:tc>
        <w:tc>
          <w:tcPr>
            <w:tcW w:w="180" w:type="dxa"/>
            <w:vAlign w:val="bottom"/>
            <w:tcBorders>
              <w:bottom w:val="single" w:sz="8" w:color="5D6673"/>
            </w:tcBorders>
          </w:tcPr>
          <w:p>
            <w:pPr>
              <w:spacing w:after="0"/>
              <w:rPr>
                <w:sz w:val="13"/>
                <w:szCs w:val="13"/>
                <w:color w:val="auto"/>
              </w:rPr>
            </w:pPr>
          </w:p>
        </w:tc>
        <w:tc>
          <w:tcPr>
            <w:tcW w:w="3880" w:type="dxa"/>
            <w:vAlign w:val="bottom"/>
            <w:tcBorders>
              <w:bottom w:val="single" w:sz="8" w:color="5D6673"/>
            </w:tcBorders>
            <w:gridSpan w:val="17"/>
          </w:tcPr>
          <w:p>
            <w:pPr>
              <w:spacing w:after="0"/>
              <w:rPr>
                <w:sz w:val="20"/>
                <w:szCs w:val="20"/>
                <w:color w:val="auto"/>
              </w:rPr>
            </w:pPr>
            <w:r>
              <w:rPr>
                <w:rFonts w:ascii="Arial" w:cs="Arial" w:eastAsia="Arial" w:hAnsi="Arial"/>
                <w:sz w:val="13"/>
                <w:szCs w:val="13"/>
                <w:color w:val="0000EE"/>
              </w:rPr>
              <w:t>Linking Pay and Performance</w:t>
            </w:r>
          </w:p>
        </w:tc>
        <w:tc>
          <w:tcPr>
            <w:tcW w:w="220" w:type="dxa"/>
            <w:vAlign w:val="bottom"/>
            <w:tcBorders>
              <w:bottom w:val="single" w:sz="8" w:color="5D6673"/>
            </w:tcBorders>
            <w:gridSpan w:val="3"/>
          </w:tcPr>
          <w:p>
            <w:pPr>
              <w:jc w:val="right"/>
              <w:ind w:right="20"/>
              <w:spacing w:after="0"/>
              <w:rPr>
                <w:sz w:val="20"/>
                <w:szCs w:val="20"/>
                <w:color w:val="auto"/>
              </w:rPr>
            </w:pPr>
            <w:r>
              <w:rPr>
                <w:rFonts w:ascii="Arial" w:cs="Arial" w:eastAsia="Arial" w:hAnsi="Arial"/>
                <w:sz w:val="13"/>
                <w:szCs w:val="13"/>
                <w:color w:val="0000EE"/>
              </w:rPr>
              <w:t>30</w:t>
            </w:r>
          </w:p>
        </w:tc>
        <w:tc>
          <w:tcPr>
            <w:tcW w:w="2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Our Decision-Making Process</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30</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The 2025 Executive Compensation Program in Detail</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880" w:type="dxa"/>
            <w:vAlign w:val="bottom"/>
            <w:tcBorders>
              <w:bottom w:val="single" w:sz="8" w:color="5D6673"/>
            </w:tcBorders>
            <w:gridSpan w:val="17"/>
          </w:tcPr>
          <w:p>
            <w:pPr>
              <w:spacing w:after="0" w:line="135" w:lineRule="exact"/>
              <w:rPr>
                <w:sz w:val="20"/>
                <w:szCs w:val="20"/>
                <w:color w:val="auto"/>
              </w:rPr>
            </w:pPr>
            <w:r>
              <w:rPr>
                <w:rFonts w:ascii="Arial" w:cs="Arial" w:eastAsia="Arial" w:hAnsi="Arial"/>
                <w:sz w:val="13"/>
                <w:szCs w:val="13"/>
                <w:color w:val="0000EE"/>
              </w:rPr>
              <w:t>Base Salary</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880" w:type="dxa"/>
            <w:vAlign w:val="bottom"/>
            <w:tcBorders>
              <w:bottom w:val="single" w:sz="8" w:color="5D6673"/>
            </w:tcBorders>
            <w:gridSpan w:val="17"/>
          </w:tcPr>
          <w:p>
            <w:pPr>
              <w:spacing w:after="0" w:line="135" w:lineRule="exact"/>
              <w:rPr>
                <w:sz w:val="20"/>
                <w:szCs w:val="20"/>
                <w:color w:val="auto"/>
              </w:rPr>
            </w:pPr>
            <w:r>
              <w:rPr>
                <w:rFonts w:ascii="Arial" w:cs="Arial" w:eastAsia="Arial" w:hAnsi="Arial"/>
                <w:sz w:val="13"/>
                <w:szCs w:val="13"/>
                <w:color w:val="0000EE"/>
              </w:rPr>
              <w:t>Annual Cash Incentives: The Itron Incentive Plan (IIP)</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80" w:type="dxa"/>
            <w:vAlign w:val="bottom"/>
            <w:gridSpan w:val="17"/>
          </w:tcPr>
          <w:p>
            <w:pPr>
              <w:spacing w:after="0" w:line="135" w:lineRule="exact"/>
              <w:rPr>
                <w:sz w:val="20"/>
                <w:szCs w:val="20"/>
                <w:color w:val="auto"/>
              </w:rPr>
            </w:pPr>
            <w:r>
              <w:rPr>
                <w:rFonts w:ascii="Arial" w:cs="Arial" w:eastAsia="Arial" w:hAnsi="Arial"/>
                <w:sz w:val="13"/>
                <w:szCs w:val="13"/>
                <w:color w:val="0000EE"/>
              </w:rPr>
              <w:t>Long-Term Equity Incentive: The Long-Term</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0000EE"/>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Borders>
              <w:bottom w:val="single" w:sz="8" w:color="5D6673"/>
            </w:tcBorders>
          </w:tcPr>
          <w:p>
            <w:pPr>
              <w:spacing w:after="0"/>
              <w:rPr>
                <w:sz w:val="11"/>
                <w:szCs w:val="11"/>
                <w:color w:val="auto"/>
              </w:rPr>
            </w:pPr>
          </w:p>
        </w:tc>
        <w:tc>
          <w:tcPr>
            <w:tcW w:w="180" w:type="dxa"/>
            <w:vAlign w:val="bottom"/>
            <w:tcBorders>
              <w:bottom w:val="single" w:sz="8" w:color="5D6673"/>
            </w:tcBorders>
          </w:tcPr>
          <w:p>
            <w:pPr>
              <w:spacing w:after="0"/>
              <w:rPr>
                <w:sz w:val="11"/>
                <w:szCs w:val="11"/>
                <w:color w:val="auto"/>
              </w:rPr>
            </w:pPr>
          </w:p>
        </w:tc>
        <w:tc>
          <w:tcPr>
            <w:tcW w:w="2520" w:type="dxa"/>
            <w:vAlign w:val="bottom"/>
            <w:tcBorders>
              <w:top w:val="single" w:sz="8" w:color="0000EE"/>
              <w:bottom w:val="single" w:sz="8" w:color="5D6673"/>
            </w:tcBorders>
            <w:gridSpan w:val="10"/>
          </w:tcPr>
          <w:p>
            <w:pPr>
              <w:spacing w:after="0" w:line="129" w:lineRule="exact"/>
              <w:rPr>
                <w:sz w:val="20"/>
                <w:szCs w:val="20"/>
                <w:color w:val="auto"/>
              </w:rPr>
            </w:pPr>
            <w:r>
              <w:rPr>
                <w:rFonts w:ascii="Arial" w:cs="Arial" w:eastAsia="Arial" w:hAnsi="Arial"/>
                <w:sz w:val="13"/>
                <w:szCs w:val="13"/>
                <w:color w:val="0000EE"/>
              </w:rPr>
              <w:t>Incentive Plan (LTIP)</w:t>
            </w:r>
          </w:p>
        </w:tc>
        <w:tc>
          <w:tcPr>
            <w:tcW w:w="20" w:type="dxa"/>
            <w:vAlign w:val="bottom"/>
            <w:tcBorders>
              <w:bottom w:val="single" w:sz="8" w:color="5D6673"/>
            </w:tcBorders>
          </w:tcPr>
          <w:p>
            <w:pPr>
              <w:spacing w:after="0"/>
              <w:rPr>
                <w:sz w:val="11"/>
                <w:szCs w:val="11"/>
                <w:color w:val="auto"/>
              </w:rPr>
            </w:pPr>
          </w:p>
        </w:tc>
        <w:tc>
          <w:tcPr>
            <w:tcW w:w="160" w:type="dxa"/>
            <w:vAlign w:val="bottom"/>
            <w:tcBorders>
              <w:bottom w:val="single" w:sz="8" w:color="5D6673"/>
            </w:tcBorders>
          </w:tcPr>
          <w:p>
            <w:pPr>
              <w:spacing w:after="0"/>
              <w:rPr>
                <w:sz w:val="11"/>
                <w:szCs w:val="11"/>
                <w:color w:val="auto"/>
              </w:rPr>
            </w:pPr>
          </w:p>
        </w:tc>
        <w:tc>
          <w:tcPr>
            <w:tcW w:w="80" w:type="dxa"/>
            <w:vAlign w:val="bottom"/>
            <w:tcBorders>
              <w:bottom w:val="single" w:sz="8" w:color="5D6673"/>
            </w:tcBorders>
          </w:tcPr>
          <w:p>
            <w:pPr>
              <w:spacing w:after="0"/>
              <w:rPr>
                <w:sz w:val="11"/>
                <w:szCs w:val="11"/>
                <w:color w:val="auto"/>
              </w:rPr>
            </w:pPr>
          </w:p>
        </w:tc>
        <w:tc>
          <w:tcPr>
            <w:tcW w:w="840" w:type="dxa"/>
            <w:vAlign w:val="bottom"/>
            <w:tcBorders>
              <w:bottom w:val="single" w:sz="8" w:color="5D6673"/>
            </w:tcBorders>
          </w:tcPr>
          <w:p>
            <w:pPr>
              <w:spacing w:after="0"/>
              <w:rPr>
                <w:sz w:val="11"/>
                <w:szCs w:val="11"/>
                <w:color w:val="auto"/>
              </w:rPr>
            </w:pPr>
          </w:p>
        </w:tc>
        <w:tc>
          <w:tcPr>
            <w:tcW w:w="60" w:type="dxa"/>
            <w:vAlign w:val="bottom"/>
            <w:tcBorders>
              <w:bottom w:val="single" w:sz="8" w:color="5D6673"/>
            </w:tcBorders>
          </w:tcPr>
          <w:p>
            <w:pPr>
              <w:spacing w:after="0"/>
              <w:rPr>
                <w:sz w:val="11"/>
                <w:szCs w:val="11"/>
                <w:color w:val="auto"/>
              </w:rPr>
            </w:pPr>
          </w:p>
        </w:tc>
        <w:tc>
          <w:tcPr>
            <w:tcW w:w="100" w:type="dxa"/>
            <w:vAlign w:val="bottom"/>
            <w:tcBorders>
              <w:bottom w:val="single" w:sz="8" w:color="5D6673"/>
            </w:tcBorders>
          </w:tcPr>
          <w:p>
            <w:pPr>
              <w:spacing w:after="0"/>
              <w:rPr>
                <w:sz w:val="11"/>
                <w:szCs w:val="11"/>
                <w:color w:val="auto"/>
              </w:rPr>
            </w:pPr>
          </w:p>
        </w:tc>
        <w:tc>
          <w:tcPr>
            <w:tcW w:w="100" w:type="dxa"/>
            <w:vAlign w:val="bottom"/>
            <w:tcBorders>
              <w:bottom w:val="single" w:sz="8" w:color="5D6673"/>
            </w:tcBorders>
          </w:tcPr>
          <w:p>
            <w:pPr>
              <w:spacing w:after="0"/>
              <w:rPr>
                <w:sz w:val="11"/>
                <w:szCs w:val="11"/>
                <w:color w:val="auto"/>
              </w:rPr>
            </w:pPr>
          </w:p>
        </w:tc>
        <w:tc>
          <w:tcPr>
            <w:tcW w:w="220" w:type="dxa"/>
            <w:vAlign w:val="bottom"/>
            <w:tcBorders>
              <w:bottom w:val="single" w:sz="8" w:color="5D6673"/>
            </w:tcBorders>
            <w:gridSpan w:val="3"/>
            <w:vMerge w:val="continue"/>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19"/>
          </w:tcPr>
          <w:p>
            <w:pPr>
              <w:spacing w:after="0" w:line="135" w:lineRule="exact"/>
              <w:rPr>
                <w:sz w:val="20"/>
                <w:szCs w:val="20"/>
                <w:color w:val="auto"/>
              </w:rPr>
            </w:pPr>
            <w:r>
              <w:rPr>
                <w:rFonts w:ascii="Arial" w:cs="Arial" w:eastAsia="Arial" w:hAnsi="Arial"/>
                <w:sz w:val="13"/>
                <w:szCs w:val="13"/>
                <w:b w:val="1"/>
                <w:bCs w:val="1"/>
                <w:color w:val="0000EE"/>
              </w:rPr>
              <w:t>Other Practices, Policies and Guidelines</w:t>
            </w:r>
          </w:p>
        </w:tc>
        <w:tc>
          <w:tcPr>
            <w:tcW w:w="22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0000EE"/>
              </w:rPr>
              <w:t>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58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 w:type="dxa"/>
            <w:vAlign w:val="bottom"/>
            <w:tcBorders>
              <w:bottom w:val="single" w:sz="8" w:color="5D6673"/>
            </w:tcBorders>
          </w:tcPr>
          <w:p>
            <w:pPr>
              <w:spacing w:after="0"/>
              <w:rPr>
                <w:sz w:val="10"/>
                <w:szCs w:val="10"/>
                <w:color w:val="auto"/>
              </w:rPr>
            </w:pPr>
          </w:p>
        </w:tc>
        <w:tc>
          <w:tcPr>
            <w:tcW w:w="4060" w:type="dxa"/>
            <w:vAlign w:val="bottom"/>
            <w:tcBorders>
              <w:bottom w:val="single" w:sz="8" w:color="5D6673"/>
            </w:tcBorders>
            <w:gridSpan w:val="18"/>
          </w:tcPr>
          <w:p>
            <w:pPr>
              <w:spacing w:after="0" w:line="116" w:lineRule="exact"/>
              <w:rPr>
                <w:sz w:val="20"/>
                <w:szCs w:val="20"/>
                <w:color w:val="auto"/>
              </w:rPr>
            </w:pPr>
            <w:r>
              <w:rPr>
                <w:rFonts w:ascii="Arial" w:cs="Arial" w:eastAsia="Arial" w:hAnsi="Arial"/>
                <w:sz w:val="13"/>
                <w:szCs w:val="13"/>
                <w:color w:val="0000EE"/>
              </w:rPr>
              <w:t>Stock Ownership Guidelines</w:t>
            </w:r>
          </w:p>
        </w:tc>
        <w:tc>
          <w:tcPr>
            <w:tcW w:w="22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rPr>
              <w:t>38</w:t>
            </w:r>
          </w:p>
        </w:tc>
        <w:tc>
          <w:tcPr>
            <w:tcW w:w="20" w:type="dxa"/>
            <w:vAlign w:val="bottom"/>
            <w:tcBorders>
              <w:bottom w:val="single" w:sz="8" w:color="5D6673"/>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Anti-Hedging and Anti-Pledging Policy</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38</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Change-in-Control Agreements</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38</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Employment Agreements; Severance Policy</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38</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Incentive Compensation Recovery (Clawback) Policy</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38</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Executive Deferred Compensation Plan</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39</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General Benefits and Perquisites</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39</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401(k) Plan and Employee Stock Purchase Plan</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39</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Impact of Tax and Accounting</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39</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19"/>
          </w:tcPr>
          <w:p>
            <w:pPr>
              <w:spacing w:after="0" w:line="135" w:lineRule="exact"/>
              <w:rPr>
                <w:sz w:val="20"/>
                <w:szCs w:val="20"/>
                <w:color w:val="auto"/>
              </w:rPr>
            </w:pPr>
            <w:r>
              <w:rPr>
                <w:rFonts w:ascii="Arial" w:cs="Arial" w:eastAsia="Arial" w:hAnsi="Arial"/>
                <w:sz w:val="13"/>
                <w:szCs w:val="13"/>
                <w:b w:val="1"/>
                <w:bCs w:val="1"/>
                <w:color w:val="0000EE"/>
              </w:rPr>
              <w:t>Compensation Committee Report</w:t>
            </w:r>
          </w:p>
        </w:tc>
        <w:tc>
          <w:tcPr>
            <w:tcW w:w="22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0000EE"/>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58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19"/>
          </w:tcPr>
          <w:p>
            <w:pPr>
              <w:spacing w:after="0" w:line="116" w:lineRule="exact"/>
              <w:rPr>
                <w:sz w:val="20"/>
                <w:szCs w:val="20"/>
                <w:color w:val="auto"/>
              </w:rPr>
            </w:pPr>
            <w:r>
              <w:rPr>
                <w:rFonts w:ascii="Arial" w:cs="Arial" w:eastAsia="Arial" w:hAnsi="Arial"/>
                <w:sz w:val="13"/>
                <w:szCs w:val="13"/>
                <w:b w:val="1"/>
                <w:bCs w:val="1"/>
                <w:color w:val="0000EE"/>
              </w:rPr>
              <w:t>Executive Compensation Tables</w:t>
            </w:r>
          </w:p>
        </w:tc>
        <w:tc>
          <w:tcPr>
            <w:tcW w:w="220" w:type="dxa"/>
            <w:vAlign w:val="bottom"/>
            <w:gridSpan w:val="3"/>
          </w:tcPr>
          <w:p>
            <w:pPr>
              <w:jc w:val="right"/>
              <w:ind w:right="20"/>
              <w:spacing w:after="0" w:line="116" w:lineRule="exact"/>
              <w:rPr>
                <w:sz w:val="20"/>
                <w:szCs w:val="20"/>
                <w:color w:val="auto"/>
              </w:rPr>
            </w:pPr>
            <w:r>
              <w:rPr>
                <w:rFonts w:ascii="Arial" w:cs="Arial" w:eastAsia="Arial" w:hAnsi="Arial"/>
                <w:sz w:val="13"/>
                <w:szCs w:val="13"/>
                <w:b w:val="1"/>
                <w:bCs w:val="1"/>
                <w:color w:val="0000EE"/>
              </w:rPr>
              <w:t>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58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 w:type="dxa"/>
            <w:vAlign w:val="bottom"/>
            <w:tcBorders>
              <w:bottom w:val="single" w:sz="8" w:color="5D6673"/>
            </w:tcBorders>
          </w:tcPr>
          <w:p>
            <w:pPr>
              <w:spacing w:after="0"/>
              <w:rPr>
                <w:sz w:val="10"/>
                <w:szCs w:val="10"/>
                <w:color w:val="auto"/>
              </w:rPr>
            </w:pPr>
          </w:p>
        </w:tc>
        <w:tc>
          <w:tcPr>
            <w:tcW w:w="4060" w:type="dxa"/>
            <w:vAlign w:val="bottom"/>
            <w:tcBorders>
              <w:bottom w:val="single" w:sz="8" w:color="5D6673"/>
            </w:tcBorders>
            <w:gridSpan w:val="18"/>
          </w:tcPr>
          <w:p>
            <w:pPr>
              <w:spacing w:after="0" w:line="116" w:lineRule="exact"/>
              <w:rPr>
                <w:sz w:val="20"/>
                <w:szCs w:val="20"/>
                <w:color w:val="auto"/>
              </w:rPr>
            </w:pPr>
            <w:r>
              <w:rPr>
                <w:rFonts w:ascii="Arial" w:cs="Arial" w:eastAsia="Arial" w:hAnsi="Arial"/>
                <w:sz w:val="13"/>
                <w:szCs w:val="13"/>
                <w:color w:val="0000EE"/>
              </w:rPr>
              <w:t>Summary Compensation Table</w:t>
            </w:r>
          </w:p>
        </w:tc>
        <w:tc>
          <w:tcPr>
            <w:tcW w:w="22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rPr>
              <w:t>41</w:t>
            </w:r>
          </w:p>
        </w:tc>
        <w:tc>
          <w:tcPr>
            <w:tcW w:w="20" w:type="dxa"/>
            <w:vAlign w:val="bottom"/>
            <w:tcBorders>
              <w:bottom w:val="single" w:sz="8" w:color="5D6673"/>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2025 Grants of Plan-Based Awards Table</w:t>
            </w:r>
          </w:p>
        </w:tc>
        <w:tc>
          <w:tcPr>
            <w:tcW w:w="22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rPr>
              <w:t>42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18"/>
          </w:tcPr>
          <w:p>
            <w:pPr>
              <w:spacing w:after="0" w:line="135" w:lineRule="exact"/>
              <w:rPr>
                <w:sz w:val="20"/>
                <w:szCs w:val="20"/>
                <w:color w:val="auto"/>
              </w:rPr>
            </w:pPr>
            <w:r>
              <w:rPr>
                <w:rFonts w:ascii="Arial" w:cs="Arial" w:eastAsia="Arial" w:hAnsi="Arial"/>
                <w:sz w:val="13"/>
                <w:szCs w:val="13"/>
                <w:color w:val="0000EE"/>
              </w:rPr>
              <w:t>2025 Outstanding Equity Awards at Fiscal Year-End</w:t>
            </w:r>
          </w:p>
        </w:tc>
        <w:tc>
          <w:tcPr>
            <w:tcW w:w="240" w:type="dxa"/>
            <w:vAlign w:val="bottom"/>
            <w:gridSpan w:val="4"/>
            <w:vMerge w:val="restart"/>
          </w:tcPr>
          <w:p>
            <w:pPr>
              <w:jc w:val="right"/>
              <w:ind w:right="20"/>
              <w:spacing w:after="0"/>
              <w:rPr>
                <w:sz w:val="20"/>
                <w:szCs w:val="20"/>
                <w:color w:val="auto"/>
              </w:rPr>
            </w:pPr>
            <w:r>
              <w:rPr>
                <w:rFonts w:ascii="Arial" w:cs="Arial" w:eastAsia="Arial" w:hAnsi="Arial"/>
                <w:sz w:val="13"/>
                <w:szCs w:val="13"/>
                <w:color w:val="0000EE"/>
              </w:rPr>
              <w:t>43</w:t>
            </w:r>
          </w:p>
        </w:tc>
        <w:tc>
          <w:tcPr>
            <w:tcW w:w="0" w:type="dxa"/>
            <w:vAlign w:val="bottom"/>
          </w:tcPr>
          <w:p>
            <w:pPr>
              <w:spacing w:after="0"/>
              <w:rPr>
                <w:sz w:val="1"/>
                <w:szCs w:val="1"/>
                <w:color w:val="auto"/>
              </w:rPr>
            </w:pPr>
          </w:p>
        </w:tc>
      </w:tr>
      <w:tr>
        <w:trPr>
          <w:trHeight w:val="136"/>
        </w:trPr>
        <w:tc>
          <w:tcPr>
            <w:tcW w:w="180" w:type="dxa"/>
            <w:vAlign w:val="bottom"/>
            <w:tcBorders>
              <w:bottom w:val="single" w:sz="8" w:color="5D6673"/>
            </w:tcBorders>
          </w:tcPr>
          <w:p>
            <w:pPr>
              <w:spacing w:after="0"/>
              <w:rPr>
                <w:sz w:val="11"/>
                <w:szCs w:val="11"/>
                <w:color w:val="auto"/>
              </w:rPr>
            </w:pPr>
          </w:p>
        </w:tc>
        <w:tc>
          <w:tcPr>
            <w:tcW w:w="560" w:type="dxa"/>
            <w:vAlign w:val="bottom"/>
            <w:tcBorders>
              <w:top w:val="single" w:sz="8" w:color="0000EE"/>
              <w:bottom w:val="single" w:sz="8" w:color="5D6673"/>
            </w:tcBorders>
            <w:gridSpan w:val="2"/>
          </w:tcPr>
          <w:p>
            <w:pPr>
              <w:spacing w:after="0" w:line="129" w:lineRule="exact"/>
              <w:rPr>
                <w:sz w:val="20"/>
                <w:szCs w:val="20"/>
                <w:color w:val="auto"/>
              </w:rPr>
            </w:pPr>
            <w:r>
              <w:rPr>
                <w:rFonts w:ascii="Arial" w:cs="Arial" w:eastAsia="Arial" w:hAnsi="Arial"/>
                <w:sz w:val="13"/>
                <w:szCs w:val="13"/>
                <w:color w:val="0000EE"/>
              </w:rPr>
              <w:t>Table</w:t>
            </w:r>
          </w:p>
        </w:tc>
        <w:tc>
          <w:tcPr>
            <w:tcW w:w="200" w:type="dxa"/>
            <w:vAlign w:val="bottom"/>
            <w:tcBorders>
              <w:top w:val="single" w:sz="8" w:color="0000EE"/>
              <w:bottom w:val="single" w:sz="8" w:color="5D6673"/>
            </w:tcBorders>
          </w:tcPr>
          <w:p>
            <w:pPr>
              <w:spacing w:after="0"/>
              <w:rPr>
                <w:sz w:val="11"/>
                <w:szCs w:val="11"/>
                <w:color w:val="auto"/>
              </w:rPr>
            </w:pPr>
          </w:p>
        </w:tc>
        <w:tc>
          <w:tcPr>
            <w:tcW w:w="400" w:type="dxa"/>
            <w:vAlign w:val="bottom"/>
            <w:tcBorders>
              <w:top w:val="single" w:sz="8" w:color="0000EE"/>
              <w:bottom w:val="single" w:sz="8" w:color="5D6673"/>
            </w:tcBorders>
          </w:tcPr>
          <w:p>
            <w:pPr>
              <w:spacing w:after="0"/>
              <w:rPr>
                <w:sz w:val="11"/>
                <w:szCs w:val="11"/>
                <w:color w:val="auto"/>
              </w:rPr>
            </w:pPr>
          </w:p>
        </w:tc>
        <w:tc>
          <w:tcPr>
            <w:tcW w:w="40" w:type="dxa"/>
            <w:vAlign w:val="bottom"/>
            <w:tcBorders>
              <w:top w:val="single" w:sz="8" w:color="0000EE"/>
              <w:bottom w:val="single" w:sz="8" w:color="5D6673"/>
            </w:tcBorders>
          </w:tcPr>
          <w:p>
            <w:pPr>
              <w:spacing w:after="0"/>
              <w:rPr>
                <w:sz w:val="11"/>
                <w:szCs w:val="11"/>
                <w:color w:val="auto"/>
              </w:rPr>
            </w:pPr>
          </w:p>
        </w:tc>
        <w:tc>
          <w:tcPr>
            <w:tcW w:w="580" w:type="dxa"/>
            <w:vAlign w:val="bottom"/>
            <w:tcBorders>
              <w:top w:val="single" w:sz="8" w:color="0000EE"/>
              <w:bottom w:val="single" w:sz="8" w:color="5D6673"/>
            </w:tcBorders>
          </w:tcPr>
          <w:p>
            <w:pPr>
              <w:spacing w:after="0"/>
              <w:rPr>
                <w:sz w:val="11"/>
                <w:szCs w:val="11"/>
                <w:color w:val="auto"/>
              </w:rPr>
            </w:pPr>
          </w:p>
        </w:tc>
        <w:tc>
          <w:tcPr>
            <w:tcW w:w="80" w:type="dxa"/>
            <w:vAlign w:val="bottom"/>
            <w:tcBorders>
              <w:top w:val="single" w:sz="8" w:color="0000EE"/>
              <w:bottom w:val="single" w:sz="8" w:color="5D6673"/>
            </w:tcBorders>
          </w:tcPr>
          <w:p>
            <w:pPr>
              <w:spacing w:after="0"/>
              <w:rPr>
                <w:sz w:val="11"/>
                <w:szCs w:val="11"/>
                <w:color w:val="auto"/>
              </w:rPr>
            </w:pPr>
          </w:p>
        </w:tc>
        <w:tc>
          <w:tcPr>
            <w:tcW w:w="380" w:type="dxa"/>
            <w:vAlign w:val="bottom"/>
            <w:tcBorders>
              <w:top w:val="single" w:sz="8" w:color="0000EE"/>
              <w:bottom w:val="single" w:sz="8" w:color="5D6673"/>
            </w:tcBorders>
          </w:tcPr>
          <w:p>
            <w:pPr>
              <w:spacing w:after="0"/>
              <w:rPr>
                <w:sz w:val="11"/>
                <w:szCs w:val="11"/>
                <w:color w:val="auto"/>
              </w:rPr>
            </w:pPr>
          </w:p>
        </w:tc>
        <w:tc>
          <w:tcPr>
            <w:tcW w:w="60" w:type="dxa"/>
            <w:vAlign w:val="bottom"/>
            <w:tcBorders>
              <w:top w:val="single" w:sz="8" w:color="0000EE"/>
              <w:bottom w:val="single" w:sz="8" w:color="5D6673"/>
            </w:tcBorders>
          </w:tcPr>
          <w:p>
            <w:pPr>
              <w:spacing w:after="0"/>
              <w:rPr>
                <w:sz w:val="11"/>
                <w:szCs w:val="11"/>
                <w:color w:val="auto"/>
              </w:rPr>
            </w:pPr>
          </w:p>
        </w:tc>
        <w:tc>
          <w:tcPr>
            <w:tcW w:w="240" w:type="dxa"/>
            <w:vAlign w:val="bottom"/>
            <w:tcBorders>
              <w:top w:val="single" w:sz="8" w:color="0000EE"/>
              <w:bottom w:val="single" w:sz="8" w:color="5D6673"/>
            </w:tcBorders>
          </w:tcPr>
          <w:p>
            <w:pPr>
              <w:spacing w:after="0"/>
              <w:rPr>
                <w:sz w:val="11"/>
                <w:szCs w:val="11"/>
                <w:color w:val="auto"/>
              </w:rPr>
            </w:pPr>
          </w:p>
        </w:tc>
        <w:tc>
          <w:tcPr>
            <w:tcW w:w="160" w:type="dxa"/>
            <w:vAlign w:val="bottom"/>
            <w:tcBorders>
              <w:top w:val="single" w:sz="8" w:color="0000EE"/>
              <w:bottom w:val="single" w:sz="8" w:color="5D6673"/>
            </w:tcBorders>
          </w:tcPr>
          <w:p>
            <w:pPr>
              <w:spacing w:after="0"/>
              <w:rPr>
                <w:sz w:val="11"/>
                <w:szCs w:val="11"/>
                <w:color w:val="auto"/>
              </w:rPr>
            </w:pPr>
          </w:p>
        </w:tc>
        <w:tc>
          <w:tcPr>
            <w:tcW w:w="20" w:type="dxa"/>
            <w:vAlign w:val="bottom"/>
            <w:tcBorders>
              <w:top w:val="single" w:sz="8" w:color="0000EE"/>
              <w:bottom w:val="single" w:sz="8" w:color="5D6673"/>
            </w:tcBorders>
          </w:tcPr>
          <w:p>
            <w:pPr>
              <w:spacing w:after="0"/>
              <w:rPr>
                <w:sz w:val="11"/>
                <w:szCs w:val="11"/>
                <w:color w:val="auto"/>
              </w:rPr>
            </w:pPr>
          </w:p>
        </w:tc>
        <w:tc>
          <w:tcPr>
            <w:tcW w:w="160" w:type="dxa"/>
            <w:vAlign w:val="bottom"/>
            <w:tcBorders>
              <w:top w:val="single" w:sz="8" w:color="0000EE"/>
              <w:bottom w:val="single" w:sz="8" w:color="5D6673"/>
            </w:tcBorders>
          </w:tcPr>
          <w:p>
            <w:pPr>
              <w:spacing w:after="0"/>
              <w:rPr>
                <w:sz w:val="11"/>
                <w:szCs w:val="11"/>
                <w:color w:val="auto"/>
              </w:rPr>
            </w:pPr>
          </w:p>
        </w:tc>
        <w:tc>
          <w:tcPr>
            <w:tcW w:w="80" w:type="dxa"/>
            <w:vAlign w:val="bottom"/>
            <w:tcBorders>
              <w:top w:val="single" w:sz="8" w:color="0000EE"/>
              <w:bottom w:val="single" w:sz="8" w:color="5D6673"/>
            </w:tcBorders>
          </w:tcPr>
          <w:p>
            <w:pPr>
              <w:spacing w:after="0"/>
              <w:rPr>
                <w:sz w:val="11"/>
                <w:szCs w:val="11"/>
                <w:color w:val="auto"/>
              </w:rPr>
            </w:pPr>
          </w:p>
        </w:tc>
        <w:tc>
          <w:tcPr>
            <w:tcW w:w="840" w:type="dxa"/>
            <w:vAlign w:val="bottom"/>
            <w:tcBorders>
              <w:bottom w:val="single" w:sz="8" w:color="5D6673"/>
            </w:tcBorders>
          </w:tcPr>
          <w:p>
            <w:pPr>
              <w:spacing w:after="0"/>
              <w:rPr>
                <w:sz w:val="11"/>
                <w:szCs w:val="11"/>
                <w:color w:val="auto"/>
              </w:rPr>
            </w:pPr>
          </w:p>
        </w:tc>
        <w:tc>
          <w:tcPr>
            <w:tcW w:w="60" w:type="dxa"/>
            <w:vAlign w:val="bottom"/>
            <w:tcBorders>
              <w:bottom w:val="single" w:sz="8" w:color="5D6673"/>
            </w:tcBorders>
          </w:tcPr>
          <w:p>
            <w:pPr>
              <w:spacing w:after="0"/>
              <w:rPr>
                <w:sz w:val="11"/>
                <w:szCs w:val="11"/>
                <w:color w:val="auto"/>
              </w:rPr>
            </w:pPr>
          </w:p>
        </w:tc>
        <w:tc>
          <w:tcPr>
            <w:tcW w:w="100" w:type="dxa"/>
            <w:vAlign w:val="bottom"/>
            <w:tcBorders>
              <w:bottom w:val="single" w:sz="8" w:color="5D6673"/>
            </w:tcBorders>
          </w:tcPr>
          <w:p>
            <w:pPr>
              <w:spacing w:after="0"/>
              <w:rPr>
                <w:sz w:val="11"/>
                <w:szCs w:val="11"/>
                <w:color w:val="auto"/>
              </w:rPr>
            </w:pPr>
          </w:p>
        </w:tc>
        <w:tc>
          <w:tcPr>
            <w:tcW w:w="100" w:type="dxa"/>
            <w:vAlign w:val="bottom"/>
            <w:tcBorders>
              <w:bottom w:val="single" w:sz="8" w:color="5D6673"/>
            </w:tcBorders>
          </w:tcPr>
          <w:p>
            <w:pPr>
              <w:spacing w:after="0"/>
              <w:rPr>
                <w:sz w:val="11"/>
                <w:szCs w:val="11"/>
                <w:color w:val="auto"/>
              </w:rPr>
            </w:pPr>
          </w:p>
        </w:tc>
        <w:tc>
          <w:tcPr>
            <w:tcW w:w="240" w:type="dxa"/>
            <w:vAlign w:val="bottom"/>
            <w:tcBorders>
              <w:bottom w:val="single" w:sz="8" w:color="5D6673"/>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2025 Option Exercises and Stock Vested Table</w:t>
            </w:r>
          </w:p>
        </w:tc>
        <w:tc>
          <w:tcPr>
            <w:tcW w:w="240" w:type="dxa"/>
            <w:vAlign w:val="bottom"/>
            <w:tcBorders>
              <w:bottom w:val="single" w:sz="8" w:color="5D6673"/>
            </w:tcBorders>
            <w:gridSpan w:val="4"/>
          </w:tcPr>
          <w:p>
            <w:pPr>
              <w:jc w:val="right"/>
              <w:ind w:right="20"/>
              <w:spacing w:after="0" w:line="135" w:lineRule="exact"/>
              <w:rPr>
                <w:sz w:val="20"/>
                <w:szCs w:val="20"/>
                <w:color w:val="auto"/>
              </w:rPr>
            </w:pPr>
            <w:r>
              <w:rPr>
                <w:rFonts w:ascii="Arial" w:cs="Arial" w:eastAsia="Arial" w:hAnsi="Arial"/>
                <w:sz w:val="13"/>
                <w:szCs w:val="13"/>
                <w:color w:val="0000EE"/>
              </w:rPr>
              <w:t>44</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2025 Nonqualified Deferred Compensation Table</w:t>
            </w:r>
          </w:p>
        </w:tc>
        <w:tc>
          <w:tcPr>
            <w:tcW w:w="240" w:type="dxa"/>
            <w:vAlign w:val="bottom"/>
            <w:tcBorders>
              <w:bottom w:val="single" w:sz="8" w:color="5D6673"/>
            </w:tcBorders>
            <w:gridSpan w:val="4"/>
          </w:tcPr>
          <w:p>
            <w:pPr>
              <w:jc w:val="right"/>
              <w:ind w:right="20"/>
              <w:spacing w:after="0" w:line="135" w:lineRule="exact"/>
              <w:rPr>
                <w:sz w:val="20"/>
                <w:szCs w:val="20"/>
                <w:color w:val="auto"/>
              </w:rPr>
            </w:pPr>
            <w:r>
              <w:rPr>
                <w:rFonts w:ascii="Arial" w:cs="Arial" w:eastAsia="Arial" w:hAnsi="Arial"/>
                <w:sz w:val="13"/>
                <w:szCs w:val="13"/>
                <w:color w:val="0000EE"/>
              </w:rPr>
              <w:t>45</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Potential Payments Upon Termination</w:t>
            </w:r>
          </w:p>
        </w:tc>
        <w:tc>
          <w:tcPr>
            <w:tcW w:w="240" w:type="dxa"/>
            <w:vAlign w:val="bottom"/>
            <w:tcBorders>
              <w:bottom w:val="single" w:sz="8" w:color="5D6673"/>
            </w:tcBorders>
            <w:gridSpan w:val="4"/>
          </w:tcPr>
          <w:p>
            <w:pPr>
              <w:jc w:val="right"/>
              <w:ind w:right="20"/>
              <w:spacing w:after="0" w:line="135" w:lineRule="exact"/>
              <w:rPr>
                <w:sz w:val="20"/>
                <w:szCs w:val="20"/>
                <w:color w:val="auto"/>
              </w:rPr>
            </w:pPr>
            <w:r>
              <w:rPr>
                <w:rFonts w:ascii="Arial" w:cs="Arial" w:eastAsia="Arial" w:hAnsi="Arial"/>
                <w:sz w:val="13"/>
                <w:szCs w:val="13"/>
                <w:color w:val="0000EE"/>
              </w:rPr>
              <w:t>45</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Potential Payments Upon Change-in-Control</w:t>
            </w:r>
          </w:p>
        </w:tc>
        <w:tc>
          <w:tcPr>
            <w:tcW w:w="240" w:type="dxa"/>
            <w:vAlign w:val="bottom"/>
            <w:tcBorders>
              <w:bottom w:val="single" w:sz="8" w:color="5D6673"/>
            </w:tcBorders>
            <w:gridSpan w:val="4"/>
          </w:tcPr>
          <w:p>
            <w:pPr>
              <w:jc w:val="right"/>
              <w:ind w:right="20"/>
              <w:spacing w:after="0" w:line="135" w:lineRule="exact"/>
              <w:rPr>
                <w:sz w:val="20"/>
                <w:szCs w:val="20"/>
                <w:color w:val="auto"/>
              </w:rPr>
            </w:pPr>
            <w:r>
              <w:rPr>
                <w:rFonts w:ascii="Arial" w:cs="Arial" w:eastAsia="Arial" w:hAnsi="Arial"/>
                <w:sz w:val="13"/>
                <w:szCs w:val="13"/>
                <w:color w:val="0000EE"/>
              </w:rPr>
              <w:t>47</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Termination Payment Tables for NEOs</w:t>
            </w:r>
          </w:p>
        </w:tc>
        <w:tc>
          <w:tcPr>
            <w:tcW w:w="240" w:type="dxa"/>
            <w:vAlign w:val="bottom"/>
            <w:tcBorders>
              <w:bottom w:val="single" w:sz="8" w:color="5D6673"/>
            </w:tcBorders>
            <w:gridSpan w:val="4"/>
          </w:tcPr>
          <w:p>
            <w:pPr>
              <w:jc w:val="right"/>
              <w:ind w:right="20"/>
              <w:spacing w:after="0" w:line="135" w:lineRule="exact"/>
              <w:rPr>
                <w:sz w:val="20"/>
                <w:szCs w:val="20"/>
                <w:color w:val="auto"/>
              </w:rPr>
            </w:pPr>
            <w:r>
              <w:rPr>
                <w:rFonts w:ascii="Arial" w:cs="Arial" w:eastAsia="Arial" w:hAnsi="Arial"/>
                <w:sz w:val="13"/>
                <w:szCs w:val="13"/>
                <w:color w:val="0000EE"/>
              </w:rPr>
              <w:t>49</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2025 Compensation Risk Assessment</w:t>
            </w:r>
          </w:p>
        </w:tc>
        <w:tc>
          <w:tcPr>
            <w:tcW w:w="240" w:type="dxa"/>
            <w:vAlign w:val="bottom"/>
            <w:tcBorders>
              <w:bottom w:val="single" w:sz="8" w:color="5D6673"/>
            </w:tcBorders>
            <w:gridSpan w:val="4"/>
          </w:tcPr>
          <w:p>
            <w:pPr>
              <w:jc w:val="right"/>
              <w:ind w:right="20"/>
              <w:spacing w:after="0" w:line="135" w:lineRule="exact"/>
              <w:rPr>
                <w:sz w:val="20"/>
                <w:szCs w:val="20"/>
                <w:color w:val="auto"/>
              </w:rPr>
            </w:pPr>
            <w:r>
              <w:rPr>
                <w:rFonts w:ascii="Arial" w:cs="Arial" w:eastAsia="Arial" w:hAnsi="Arial"/>
                <w:sz w:val="13"/>
                <w:szCs w:val="13"/>
                <w:color w:val="0000EE"/>
              </w:rPr>
              <w:t>54</w:t>
            </w: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18"/>
          </w:tcPr>
          <w:p>
            <w:pPr>
              <w:spacing w:after="0" w:line="135" w:lineRule="exact"/>
              <w:rPr>
                <w:sz w:val="20"/>
                <w:szCs w:val="20"/>
                <w:color w:val="auto"/>
              </w:rPr>
            </w:pPr>
            <w:r>
              <w:rPr>
                <w:rFonts w:ascii="Arial" w:cs="Arial" w:eastAsia="Arial" w:hAnsi="Arial"/>
                <w:sz w:val="13"/>
                <w:szCs w:val="13"/>
                <w:color w:val="0000EE"/>
              </w:rPr>
              <w:t>CEO Pay Ratio</w:t>
            </w:r>
          </w:p>
        </w:tc>
        <w:tc>
          <w:tcPr>
            <w:tcW w:w="240" w:type="dxa"/>
            <w:vAlign w:val="bottom"/>
            <w:tcBorders>
              <w:bottom w:val="single" w:sz="8" w:color="5D6673"/>
            </w:tcBorders>
            <w:gridSpan w:val="4"/>
          </w:tcPr>
          <w:p>
            <w:pPr>
              <w:jc w:val="right"/>
              <w:ind w:right="20"/>
              <w:spacing w:after="0" w:line="135" w:lineRule="exact"/>
              <w:rPr>
                <w:sz w:val="20"/>
                <w:szCs w:val="20"/>
                <w:color w:val="auto"/>
              </w:rPr>
            </w:pPr>
            <w:r>
              <w:rPr>
                <w:rFonts w:ascii="Arial" w:cs="Arial" w:eastAsia="Arial" w:hAnsi="Arial"/>
                <w:sz w:val="13"/>
                <w:szCs w:val="13"/>
                <w:color w:val="0000EE"/>
              </w:rPr>
              <w:t>54</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line="122" w:lineRule="exact"/>
              <w:rPr>
                <w:sz w:val="20"/>
                <w:szCs w:val="20"/>
                <w:color w:val="auto"/>
              </w:rPr>
            </w:pPr>
            <w:r>
              <w:rPr>
                <w:rFonts w:ascii="Arial" w:cs="Arial" w:eastAsia="Arial" w:hAnsi="Arial"/>
                <w:sz w:val="13"/>
                <w:szCs w:val="13"/>
                <w:color w:val="auto"/>
              </w:rPr>
              <w:t> </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4"/>
          </w:tcPr>
          <w:p>
            <w:pPr>
              <w:jc w:val="right"/>
              <w:ind w:right="20"/>
              <w:spacing w:after="0" w:line="122" w:lineRule="exact"/>
              <w:rPr>
                <w:sz w:val="20"/>
                <w:szCs w:val="20"/>
                <w:color w:val="auto"/>
              </w:rPr>
            </w:pPr>
            <w:r>
              <w:rPr>
                <w:rFonts w:ascii="Arial" w:cs="Arial" w:eastAsia="Arial" w:hAnsi="Arial"/>
                <w:sz w:val="13"/>
                <w:szCs w:val="13"/>
                <w:color w:val="0000EE"/>
              </w:rPr>
              <w:t>55</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060" w:type="dxa"/>
            <w:vAlign w:val="bottom"/>
            <w:gridSpan w:val="18"/>
          </w:tcPr>
          <w:p>
            <w:pPr>
              <w:spacing w:after="0" w:line="7" w:lineRule="exact"/>
              <w:rPr>
                <w:sz w:val="20"/>
                <w:szCs w:val="20"/>
                <w:color w:val="auto"/>
              </w:rPr>
            </w:pPr>
            <w:r>
              <w:rPr>
                <w:rFonts w:ascii="Arial" w:cs="Arial" w:eastAsia="Arial" w:hAnsi="Arial"/>
                <w:sz w:val="1"/>
                <w:szCs w:val="1"/>
                <w:color w:val="0000EE"/>
              </w:rPr>
              <w:t>Pay Versus Performance</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80" w:type="dxa"/>
            <w:vAlign w:val="bottom"/>
            <w:tcBorders>
              <w:right w:val="single" w:sz="8" w:color="0063A6"/>
            </w:tcBorders>
            <w:shd w:val="clear" w:color="auto" w:fill="FFC729"/>
          </w:tcPr>
          <w:p>
            <w:pPr>
              <w:spacing w:after="0"/>
              <w:rPr>
                <w:sz w:val="10"/>
                <w:szCs w:val="10"/>
                <w:color w:val="auto"/>
              </w:rPr>
            </w:pPr>
          </w:p>
        </w:tc>
        <w:tc>
          <w:tcPr>
            <w:tcW w:w="4060" w:type="dxa"/>
            <w:vAlign w:val="bottom"/>
            <w:gridSpan w:val="18"/>
            <w:shd w:val="clear" w:color="auto" w:fill="0063A6"/>
          </w:tcPr>
          <w:p>
            <w:pPr>
              <w:ind w:left="60"/>
              <w:spacing w:after="0" w:line="121" w:lineRule="exact"/>
              <w:rPr>
                <w:sz w:val="20"/>
                <w:szCs w:val="20"/>
                <w:color w:val="auto"/>
              </w:rPr>
            </w:pPr>
            <w:r>
              <w:rPr>
                <w:rFonts w:ascii="Arial" w:cs="Arial" w:eastAsia="Arial" w:hAnsi="Arial"/>
                <w:sz w:val="13"/>
                <w:szCs w:val="13"/>
                <w:b w:val="1"/>
                <w:bCs w:val="1"/>
                <w:color w:val="FFFFFF"/>
              </w:rPr>
              <w:t>PROPOSAL 3 – RATIFICATION OF INDEPENDENT REGISTERED</w:t>
            </w:r>
          </w:p>
        </w:tc>
        <w:tc>
          <w:tcPr>
            <w:tcW w:w="60" w:type="dxa"/>
            <w:vAlign w:val="bottom"/>
            <w:shd w:val="clear" w:color="auto" w:fill="0063A6"/>
          </w:tcPr>
          <w:p>
            <w:pPr>
              <w:spacing w:after="0"/>
              <w:rPr>
                <w:sz w:val="10"/>
                <w:szCs w:val="10"/>
                <w:color w:val="auto"/>
              </w:rPr>
            </w:pPr>
          </w:p>
        </w:tc>
        <w:tc>
          <w:tcPr>
            <w:tcW w:w="20" w:type="dxa"/>
            <w:vAlign w:val="bottom"/>
            <w:shd w:val="clear" w:color="auto" w:fill="0063A6"/>
          </w:tcPr>
          <w:p>
            <w:pPr>
              <w:spacing w:after="0"/>
              <w:rPr>
                <w:sz w:val="10"/>
                <w:szCs w:val="10"/>
                <w:color w:val="auto"/>
              </w:rPr>
            </w:pPr>
          </w:p>
        </w:tc>
        <w:tc>
          <w:tcPr>
            <w:tcW w:w="140" w:type="dxa"/>
            <w:vAlign w:val="bottom"/>
            <w:tcBorders>
              <w:right w:val="single" w:sz="8" w:color="0063A6"/>
            </w:tcBorders>
            <w:shd w:val="clear" w:color="auto" w:fill="0063A6"/>
          </w:tcPr>
          <w:p>
            <w:pPr>
              <w:spacing w:after="0"/>
              <w:rPr>
                <w:sz w:val="10"/>
                <w:szCs w:val="10"/>
                <w:color w:val="auto"/>
              </w:rPr>
            </w:pPr>
          </w:p>
        </w:tc>
        <w:tc>
          <w:tcPr>
            <w:tcW w:w="20" w:type="dxa"/>
            <w:vAlign w:val="bottom"/>
            <w:shd w:val="clear" w:color="auto" w:fill="0063A6"/>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FFC729"/>
              <w:right w:val="single" w:sz="8" w:color="0063A6"/>
            </w:tcBorders>
            <w:shd w:val="clear" w:color="auto" w:fill="FFC729"/>
          </w:tcPr>
          <w:p>
            <w:pPr>
              <w:spacing w:after="0"/>
              <w:rPr>
                <w:sz w:val="13"/>
                <w:szCs w:val="13"/>
                <w:color w:val="auto"/>
              </w:rPr>
            </w:pPr>
          </w:p>
        </w:tc>
        <w:tc>
          <w:tcPr>
            <w:tcW w:w="560" w:type="dxa"/>
            <w:vAlign w:val="bottom"/>
            <w:tcBorders>
              <w:bottom w:val="single" w:sz="8" w:color="5D6673"/>
            </w:tcBorders>
            <w:gridSpan w:val="2"/>
            <w:shd w:val="clear" w:color="auto" w:fill="0063A6"/>
          </w:tcPr>
          <w:p>
            <w:pPr>
              <w:ind w:left="60"/>
              <w:spacing w:after="0"/>
              <w:rPr>
                <w:sz w:val="20"/>
                <w:szCs w:val="20"/>
                <w:color w:val="auto"/>
              </w:rPr>
            </w:pPr>
            <w:r>
              <w:rPr>
                <w:rFonts w:ascii="Arial" w:cs="Arial" w:eastAsia="Arial" w:hAnsi="Arial"/>
                <w:sz w:val="13"/>
                <w:szCs w:val="13"/>
                <w:b w:val="1"/>
                <w:bCs w:val="1"/>
                <w:color w:val="FFFFFF"/>
                <w:w w:val="99"/>
              </w:rPr>
              <w:t xml:space="preserve">PUBLIC </w:t>
            </w:r>
          </w:p>
        </w:tc>
        <w:tc>
          <w:tcPr>
            <w:tcW w:w="3500" w:type="dxa"/>
            <w:vAlign w:val="bottom"/>
            <w:tcBorders>
              <w:bottom w:val="single" w:sz="8" w:color="5D6673"/>
            </w:tcBorders>
            <w:gridSpan w:val="16"/>
            <w:shd w:val="clear" w:color="auto" w:fill="0063A6"/>
          </w:tcPr>
          <w:p>
            <w:pPr>
              <w:ind w:left="20"/>
              <w:spacing w:after="0"/>
              <w:rPr>
                <w:sz w:val="20"/>
                <w:szCs w:val="20"/>
                <w:color w:val="auto"/>
              </w:rPr>
            </w:pPr>
            <w:r>
              <w:rPr>
                <w:rFonts w:ascii="Arial" w:cs="Arial" w:eastAsia="Arial" w:hAnsi="Arial"/>
                <w:sz w:val="13"/>
                <w:szCs w:val="13"/>
                <w:b w:val="1"/>
                <w:bCs w:val="1"/>
                <w:color w:val="FFFFFF"/>
              </w:rPr>
              <w:t>ACCOUNTANT</w:t>
            </w:r>
          </w:p>
        </w:tc>
        <w:tc>
          <w:tcPr>
            <w:tcW w:w="240" w:type="dxa"/>
            <w:vAlign w:val="bottom"/>
            <w:tcBorders>
              <w:bottom w:val="single" w:sz="8" w:color="5D6673"/>
            </w:tcBorders>
            <w:gridSpan w:val="4"/>
            <w:shd w:val="clear" w:color="auto" w:fill="0063A6"/>
          </w:tcPr>
          <w:p>
            <w:pPr>
              <w:jc w:val="right"/>
              <w:ind w:right="20"/>
              <w:spacing w:after="0"/>
              <w:rPr>
                <w:sz w:val="20"/>
                <w:szCs w:val="20"/>
                <w:color w:val="auto"/>
              </w:rPr>
            </w:pPr>
            <w:r>
              <w:rPr>
                <w:rFonts w:ascii="Arial" w:cs="Arial" w:eastAsia="Arial" w:hAnsi="Arial"/>
                <w:sz w:val="13"/>
                <w:szCs w:val="13"/>
                <w:b w:val="1"/>
                <w:bCs w:val="1"/>
                <w:color w:val="FFFFFF"/>
              </w:rPr>
              <w:t>58</w:t>
            </w: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060" w:type="dxa"/>
            <w:vAlign w:val="bottom"/>
            <w:gridSpan w:val="18"/>
          </w:tcPr>
          <w:p>
            <w:pPr>
              <w:spacing w:after="0" w:line="129" w:lineRule="exact"/>
              <w:rPr>
                <w:sz w:val="20"/>
                <w:szCs w:val="20"/>
                <w:color w:val="auto"/>
              </w:rPr>
            </w:pPr>
            <w:r>
              <w:rPr>
                <w:rFonts w:ascii="Arial" w:cs="Arial" w:eastAsia="Arial" w:hAnsi="Arial"/>
                <w:sz w:val="13"/>
                <w:szCs w:val="13"/>
                <w:b w:val="1"/>
                <w:bCs w:val="1"/>
                <w:color w:val="0000EE"/>
                <w:w w:val="97"/>
              </w:rPr>
              <w:t>INDEPENDENT REGISTERED PUBLIC ACCOUNTING FIRM’S AUDIT</w:t>
            </w:r>
          </w:p>
        </w:tc>
        <w:tc>
          <w:tcPr>
            <w:tcW w:w="240" w:type="dxa"/>
            <w:vAlign w:val="bottom"/>
            <w:gridSpan w:val="4"/>
            <w:vMerge w:val="restart"/>
          </w:tcPr>
          <w:p>
            <w:pPr>
              <w:jc w:val="right"/>
              <w:ind w:right="20"/>
              <w:spacing w:after="0"/>
              <w:rPr>
                <w:sz w:val="20"/>
                <w:szCs w:val="20"/>
                <w:color w:val="auto"/>
              </w:rPr>
            </w:pPr>
            <w:r>
              <w:rPr>
                <w:rFonts w:ascii="Arial" w:cs="Arial" w:eastAsia="Arial" w:hAnsi="Arial"/>
                <w:sz w:val="13"/>
                <w:szCs w:val="13"/>
                <w:b w:val="1"/>
                <w:bCs w:val="1"/>
                <w:color w:val="0000EE"/>
              </w:rPr>
              <w:t>59</w:t>
            </w:r>
          </w:p>
        </w:tc>
        <w:tc>
          <w:tcPr>
            <w:tcW w:w="0" w:type="dxa"/>
            <w:vAlign w:val="bottom"/>
          </w:tcPr>
          <w:p>
            <w:pPr>
              <w:spacing w:after="0"/>
              <w:rPr>
                <w:sz w:val="1"/>
                <w:szCs w:val="1"/>
                <w:color w:val="auto"/>
              </w:rPr>
            </w:pPr>
          </w:p>
        </w:tc>
      </w:tr>
      <w:tr>
        <w:trPr>
          <w:trHeight w:val="129"/>
        </w:trPr>
        <w:tc>
          <w:tcPr>
            <w:tcW w:w="4140" w:type="dxa"/>
            <w:vAlign w:val="bottom"/>
            <w:tcBorders>
              <w:top w:val="single" w:sz="8" w:color="0000EE"/>
            </w:tcBorders>
            <w:gridSpan w:val="18"/>
          </w:tcPr>
          <w:p>
            <w:pPr>
              <w:spacing w:after="0" w:line="129" w:lineRule="exact"/>
              <w:rPr>
                <w:sz w:val="20"/>
                <w:szCs w:val="20"/>
                <w:color w:val="auto"/>
              </w:rPr>
            </w:pPr>
            <w:r>
              <w:rPr>
                <w:rFonts w:ascii="Arial" w:cs="Arial" w:eastAsia="Arial" w:hAnsi="Arial"/>
                <w:sz w:val="13"/>
                <w:szCs w:val="13"/>
                <w:b w:val="1"/>
                <w:bCs w:val="1"/>
                <w:color w:val="0000EE"/>
              </w:rPr>
              <w:t>FEES AND SERVICES</w:t>
            </w:r>
          </w:p>
        </w:tc>
        <w:tc>
          <w:tcPr>
            <w:tcW w:w="100" w:type="dxa"/>
            <w:vAlign w:val="bottom"/>
          </w:tcPr>
          <w:p>
            <w:pPr>
              <w:spacing w:after="0"/>
              <w:rPr>
                <w:sz w:val="11"/>
                <w:szCs w:val="11"/>
                <w:color w:val="auto"/>
              </w:rPr>
            </w:pPr>
          </w:p>
        </w:tc>
        <w:tc>
          <w:tcPr>
            <w:tcW w:w="2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58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19"/>
          </w:tcPr>
          <w:p>
            <w:pPr>
              <w:spacing w:after="0" w:line="116" w:lineRule="exact"/>
              <w:rPr>
                <w:sz w:val="20"/>
                <w:szCs w:val="20"/>
                <w:color w:val="auto"/>
              </w:rPr>
            </w:pPr>
            <w:r>
              <w:rPr>
                <w:rFonts w:ascii="Arial" w:cs="Arial" w:eastAsia="Arial" w:hAnsi="Arial"/>
                <w:sz w:val="13"/>
                <w:szCs w:val="13"/>
                <w:b w:val="1"/>
                <w:bCs w:val="1"/>
                <w:color w:val="0000EE"/>
              </w:rPr>
              <w:t>2025 AUDIT/FINANCE COMMITTEE REPORT</w:t>
            </w:r>
          </w:p>
        </w:tc>
        <w:tc>
          <w:tcPr>
            <w:tcW w:w="240" w:type="dxa"/>
            <w:vAlign w:val="bottom"/>
            <w:gridSpan w:val="4"/>
          </w:tcPr>
          <w:p>
            <w:pPr>
              <w:jc w:val="right"/>
              <w:ind w:right="20"/>
              <w:spacing w:after="0" w:line="116" w:lineRule="exact"/>
              <w:rPr>
                <w:sz w:val="20"/>
                <w:szCs w:val="20"/>
                <w:color w:val="auto"/>
              </w:rPr>
            </w:pPr>
            <w:r>
              <w:rPr>
                <w:rFonts w:ascii="Arial" w:cs="Arial" w:eastAsia="Arial" w:hAnsi="Arial"/>
                <w:sz w:val="13"/>
                <w:szCs w:val="13"/>
                <w:b w:val="1"/>
                <w:bCs w:val="1"/>
                <w:color w:val="0000EE"/>
              </w:rPr>
              <w:t>60</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58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2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19"/>
          </w:tcPr>
          <w:p>
            <w:pPr>
              <w:spacing w:after="0" w:line="116" w:lineRule="exact"/>
              <w:rPr>
                <w:sz w:val="20"/>
                <w:szCs w:val="20"/>
                <w:color w:val="auto"/>
              </w:rPr>
            </w:pPr>
            <w:r>
              <w:rPr>
                <w:rFonts w:ascii="Arial" w:cs="Arial" w:eastAsia="Arial" w:hAnsi="Arial"/>
                <w:sz w:val="13"/>
                <w:szCs w:val="13"/>
                <w:b w:val="1"/>
                <w:bCs w:val="1"/>
                <w:color w:val="0000EE"/>
              </w:rPr>
              <w:t>EQUITY COMPENSATION PLAN INFORMATION</w:t>
            </w:r>
          </w:p>
        </w:tc>
        <w:tc>
          <w:tcPr>
            <w:tcW w:w="240" w:type="dxa"/>
            <w:vAlign w:val="bottom"/>
            <w:gridSpan w:val="4"/>
          </w:tcPr>
          <w:p>
            <w:pPr>
              <w:jc w:val="right"/>
              <w:ind w:right="20"/>
              <w:spacing w:after="0" w:line="116" w:lineRule="exact"/>
              <w:rPr>
                <w:sz w:val="20"/>
                <w:szCs w:val="20"/>
                <w:color w:val="auto"/>
              </w:rPr>
            </w:pPr>
            <w:r>
              <w:rPr>
                <w:rFonts w:ascii="Arial" w:cs="Arial" w:eastAsia="Arial" w:hAnsi="Arial"/>
                <w:sz w:val="13"/>
                <w:szCs w:val="13"/>
                <w:b w:val="1"/>
                <w:bCs w:val="1"/>
                <w:color w:val="0000EE"/>
              </w:rPr>
              <w:t>61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58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2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19"/>
          </w:tcPr>
          <w:p>
            <w:pPr>
              <w:spacing w:after="0" w:line="116" w:lineRule="exact"/>
              <w:rPr>
                <w:sz w:val="20"/>
                <w:szCs w:val="20"/>
                <w:color w:val="auto"/>
              </w:rPr>
            </w:pPr>
            <w:r>
              <w:rPr>
                <w:rFonts w:ascii="Arial" w:cs="Arial" w:eastAsia="Arial" w:hAnsi="Arial"/>
                <w:sz w:val="13"/>
                <w:szCs w:val="13"/>
                <w:b w:val="1"/>
                <w:bCs w:val="1"/>
                <w:color w:val="0000EE"/>
              </w:rPr>
              <w:t>SECURITY OWNERSHIP OF CERTAIN BENEFICIAL OWNERS AND</w:t>
            </w:r>
          </w:p>
        </w:tc>
        <w:tc>
          <w:tcPr>
            <w:tcW w:w="240" w:type="dxa"/>
            <w:vAlign w:val="bottom"/>
            <w:gridSpan w:val="4"/>
            <w:vMerge w:val="restart"/>
          </w:tcPr>
          <w:p>
            <w:pPr>
              <w:jc w:val="right"/>
              <w:ind w:right="20"/>
              <w:spacing w:after="0"/>
              <w:rPr>
                <w:sz w:val="20"/>
                <w:szCs w:val="20"/>
                <w:color w:val="auto"/>
              </w:rPr>
            </w:pPr>
            <w:r>
              <w:rPr>
                <w:rFonts w:ascii="Arial" w:cs="Arial" w:eastAsia="Arial" w:hAnsi="Arial"/>
                <w:sz w:val="13"/>
                <w:szCs w:val="13"/>
                <w:b w:val="1"/>
                <w:bCs w:val="1"/>
                <w:color w:val="0000EE"/>
              </w:rPr>
              <w:t>62</w:t>
            </w:r>
          </w:p>
        </w:tc>
        <w:tc>
          <w:tcPr>
            <w:tcW w:w="0" w:type="dxa"/>
            <w:vAlign w:val="bottom"/>
          </w:tcPr>
          <w:p>
            <w:pPr>
              <w:spacing w:after="0"/>
              <w:rPr>
                <w:sz w:val="1"/>
                <w:szCs w:val="1"/>
                <w:color w:val="auto"/>
              </w:rPr>
            </w:pPr>
          </w:p>
        </w:tc>
      </w:tr>
      <w:tr>
        <w:trPr>
          <w:trHeight w:val="128"/>
        </w:trPr>
        <w:tc>
          <w:tcPr>
            <w:tcW w:w="4040" w:type="dxa"/>
            <w:vAlign w:val="bottom"/>
            <w:tcBorders>
              <w:top w:val="single" w:sz="8" w:color="0000EE"/>
            </w:tcBorders>
            <w:gridSpan w:val="17"/>
          </w:tcPr>
          <w:p>
            <w:pPr>
              <w:spacing w:after="0" w:line="129" w:lineRule="exact"/>
              <w:rPr>
                <w:sz w:val="20"/>
                <w:szCs w:val="20"/>
                <w:color w:val="auto"/>
              </w:rPr>
            </w:pPr>
            <w:r>
              <w:rPr>
                <w:rFonts w:ascii="Arial" w:cs="Arial" w:eastAsia="Arial" w:hAnsi="Arial"/>
                <w:sz w:val="13"/>
                <w:szCs w:val="13"/>
                <w:b w:val="1"/>
                <w:bCs w:val="1"/>
                <w:color w:val="0000EE"/>
              </w:rPr>
              <w:t>MANAGEMENT</w:t>
            </w:r>
          </w:p>
        </w:tc>
        <w:tc>
          <w:tcPr>
            <w:tcW w:w="200" w:type="dxa"/>
            <w:vAlign w:val="bottom"/>
            <w:gridSpan w:val="2"/>
          </w:tcPr>
          <w:p>
            <w:pPr>
              <w:spacing w:after="0"/>
              <w:rPr>
                <w:sz w:val="11"/>
                <w:szCs w:val="11"/>
                <w:color w:val="auto"/>
              </w:rPr>
            </w:pPr>
          </w:p>
        </w:tc>
        <w:tc>
          <w:tcPr>
            <w:tcW w:w="2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58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19"/>
          </w:tcPr>
          <w:p>
            <w:pPr>
              <w:spacing w:after="0" w:line="116" w:lineRule="exact"/>
              <w:rPr>
                <w:sz w:val="20"/>
                <w:szCs w:val="20"/>
                <w:color w:val="auto"/>
              </w:rPr>
            </w:pPr>
            <w:r>
              <w:rPr>
                <w:rFonts w:ascii="Arial" w:cs="Arial" w:eastAsia="Arial" w:hAnsi="Arial"/>
                <w:sz w:val="13"/>
                <w:szCs w:val="13"/>
                <w:b w:val="1"/>
                <w:bCs w:val="1"/>
                <w:color w:val="0000EE"/>
              </w:rPr>
              <w:t>LIST OF SHAREHOLDERS OF RECORD</w:t>
            </w:r>
          </w:p>
        </w:tc>
        <w:tc>
          <w:tcPr>
            <w:tcW w:w="240" w:type="dxa"/>
            <w:vAlign w:val="bottom"/>
            <w:gridSpan w:val="4"/>
          </w:tcPr>
          <w:p>
            <w:pPr>
              <w:jc w:val="right"/>
              <w:ind w:right="20"/>
              <w:spacing w:after="0" w:line="116" w:lineRule="exact"/>
              <w:rPr>
                <w:sz w:val="20"/>
                <w:szCs w:val="20"/>
                <w:color w:val="auto"/>
              </w:rPr>
            </w:pPr>
            <w:r>
              <w:rPr>
                <w:rFonts w:ascii="Arial" w:cs="Arial" w:eastAsia="Arial" w:hAnsi="Arial"/>
                <w:sz w:val="13"/>
                <w:szCs w:val="13"/>
                <w:b w:val="1"/>
                <w:bCs w:val="1"/>
                <w:color w:val="0000EE"/>
              </w:rPr>
              <w:t>64</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58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19"/>
          </w:tcPr>
          <w:p>
            <w:pPr>
              <w:spacing w:after="0" w:line="116" w:lineRule="exact"/>
              <w:rPr>
                <w:sz w:val="20"/>
                <w:szCs w:val="20"/>
                <w:color w:val="auto"/>
              </w:rPr>
            </w:pPr>
            <w:r>
              <w:rPr>
                <w:rFonts w:ascii="Arial" w:cs="Arial" w:eastAsia="Arial" w:hAnsi="Arial"/>
                <w:sz w:val="13"/>
                <w:szCs w:val="13"/>
                <w:b w:val="1"/>
                <w:bCs w:val="1"/>
                <w:color w:val="0000EE"/>
              </w:rPr>
              <w:t>ANNUAL REPORT AND FINANCIAL STATEMENTS</w:t>
            </w:r>
          </w:p>
        </w:tc>
        <w:tc>
          <w:tcPr>
            <w:tcW w:w="240" w:type="dxa"/>
            <w:vAlign w:val="bottom"/>
            <w:gridSpan w:val="4"/>
          </w:tcPr>
          <w:p>
            <w:pPr>
              <w:jc w:val="right"/>
              <w:ind w:right="20"/>
              <w:spacing w:after="0" w:line="116" w:lineRule="exact"/>
              <w:rPr>
                <w:sz w:val="20"/>
                <w:szCs w:val="20"/>
                <w:color w:val="auto"/>
              </w:rPr>
            </w:pPr>
            <w:r>
              <w:rPr>
                <w:rFonts w:ascii="Arial" w:cs="Arial" w:eastAsia="Arial" w:hAnsi="Arial"/>
                <w:sz w:val="13"/>
                <w:szCs w:val="13"/>
                <w:b w:val="1"/>
                <w:bCs w:val="1"/>
                <w:color w:val="0000EE"/>
              </w:rPr>
              <w:t>64</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58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2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19"/>
          </w:tcPr>
          <w:p>
            <w:pPr>
              <w:spacing w:after="0" w:line="116" w:lineRule="exact"/>
              <w:rPr>
                <w:sz w:val="20"/>
                <w:szCs w:val="20"/>
                <w:color w:val="auto"/>
              </w:rPr>
            </w:pPr>
            <w:r>
              <w:rPr>
                <w:rFonts w:ascii="Arial" w:cs="Arial" w:eastAsia="Arial" w:hAnsi="Arial"/>
                <w:sz w:val="13"/>
                <w:szCs w:val="13"/>
                <w:b w:val="1"/>
                <w:bCs w:val="1"/>
                <w:color w:val="0000EE"/>
              </w:rPr>
              <w:t>SHAREHOLDER PROPOSALS FOR THE 2027 ANNUAL MEETING</w:t>
            </w:r>
          </w:p>
        </w:tc>
        <w:tc>
          <w:tcPr>
            <w:tcW w:w="240" w:type="dxa"/>
            <w:vAlign w:val="bottom"/>
            <w:gridSpan w:val="4"/>
          </w:tcPr>
          <w:p>
            <w:pPr>
              <w:jc w:val="right"/>
              <w:ind w:right="20"/>
              <w:spacing w:after="0" w:line="116" w:lineRule="exact"/>
              <w:rPr>
                <w:sz w:val="20"/>
                <w:szCs w:val="20"/>
                <w:color w:val="auto"/>
              </w:rPr>
            </w:pPr>
            <w:r>
              <w:rPr>
                <w:rFonts w:ascii="Arial" w:cs="Arial" w:eastAsia="Arial" w:hAnsi="Arial"/>
                <w:sz w:val="13"/>
                <w:szCs w:val="13"/>
                <w:b w:val="1"/>
                <w:bCs w:val="1"/>
                <w:color w:val="0000EE"/>
              </w:rPr>
              <w:t>64</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58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2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84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19"/>
          </w:tcPr>
          <w:p>
            <w:pPr>
              <w:spacing w:after="0" w:line="116" w:lineRule="exact"/>
              <w:rPr>
                <w:sz w:val="20"/>
                <w:szCs w:val="20"/>
                <w:color w:val="auto"/>
              </w:rPr>
            </w:pPr>
            <w:r>
              <w:rPr>
                <w:rFonts w:ascii="Arial" w:cs="Arial" w:eastAsia="Arial" w:hAnsi="Arial"/>
                <w:sz w:val="13"/>
                <w:szCs w:val="13"/>
                <w:b w:val="1"/>
                <w:bCs w:val="1"/>
                <w:color w:val="0000EE"/>
              </w:rPr>
              <w:t>OTHER INFORMATION</w:t>
            </w:r>
          </w:p>
        </w:tc>
        <w:tc>
          <w:tcPr>
            <w:tcW w:w="240" w:type="dxa"/>
            <w:vAlign w:val="bottom"/>
            <w:gridSpan w:val="4"/>
          </w:tcPr>
          <w:p>
            <w:pPr>
              <w:jc w:val="right"/>
              <w:ind w:right="20"/>
              <w:spacing w:after="0" w:line="116" w:lineRule="exact"/>
              <w:rPr>
                <w:sz w:val="20"/>
                <w:szCs w:val="20"/>
                <w:color w:val="auto"/>
              </w:rPr>
            </w:pPr>
            <w:r>
              <w:rPr>
                <w:rFonts w:ascii="Arial" w:cs="Arial" w:eastAsia="Arial" w:hAnsi="Arial"/>
                <w:sz w:val="13"/>
                <w:szCs w:val="13"/>
                <w:b w:val="1"/>
                <w:bCs w:val="1"/>
                <w:color w:val="0000EE"/>
              </w:rPr>
              <w:t>65</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2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58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tcBorders>
              <w:bottom w:val="single" w:sz="8" w:color="5D6673"/>
            </w:tcBorders>
            <w:gridSpan w:val="19"/>
          </w:tcPr>
          <w:p>
            <w:pPr>
              <w:spacing w:after="0" w:line="116" w:lineRule="exact"/>
              <w:rPr>
                <w:sz w:val="20"/>
                <w:szCs w:val="20"/>
                <w:color w:val="auto"/>
              </w:rPr>
            </w:pPr>
            <w:r>
              <w:rPr>
                <w:rFonts w:ascii="Arial" w:cs="Arial" w:eastAsia="Arial" w:hAnsi="Arial"/>
                <w:sz w:val="13"/>
                <w:szCs w:val="13"/>
                <w:b w:val="1"/>
                <w:bCs w:val="1"/>
                <w:color w:val="0000EE"/>
              </w:rPr>
              <w:t>APPENDIX A: NON-GAAP RECONCILIATION</w:t>
            </w:r>
          </w:p>
        </w:tc>
        <w:tc>
          <w:tcPr>
            <w:tcW w:w="240" w:type="dxa"/>
            <w:vAlign w:val="bottom"/>
            <w:tcBorders>
              <w:bottom w:val="single" w:sz="8" w:color="5D6673"/>
            </w:tcBorders>
            <w:gridSpan w:val="4"/>
          </w:tcPr>
          <w:p>
            <w:pPr>
              <w:spacing w:after="0" w:line="116" w:lineRule="exact"/>
              <w:rPr>
                <w:sz w:val="20"/>
                <w:szCs w:val="20"/>
                <w:color w:val="auto"/>
              </w:rPr>
            </w:pPr>
            <w:r>
              <w:rPr>
                <w:rFonts w:ascii="Arial" w:cs="Arial" w:eastAsia="Arial" w:hAnsi="Arial"/>
                <w:sz w:val="13"/>
                <w:szCs w:val="13"/>
                <w:b w:val="1"/>
                <w:bCs w:val="1"/>
                <w:color w:val="0000EE"/>
              </w:rPr>
              <w:t>A-1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-1285240</wp:posOffset>
            </wp:positionV>
            <wp:extent cx="2496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618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-1191260</wp:posOffset>
            </wp:positionV>
            <wp:extent cx="9029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2970" cy="825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-1199515</wp:posOffset>
            </wp:positionV>
            <wp:extent cx="914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4480" w:space="220"/>
            <w:col w:w="4480"/>
          </w:cols>
          <w:pgMar w:left="1360" w:top="114" w:right="1359" w:bottom="1440" w:gutter="0" w:footer="0" w:header="0"/>
        </w:sectPr>
      </w:pPr>
    </w:p>
    <w:p>
      <w:pPr>
        <w:spacing w:after="0" w:line="2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This proxy statement includes several website addresses and references to additional materials found on those websites. Content on the websites, including content on our Company website, is not, and shall not be deemed to be, part of this proxy statement or incorporated herein or into any of our other filings with the Securities and Exchange Commission (SEC).</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including statements regarding our goals, commitments, and strategies and our executive compensation program. These statements involve risks and uncertainties. Actual results could differ materially from any future results expressed or implied by the forward-looking statements for a variety of reasons, including due to the risks, uncertainties, and other important factors that are discussed in our most recently filed periodic reports on Form 10-K and Form 10-Q and subsequent Securities and Exchange Commission filings. We assume no obligation to update any forward-looking statements, which speak only as of the date they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98425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4" w:name="page5"/>
    <w:bookmarkEnd w:id="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102870</wp:posOffset>
            </wp:positionV>
            <wp:extent cx="822960"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29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181" w:lineRule="exact"/>
        <w:rPr>
          <w:sz w:val="20"/>
          <w:szCs w:val="20"/>
          <w:color w:val="auto"/>
        </w:rPr>
      </w:pPr>
    </w:p>
    <w:p>
      <w:pPr>
        <w:ind w:left="6"/>
        <w:spacing w:after="0" w:line="251" w:lineRule="auto"/>
        <w:rPr>
          <w:sz w:val="20"/>
          <w:szCs w:val="20"/>
          <w:color w:val="auto"/>
        </w:rPr>
      </w:pPr>
      <w:r>
        <w:rPr>
          <w:rFonts w:ascii="Arial" w:cs="Arial" w:eastAsia="Arial" w:hAnsi="Arial"/>
          <w:sz w:val="16"/>
          <w:szCs w:val="16"/>
          <w:color w:val="auto"/>
        </w:rPr>
        <w:t>This proxy statement is being furnished to shareholders of Itron, Inc. (the Company or Itron) in connection with the solicitation by our Board of Directors of proxies for use at the 2026 annual meeting of shareholders. The meeting is scheduled to be held on May 7, 2026, at 9:00 a.m., Pacific Time, via live webcast through the link, for the purposes listed in the accompanying Notice of Annual Meeting of Shareholders. You will need the 16-digit control number provided on the Notice of Internet Availability of Proxy Materials or your proxy card (if applicable). We have made these materials available to you over the Internet or have delivered printed versions of these materials to you by mail, in connection with the Board’s solicitation of proxies for use at the annual meeting. This solicitation is for proxies for use at the annual meeting or at any reconvened meeting after an adjournment or postponement of the annual meeting. The Company’s principal executive office is at 2111 North Molter Road, Liberty Lake, Washington, 99019.</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Attending the Annual Meeting</w:t>
      </w:r>
    </w:p>
    <w:p>
      <w:pPr>
        <w:spacing w:after="0" w:line="72" w:lineRule="exact"/>
        <w:rPr>
          <w:sz w:val="20"/>
          <w:szCs w:val="20"/>
          <w:color w:val="auto"/>
        </w:rPr>
      </w:pPr>
    </w:p>
    <w:p>
      <w:pPr>
        <w:ind w:left="6" w:right="60"/>
        <w:spacing w:after="0" w:line="253" w:lineRule="auto"/>
        <w:rPr>
          <w:sz w:val="20"/>
          <w:szCs w:val="20"/>
          <w:color w:val="auto"/>
        </w:rPr>
      </w:pPr>
      <w:r>
        <w:rPr>
          <w:rFonts w:ascii="Arial" w:cs="Arial" w:eastAsia="Arial" w:hAnsi="Arial"/>
          <w:sz w:val="16"/>
          <w:szCs w:val="16"/>
          <w:color w:val="auto"/>
        </w:rPr>
        <w:t xml:space="preserve">You are entitled to attend the virtual annual meeting only if you were a shareholder of record as of the Record Date for the annual meeting, or you hold a valid proxy for the annual meeting. You may attend the annual meeting, vote, and submit a question during the annual meeting by visiting </w:t>
      </w:r>
      <w:r>
        <w:rPr>
          <w:rFonts w:ascii="Arial" w:cs="Arial" w:eastAsia="Arial" w:hAnsi="Arial"/>
          <w:sz w:val="16"/>
          <w:szCs w:val="16"/>
          <w:b w:val="1"/>
          <w:bCs w:val="1"/>
          <w:color w:val="0063A6"/>
        </w:rPr>
        <w:t>www.virtualshareholdermeeting.com/ITRI2026</w:t>
      </w:r>
      <w:r>
        <w:rPr>
          <w:rFonts w:ascii="Arial" w:cs="Arial" w:eastAsia="Arial" w:hAnsi="Arial"/>
          <w:sz w:val="16"/>
          <w:szCs w:val="16"/>
          <w:color w:val="auto"/>
        </w:rPr>
        <w:t xml:space="preserve"> and using your 16-digit control number to enter the meeting. If you are not a shareholder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Internet Availability of Annual Meeting Materials</w:t>
      </w:r>
    </w:p>
    <w:p>
      <w:pPr>
        <w:spacing w:after="0" w:line="85"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Our proxy materials will be available for you to access over the Internet. On or about March 23, 2026,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proxy materials will be available for you to review online:</w:t>
      </w:r>
    </w:p>
    <w:p>
      <w:pPr>
        <w:spacing w:after="0" w:line="11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Notice of Annual Meeting of Shareholders;</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2026 Proxy Statement;</w:t>
      </w:r>
    </w:p>
    <w:p>
      <w:pPr>
        <w:spacing w:after="0" w:line="113" w:lineRule="exact"/>
        <w:rPr>
          <w:rFonts w:ascii="Arial" w:cs="Arial" w:eastAsia="Arial" w:hAnsi="Arial"/>
          <w:sz w:val="16"/>
          <w:szCs w:val="16"/>
          <w:color w:val="auto"/>
        </w:rPr>
      </w:pPr>
    </w:p>
    <w:p>
      <w:pPr>
        <w:ind w:left="226" w:right="240" w:hanging="226"/>
        <w:spacing w:after="0" w:line="286"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Annual Report to Shareholders for the year ended December 31, 2025 (which is not deemed to be part of the official proxy soliciting materials); and</w:t>
      </w:r>
    </w:p>
    <w:p>
      <w:pPr>
        <w:spacing w:after="0" w:line="47" w:lineRule="exact"/>
        <w:rPr>
          <w:rFonts w:ascii="Arial" w:cs="Arial" w:eastAsia="Arial" w:hAnsi="Arial"/>
          <w:sz w:val="16"/>
          <w:szCs w:val="16"/>
          <w:color w:val="auto"/>
        </w:rPr>
      </w:pPr>
    </w:p>
    <w:p>
      <w:pPr>
        <w:ind w:left="226" w:right="180" w:hanging="226"/>
        <w:spacing w:after="0" w:line="286"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amendments to the foregoing materials that may be required to be furnished to the shareholders by the Securities and Exchange Commission.</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Proposals to Be Voted on at the Annual Meeting</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6"/>
          <w:szCs w:val="16"/>
          <w:color w:val="auto"/>
        </w:rPr>
        <w:t>At the annual meeting, we will consider and vote on the following proposals:</w:t>
      </w:r>
    </w:p>
    <w:p>
      <w:pPr>
        <w:spacing w:after="0" w:line="181" w:lineRule="exact"/>
        <w:rPr>
          <w:sz w:val="20"/>
          <w:szCs w:val="20"/>
          <w:color w:val="auto"/>
        </w:rPr>
      </w:pPr>
    </w:p>
    <w:p>
      <w:pPr>
        <w:ind w:left="346" w:right="4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five directors to the Itron, Inc. Board of Directors, two for a term of two years ending upon our 2028 annual meeting of shareholders, and three for a term of three years ending upon our 2029 annual meeting of shareholders;</w:t>
      </w:r>
    </w:p>
    <w:p>
      <w:pPr>
        <w:spacing w:after="0" w:line="128" w:lineRule="exact"/>
        <w:rPr>
          <w:rFonts w:ascii="Arial" w:cs="Arial" w:eastAsia="Arial" w:hAnsi="Arial"/>
          <w:sz w:val="16"/>
          <w:szCs w:val="16"/>
          <w:color w:val="auto"/>
        </w:rPr>
      </w:pPr>
    </w:p>
    <w:p>
      <w:pPr>
        <w:ind w:left="346" w:right="24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for the fiscal year ended December 31, 2025 (Say-on-Pay vote);</w:t>
      </w:r>
    </w:p>
    <w:p>
      <w:pPr>
        <w:spacing w:after="0" w:line="115" w:lineRule="exact"/>
        <w:rPr>
          <w:rFonts w:ascii="Arial" w:cs="Arial" w:eastAsia="Arial" w:hAnsi="Arial"/>
          <w:sz w:val="16"/>
          <w:szCs w:val="16"/>
          <w:color w:val="auto"/>
        </w:rPr>
      </w:pPr>
    </w:p>
    <w:p>
      <w:pPr>
        <w:ind w:left="346"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registered public accountant for the 2026 fiscal year; and</w:t>
      </w:r>
    </w:p>
    <w:p>
      <w:pPr>
        <w:spacing w:after="0" w:line="115" w:lineRule="exact"/>
        <w:rPr>
          <w:rFonts w:ascii="Arial" w:cs="Arial" w:eastAsia="Arial" w:hAnsi="Arial"/>
          <w:sz w:val="16"/>
          <w:szCs w:val="16"/>
          <w:color w:val="auto"/>
        </w:rPr>
      </w:pPr>
    </w:p>
    <w:p>
      <w:pPr>
        <w:ind w:left="346" w:hanging="346"/>
        <w:spacing w:after="0"/>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902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Record Date and Outstanding Shares</w:t>
      </w:r>
    </w:p>
    <w:p>
      <w:pPr>
        <w:spacing w:after="0" w:line="7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Holders of record of our common stock at the close of business on March 3, 2026, are entitled to notice of, and to vote at, the annual meeting. On the record date, there were 44,319,803 shares of our common stock outstanding. Each outstanding share of our common stock will entitle its holder to one vote on the one director to be elected and one vote on each other matter to be voted on at the annual meeting. Each of our directors and executive officers intends to vote or direct the vote of all shares of common stock over which he or she has voting control in favor of: (1) the election of the nominees for director; (2) the advisory approval of the compensation we paid our named executive officers in 2025; and (3) the ratification of Deloitte &amp; Touche LLP as our independent registered public accountant for the 2026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Quorum and Voting</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Each shareholder is entitled to one vote per share of common stock held on each matter to be voted on. Our annual meeting will be through a virtual-only format solely through means of remote communication, and participation by such means shall constitute presence in person at the meeting. The presence at the annual meeting, in person or by proxy, of holders of a majority of the outstanding shares of common stock on the record date will constitute a quorum. Attendance by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votes required for passage of each proposal:</w:t>
      </w:r>
    </w:p>
    <w:p>
      <w:pPr>
        <w:spacing w:after="0" w:line="18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i w:val="1"/>
          <w:iCs w:val="1"/>
          <w:u w:val="single" w:color="auto"/>
          <w:color w:val="auto"/>
        </w:rPr>
        <w:t>Proposal One – Election of Directors</w:t>
      </w:r>
      <w:r>
        <w:rPr>
          <w:rFonts w:ascii="Arial" w:cs="Arial" w:eastAsia="Arial" w:hAnsi="Arial"/>
          <w:sz w:val="16"/>
          <w:szCs w:val="16"/>
          <w:color w:val="auto"/>
        </w:rPr>
        <w:t>: Each nominee for director is elected by the vote of the majority of the votes cast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to that director’s election (meaning the number of votes cast “for” a nominee must exceed the number of votes cast “against” such nominee). Holders of common stock are not entitled to cumulative votes in the election of directors. Abstentions from voting on this matter will not be counted and will have no effect. Brokers and other holders of record do not have discretionary voting authority to vote your shares in the election of directors, absent voting instructions from you. Therefore, if you are a beneficial shareholder and do not provide voting instructions on Proposal 1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in the election of directors and will have no effect.</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u w:val="single" w:color="auto"/>
          <w:color w:val="auto"/>
        </w:rPr>
        <w:t>Proposal Two – Say-on-Pay Vote (non-binding)</w:t>
      </w:r>
      <w:r>
        <w:rPr>
          <w:rFonts w:ascii="Arial" w:cs="Arial" w:eastAsia="Arial" w:hAnsi="Arial"/>
          <w:sz w:val="16"/>
          <w:szCs w:val="16"/>
          <w:color w:val="auto"/>
        </w:rPr>
        <w:t>: The non-binding advisory vote on this proposal will be approved if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votes cast are in favor of the proposal (meaning the number of votes cast “for” the proposal must exceed the number of votes cast “against” the proposal). Abstentions from voting on this matter will not be counted and will have no effect. Brokers and other holders of record do not have discretionary voting authority to vote your shares for this proposal, absent voting instructions from you. Therefore, if you are a beneficial shareholder and do not provide voting instructions on Proposal 2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on this proposal and will have no effect.</w:t>
      </w:r>
    </w:p>
    <w:p>
      <w:pPr>
        <w:spacing w:after="0" w:line="155"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i w:val="1"/>
          <w:iCs w:val="1"/>
          <w:u w:val="single" w:color="auto"/>
          <w:color w:val="auto"/>
        </w:rPr>
        <w:t>Proposal Three – Ratification of Appointment of Independent Auditor</w:t>
      </w:r>
      <w:r>
        <w:rPr>
          <w:rFonts w:ascii="Arial" w:cs="Arial" w:eastAsia="Arial" w:hAnsi="Arial"/>
          <w:sz w:val="16"/>
          <w:szCs w:val="16"/>
          <w:color w:val="auto"/>
        </w:rPr>
        <w:t>: The appointment of Deloitte &amp; Touche LLP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independent registered public accountant for 2026 will be ratified if the majority of the votes cast are in favor of the proposal (meaning the number of votes cast “for” the proposal must exceed the number of votes cast “against” the proposal). Abstentions from voting on this matter will not be counted and will have no effect. Brokers and other holders of record do have discretionary authority to vote shares on this matter. Therefore, there will be no broker non-votes on the ratification of the Company’s independent registered public accountant.</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Unless contrary instructions are specified, if the proxy is completed and submitted (and not revoked) prior to the annual meeting, the shares represented by the proxy will be voted as follows: (i) FOR each of the five nominees presented under Proposal One and FOR Proposals Two and Three; and (ii) in accordance with the best judgment of the named proxies on any other matters properly brought before the annual meeting.</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to Vote Your Shares in Person and Participate at the Annual Meeting</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This year’s annual meeting will be held entirely online. Shareholders may participate in the annual meeting by visiting the following website: </w:t>
      </w:r>
      <w:r>
        <w:rPr>
          <w:rFonts w:ascii="Arial" w:cs="Arial" w:eastAsia="Arial" w:hAnsi="Arial"/>
          <w:sz w:val="16"/>
          <w:szCs w:val="16"/>
          <w:b w:val="1"/>
          <w:bCs w:val="1"/>
          <w:color w:val="0063A6"/>
        </w:rPr>
        <w:t>www.virtualshareholdermeeting.com/ITRI2026</w:t>
      </w:r>
      <w:r>
        <w:rPr>
          <w:rFonts w:ascii="Arial" w:cs="Arial" w:eastAsia="Arial" w:hAnsi="Arial"/>
          <w:sz w:val="16"/>
          <w:szCs w:val="16"/>
          <w:color w:val="auto"/>
        </w:rPr>
        <w:t>. To participate in the meeting, you will need the 16-digit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may also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 w:name="page7"/>
    <w:bookmarkEnd w:id="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Proxy Statement</w:t>
      </w:r>
    </w:p>
    <w:p>
      <w:pPr>
        <w:spacing w:after="0" w:line="12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How to Vote Your Shares without Attending the Annual Meeting</w:t>
      </w:r>
    </w:p>
    <w:p>
      <w:pPr>
        <w:spacing w:after="0" w:line="77"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color w:val="auto"/>
        </w:rPr>
        <w:t>To vote your shares without attending the meeting, please follow the instructions for Internet or telephone voting on the Notice. If you request printed copies of the proxy materials by mail, you may also vote by signing and submitting your proxy card and returning it by mail, if you are the shareholder of record, or by signing the voter instruction form provided by your bank or broker and returning it by mail, if you are the beneficial owner but not the shareholder of record. This way your shares will be represented whether or not you are able to attend the meeting.</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You may vote your shares in one of several ways, depending on how you own your shares.</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Registered Shareholders (Shares held in your name)</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6"/>
          <w:szCs w:val="16"/>
          <w:color w:val="auto"/>
        </w:rPr>
        <w:t>Registered shareholders can vote in person, by Internet, by telephone, or by mail, by casting their vote as follows:</w:t>
      </w:r>
    </w:p>
    <w:p>
      <w:pPr>
        <w:spacing w:after="0" w:line="181" w:lineRule="exact"/>
        <w:rPr>
          <w:sz w:val="20"/>
          <w:szCs w:val="20"/>
          <w:color w:val="auto"/>
        </w:rPr>
      </w:pPr>
    </w:p>
    <w:p>
      <w:pPr>
        <w:ind w:left="346" w:right="140" w:hanging="346"/>
        <w:spacing w:after="0" w:line="286" w:lineRule="auto"/>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Accessing the Internet website specified in the Notice of Internet Availability and following the instructions provided on the website (or if printed copies of the proxy materials were requested, as specified in the printed proxy card);</w:t>
      </w:r>
    </w:p>
    <w:p>
      <w:pPr>
        <w:spacing w:after="0" w:line="47" w:lineRule="exact"/>
        <w:rPr>
          <w:rFonts w:ascii="Arial" w:cs="Arial" w:eastAsia="Arial" w:hAnsi="Arial"/>
          <w:sz w:val="16"/>
          <w:szCs w:val="16"/>
          <w:color w:val="auto"/>
        </w:rPr>
      </w:pPr>
    </w:p>
    <w:p>
      <w:pPr>
        <w:ind w:left="346" w:right="60" w:hanging="346"/>
        <w:spacing w:after="0" w:line="266" w:lineRule="auto"/>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63" w:lineRule="exact"/>
        <w:rPr>
          <w:rFonts w:ascii="Arial" w:cs="Arial" w:eastAsia="Arial" w:hAnsi="Arial"/>
          <w:sz w:val="16"/>
          <w:szCs w:val="16"/>
          <w:color w:val="auto"/>
        </w:rPr>
      </w:pPr>
    </w:p>
    <w:p>
      <w:pPr>
        <w:ind w:left="346" w:hanging="346"/>
        <w:spacing w:after="0"/>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Attending and voting in person at the annual meeting.</w:t>
      </w:r>
    </w:p>
    <w:p>
      <w:pPr>
        <w:spacing w:after="0" w:line="2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Beneficial Shareholders (Shares held in the name of a broker, bank, or other holder of record on your behalf)</w:t>
      </w:r>
    </w:p>
    <w:p>
      <w:pPr>
        <w:spacing w:after="0" w:line="100" w:lineRule="exact"/>
        <w:rPr>
          <w:sz w:val="20"/>
          <w:szCs w:val="20"/>
          <w:color w:val="auto"/>
        </w:rPr>
      </w:pPr>
    </w:p>
    <w:p>
      <w:pPr>
        <w:ind w:left="6" w:right="140"/>
        <w:spacing w:after="0" w:line="266" w:lineRule="auto"/>
        <w:rPr>
          <w:sz w:val="20"/>
          <w:szCs w:val="20"/>
          <w:color w:val="auto"/>
        </w:rPr>
      </w:pPr>
      <w:r>
        <w:rPr>
          <w:rFonts w:ascii="Arial" w:cs="Arial" w:eastAsia="Arial" w:hAnsi="Arial"/>
          <w:sz w:val="16"/>
          <w:szCs w:val="16"/>
          <w:color w:val="auto"/>
        </w:rPr>
        <w:t>If your shares are held in the name of a broker, bank, or other nominee or holder of record, follow the voting instructions on the voting instruction form provided to you by the holder of record to vote your shares. Uninstructed shares will not be counted as votes cast and will have no effect, except with respect to Proposal 3, for which brokers and custodians have discretion to vote.</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Revocability of Proxies</w:t>
      </w:r>
    </w:p>
    <w:p>
      <w:pPr>
        <w:spacing w:after="0" w:line="72"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63" w:lineRule="exact"/>
        <w:rPr>
          <w:sz w:val="20"/>
          <w:szCs w:val="20"/>
          <w:color w:val="auto"/>
        </w:rPr>
      </w:pPr>
    </w:p>
    <w:p>
      <w:pPr>
        <w:ind w:left="226" w:hanging="226"/>
        <w:spacing w:after="0"/>
        <w:tabs>
          <w:tab w:leader="none" w:pos="226"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submitting a later-dated proxy by mail, by Internet or by telephone for the same shares at any time before the proxy is voted;</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delivering written notice of revocation to the Corporate Secretary of the Company at any time before the vote; or</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6"/>
        </w:numPr>
        <w:rPr>
          <w:rFonts w:ascii="Arial" w:cs="Arial" w:eastAsia="Arial" w:hAnsi="Arial"/>
          <w:sz w:val="16"/>
          <w:szCs w:val="16"/>
          <w:color w:val="auto"/>
        </w:rPr>
      </w:pPr>
      <w:r>
        <w:rPr>
          <w:rFonts w:ascii="Arial" w:cs="Arial" w:eastAsia="Arial" w:hAnsi="Arial"/>
          <w:sz w:val="16"/>
          <w:szCs w:val="16"/>
          <w:color w:val="auto"/>
        </w:rPr>
        <w:t>attending the annual meeting and voting in person.</w:t>
      </w:r>
    </w:p>
    <w:p>
      <w:pPr>
        <w:spacing w:after="0" w:line="194" w:lineRule="exact"/>
        <w:rPr>
          <w:sz w:val="20"/>
          <w:szCs w:val="20"/>
          <w:color w:val="auto"/>
        </w:rPr>
      </w:pPr>
    </w:p>
    <w:p>
      <w:pPr>
        <w:ind w:left="6" w:right="80"/>
        <w:spacing w:after="0" w:line="266" w:lineRule="auto"/>
        <w:rPr>
          <w:sz w:val="20"/>
          <w:szCs w:val="20"/>
          <w:color w:val="auto"/>
        </w:rPr>
      </w:pPr>
      <w:r>
        <w:rPr>
          <w:rFonts w:ascii="Arial" w:cs="Arial" w:eastAsia="Arial" w:hAnsi="Arial"/>
          <w:sz w:val="16"/>
          <w:szCs w:val="16"/>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Proxy Solicitation</w:t>
      </w:r>
    </w:p>
    <w:p>
      <w:pPr>
        <w:spacing w:after="0" w:line="72" w:lineRule="exact"/>
        <w:rPr>
          <w:sz w:val="20"/>
          <w:szCs w:val="20"/>
          <w:color w:val="auto"/>
        </w:rPr>
      </w:pPr>
    </w:p>
    <w:p>
      <w:pPr>
        <w:ind w:left="6" w:right="180"/>
        <w:spacing w:after="0" w:line="253" w:lineRule="auto"/>
        <w:rPr>
          <w:sz w:val="20"/>
          <w:szCs w:val="20"/>
          <w:color w:val="auto"/>
        </w:rPr>
      </w:pPr>
      <w:r>
        <w:rPr>
          <w:rFonts w:ascii="Arial" w:cs="Arial" w:eastAsia="Arial" w:hAnsi="Arial"/>
          <w:sz w:val="16"/>
          <w:szCs w:val="16"/>
          <w:color w:val="auto"/>
        </w:rPr>
        <w:t>The Board of Directors is responsible for the solicitation of proxies for the annual meeting. We have retained Broadridge Financial Solutions, Inc. to assist in the distribution of proxy materials and provide voting and tabulation services. We will bear the cost of such solicitation of proxies. We pay for the cost of proxy preparation and solicitation, and we may reimburse brokerage firms and other persons representing beneficial owners of our common stock for their reasonable expenses in forwarding solicitation materials to the beneficial owners. We may solicit proxies by personal contact, mail, email or telephone. In addition, our directors, officers, and employees may also solicit proxies personally or by telephone, without 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829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6"/>
        <w:spacing w:after="0"/>
        <w:tabs>
          <w:tab w:leader="none" w:pos="3046" w:val="left"/>
          <w:tab w:leader="none" w:pos="902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PROPOSAL 1 – ELECTION OF DIRECTORS</w:t>
      </w:r>
    </w:p>
    <w:p>
      <w:pPr>
        <w:spacing w:after="0" w:line="20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Board of Directors (Board) is divided into three classes, with each director holding office for a three-year term or until his or her successor has been duly elected and qualified, or until his or her death, resignation, or removal from office. At the annual meeting, shareholders are being asked to re-elect two Class 3 directors for a term of two years and three Class 1 directors for a term of three years, or in each case, until their death, resignation, or removal from office or their successors are duly elected and qualified. Scott D. Drury and Sheri L. Savage, Class 3 directors appointed in August 2025, are being nominated in accordance with the Company’s Amended and Restated Bylaws, which state that a director elected to fill a Board vacancy shall only serve until the next election of directors by shareholders.</w:t>
      </w:r>
    </w:p>
    <w:p>
      <w:pPr>
        <w:spacing w:after="0" w:line="14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Board has nominated the following persons for election to the Board. Each nominee is currently a director and has indicated that he or she is willing and able to continue to serve as a director.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Class 3 (to serve until the 2028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Scott D. Drury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Sheri L. Savage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Class 1 (to serve until the 2029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Frank M. Jaehnert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Jerome J. Lande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Sanjay Mirchandani</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concluded that the nominees up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6"/>
          <w:szCs w:val="16"/>
          <w:i w:val="1"/>
          <w:iCs w:val="1"/>
          <w:color w:val="auto"/>
        </w:rPr>
        <w:t>Director and Director Nominee Qualifications</w:t>
      </w:r>
      <w:r>
        <w:rPr>
          <w:rFonts w:ascii="Arial" w:cs="Arial" w:eastAsia="Arial" w:hAnsi="Arial"/>
          <w:sz w:val="16"/>
          <w:szCs w:val="16"/>
          <w:color w:val="auto"/>
        </w:rPr>
        <w:t>” that follows, the qualifications of our directors and director nominees support our conclusion that each of the individuals should serve as a director in light of our current business operations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80010</wp:posOffset>
            </wp:positionV>
            <wp:extent cx="248285" cy="600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285" cy="600075"/>
                    </a:xfrm>
                    <a:prstGeom prst="rect">
                      <a:avLst/>
                    </a:prstGeom>
                    <a:noFill/>
                  </pic:spPr>
                </pic:pic>
              </a:graphicData>
            </a:graphic>
          </wp:anchor>
        </w:drawing>
      </w:r>
    </w:p>
    <w:p>
      <w:pPr>
        <w:spacing w:after="0" w:line="308"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recommends that shareholders</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vote “FOR” the election of each of the</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582930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14"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F"/>
        </w:rPr>
        <w:t>Class 3 Director Nominees – Term That Will Expire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104775</wp:posOffset>
            </wp:positionV>
            <wp:extent cx="1671955" cy="34118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71955" cy="34118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2025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sz w:val="20"/>
          <w:szCs w:val="20"/>
          <w:color w:val="auto"/>
        </w:rPr>
        <w:tab/>
      </w:r>
      <w:r>
        <w:rPr>
          <w:rFonts w:ascii="Arial" w:cs="Arial" w:eastAsia="Arial" w:hAnsi="Arial"/>
          <w:sz w:val="15"/>
          <w:szCs w:val="15"/>
          <w:color w:val="auto"/>
        </w:rPr>
        <w:t>Yes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line="90"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Member of 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Scott D. Drury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Retired CEO of Southern California Gas Company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7" w:lineRule="auto"/>
        <w:rPr>
          <w:sz w:val="20"/>
          <w:szCs w:val="20"/>
          <w:color w:val="auto"/>
        </w:rPr>
      </w:pPr>
      <w:r>
        <w:rPr>
          <w:rFonts w:ascii="Arial" w:cs="Arial" w:eastAsia="Arial" w:hAnsi="Arial"/>
          <w:sz w:val="18"/>
          <w:szCs w:val="18"/>
          <w:b w:val="1"/>
          <w:bCs w:val="1"/>
          <w:color w:val="D02A2E"/>
        </w:rPr>
        <w:t>QUALIFICATIONS</w:t>
      </w:r>
      <w:r>
        <w:rPr>
          <w:rFonts w:ascii="Arial" w:cs="Arial" w:eastAsia="Arial" w:hAnsi="Arial"/>
          <w:sz w:val="32"/>
          <w:szCs w:val="32"/>
          <w:color w:val="000000"/>
          <w:vertAlign w:val="subscript"/>
        </w:rPr>
        <w:t xml:space="preserve"> </w:t>
      </w:r>
      <w:r>
        <w:rPr>
          <w:rFonts w:ascii="Arial" w:cs="Arial" w:eastAsia="Arial" w:hAnsi="Arial"/>
          <w:sz w:val="18"/>
          <w:szCs w:val="18"/>
          <w:b w:val="1"/>
          <w:bCs w:val="1"/>
          <w:color w:val="D02A2E"/>
        </w:rPr>
        <w:t xml:space="preserve"> AND SKILLS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INDUSTRY EXPERTISE: </w:t>
      </w:r>
      <w:r>
        <w:rPr>
          <w:rFonts w:ascii="Arial" w:cs="Arial" w:eastAsia="Arial" w:hAnsi="Arial"/>
          <w:sz w:val="16"/>
          <w:szCs w:val="16"/>
          <w:color w:val="auto"/>
        </w:rPr>
        <w:t>Leverages deep understanding of utilities with nearly</w:t>
      </w:r>
    </w:p>
    <w:p>
      <w:pPr>
        <w:spacing w:after="0" w:line="182" w:lineRule="auto"/>
        <w:rPr>
          <w:sz w:val="20"/>
          <w:szCs w:val="20"/>
          <w:color w:val="auto"/>
        </w:rPr>
      </w:pPr>
      <w:r>
        <w:rPr>
          <w:rFonts w:ascii="Arial" w:cs="Arial" w:eastAsia="Arial" w:hAnsi="Arial"/>
          <w:sz w:val="16"/>
          <w:szCs w:val="16"/>
          <w:color w:val="auto"/>
        </w:rPr>
        <w:t>40 years of experience in the electric and natural gas utility industry</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Brings more than 15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leadership experience in the utility industry, including CEO and president</w:t>
      </w:r>
    </w:p>
    <w:p>
      <w:pPr>
        <w:spacing w:after="0" w:line="1" w:lineRule="exact"/>
        <w:rPr>
          <w:sz w:val="20"/>
          <w:szCs w:val="20"/>
          <w:color w:val="auto"/>
        </w:rPr>
      </w:pPr>
    </w:p>
    <w:p>
      <w:pPr>
        <w:ind w:right="1260"/>
        <w:spacing w:after="0" w:line="211" w:lineRule="auto"/>
        <w:rPr>
          <w:sz w:val="20"/>
          <w:szCs w:val="20"/>
          <w:color w:val="auto"/>
        </w:rPr>
      </w:pPr>
      <w:r>
        <w:rPr>
          <w:rFonts w:ascii="Arial" w:cs="Arial" w:eastAsia="Arial" w:hAnsi="Arial"/>
          <w:sz w:val="16"/>
          <w:szCs w:val="16"/>
          <w:color w:val="auto"/>
        </w:rPr>
        <w:t>roles, with extensive expertise in leading large-scale transformation  </w:t>
      </w:r>
    </w:p>
    <w:p>
      <w:pPr>
        <w:ind w:right="220"/>
        <w:spacing w:after="0" w:line="233" w:lineRule="auto"/>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Qualified financial expert with demonstrated track record</w:t>
      </w:r>
      <w:r>
        <w:rPr>
          <w:rFonts w:ascii="Arial" w:cs="Arial" w:eastAsia="Arial" w:hAnsi="Arial"/>
          <w:sz w:val="16"/>
          <w:szCs w:val="16"/>
          <w:b w:val="1"/>
          <w:bCs w:val="1"/>
          <w:color w:val="auto"/>
        </w:rPr>
        <w:t xml:space="preserve"> </w:t>
      </w:r>
      <w:r>
        <w:rPr>
          <w:rFonts w:ascii="Arial" w:cs="Arial" w:eastAsia="Arial" w:hAnsi="Arial"/>
          <w:sz w:val="16"/>
          <w:szCs w:val="16"/>
          <w:color w:val="auto"/>
        </w:rPr>
        <w:t>of increasing shareholder value and leading strategic engagement across stakeholders, including investors, credit agencies, regulatory bodies and policymakers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160" w:right="36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Chief Executive Officer of Southern California Gas Company, January 2021 –</w:t>
      </w:r>
      <w:r>
        <w:rPr>
          <w:rFonts w:ascii="Arial" w:cs="Arial" w:eastAsia="Arial" w:hAnsi="Arial"/>
          <w:sz w:val="16"/>
          <w:szCs w:val="16"/>
          <w:color w:val="D02A2E"/>
        </w:rPr>
        <w:t xml:space="preserve"> </w:t>
      </w:r>
      <w:r>
        <w:rPr>
          <w:rFonts w:ascii="Arial" w:cs="Arial" w:eastAsia="Arial" w:hAnsi="Arial"/>
          <w:sz w:val="16"/>
          <w:szCs w:val="16"/>
          <w:color w:val="000000"/>
        </w:rPr>
        <w:t>December 2024 (Retired)</w:t>
      </w:r>
    </w:p>
    <w:p>
      <w:pPr>
        <w:spacing w:after="0" w:line="34" w:lineRule="exact"/>
        <w:rPr>
          <w:sz w:val="20"/>
          <w:szCs w:val="20"/>
          <w:color w:val="auto"/>
        </w:rPr>
      </w:pPr>
    </w:p>
    <w:p>
      <w:pPr>
        <w:ind w:left="160" w:right="5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Seasoned utility executive and former CEO with nearly 40 years of industry</w:t>
      </w:r>
      <w:r>
        <w:rPr>
          <w:rFonts w:ascii="Arial" w:cs="Arial" w:eastAsia="Arial" w:hAnsi="Arial"/>
          <w:sz w:val="16"/>
          <w:szCs w:val="16"/>
          <w:color w:val="D02A2E"/>
        </w:rPr>
        <w:t xml:space="preserve"> </w:t>
      </w:r>
      <w:r>
        <w:rPr>
          <w:rFonts w:ascii="Arial" w:cs="Arial" w:eastAsia="Arial" w:hAnsi="Arial"/>
          <w:sz w:val="16"/>
          <w:szCs w:val="16"/>
          <w:color w:val="000000"/>
        </w:rPr>
        <w:t>experience</w:t>
      </w:r>
    </w:p>
    <w:p>
      <w:pPr>
        <w:spacing w:after="0" w:line="21" w:lineRule="exact"/>
        <w:rPr>
          <w:sz w:val="20"/>
          <w:szCs w:val="20"/>
          <w:color w:val="auto"/>
        </w:rPr>
      </w:pPr>
    </w:p>
    <w:p>
      <w:pPr>
        <w:ind w:left="160" w:right="76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Served in senior leadership roles across supply chain, transmission and</w:t>
      </w:r>
      <w:r>
        <w:rPr>
          <w:rFonts w:ascii="Arial" w:cs="Arial" w:eastAsia="Arial" w:hAnsi="Arial"/>
          <w:sz w:val="16"/>
          <w:szCs w:val="16"/>
          <w:color w:val="D02A2E"/>
        </w:rPr>
        <w:t xml:space="preserve"> </w:t>
      </w:r>
      <w:r>
        <w:rPr>
          <w:rFonts w:ascii="Arial" w:cs="Arial" w:eastAsia="Arial" w:hAnsi="Arial"/>
          <w:sz w:val="16"/>
          <w:szCs w:val="16"/>
          <w:color w:val="000000"/>
        </w:rPr>
        <w:t>distribution, safety emergency management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116205</wp:posOffset>
            </wp:positionV>
            <wp:extent cx="5829300" cy="1474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29300" cy="1474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210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FINANCIAL</w:t>
            </w:r>
          </w:p>
        </w:tc>
        <w:tc>
          <w:tcPr>
            <w:tcW w:w="480" w:type="dxa"/>
            <w:vAlign w:val="bottom"/>
          </w:tcPr>
          <w:p>
            <w:pPr>
              <w:spacing w:after="0"/>
              <w:rPr>
                <w:sz w:val="24"/>
                <w:szCs w:val="24"/>
                <w:color w:val="auto"/>
              </w:rPr>
            </w:pPr>
          </w:p>
        </w:tc>
        <w:tc>
          <w:tcPr>
            <w:tcW w:w="1920" w:type="dxa"/>
            <w:vAlign w:val="bottom"/>
          </w:tcPr>
          <w:p>
            <w:pPr>
              <w:ind w:left="340"/>
              <w:spacing w:after="0"/>
              <w:rPr>
                <w:sz w:val="20"/>
                <w:szCs w:val="20"/>
                <w:color w:val="auto"/>
              </w:rPr>
            </w:pPr>
            <w:r>
              <w:rPr>
                <w:rFonts w:ascii="Arial" w:cs="Arial" w:eastAsia="Arial" w:hAnsi="Arial"/>
                <w:sz w:val="14"/>
                <w:szCs w:val="14"/>
                <w:b w:val="1"/>
                <w:bCs w:val="1"/>
                <w:color w:val="5D6673"/>
              </w:rPr>
              <w:t>PUBLIC BOARD</w:t>
            </w:r>
          </w:p>
        </w:tc>
        <w:tc>
          <w:tcPr>
            <w:tcW w:w="22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GOVERNMENT</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LEADERSHIP</w:t>
            </w:r>
          </w:p>
        </w:tc>
        <w:tc>
          <w:tcPr>
            <w:tcW w:w="21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AND GOVERNANCE</w:t>
            </w: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10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LITERACY/CFO</w:t>
            </w:r>
          </w:p>
        </w:tc>
        <w:tc>
          <w:tcPr>
            <w:tcW w:w="4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22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tcPr>
          <w:p>
            <w:pPr>
              <w:spacing w:after="0"/>
              <w:rPr>
                <w:sz w:val="8"/>
                <w:szCs w:val="8"/>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EXPERIENCE</w:t>
            </w:r>
          </w:p>
        </w:tc>
        <w:tc>
          <w:tcPr>
            <w:tcW w:w="21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EXPERIENCE</w:t>
            </w: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2100" w:type="dxa"/>
            <w:vAlign w:val="bottom"/>
            <w:vMerge w:val="restart"/>
          </w:tcPr>
          <w:p>
            <w:pPr>
              <w:ind w:left="240"/>
              <w:spacing w:after="0"/>
              <w:rPr>
                <w:sz w:val="20"/>
                <w:szCs w:val="20"/>
                <w:color w:val="auto"/>
              </w:rPr>
            </w:pPr>
            <w:r>
              <w:rPr>
                <w:rFonts w:ascii="Arial" w:cs="Arial" w:eastAsia="Arial" w:hAnsi="Arial"/>
                <w:sz w:val="14"/>
                <w:szCs w:val="14"/>
                <w:b w:val="1"/>
                <w:bCs w:val="1"/>
                <w:color w:val="5D6673"/>
              </w:rPr>
              <w:t> </w:t>
            </w:r>
          </w:p>
        </w:tc>
        <w:tc>
          <w:tcPr>
            <w:tcW w:w="48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continue"/>
          </w:tcPr>
          <w:p>
            <w:pPr>
              <w:spacing w:after="0"/>
              <w:rPr>
                <w:sz w:val="8"/>
                <w:szCs w:val="8"/>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shd w:val="clear" w:color="auto" w:fill="DCDEE4"/>
          </w:tcPr>
          <w:p>
            <w:pPr>
              <w:spacing w:after="0"/>
              <w:rPr>
                <w:sz w:val="24"/>
                <w:szCs w:val="24"/>
                <w:color w:val="auto"/>
              </w:rPr>
            </w:pPr>
          </w:p>
        </w:tc>
        <w:tc>
          <w:tcPr>
            <w:tcW w:w="1620" w:type="dxa"/>
            <w:vAlign w:val="bottom"/>
            <w:shd w:val="clear" w:color="auto" w:fill="DCDEE4"/>
          </w:tcPr>
          <w:p>
            <w:pPr>
              <w:ind w:left="80"/>
              <w:spacing w:after="0"/>
              <w:rPr>
                <w:sz w:val="20"/>
                <w:szCs w:val="20"/>
                <w:color w:val="auto"/>
              </w:rPr>
            </w:pPr>
            <w:r>
              <w:rPr>
                <w:rFonts w:ascii="Arial" w:cs="Arial" w:eastAsia="Arial" w:hAnsi="Arial"/>
                <w:sz w:val="14"/>
                <w:szCs w:val="14"/>
                <w:b w:val="1"/>
                <w:bCs w:val="1"/>
                <w:color w:val="5D6673"/>
              </w:rPr>
              <w:t>MANUFACTURING</w:t>
            </w:r>
          </w:p>
        </w:tc>
        <w:tc>
          <w:tcPr>
            <w:tcW w:w="2100" w:type="dxa"/>
            <w:vAlign w:val="bottom"/>
            <w:vMerge w:val="restart"/>
            <w:shd w:val="clear" w:color="auto" w:fill="DCDEE4"/>
          </w:tcPr>
          <w:p>
            <w:pPr>
              <w:ind w:left="940"/>
              <w:spacing w:after="0"/>
              <w:rPr>
                <w:sz w:val="20"/>
                <w:szCs w:val="20"/>
                <w:color w:val="auto"/>
              </w:rPr>
            </w:pPr>
            <w:r>
              <w:rPr>
                <w:rFonts w:ascii="Arial" w:cs="Arial" w:eastAsia="Arial" w:hAnsi="Arial"/>
                <w:sz w:val="14"/>
                <w:szCs w:val="14"/>
                <w:b w:val="1"/>
                <w:bCs w:val="1"/>
                <w:color w:val="5D6673"/>
              </w:rPr>
              <w:t>INFORMATION</w:t>
            </w:r>
          </w:p>
        </w:tc>
        <w:tc>
          <w:tcPr>
            <w:tcW w:w="480" w:type="dxa"/>
            <w:vAlign w:val="bottom"/>
            <w:shd w:val="clear" w:color="auto" w:fill="DCDEE4"/>
          </w:tcPr>
          <w:p>
            <w:pPr>
              <w:spacing w:after="0"/>
              <w:rPr>
                <w:sz w:val="24"/>
                <w:szCs w:val="24"/>
                <w:color w:val="auto"/>
              </w:rPr>
            </w:pPr>
          </w:p>
        </w:tc>
        <w:tc>
          <w:tcPr>
            <w:tcW w:w="192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INDUSTRY</w:t>
            </w:r>
          </w:p>
        </w:tc>
        <w:tc>
          <w:tcPr>
            <w:tcW w:w="22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AND/OR SUPPLY</w:t>
            </w:r>
          </w:p>
        </w:tc>
        <w:tc>
          <w:tcPr>
            <w:tcW w:w="2100" w:type="dxa"/>
            <w:vAlign w:val="bottom"/>
            <w:vMerge w:val="continue"/>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920" w:type="dxa"/>
            <w:vAlign w:val="bottom"/>
            <w:vMerge w:val="continue"/>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vMerge w:val="continue"/>
            <w:shd w:val="clear" w:color="auto" w:fill="DCDEE4"/>
          </w:tcPr>
          <w:p>
            <w:pPr>
              <w:spacing w:after="0"/>
              <w:rPr>
                <w:sz w:val="7"/>
                <w:szCs w:val="7"/>
                <w:color w:val="auto"/>
              </w:rPr>
            </w:pPr>
          </w:p>
        </w:tc>
        <w:tc>
          <w:tcPr>
            <w:tcW w:w="2100" w:type="dxa"/>
            <w:vAlign w:val="bottom"/>
            <w:vMerge w:val="restart"/>
            <w:shd w:val="clear" w:color="auto" w:fill="DCDEE4"/>
          </w:tcPr>
          <w:p>
            <w:pPr>
              <w:ind w:left="940"/>
              <w:spacing w:after="0"/>
              <w:rPr>
                <w:sz w:val="20"/>
                <w:szCs w:val="20"/>
                <w:color w:val="auto"/>
              </w:rPr>
            </w:pPr>
            <w:r>
              <w:rPr>
                <w:rFonts w:ascii="Arial" w:cs="Arial" w:eastAsia="Arial" w:hAnsi="Arial"/>
                <w:sz w:val="14"/>
                <w:szCs w:val="14"/>
                <w:b w:val="1"/>
                <w:bCs w:val="1"/>
                <w:color w:val="5D6673"/>
              </w:rPr>
              <w:t>TECHNOLOGY</w:t>
            </w:r>
          </w:p>
        </w:tc>
        <w:tc>
          <w:tcPr>
            <w:tcW w:w="480" w:type="dxa"/>
            <w:vAlign w:val="bottom"/>
            <w:shd w:val="clear" w:color="auto" w:fill="DCDEE4"/>
          </w:tcPr>
          <w:p>
            <w:pPr>
              <w:spacing w:after="0"/>
              <w:rPr>
                <w:sz w:val="7"/>
                <w:szCs w:val="7"/>
                <w:color w:val="auto"/>
              </w:rPr>
            </w:pPr>
          </w:p>
        </w:tc>
        <w:tc>
          <w:tcPr>
            <w:tcW w:w="192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EXPERIENCE</w:t>
            </w: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shd w:val="clear" w:color="auto" w:fill="DCDEE4"/>
          </w:tcPr>
          <w:p>
            <w:pPr>
              <w:spacing w:after="0"/>
              <w:rPr>
                <w:sz w:val="10"/>
                <w:szCs w:val="10"/>
                <w:color w:val="auto"/>
              </w:rPr>
            </w:pPr>
          </w:p>
        </w:tc>
        <w:tc>
          <w:tcPr>
            <w:tcW w:w="1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CHAIN EXPERTISE</w:t>
            </w:r>
          </w:p>
        </w:tc>
        <w:tc>
          <w:tcPr>
            <w:tcW w:w="2100" w:type="dxa"/>
            <w:vAlign w:val="bottom"/>
            <w:vMerge w:val="continue"/>
            <w:shd w:val="clear" w:color="auto" w:fill="DCDEE4"/>
          </w:tcPr>
          <w:p>
            <w:pPr>
              <w:spacing w:after="0"/>
              <w:rPr>
                <w:sz w:val="10"/>
                <w:szCs w:val="10"/>
                <w:color w:val="auto"/>
              </w:rPr>
            </w:pPr>
          </w:p>
        </w:tc>
        <w:tc>
          <w:tcPr>
            <w:tcW w:w="48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continue"/>
            <w:shd w:val="clear" w:color="auto" w:fill="DCDEE4"/>
          </w:tcPr>
          <w:p>
            <w:pPr>
              <w:spacing w:after="0"/>
              <w:rPr>
                <w:sz w:val="10"/>
                <w:szCs w:val="10"/>
                <w:color w:val="auto"/>
              </w:rPr>
            </w:pPr>
          </w:p>
        </w:tc>
        <w:tc>
          <w:tcPr>
            <w:tcW w:w="22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vMerge w:val="continue"/>
            <w:shd w:val="clear" w:color="auto" w:fill="DCDEE4"/>
          </w:tcPr>
          <w:p>
            <w:pPr>
              <w:spacing w:after="0"/>
              <w:rPr>
                <w:sz w:val="7"/>
                <w:szCs w:val="7"/>
                <w:color w:val="auto"/>
              </w:rPr>
            </w:pPr>
          </w:p>
        </w:tc>
        <w:tc>
          <w:tcPr>
            <w:tcW w:w="2100" w:type="dxa"/>
            <w:vAlign w:val="bottom"/>
            <w:vMerge w:val="restart"/>
            <w:shd w:val="clear" w:color="auto" w:fill="DCDEE4"/>
          </w:tcPr>
          <w:p>
            <w:pPr>
              <w:ind w:left="240"/>
              <w:spacing w:after="0"/>
              <w:rPr>
                <w:sz w:val="20"/>
                <w:szCs w:val="20"/>
                <w:color w:val="auto"/>
              </w:rPr>
            </w:pPr>
            <w:r>
              <w:rPr>
                <w:rFonts w:ascii="Arial" w:cs="Arial" w:eastAsia="Arial" w:hAnsi="Arial"/>
                <w:sz w:val="14"/>
                <w:szCs w:val="14"/>
                <w:b w:val="1"/>
                <w:bCs w:val="1"/>
                <w:color w:val="5D6673"/>
              </w:rPr>
              <w:t> </w:t>
            </w:r>
          </w:p>
        </w:tc>
        <w:tc>
          <w:tcPr>
            <w:tcW w:w="480" w:type="dxa"/>
            <w:vAlign w:val="bottom"/>
            <w:vMerge w:val="continue"/>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shd w:val="clear" w:color="auto" w:fill="DCDEE4"/>
          </w:tcPr>
          <w:p>
            <w:pPr>
              <w:spacing w:after="0"/>
              <w:rPr>
                <w:sz w:val="7"/>
                <w:szCs w:val="7"/>
                <w:color w:val="auto"/>
              </w:rPr>
            </w:pPr>
          </w:p>
        </w:tc>
        <w:tc>
          <w:tcPr>
            <w:tcW w:w="2100" w:type="dxa"/>
            <w:vAlign w:val="bottom"/>
            <w:vMerge w:val="continue"/>
            <w:shd w:val="clear" w:color="auto" w:fill="DCDEE4"/>
          </w:tcPr>
          <w:p>
            <w:pPr>
              <w:spacing w:after="0"/>
              <w:rPr>
                <w:sz w:val="7"/>
                <w:szCs w:val="7"/>
                <w:color w:val="auto"/>
              </w:rPr>
            </w:pPr>
          </w:p>
        </w:tc>
        <w:tc>
          <w:tcPr>
            <w:tcW w:w="480" w:type="dxa"/>
            <w:vAlign w:val="bottom"/>
            <w:vMerge w:val="continue"/>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540" w:type="dxa"/>
            <w:vAlign w:val="bottom"/>
            <w:shd w:val="clear" w:color="auto" w:fill="DCDEE4"/>
          </w:tcPr>
          <w:p>
            <w:pPr>
              <w:spacing w:after="0"/>
              <w:rPr>
                <w:sz w:val="2"/>
                <w:szCs w:val="2"/>
                <w:color w:val="auto"/>
              </w:rPr>
            </w:pPr>
          </w:p>
        </w:tc>
        <w:tc>
          <w:tcPr>
            <w:tcW w:w="100" w:type="dxa"/>
            <w:vAlign w:val="bottom"/>
            <w:shd w:val="clear" w:color="auto" w:fill="DCDEE4"/>
          </w:tcPr>
          <w:p>
            <w:pPr>
              <w:spacing w:after="0"/>
              <w:rPr>
                <w:sz w:val="2"/>
                <w:szCs w:val="2"/>
                <w:color w:val="auto"/>
              </w:rPr>
            </w:pPr>
          </w:p>
        </w:tc>
        <w:tc>
          <w:tcPr>
            <w:tcW w:w="1620" w:type="dxa"/>
            <w:vAlign w:val="bottom"/>
            <w:shd w:val="clear" w:color="auto" w:fill="DCDEE4"/>
          </w:tcPr>
          <w:p>
            <w:pPr>
              <w:spacing w:after="0"/>
              <w:rPr>
                <w:sz w:val="2"/>
                <w:szCs w:val="2"/>
                <w:color w:val="auto"/>
              </w:rPr>
            </w:pPr>
          </w:p>
        </w:tc>
        <w:tc>
          <w:tcPr>
            <w:tcW w:w="2100" w:type="dxa"/>
            <w:vAlign w:val="bottom"/>
            <w:vMerge w:val="continue"/>
            <w:shd w:val="clear" w:color="auto" w:fill="DCDEE4"/>
          </w:tcPr>
          <w:p>
            <w:pPr>
              <w:spacing w:after="0"/>
              <w:rPr>
                <w:sz w:val="2"/>
                <w:szCs w:val="2"/>
                <w:color w:val="auto"/>
              </w:rPr>
            </w:pPr>
          </w:p>
        </w:tc>
        <w:tc>
          <w:tcPr>
            <w:tcW w:w="480" w:type="dxa"/>
            <w:vAlign w:val="bottom"/>
            <w:shd w:val="clear" w:color="auto" w:fill="DCDEE4"/>
          </w:tcPr>
          <w:p>
            <w:pPr>
              <w:spacing w:after="0"/>
              <w:rPr>
                <w:sz w:val="2"/>
                <w:szCs w:val="2"/>
                <w:color w:val="auto"/>
              </w:rPr>
            </w:pPr>
          </w:p>
        </w:tc>
        <w:tc>
          <w:tcPr>
            <w:tcW w:w="1920" w:type="dxa"/>
            <w:vAlign w:val="bottom"/>
            <w:shd w:val="clear" w:color="auto" w:fill="DCDEE4"/>
          </w:tcPr>
          <w:p>
            <w:pPr>
              <w:spacing w:after="0"/>
              <w:rPr>
                <w:sz w:val="2"/>
                <w:szCs w:val="2"/>
                <w:color w:val="auto"/>
              </w:rPr>
            </w:pPr>
          </w:p>
        </w:tc>
        <w:tc>
          <w:tcPr>
            <w:tcW w:w="2260" w:type="dxa"/>
            <w:vAlign w:val="bottom"/>
            <w:shd w:val="clear" w:color="auto" w:fill="DCDEE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6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00" w:type="dxa"/>
            <w:vAlign w:val="bottom"/>
            <w:shd w:val="clear" w:color="auto" w:fill="DCDEE4"/>
          </w:tcPr>
          <w:p>
            <w:pPr>
              <w:spacing w:after="0"/>
              <w:rPr>
                <w:sz w:val="10"/>
                <w:szCs w:val="10"/>
                <w:color w:val="auto"/>
              </w:rPr>
            </w:pPr>
          </w:p>
        </w:tc>
        <w:tc>
          <w:tcPr>
            <w:tcW w:w="1620" w:type="dxa"/>
            <w:vAlign w:val="bottom"/>
            <w:shd w:val="clear" w:color="auto" w:fill="DCDEE4"/>
          </w:tcPr>
          <w:p>
            <w:pPr>
              <w:spacing w:after="0"/>
              <w:rPr>
                <w:sz w:val="10"/>
                <w:szCs w:val="10"/>
                <w:color w:val="auto"/>
              </w:rPr>
            </w:pPr>
          </w:p>
        </w:tc>
        <w:tc>
          <w:tcPr>
            <w:tcW w:w="2100" w:type="dxa"/>
            <w:vAlign w:val="bottom"/>
            <w:shd w:val="clear" w:color="auto" w:fill="DCDEE4"/>
          </w:tcPr>
          <w:p>
            <w:pPr>
              <w:spacing w:after="0"/>
              <w:rPr>
                <w:sz w:val="10"/>
                <w:szCs w:val="10"/>
                <w:color w:val="auto"/>
              </w:rPr>
            </w:pPr>
          </w:p>
        </w:tc>
        <w:tc>
          <w:tcPr>
            <w:tcW w:w="480" w:type="dxa"/>
            <w:vAlign w:val="bottom"/>
            <w:shd w:val="clear" w:color="auto" w:fill="DCDEE4"/>
          </w:tcPr>
          <w:p>
            <w:pPr>
              <w:spacing w:after="0"/>
              <w:rPr>
                <w:sz w:val="10"/>
                <w:szCs w:val="10"/>
                <w:color w:val="auto"/>
              </w:rPr>
            </w:pPr>
          </w:p>
        </w:tc>
        <w:tc>
          <w:tcPr>
            <w:tcW w:w="1920" w:type="dxa"/>
            <w:vAlign w:val="bottom"/>
            <w:shd w:val="clear" w:color="auto" w:fill="DCDEE4"/>
          </w:tcPr>
          <w:p>
            <w:pPr>
              <w:spacing w:after="0"/>
              <w:rPr>
                <w:sz w:val="10"/>
                <w:szCs w:val="10"/>
                <w:color w:val="auto"/>
              </w:rPr>
            </w:pPr>
          </w:p>
        </w:tc>
        <w:tc>
          <w:tcPr>
            <w:tcW w:w="22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00" w:type="dxa"/>
            <w:vAlign w:val="bottom"/>
            <w:tcBorders>
              <w:bottom w:val="single" w:sz="8" w:color="D02A2E"/>
            </w:tcBorders>
          </w:tcPr>
          <w:p>
            <w:pPr>
              <w:spacing w:after="0"/>
              <w:rPr>
                <w:sz w:val="18"/>
                <w:szCs w:val="18"/>
                <w:color w:val="auto"/>
              </w:rPr>
            </w:pPr>
          </w:p>
        </w:tc>
        <w:tc>
          <w:tcPr>
            <w:tcW w:w="1620" w:type="dxa"/>
            <w:vAlign w:val="bottom"/>
            <w:tcBorders>
              <w:bottom w:val="single" w:sz="8" w:color="D02A2E"/>
            </w:tcBorders>
          </w:tcPr>
          <w:p>
            <w:pPr>
              <w:spacing w:after="0"/>
              <w:rPr>
                <w:sz w:val="18"/>
                <w:szCs w:val="18"/>
                <w:color w:val="auto"/>
              </w:rPr>
            </w:pPr>
          </w:p>
        </w:tc>
        <w:tc>
          <w:tcPr>
            <w:tcW w:w="2100" w:type="dxa"/>
            <w:vAlign w:val="bottom"/>
            <w:tcBorders>
              <w:bottom w:val="single" w:sz="8" w:color="D02A2E"/>
            </w:tcBorders>
          </w:tcPr>
          <w:p>
            <w:pPr>
              <w:spacing w:after="0"/>
              <w:rPr>
                <w:sz w:val="18"/>
                <w:szCs w:val="18"/>
                <w:color w:val="auto"/>
              </w:rPr>
            </w:pPr>
          </w:p>
        </w:tc>
        <w:tc>
          <w:tcPr>
            <w:tcW w:w="480" w:type="dxa"/>
            <w:vAlign w:val="bottom"/>
            <w:tcBorders>
              <w:bottom w:val="single" w:sz="8" w:color="D02A2E"/>
            </w:tcBorders>
          </w:tcPr>
          <w:p>
            <w:pPr>
              <w:spacing w:after="0"/>
              <w:rPr>
                <w:sz w:val="18"/>
                <w:szCs w:val="18"/>
                <w:color w:val="auto"/>
              </w:rPr>
            </w:pPr>
          </w:p>
        </w:tc>
        <w:tc>
          <w:tcPr>
            <w:tcW w:w="1920" w:type="dxa"/>
            <w:vAlign w:val="bottom"/>
            <w:tcBorders>
              <w:bottom w:val="single" w:sz="8" w:color="D02A2E"/>
            </w:tcBorders>
          </w:tcPr>
          <w:p>
            <w:pPr>
              <w:spacing w:after="0"/>
              <w:rPr>
                <w:sz w:val="18"/>
                <w:szCs w:val="18"/>
                <w:color w:val="auto"/>
              </w:rPr>
            </w:pPr>
          </w:p>
        </w:tc>
        <w:tc>
          <w:tcPr>
            <w:tcW w:w="226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902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74930</wp:posOffset>
            </wp:positionV>
            <wp:extent cx="1671955" cy="3206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71955" cy="320611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 xml:space="preserve">AGE </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55</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5D6673"/>
        </w:rPr>
        <w:t xml:space="preserve">DIRECTOR SINCE </w:t>
      </w:r>
      <w:r>
        <w:rPr>
          <w:rFonts w:ascii="Arial" w:cs="Arial" w:eastAsia="Arial" w:hAnsi="Arial"/>
          <w:sz w:val="16"/>
          <w:szCs w:val="16"/>
          <w:color w:val="D02A2E"/>
        </w:rPr>
        <w:t xml:space="preserve">   | </w:t>
      </w:r>
      <w:r>
        <w:rPr>
          <w:sz w:val="20"/>
          <w:szCs w:val="20"/>
          <w:color w:val="auto"/>
        </w:rPr>
        <w:tab/>
      </w:r>
      <w:r>
        <w:rPr>
          <w:rFonts w:ascii="Arial" w:cs="Arial" w:eastAsia="Arial" w:hAnsi="Arial"/>
          <w:sz w:val="16"/>
          <w:szCs w:val="16"/>
          <w:color w:val="auto"/>
        </w:rPr>
        <w:t>2025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5D6673"/>
        </w:rPr>
        <w:t xml:space="preserve">INDEPENDENT </w:t>
      </w:r>
      <w:r>
        <w:rPr>
          <w:rFonts w:ascii="Arial" w:cs="Arial" w:eastAsia="Arial" w:hAnsi="Arial"/>
          <w:sz w:val="16"/>
          <w:szCs w:val="16"/>
          <w:color w:val="D02A2E"/>
        </w:rPr>
        <w:t xml:space="preserve">     | </w:t>
      </w:r>
      <w:r>
        <w:rPr>
          <w:sz w:val="20"/>
          <w:szCs w:val="20"/>
          <w:color w:val="auto"/>
        </w:rPr>
        <w:tab/>
      </w:r>
      <w:r>
        <w:rPr>
          <w:rFonts w:ascii="Arial" w:cs="Arial" w:eastAsia="Arial" w:hAnsi="Arial"/>
          <w:sz w:val="16"/>
          <w:szCs w:val="16"/>
          <w:color w:val="auto"/>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Member of Audit/Finance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Sheri L. Savage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Senior Vice President, Finance 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Chief Financial Officer at Ultra Clean Holding,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 </w:t>
      </w:r>
    </w:p>
    <w:p>
      <w:pPr>
        <w:spacing w:after="0" w:line="203" w:lineRule="auto"/>
        <w:rPr>
          <w:sz w:val="20"/>
          <w:szCs w:val="20"/>
          <w:color w:val="auto"/>
        </w:rPr>
      </w:pPr>
      <w:r>
        <w:rPr>
          <w:rFonts w:ascii="Arial" w:cs="Arial" w:eastAsia="Arial" w:hAnsi="Arial"/>
          <w:sz w:val="18"/>
          <w:szCs w:val="18"/>
          <w:b w:val="1"/>
          <w:bCs w:val="1"/>
          <w:color w:val="D02A2E"/>
        </w:rPr>
        <w:t>QUALIFICATIONS</w:t>
      </w:r>
      <w:r>
        <w:rPr>
          <w:rFonts w:ascii="Arial" w:cs="Arial" w:eastAsia="Arial" w:hAnsi="Arial"/>
          <w:sz w:val="32"/>
          <w:szCs w:val="32"/>
          <w:color w:val="000000"/>
          <w:vertAlign w:val="subscript"/>
        </w:rPr>
        <w:t xml:space="preserve"> </w:t>
      </w:r>
      <w:r>
        <w:rPr>
          <w:rFonts w:ascii="Arial" w:cs="Arial" w:eastAsia="Arial" w:hAnsi="Arial"/>
          <w:sz w:val="18"/>
          <w:szCs w:val="18"/>
          <w:b w:val="1"/>
          <w:bCs w:val="1"/>
          <w:color w:val="D02A2E"/>
        </w:rPr>
        <w:t xml:space="preserve"> AND SKILLS</w:t>
      </w:r>
    </w:p>
    <w:p>
      <w:pPr>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Brings deep financial experience, including senior-level</w:t>
      </w:r>
    </w:p>
    <w:p>
      <w:pPr>
        <w:spacing w:after="0" w:line="182" w:lineRule="auto"/>
        <w:rPr>
          <w:sz w:val="20"/>
          <w:szCs w:val="20"/>
          <w:color w:val="auto"/>
        </w:rPr>
      </w:pPr>
      <w:r>
        <w:rPr>
          <w:rFonts w:ascii="Arial" w:cs="Arial" w:eastAsia="Arial" w:hAnsi="Arial"/>
          <w:sz w:val="16"/>
          <w:szCs w:val="16"/>
          <w:color w:val="auto"/>
        </w:rPr>
        <w:t>public company finance leadership and three-decade career in finance</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260"/>
        <w:spacing w:after="0" w:line="223" w:lineRule="auto"/>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Leverages nearly 20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leadership experience with positions including CFO, interim CEO, CAO and senior vice president of finance</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20"/>
        <w:spacing w:after="0" w:line="228" w:lineRule="auto"/>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Extensive career working for global companies,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Ultra Clean Holding, Credence Systems Corporation, Protiviti and KLA-Tencor Corporation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right="240"/>
        <w:spacing w:after="0" w:line="361"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Chief Financial Officer at Ultra Clean Holdings, Inc. (UCT), July 2016 – Present</w:t>
      </w:r>
      <w:r>
        <w:rPr>
          <w:rFonts w:ascii="Arial" w:cs="Arial" w:eastAsia="Arial" w:hAnsi="Arial"/>
          <w:sz w:val="16"/>
          <w:szCs w:val="16"/>
          <w:color w:val="D02A2E"/>
        </w:rPr>
        <w:t xml:space="preserve"> »</w:t>
      </w:r>
      <w:r>
        <w:rPr>
          <w:rFonts w:ascii="Arial" w:cs="Arial" w:eastAsia="Arial" w:hAnsi="Arial"/>
          <w:sz w:val="16"/>
          <w:szCs w:val="16"/>
          <w:color w:val="000000"/>
        </w:rPr>
        <w:t xml:space="preserve">  More than 30 years of experience in strategic financial leadership</w:t>
      </w:r>
    </w:p>
    <w:p>
      <w:pPr>
        <w:ind w:left="160" w:right="5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Extensive experience in accounting, treasury, equity, financial planning and</w:t>
      </w:r>
      <w:r>
        <w:rPr>
          <w:rFonts w:ascii="Arial" w:cs="Arial" w:eastAsia="Arial" w:hAnsi="Arial"/>
          <w:sz w:val="16"/>
          <w:szCs w:val="16"/>
          <w:color w:val="D02A2E"/>
        </w:rPr>
        <w:t xml:space="preserve"> </w:t>
      </w:r>
      <w:r>
        <w:rPr>
          <w:rFonts w:ascii="Arial" w:cs="Arial" w:eastAsia="Arial" w:hAnsi="Arial"/>
          <w:sz w:val="16"/>
          <w:szCs w:val="16"/>
          <w:color w:val="000000"/>
        </w:rPr>
        <w:t>analysis, internal audit, investor relations, and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176530</wp:posOffset>
            </wp:positionV>
            <wp:extent cx="5829300" cy="14744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29300" cy="1474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2140" w:type="dxa"/>
            <w:vAlign w:val="bottom"/>
            <w:vMerge w:val="restart"/>
          </w:tcPr>
          <w:p>
            <w:pPr>
              <w:ind w:left="960"/>
              <w:spacing w:after="0"/>
              <w:rPr>
                <w:sz w:val="20"/>
                <w:szCs w:val="20"/>
                <w:color w:val="auto"/>
              </w:rPr>
            </w:pPr>
            <w:r>
              <w:rPr>
                <w:rFonts w:ascii="Arial" w:cs="Arial" w:eastAsia="Arial" w:hAnsi="Arial"/>
                <w:sz w:val="14"/>
                <w:szCs w:val="14"/>
                <w:b w:val="1"/>
                <w:bCs w:val="1"/>
                <w:color w:val="5D6673"/>
              </w:rPr>
              <w:t>FINANCIAL</w:t>
            </w:r>
          </w:p>
        </w:tc>
        <w:tc>
          <w:tcPr>
            <w:tcW w:w="600" w:type="dxa"/>
            <w:vAlign w:val="bottom"/>
          </w:tcPr>
          <w:p>
            <w:pPr>
              <w:spacing w:after="0"/>
              <w:rPr>
                <w:sz w:val="24"/>
                <w:szCs w:val="24"/>
                <w:color w:val="auto"/>
              </w:rPr>
            </w:pPr>
          </w:p>
        </w:tc>
        <w:tc>
          <w:tcPr>
            <w:tcW w:w="2020" w:type="dxa"/>
            <w:vAlign w:val="bottom"/>
          </w:tcPr>
          <w:p>
            <w:pPr>
              <w:ind w:left="440"/>
              <w:spacing w:after="0"/>
              <w:rPr>
                <w:sz w:val="20"/>
                <w:szCs w:val="20"/>
                <w:color w:val="auto"/>
              </w:rPr>
            </w:pPr>
            <w:r>
              <w:rPr>
                <w:rFonts w:ascii="Arial" w:cs="Arial" w:eastAsia="Arial" w:hAnsi="Arial"/>
                <w:sz w:val="14"/>
                <w:szCs w:val="14"/>
                <w:b w:val="1"/>
                <w:bCs w:val="1"/>
                <w:color w:val="5D6673"/>
              </w:rPr>
              <w:t>PUBLIC BOARD</w:t>
            </w:r>
          </w:p>
        </w:tc>
        <w:tc>
          <w:tcPr>
            <w:tcW w:w="22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LEADERSHIP</w:t>
            </w:r>
          </w:p>
        </w:tc>
        <w:tc>
          <w:tcPr>
            <w:tcW w:w="21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20" w:type="dxa"/>
            <w:vAlign w:val="bottom"/>
            <w:vMerge w:val="restart"/>
          </w:tcPr>
          <w:p>
            <w:pPr>
              <w:ind w:left="440"/>
              <w:spacing w:after="0"/>
              <w:rPr>
                <w:sz w:val="20"/>
                <w:szCs w:val="20"/>
                <w:color w:val="auto"/>
              </w:rPr>
            </w:pPr>
            <w:r>
              <w:rPr>
                <w:rFonts w:ascii="Arial" w:cs="Arial" w:eastAsia="Arial" w:hAnsi="Arial"/>
                <w:sz w:val="14"/>
                <w:szCs w:val="14"/>
                <w:b w:val="1"/>
                <w:bCs w:val="1"/>
                <w:color w:val="5D6673"/>
              </w:rPr>
              <w:t>AND GOVERNANCE</w:t>
            </w: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2140" w:type="dxa"/>
            <w:vAlign w:val="bottom"/>
            <w:vMerge w:val="restart"/>
          </w:tcPr>
          <w:p>
            <w:pPr>
              <w:ind w:left="960"/>
              <w:spacing w:after="0"/>
              <w:rPr>
                <w:sz w:val="20"/>
                <w:szCs w:val="20"/>
                <w:color w:val="auto"/>
              </w:rPr>
            </w:pPr>
            <w:r>
              <w:rPr>
                <w:rFonts w:ascii="Arial" w:cs="Arial" w:eastAsia="Arial" w:hAnsi="Arial"/>
                <w:sz w:val="14"/>
                <w:szCs w:val="14"/>
                <w:b w:val="1"/>
                <w:bCs w:val="1"/>
                <w:color w:val="5D6673"/>
              </w:rPr>
              <w:t>LITERACY/CFO</w:t>
            </w:r>
          </w:p>
        </w:tc>
        <w:tc>
          <w:tcPr>
            <w:tcW w:w="60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22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tcPr>
          <w:p>
            <w:pPr>
              <w:spacing w:after="0"/>
              <w:rPr>
                <w:sz w:val="8"/>
                <w:szCs w:val="8"/>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EXPERIENCE</w:t>
            </w:r>
          </w:p>
        </w:tc>
        <w:tc>
          <w:tcPr>
            <w:tcW w:w="21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020" w:type="dxa"/>
            <w:vAlign w:val="bottom"/>
            <w:vMerge w:val="restart"/>
          </w:tcPr>
          <w:p>
            <w:pPr>
              <w:ind w:left="440"/>
              <w:spacing w:after="0"/>
              <w:rPr>
                <w:sz w:val="20"/>
                <w:szCs w:val="20"/>
                <w:color w:val="auto"/>
              </w:rPr>
            </w:pPr>
            <w:r>
              <w:rPr>
                <w:rFonts w:ascii="Arial" w:cs="Arial" w:eastAsia="Arial" w:hAnsi="Arial"/>
                <w:sz w:val="14"/>
                <w:szCs w:val="14"/>
                <w:b w:val="1"/>
                <w:bCs w:val="1"/>
                <w:color w:val="5D6673"/>
              </w:rPr>
              <w:t>EXPERIENCE</w:t>
            </w: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2140" w:type="dxa"/>
            <w:vAlign w:val="bottom"/>
            <w:vMerge w:val="restart"/>
          </w:tcPr>
          <w:p>
            <w:pPr>
              <w:ind w:left="260"/>
              <w:spacing w:after="0"/>
              <w:rPr>
                <w:sz w:val="20"/>
                <w:szCs w:val="20"/>
                <w:color w:val="auto"/>
              </w:rPr>
            </w:pPr>
            <w:r>
              <w:rPr>
                <w:rFonts w:ascii="Arial" w:cs="Arial" w:eastAsia="Arial" w:hAnsi="Arial"/>
                <w:sz w:val="14"/>
                <w:szCs w:val="14"/>
                <w:b w:val="1"/>
                <w:bCs w:val="1"/>
                <w:color w:val="5D6673"/>
              </w:rPr>
              <w:t> </w:t>
            </w: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2020" w:type="dxa"/>
            <w:vAlign w:val="bottom"/>
            <w:vMerge w:val="continue"/>
          </w:tcPr>
          <w:p>
            <w:pPr>
              <w:spacing w:after="0"/>
              <w:rPr>
                <w:sz w:val="8"/>
                <w:szCs w:val="8"/>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2"/>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shd w:val="clear" w:color="auto" w:fill="DCDEE4"/>
          </w:tcPr>
          <w:p>
            <w:pPr>
              <w:spacing w:after="0"/>
              <w:rPr>
                <w:sz w:val="24"/>
                <w:szCs w:val="24"/>
                <w:color w:val="auto"/>
              </w:rPr>
            </w:pPr>
          </w:p>
        </w:tc>
        <w:tc>
          <w:tcPr>
            <w:tcW w:w="1360" w:type="dxa"/>
            <w:vAlign w:val="bottom"/>
            <w:shd w:val="clear" w:color="auto" w:fill="DCDEE4"/>
          </w:tcPr>
          <w:p>
            <w:pPr>
              <w:ind w:left="80"/>
              <w:spacing w:after="0"/>
              <w:rPr>
                <w:sz w:val="20"/>
                <w:szCs w:val="20"/>
                <w:color w:val="auto"/>
              </w:rPr>
            </w:pPr>
            <w:r>
              <w:rPr>
                <w:rFonts w:ascii="Arial" w:cs="Arial" w:eastAsia="Arial" w:hAnsi="Arial"/>
                <w:sz w:val="14"/>
                <w:szCs w:val="14"/>
                <w:b w:val="1"/>
                <w:bCs w:val="1"/>
                <w:color w:val="5D6673"/>
              </w:rPr>
              <w:t>INFORMATION</w:t>
            </w:r>
          </w:p>
        </w:tc>
        <w:tc>
          <w:tcPr>
            <w:tcW w:w="2140" w:type="dxa"/>
            <w:vAlign w:val="bottom"/>
            <w:shd w:val="clear" w:color="auto" w:fill="DCDEE4"/>
          </w:tcPr>
          <w:p>
            <w:pPr>
              <w:ind w:left="960"/>
              <w:spacing w:after="0"/>
              <w:rPr>
                <w:sz w:val="20"/>
                <w:szCs w:val="20"/>
                <w:color w:val="auto"/>
              </w:rPr>
            </w:pPr>
            <w:r>
              <w:rPr>
                <w:rFonts w:ascii="Arial" w:cs="Arial" w:eastAsia="Arial" w:hAnsi="Arial"/>
                <w:sz w:val="14"/>
                <w:szCs w:val="14"/>
                <w:b w:val="1"/>
                <w:bCs w:val="1"/>
                <w:color w:val="5D6673"/>
              </w:rPr>
              <w:t>MERGERS AND</w:t>
            </w:r>
          </w:p>
        </w:tc>
        <w:tc>
          <w:tcPr>
            <w:tcW w:w="600" w:type="dxa"/>
            <w:vAlign w:val="bottom"/>
            <w:shd w:val="clear" w:color="auto" w:fill="DCDEE4"/>
          </w:tcPr>
          <w:p>
            <w:pPr>
              <w:spacing w:after="0"/>
              <w:rPr>
                <w:sz w:val="24"/>
                <w:szCs w:val="24"/>
                <w:color w:val="auto"/>
              </w:rPr>
            </w:pPr>
          </w:p>
        </w:tc>
        <w:tc>
          <w:tcPr>
            <w:tcW w:w="2020" w:type="dxa"/>
            <w:vAlign w:val="bottom"/>
            <w:vMerge w:val="restart"/>
            <w:shd w:val="clear" w:color="auto" w:fill="DCDEE4"/>
          </w:tcPr>
          <w:p>
            <w:pPr>
              <w:ind w:left="440"/>
              <w:spacing w:after="0"/>
              <w:rPr>
                <w:sz w:val="20"/>
                <w:szCs w:val="20"/>
                <w:color w:val="auto"/>
              </w:rPr>
            </w:pPr>
            <w:r>
              <w:rPr>
                <w:rFonts w:ascii="Arial" w:cs="Arial" w:eastAsia="Arial" w:hAnsi="Arial"/>
                <w:sz w:val="14"/>
                <w:szCs w:val="14"/>
                <w:b w:val="1"/>
                <w:bCs w:val="1"/>
                <w:color w:val="5D6673"/>
              </w:rPr>
              <w:t>CYBERSECURITY</w:t>
            </w:r>
          </w:p>
        </w:tc>
        <w:tc>
          <w:tcPr>
            <w:tcW w:w="22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00" w:type="dxa"/>
            <w:vAlign w:val="bottom"/>
            <w:shd w:val="clear" w:color="auto" w:fill="DCDEE4"/>
          </w:tcPr>
          <w:p>
            <w:pPr>
              <w:spacing w:after="0"/>
              <w:rPr>
                <w:sz w:val="10"/>
                <w:szCs w:val="10"/>
                <w:color w:val="auto"/>
              </w:rPr>
            </w:pPr>
          </w:p>
        </w:tc>
        <w:tc>
          <w:tcPr>
            <w:tcW w:w="136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TECHNOLOGY</w:t>
            </w:r>
          </w:p>
        </w:tc>
        <w:tc>
          <w:tcPr>
            <w:tcW w:w="2140" w:type="dxa"/>
            <w:vAlign w:val="bottom"/>
            <w:vMerge w:val="restart"/>
            <w:shd w:val="clear" w:color="auto" w:fill="DCDEE4"/>
          </w:tcPr>
          <w:p>
            <w:pPr>
              <w:ind w:left="960"/>
              <w:spacing w:after="0"/>
              <w:rPr>
                <w:sz w:val="20"/>
                <w:szCs w:val="20"/>
                <w:color w:val="auto"/>
              </w:rPr>
            </w:pPr>
            <w:r>
              <w:rPr>
                <w:rFonts w:ascii="Arial" w:cs="Arial" w:eastAsia="Arial" w:hAnsi="Arial"/>
                <w:sz w:val="14"/>
                <w:szCs w:val="14"/>
                <w:b w:val="1"/>
                <w:bCs w:val="1"/>
                <w:color w:val="5D6673"/>
              </w:rPr>
              <w:t>ACQUISITIONS</w:t>
            </w:r>
          </w:p>
        </w:tc>
        <w:tc>
          <w:tcPr>
            <w:tcW w:w="600" w:type="dxa"/>
            <w:vAlign w:val="bottom"/>
            <w:shd w:val="clear" w:color="auto" w:fill="DCDEE4"/>
          </w:tcPr>
          <w:p>
            <w:pPr>
              <w:spacing w:after="0"/>
              <w:rPr>
                <w:sz w:val="10"/>
                <w:szCs w:val="10"/>
                <w:color w:val="auto"/>
              </w:rPr>
            </w:pPr>
          </w:p>
        </w:tc>
        <w:tc>
          <w:tcPr>
            <w:tcW w:w="2020" w:type="dxa"/>
            <w:vAlign w:val="bottom"/>
            <w:vMerge w:val="continue"/>
            <w:shd w:val="clear" w:color="auto" w:fill="DCDEE4"/>
          </w:tcPr>
          <w:p>
            <w:pPr>
              <w:spacing w:after="0"/>
              <w:rPr>
                <w:sz w:val="10"/>
                <w:szCs w:val="10"/>
                <w:color w:val="auto"/>
              </w:rPr>
            </w:pPr>
          </w:p>
        </w:tc>
        <w:tc>
          <w:tcPr>
            <w:tcW w:w="22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 w:type="dxa"/>
            <w:vAlign w:val="bottom"/>
          </w:tcPr>
          <w:p>
            <w:pPr>
              <w:spacing w:after="0"/>
              <w:rPr>
                <w:sz w:val="6"/>
                <w:szCs w:val="6"/>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shd w:val="clear" w:color="auto" w:fill="DCDEE4"/>
          </w:tcPr>
          <w:p>
            <w:pPr>
              <w:spacing w:after="0"/>
              <w:rPr>
                <w:sz w:val="6"/>
                <w:szCs w:val="6"/>
                <w:color w:val="auto"/>
              </w:rPr>
            </w:pPr>
          </w:p>
        </w:tc>
        <w:tc>
          <w:tcPr>
            <w:tcW w:w="1360" w:type="dxa"/>
            <w:vAlign w:val="bottom"/>
            <w:vMerge w:val="continue"/>
            <w:shd w:val="clear" w:color="auto" w:fill="DCDEE4"/>
          </w:tcPr>
          <w:p>
            <w:pPr>
              <w:spacing w:after="0"/>
              <w:rPr>
                <w:sz w:val="6"/>
                <w:szCs w:val="6"/>
                <w:color w:val="auto"/>
              </w:rPr>
            </w:pPr>
          </w:p>
        </w:tc>
        <w:tc>
          <w:tcPr>
            <w:tcW w:w="2140" w:type="dxa"/>
            <w:vAlign w:val="bottom"/>
            <w:vMerge w:val="continue"/>
            <w:shd w:val="clear" w:color="auto" w:fill="DCDEE4"/>
          </w:tcPr>
          <w:p>
            <w:pPr>
              <w:spacing w:after="0"/>
              <w:rPr>
                <w:sz w:val="6"/>
                <w:szCs w:val="6"/>
                <w:color w:val="auto"/>
              </w:rPr>
            </w:pPr>
          </w:p>
        </w:tc>
        <w:tc>
          <w:tcPr>
            <w:tcW w:w="600" w:type="dxa"/>
            <w:vAlign w:val="bottom"/>
            <w:shd w:val="clear" w:color="auto" w:fill="DCDEE4"/>
          </w:tcPr>
          <w:p>
            <w:pPr>
              <w:spacing w:after="0"/>
              <w:rPr>
                <w:sz w:val="6"/>
                <w:szCs w:val="6"/>
                <w:color w:val="auto"/>
              </w:rPr>
            </w:pPr>
          </w:p>
        </w:tc>
        <w:tc>
          <w:tcPr>
            <w:tcW w:w="2020" w:type="dxa"/>
            <w:vAlign w:val="bottom"/>
            <w:shd w:val="clear" w:color="auto" w:fill="DCDEE4"/>
          </w:tcPr>
          <w:p>
            <w:pPr>
              <w:spacing w:after="0"/>
              <w:rPr>
                <w:sz w:val="6"/>
                <w:szCs w:val="6"/>
                <w:color w:val="auto"/>
              </w:rPr>
            </w:pPr>
          </w:p>
        </w:tc>
        <w:tc>
          <w:tcPr>
            <w:tcW w:w="2260" w:type="dxa"/>
            <w:vAlign w:val="bottom"/>
            <w:shd w:val="clear" w:color="auto" w:fill="DCDEE4"/>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540" w:type="dxa"/>
            <w:vAlign w:val="bottom"/>
            <w:vMerge w:val="continue"/>
            <w:shd w:val="clear" w:color="auto" w:fill="DCDEE4"/>
          </w:tcPr>
          <w:p>
            <w:pPr>
              <w:spacing w:after="0"/>
              <w:rPr>
                <w:sz w:val="17"/>
                <w:szCs w:val="17"/>
                <w:color w:val="auto"/>
              </w:rPr>
            </w:pPr>
          </w:p>
        </w:tc>
        <w:tc>
          <w:tcPr>
            <w:tcW w:w="100" w:type="dxa"/>
            <w:vAlign w:val="bottom"/>
            <w:shd w:val="clear" w:color="auto" w:fill="DCDEE4"/>
          </w:tcPr>
          <w:p>
            <w:pPr>
              <w:spacing w:after="0"/>
              <w:rPr>
                <w:sz w:val="17"/>
                <w:szCs w:val="17"/>
                <w:color w:val="auto"/>
              </w:rPr>
            </w:pPr>
          </w:p>
        </w:tc>
        <w:tc>
          <w:tcPr>
            <w:tcW w:w="1360" w:type="dxa"/>
            <w:vAlign w:val="bottom"/>
            <w:shd w:val="clear" w:color="auto" w:fill="DCDEE4"/>
          </w:tcPr>
          <w:p>
            <w:pPr>
              <w:spacing w:after="0"/>
              <w:rPr>
                <w:sz w:val="17"/>
                <w:szCs w:val="17"/>
                <w:color w:val="auto"/>
              </w:rPr>
            </w:pPr>
          </w:p>
        </w:tc>
        <w:tc>
          <w:tcPr>
            <w:tcW w:w="2140" w:type="dxa"/>
            <w:vAlign w:val="bottom"/>
            <w:shd w:val="clear" w:color="auto" w:fill="DCDEE4"/>
          </w:tcPr>
          <w:p>
            <w:pPr>
              <w:ind w:left="260"/>
              <w:spacing w:after="0"/>
              <w:rPr>
                <w:sz w:val="20"/>
                <w:szCs w:val="20"/>
                <w:color w:val="auto"/>
              </w:rPr>
            </w:pPr>
            <w:r>
              <w:rPr>
                <w:rFonts w:ascii="Arial" w:cs="Arial" w:eastAsia="Arial" w:hAnsi="Arial"/>
                <w:sz w:val="14"/>
                <w:szCs w:val="14"/>
                <w:b w:val="1"/>
                <w:bCs w:val="1"/>
                <w:color w:val="5D6673"/>
              </w:rPr>
              <w:t> </w:t>
            </w:r>
          </w:p>
        </w:tc>
        <w:tc>
          <w:tcPr>
            <w:tcW w:w="600" w:type="dxa"/>
            <w:vAlign w:val="bottom"/>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2020" w:type="dxa"/>
            <w:vAlign w:val="bottom"/>
            <w:shd w:val="clear" w:color="auto" w:fill="DCDEE4"/>
          </w:tcPr>
          <w:p>
            <w:pPr>
              <w:spacing w:after="0"/>
              <w:rPr>
                <w:sz w:val="17"/>
                <w:szCs w:val="17"/>
                <w:color w:val="auto"/>
              </w:rPr>
            </w:pPr>
          </w:p>
        </w:tc>
        <w:tc>
          <w:tcPr>
            <w:tcW w:w="2260" w:type="dxa"/>
            <w:vAlign w:val="bottom"/>
            <w:shd w:val="clear" w:color="auto" w:fill="DCDEE4"/>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00" w:type="dxa"/>
            <w:vAlign w:val="bottom"/>
            <w:shd w:val="clear" w:color="auto" w:fill="DCDEE4"/>
          </w:tcPr>
          <w:p>
            <w:pPr>
              <w:spacing w:after="0"/>
              <w:rPr>
                <w:sz w:val="10"/>
                <w:szCs w:val="10"/>
                <w:color w:val="auto"/>
              </w:rPr>
            </w:pPr>
          </w:p>
        </w:tc>
        <w:tc>
          <w:tcPr>
            <w:tcW w:w="1360" w:type="dxa"/>
            <w:vAlign w:val="bottom"/>
            <w:shd w:val="clear" w:color="auto" w:fill="DCDEE4"/>
          </w:tcPr>
          <w:p>
            <w:pPr>
              <w:spacing w:after="0"/>
              <w:rPr>
                <w:sz w:val="10"/>
                <w:szCs w:val="10"/>
                <w:color w:val="auto"/>
              </w:rPr>
            </w:pPr>
          </w:p>
        </w:tc>
        <w:tc>
          <w:tcPr>
            <w:tcW w:w="2140" w:type="dxa"/>
            <w:vAlign w:val="bottom"/>
            <w:shd w:val="clear" w:color="auto" w:fill="DCDEE4"/>
          </w:tcPr>
          <w:p>
            <w:pPr>
              <w:spacing w:after="0"/>
              <w:rPr>
                <w:sz w:val="10"/>
                <w:szCs w:val="10"/>
                <w:color w:val="auto"/>
              </w:rPr>
            </w:pPr>
          </w:p>
        </w:tc>
        <w:tc>
          <w:tcPr>
            <w:tcW w:w="600" w:type="dxa"/>
            <w:vAlign w:val="bottom"/>
            <w:shd w:val="clear" w:color="auto" w:fill="DCDEE4"/>
          </w:tcPr>
          <w:p>
            <w:pPr>
              <w:spacing w:after="0"/>
              <w:rPr>
                <w:sz w:val="10"/>
                <w:szCs w:val="10"/>
                <w:color w:val="auto"/>
              </w:rPr>
            </w:pPr>
          </w:p>
        </w:tc>
        <w:tc>
          <w:tcPr>
            <w:tcW w:w="2020" w:type="dxa"/>
            <w:vAlign w:val="bottom"/>
            <w:shd w:val="clear" w:color="auto" w:fill="DCDEE4"/>
          </w:tcPr>
          <w:p>
            <w:pPr>
              <w:spacing w:after="0"/>
              <w:rPr>
                <w:sz w:val="10"/>
                <w:szCs w:val="10"/>
                <w:color w:val="auto"/>
              </w:rPr>
            </w:pPr>
          </w:p>
        </w:tc>
        <w:tc>
          <w:tcPr>
            <w:tcW w:w="22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00" w:type="dxa"/>
            <w:vAlign w:val="bottom"/>
            <w:tcBorders>
              <w:bottom w:val="single" w:sz="8" w:color="D02A2E"/>
            </w:tcBorders>
          </w:tcPr>
          <w:p>
            <w:pPr>
              <w:spacing w:after="0"/>
              <w:rPr>
                <w:sz w:val="18"/>
                <w:szCs w:val="18"/>
                <w:color w:val="auto"/>
              </w:rPr>
            </w:pPr>
          </w:p>
        </w:tc>
        <w:tc>
          <w:tcPr>
            <w:tcW w:w="1360" w:type="dxa"/>
            <w:vAlign w:val="bottom"/>
            <w:tcBorders>
              <w:bottom w:val="single" w:sz="8" w:color="D02A2E"/>
            </w:tcBorders>
          </w:tcPr>
          <w:p>
            <w:pPr>
              <w:spacing w:after="0"/>
              <w:rPr>
                <w:sz w:val="18"/>
                <w:szCs w:val="18"/>
                <w:color w:val="auto"/>
              </w:rPr>
            </w:pPr>
          </w:p>
        </w:tc>
        <w:tc>
          <w:tcPr>
            <w:tcW w:w="2140" w:type="dxa"/>
            <w:vAlign w:val="bottom"/>
            <w:tcBorders>
              <w:bottom w:val="single" w:sz="8" w:color="D02A2E"/>
            </w:tcBorders>
          </w:tcPr>
          <w:p>
            <w:pPr>
              <w:spacing w:after="0"/>
              <w:rPr>
                <w:sz w:val="18"/>
                <w:szCs w:val="18"/>
                <w:color w:val="auto"/>
              </w:rPr>
            </w:pPr>
          </w:p>
        </w:tc>
        <w:tc>
          <w:tcPr>
            <w:tcW w:w="600" w:type="dxa"/>
            <w:vAlign w:val="bottom"/>
            <w:tcBorders>
              <w:bottom w:val="single" w:sz="8" w:color="D02A2E"/>
            </w:tcBorders>
          </w:tcPr>
          <w:p>
            <w:pPr>
              <w:spacing w:after="0"/>
              <w:rPr>
                <w:sz w:val="18"/>
                <w:szCs w:val="18"/>
                <w:color w:val="auto"/>
              </w:rPr>
            </w:pPr>
          </w:p>
        </w:tc>
        <w:tc>
          <w:tcPr>
            <w:tcW w:w="2020" w:type="dxa"/>
            <w:vAlign w:val="bottom"/>
            <w:tcBorders>
              <w:bottom w:val="single" w:sz="8" w:color="D02A2E"/>
            </w:tcBorders>
          </w:tcPr>
          <w:p>
            <w:pPr>
              <w:spacing w:after="0"/>
              <w:rPr>
                <w:sz w:val="18"/>
                <w:szCs w:val="18"/>
                <w:color w:val="auto"/>
              </w:rPr>
            </w:pPr>
          </w:p>
        </w:tc>
        <w:tc>
          <w:tcPr>
            <w:tcW w:w="226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588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582930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Class 1 Director Nominees – Term That Will Expire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191770</wp:posOffset>
            </wp:positionV>
            <wp:extent cx="1663065" cy="4208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63065" cy="420878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 xml:space="preserve">DIRECTOR SINCE </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 xml:space="preserve">INDEPENDENT </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line="90"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Chair of Compensation and Member of Nominating &amp; Corporate Governance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color w:val="5D6673"/>
        </w:rPr>
        <w:t>OTHER CURRENT PUBLIC DIRECTORSHIPS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Nordson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Frank M. Jaehnert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Retired President and CEO of Brady Corporation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7" w:lineRule="auto"/>
        <w:rPr>
          <w:sz w:val="20"/>
          <w:szCs w:val="20"/>
          <w:color w:val="auto"/>
        </w:rPr>
      </w:pPr>
      <w:r>
        <w:rPr>
          <w:rFonts w:ascii="Arial" w:cs="Arial" w:eastAsia="Arial" w:hAnsi="Arial"/>
          <w:sz w:val="18"/>
          <w:szCs w:val="18"/>
          <w:b w:val="1"/>
          <w:bCs w:val="1"/>
          <w:color w:val="D02A2E"/>
        </w:rPr>
        <w:t>QUALIFICATIONS</w:t>
      </w:r>
      <w:r>
        <w:rPr>
          <w:rFonts w:ascii="Arial" w:cs="Arial" w:eastAsia="Arial" w:hAnsi="Arial"/>
          <w:sz w:val="32"/>
          <w:szCs w:val="32"/>
          <w:color w:val="000000"/>
          <w:vertAlign w:val="subscript"/>
        </w:rPr>
        <w:t xml:space="preserve"> </w:t>
      </w:r>
      <w:r>
        <w:rPr>
          <w:rFonts w:ascii="Arial" w:cs="Arial" w:eastAsia="Arial" w:hAnsi="Arial"/>
          <w:sz w:val="18"/>
          <w:szCs w:val="18"/>
          <w:b w:val="1"/>
          <w:bCs w:val="1"/>
          <w:color w:val="D02A2E"/>
        </w:rPr>
        <w:t xml:space="preserve"> AND SKILLS</w:t>
      </w:r>
    </w:p>
    <w:p>
      <w:pPr>
        <w:spacing w:after="0" w:line="1" w:lineRule="exact"/>
        <w:rPr>
          <w:sz w:val="20"/>
          <w:szCs w:val="20"/>
          <w:color w:val="auto"/>
        </w:rPr>
      </w:pPr>
    </w:p>
    <w:p>
      <w:pPr>
        <w:ind w:right="400"/>
        <w:spacing w:after="0" w:line="223" w:lineRule="auto"/>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17 years of executive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manufacturing sector, driving business and profit growth as a former CEO, president and vice president</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300"/>
        <w:spacing w:after="0" w:line="223" w:lineRule="auto"/>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Deep financial expertise as a SEC financial expert and</w:t>
      </w:r>
      <w:r>
        <w:rPr>
          <w:rFonts w:ascii="Arial" w:cs="Arial" w:eastAsia="Arial" w:hAnsi="Arial"/>
          <w:sz w:val="16"/>
          <w:szCs w:val="16"/>
          <w:b w:val="1"/>
          <w:bCs w:val="1"/>
          <w:color w:val="auto"/>
        </w:rPr>
        <w:t xml:space="preserve"> </w:t>
      </w:r>
      <w:r>
        <w:rPr>
          <w:rFonts w:ascii="Arial" w:cs="Arial" w:eastAsia="Arial" w:hAnsi="Arial"/>
          <w:sz w:val="16"/>
          <w:szCs w:val="16"/>
          <w:color w:val="auto"/>
        </w:rPr>
        <w:t>former CFO, with broad experience in corporate strategy and audit committee leadership</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Extensive international business expertise, having</w:t>
      </w:r>
    </w:p>
    <w:p>
      <w:pPr>
        <w:spacing w:after="0" w:line="182" w:lineRule="auto"/>
        <w:rPr>
          <w:sz w:val="20"/>
          <w:szCs w:val="20"/>
          <w:color w:val="auto"/>
        </w:rPr>
      </w:pPr>
      <w:r>
        <w:rPr>
          <w:rFonts w:ascii="Arial" w:cs="Arial" w:eastAsia="Arial" w:hAnsi="Arial"/>
          <w:sz w:val="16"/>
          <w:szCs w:val="16"/>
          <w:color w:val="auto"/>
        </w:rPr>
        <w:t>successfully led geographic expansions and operations across multiple continents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00"/>
        <w:spacing w:after="0" w:line="228" w:lineRule="auto"/>
        <w:rPr>
          <w:sz w:val="20"/>
          <w:szCs w:val="20"/>
          <w:color w:val="auto"/>
        </w:rPr>
      </w:pPr>
      <w:r>
        <w:rPr>
          <w:rFonts w:ascii="Arial" w:cs="Arial" w:eastAsia="Arial" w:hAnsi="Arial"/>
          <w:sz w:val="16"/>
          <w:szCs w:val="16"/>
          <w:b w:val="1"/>
          <w:bCs w:val="1"/>
          <w:color w:val="auto"/>
        </w:rPr>
        <w:t xml:space="preserve">MERGERS AND ACQUISITIONS: </w:t>
      </w:r>
      <w:r>
        <w:rPr>
          <w:rFonts w:ascii="Arial" w:cs="Arial" w:eastAsia="Arial" w:hAnsi="Arial"/>
          <w:sz w:val="16"/>
          <w:szCs w:val="16"/>
          <w:color w:val="auto"/>
        </w:rPr>
        <w:t>Able to contribute insights into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and investments from effectively growing companies’ market presence and profitability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Board Member at Nordson Corporation, February 2012 – Present</w:t>
      </w:r>
    </w:p>
    <w:p>
      <w:pPr>
        <w:spacing w:after="0" w:line="100" w:lineRule="exact"/>
        <w:rPr>
          <w:sz w:val="20"/>
          <w:szCs w:val="20"/>
          <w:color w:val="auto"/>
        </w:rPr>
      </w:pPr>
    </w:p>
    <w:p>
      <w:pPr>
        <w:ind w:left="160" w:right="5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Manufacturing and finance industry executive with extensive experience in</w:t>
      </w:r>
      <w:r>
        <w:rPr>
          <w:rFonts w:ascii="Arial" w:cs="Arial" w:eastAsia="Arial" w:hAnsi="Arial"/>
          <w:sz w:val="16"/>
          <w:szCs w:val="16"/>
          <w:color w:val="D02A2E"/>
        </w:rPr>
        <w:t xml:space="preserve"> </w:t>
      </w:r>
      <w:r>
        <w:rPr>
          <w:rFonts w:ascii="Arial" w:cs="Arial" w:eastAsia="Arial" w:hAnsi="Arial"/>
          <w:sz w:val="16"/>
          <w:szCs w:val="16"/>
          <w:color w:val="000000"/>
        </w:rPr>
        <w:t>multinational corporate leadership and operations</w:t>
      </w:r>
    </w:p>
    <w:p>
      <w:pPr>
        <w:spacing w:after="0" w:line="21" w:lineRule="exact"/>
        <w:rPr>
          <w:sz w:val="20"/>
          <w:szCs w:val="20"/>
          <w:color w:val="auto"/>
        </w:rPr>
      </w:pPr>
    </w:p>
    <w:p>
      <w:pPr>
        <w:ind w:left="160" w:right="48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30 years of expertise in international management, mergers and</w:t>
      </w:r>
      <w:r>
        <w:rPr>
          <w:rFonts w:ascii="Arial" w:cs="Arial" w:eastAsia="Arial" w:hAnsi="Arial"/>
          <w:sz w:val="16"/>
          <w:szCs w:val="16"/>
          <w:color w:val="D02A2E"/>
        </w:rPr>
        <w:t xml:space="preserve"> </w:t>
      </w:r>
      <w:r>
        <w:rPr>
          <w:rFonts w:ascii="Arial" w:cs="Arial" w:eastAsia="Arial" w:hAnsi="Arial"/>
          <w:sz w:val="16"/>
          <w:szCs w:val="16"/>
          <w:color w:val="000000"/>
        </w:rPr>
        <w:t>acquisitions and industrial operations</w:t>
      </w:r>
    </w:p>
    <w:p>
      <w:pPr>
        <w:spacing w:after="0" w:line="34" w:lineRule="exact"/>
        <w:rPr>
          <w:sz w:val="20"/>
          <w:szCs w:val="20"/>
          <w:color w:val="auto"/>
        </w:rPr>
      </w:pPr>
    </w:p>
    <w:p>
      <w:pPr>
        <w:ind w:left="160" w:right="16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Holds positions on public and private company boards, including member of the</w:t>
      </w:r>
      <w:r>
        <w:rPr>
          <w:rFonts w:ascii="Arial" w:cs="Arial" w:eastAsia="Arial" w:hAnsi="Arial"/>
          <w:sz w:val="16"/>
          <w:szCs w:val="16"/>
          <w:color w:val="D02A2E"/>
        </w:rPr>
        <w:t xml:space="preserve"> </w:t>
      </w:r>
      <w:r>
        <w:rPr>
          <w:rFonts w:ascii="Arial" w:cs="Arial" w:eastAsia="Arial" w:hAnsi="Arial"/>
          <w:sz w:val="16"/>
          <w:szCs w:val="16"/>
          <w:color w:val="000000"/>
        </w:rPr>
        <w:t>audit committee for a large manufacturing company</w:t>
      </w:r>
    </w:p>
    <w:p>
      <w:pPr>
        <w:spacing w:after="0" w:line="34" w:lineRule="exact"/>
        <w:rPr>
          <w:sz w:val="20"/>
          <w:szCs w:val="20"/>
          <w:color w:val="auto"/>
        </w:rPr>
      </w:pPr>
    </w:p>
    <w:p>
      <w:pPr>
        <w:ind w:left="160" w:right="90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Earned recognition as one of the first professionals to become NACD</w:t>
      </w:r>
      <w:r>
        <w:rPr>
          <w:rFonts w:ascii="Arial" w:cs="Arial" w:eastAsia="Arial" w:hAnsi="Arial"/>
          <w:sz w:val="16"/>
          <w:szCs w:val="16"/>
          <w:color w:val="D02A2E"/>
        </w:rPr>
        <w:t xml:space="preserve"> </w:t>
      </w:r>
      <w:r>
        <w:rPr>
          <w:rFonts w:ascii="Arial" w:cs="Arial" w:eastAsia="Arial" w:hAnsi="Arial"/>
          <w:sz w:val="16"/>
          <w:szCs w:val="16"/>
          <w:color w:val="000000"/>
        </w:rPr>
        <w:t>Directorship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107950</wp:posOffset>
            </wp:positionV>
            <wp:extent cx="5829300" cy="1440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9300" cy="1440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20"/>
          </w:cols>
          <w:pgMar w:left="1360" w:top="114" w:right="1399" w:bottom="1440" w:gutter="0" w:footer="0" w:header="0"/>
          <w:type w:val="continuous"/>
        </w:sectPr>
      </w:pP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Arial" w:cs="Arial" w:eastAsia="Arial" w:hAnsi="Arial"/>
                <w:sz w:val="14"/>
                <w:szCs w:val="14"/>
                <w:b w:val="1"/>
                <w:bCs w:val="1"/>
                <w:color w:val="5D6673"/>
              </w:rPr>
              <w:t>EXECUTIVE</w:t>
            </w:r>
          </w:p>
        </w:tc>
        <w:tc>
          <w:tcPr>
            <w:tcW w:w="620" w:type="dxa"/>
            <w:vAlign w:val="bottom"/>
          </w:tcPr>
          <w:p>
            <w:pPr>
              <w:spacing w:after="0"/>
              <w:rPr>
                <w:sz w:val="14"/>
                <w:szCs w:val="14"/>
                <w:color w:val="auto"/>
              </w:rPr>
            </w:pPr>
          </w:p>
        </w:tc>
        <w:tc>
          <w:tcPr>
            <w:tcW w:w="214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FINANCIAL</w:t>
            </w:r>
          </w:p>
        </w:tc>
        <w:tc>
          <w:tcPr>
            <w:tcW w:w="1920" w:type="dxa"/>
            <w:vAlign w:val="bottom"/>
          </w:tcPr>
          <w:p>
            <w:pPr>
              <w:ind w:left="320"/>
              <w:spacing w:after="0"/>
              <w:rPr>
                <w:sz w:val="20"/>
                <w:szCs w:val="20"/>
                <w:color w:val="auto"/>
              </w:rPr>
            </w:pPr>
            <w:r>
              <w:rPr>
                <w:rFonts w:ascii="Arial" w:cs="Arial" w:eastAsia="Arial" w:hAnsi="Arial"/>
                <w:sz w:val="14"/>
                <w:szCs w:val="14"/>
                <w:b w:val="1"/>
                <w:bCs w:val="1"/>
                <w:color w:val="5D6673"/>
              </w:rPr>
              <w:t>PUBLIC BOARD</w:t>
            </w:r>
          </w:p>
        </w:tc>
        <w:tc>
          <w:tcPr>
            <w:tcW w:w="1900" w:type="dxa"/>
            <w:vAlign w:val="bottom"/>
            <w:vMerge w:val="restart"/>
          </w:tcPr>
          <w:p>
            <w:pPr>
              <w:ind w:left="98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LEADERSHIP</w:t>
            </w:r>
          </w:p>
        </w:tc>
        <w:tc>
          <w:tcPr>
            <w:tcW w:w="62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192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AND GOVERNANCE</w:t>
            </w: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14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LITERACY/CFO</w:t>
            </w:r>
          </w:p>
        </w:tc>
        <w:tc>
          <w:tcPr>
            <w:tcW w:w="1920" w:type="dxa"/>
            <w:vAlign w:val="bottom"/>
            <w:vMerge w:val="continue"/>
          </w:tcPr>
          <w:p>
            <w:pPr>
              <w:spacing w:after="0"/>
              <w:rPr>
                <w:sz w:val="7"/>
                <w:szCs w:val="7"/>
                <w:color w:val="auto"/>
              </w:rPr>
            </w:pPr>
          </w:p>
        </w:tc>
        <w:tc>
          <w:tcPr>
            <w:tcW w:w="1900" w:type="dxa"/>
            <w:vAlign w:val="bottom"/>
            <w:vMerge w:val="restart"/>
          </w:tcPr>
          <w:p>
            <w:pPr>
              <w:ind w:left="980"/>
              <w:spacing w:after="0"/>
              <w:rPr>
                <w:sz w:val="20"/>
                <w:szCs w:val="20"/>
                <w:color w:val="auto"/>
              </w:rPr>
            </w:pPr>
            <w:r>
              <w:rPr>
                <w:rFonts w:ascii="Arial" w:cs="Arial" w:eastAsia="Arial" w:hAnsi="Arial"/>
                <w:sz w:val="14"/>
                <w:szCs w:val="14"/>
                <w:b w:val="1"/>
                <w:bCs w:val="1"/>
                <w:color w:val="5D6673"/>
                <w:w w:val="99"/>
              </w:rPr>
              <w:t>EXPERIENCE</w:t>
            </w:r>
          </w:p>
        </w:tc>
        <w:tc>
          <w:tcPr>
            <w:tcW w:w="0" w:type="dxa"/>
            <w:vAlign w:val="bottom"/>
          </w:tcPr>
          <w:p>
            <w:pPr>
              <w:spacing w:after="0"/>
              <w:rPr>
                <w:sz w:val="1"/>
                <w:szCs w:val="1"/>
                <w:color w:val="auto"/>
              </w:rPr>
            </w:pPr>
          </w:p>
        </w:tc>
      </w:tr>
      <w:tr>
        <w:trPr>
          <w:trHeight w:val="95"/>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5D6673"/>
              </w:rPr>
              <w:t> </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EXPERIENCE</w:t>
            </w:r>
          </w:p>
        </w:tc>
        <w:tc>
          <w:tcPr>
            <w:tcW w:w="62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192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EXPERIENCE</w:t>
            </w: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4"/>
                <w:szCs w:val="14"/>
                <w:b w:val="1"/>
                <w:bCs w:val="1"/>
                <w:color w:val="5D6673"/>
              </w:rPr>
              <w:t> </w:t>
            </w:r>
          </w:p>
        </w:tc>
        <w:tc>
          <w:tcPr>
            <w:tcW w:w="2140" w:type="dxa"/>
            <w:vAlign w:val="bottom"/>
            <w:vMerge w:val="restart"/>
          </w:tcPr>
          <w:p>
            <w:pPr>
              <w:ind w:left="176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continue"/>
          </w:tcPr>
          <w:p>
            <w:pPr>
              <w:spacing w:after="0"/>
              <w:rPr>
                <w:sz w:val="8"/>
                <w:szCs w:val="8"/>
                <w:color w:val="auto"/>
              </w:rPr>
            </w:pPr>
          </w:p>
        </w:tc>
        <w:tc>
          <w:tcPr>
            <w:tcW w:w="1900" w:type="dxa"/>
            <w:vAlign w:val="bottom"/>
            <w:vMerge w:val="restart"/>
          </w:tcPr>
          <w:p>
            <w:pPr>
              <w:ind w:left="20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08"/>
        </w:trPr>
        <w:tc>
          <w:tcPr>
            <w:tcW w:w="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5D6673"/>
        </w:rPr>
        <w:t>MERGERS AND</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5D6673"/>
        </w:rPr>
        <w:t>ACQUISITIONS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667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58293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3040" w:val="left"/>
          <w:tab w:leader="none" w:pos="902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74930</wp:posOffset>
            </wp:positionV>
            <wp:extent cx="1663065" cy="3943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63065" cy="394335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50</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 xml:space="preserve">INDEPENDENT </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line="9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Member of Audit/Finance and Member of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b w:val="1"/>
          <w:bCs w:val="1"/>
          <w:color w:val="5D6673"/>
        </w:rPr>
        <w:t>OTHER PREVIOUS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(within the past 5 years)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Indivior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160" w:type="dxa"/>
        <w:tblCellMar>
          <w:top w:w="0" w:type="dxa"/>
          <w:left w:w="0" w:type="dxa"/>
          <w:bottom w:w="0" w:type="dxa"/>
          <w:right w:w="0" w:type="dxa"/>
        </w:tblCellMar>
      </w:tblPr>
      <w:tr>
        <w:trPr>
          <w:trHeight w:val="391"/>
        </w:trPr>
        <w:tc>
          <w:tcPr>
            <w:tcW w:w="5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shd w:val="clear" w:color="auto" w:fill="DCDEE4"/>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LEADERSHIP</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tcPr>
          <w:p>
            <w:pPr>
              <w:spacing w:after="0"/>
              <w:rPr>
                <w:sz w:val="17"/>
                <w:szCs w:val="17"/>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EXPERIENCE</w:t>
            </w:r>
          </w:p>
        </w:tc>
        <w:tc>
          <w:tcPr>
            <w:tcW w:w="200" w:type="dxa"/>
            <w:vAlign w:val="bottom"/>
            <w:vMerge w:val="restart"/>
          </w:tcPr>
          <w:p>
            <w:pPr>
              <w:ind w:left="160"/>
              <w:spacing w:after="0"/>
              <w:rPr>
                <w:sz w:val="20"/>
                <w:szCs w:val="20"/>
                <w:color w:val="auto"/>
              </w:rPr>
            </w:pPr>
            <w:r>
              <w:rPr>
                <w:rFonts w:ascii="Arial" w:cs="Arial" w:eastAsia="Arial" w:hAnsi="Arial"/>
                <w:sz w:val="13"/>
                <w:szCs w:val="13"/>
                <w:b w:val="1"/>
                <w:bCs w:val="1"/>
                <w:color w:val="5D6673"/>
                <w:w w:val="75"/>
              </w:rPr>
              <w:t> </w:t>
            </w:r>
          </w:p>
        </w:tc>
        <w:tc>
          <w:tcPr>
            <w:tcW w:w="0" w:type="dxa"/>
            <w:vAlign w:val="bottom"/>
          </w:tcPr>
          <w:p>
            <w:pPr>
              <w:spacing w:after="0"/>
              <w:rPr>
                <w:sz w:val="1"/>
                <w:szCs w:val="1"/>
                <w:color w:val="auto"/>
              </w:rPr>
            </w:pPr>
          </w:p>
        </w:tc>
      </w:tr>
      <w:tr>
        <w:trPr>
          <w:trHeight w:val="81"/>
        </w:trPr>
        <w:tc>
          <w:tcPr>
            <w:tcW w:w="540" w:type="dxa"/>
            <w:vAlign w:val="bottom"/>
            <w:vMerge w:val="continue"/>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540" w:type="dxa"/>
            <w:vAlign w:val="bottom"/>
            <w:shd w:val="clear" w:color="auto" w:fill="DCDEE4"/>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MERGERS AND</w:t>
            </w: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540" w:type="dxa"/>
            <w:vAlign w:val="bottom"/>
            <w:shd w:val="clear" w:color="auto" w:fill="DCDEE4"/>
          </w:tcPr>
          <w:p>
            <w:pPr>
              <w:spacing w:after="0"/>
              <w:rPr>
                <w:sz w:val="24"/>
                <w:szCs w:val="24"/>
                <w:color w:val="auto"/>
              </w:rPr>
            </w:pPr>
          </w:p>
        </w:tc>
        <w:tc>
          <w:tcPr>
            <w:tcW w:w="100" w:type="dxa"/>
            <w:vAlign w:val="bottom"/>
            <w:shd w:val="clear" w:color="auto" w:fill="DCDEE4"/>
          </w:tcPr>
          <w:p>
            <w:pPr>
              <w:spacing w:after="0"/>
              <w:rPr>
                <w:sz w:val="24"/>
                <w:szCs w:val="24"/>
                <w:color w:val="auto"/>
              </w:rPr>
            </w:pPr>
          </w:p>
        </w:tc>
        <w:tc>
          <w:tcPr>
            <w:tcW w:w="1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shd w:val="clear" w:color="auto" w:fill="DCDEE4"/>
          </w:tcPr>
          <w:p>
            <w:pPr>
              <w:spacing w:after="0"/>
              <w:rPr>
                <w:sz w:val="17"/>
                <w:szCs w:val="17"/>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ACQUISITIONS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vMerge w:val="continue"/>
            <w:shd w:val="clear" w:color="auto" w:fill="DCDEE4"/>
          </w:tcPr>
          <w:p>
            <w:pPr>
              <w:spacing w:after="0"/>
              <w:rPr>
                <w:sz w:val="16"/>
                <w:szCs w:val="16"/>
                <w:color w:val="auto"/>
              </w:rPr>
            </w:pPr>
          </w:p>
        </w:tc>
        <w:tc>
          <w:tcPr>
            <w:tcW w:w="100" w:type="dxa"/>
            <w:vAlign w:val="bottom"/>
            <w:shd w:val="clear" w:color="auto" w:fill="DCDEE4"/>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540" w:type="dxa"/>
            <w:vAlign w:val="bottom"/>
            <w:shd w:val="clear" w:color="auto" w:fill="DCDEE4"/>
          </w:tcPr>
          <w:p>
            <w:pPr>
              <w:spacing w:after="0"/>
              <w:rPr>
                <w:sz w:val="8"/>
                <w:szCs w:val="8"/>
                <w:color w:val="auto"/>
              </w:rPr>
            </w:pPr>
          </w:p>
        </w:tc>
        <w:tc>
          <w:tcPr>
            <w:tcW w:w="100" w:type="dxa"/>
            <w:vAlign w:val="bottom"/>
            <w:shd w:val="clear" w:color="auto" w:fill="DCDEE4"/>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D02A2E"/>
        </w:rPr>
        <w:t>Jerome J. Lande</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5D6673"/>
        </w:rPr>
        <w:t>Managing Partner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5D6673"/>
        </w:rPr>
        <w:t>at Coppersmith Capital Management, LLC</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ind w:left="120"/>
        <w:spacing w:after="0" w:line="207" w:lineRule="auto"/>
        <w:rPr>
          <w:sz w:val="20"/>
          <w:szCs w:val="20"/>
          <w:color w:val="auto"/>
        </w:rPr>
      </w:pPr>
      <w:r>
        <w:rPr>
          <w:rFonts w:ascii="Arial" w:cs="Arial" w:eastAsia="Arial" w:hAnsi="Arial"/>
          <w:sz w:val="18"/>
          <w:szCs w:val="18"/>
          <w:b w:val="1"/>
          <w:bCs w:val="1"/>
          <w:color w:val="D02A2E"/>
        </w:rPr>
        <w:t>QUALIFICATIONS</w:t>
      </w:r>
      <w:r>
        <w:rPr>
          <w:rFonts w:ascii="Arial" w:cs="Arial" w:eastAsia="Arial" w:hAnsi="Arial"/>
          <w:sz w:val="32"/>
          <w:szCs w:val="32"/>
          <w:color w:val="000000"/>
          <w:vertAlign w:val="subscript"/>
        </w:rPr>
        <w:t xml:space="preserve"> </w:t>
      </w:r>
      <w:r>
        <w:rPr>
          <w:rFonts w:ascii="Arial" w:cs="Arial" w:eastAsia="Arial" w:hAnsi="Arial"/>
          <w:sz w:val="18"/>
          <w:szCs w:val="18"/>
          <w:b w:val="1"/>
          <w:bCs w:val="1"/>
          <w:color w:val="D02A2E"/>
        </w:rPr>
        <w:t xml:space="preserve"> AND SKILLS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Experienced investment manager</w:t>
      </w:r>
    </w:p>
    <w:p>
      <w:pPr>
        <w:ind w:left="120"/>
        <w:spacing w:after="0" w:line="182" w:lineRule="auto"/>
        <w:rPr>
          <w:sz w:val="20"/>
          <w:szCs w:val="20"/>
          <w:color w:val="auto"/>
        </w:rPr>
      </w:pPr>
      <w:r>
        <w:rPr>
          <w:rFonts w:ascii="Arial" w:cs="Arial" w:eastAsia="Arial" w:hAnsi="Arial"/>
          <w:sz w:val="16"/>
          <w:szCs w:val="16"/>
          <w:color w:val="auto"/>
        </w:rPr>
        <w:t>well-suited to advise on strategic business decisions</w:t>
      </w:r>
    </w:p>
    <w:p>
      <w:pPr>
        <w:ind w:left="1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25 years of experience in financial strategy from</w:t>
      </w:r>
    </w:p>
    <w:p>
      <w:pPr>
        <w:ind w:left="120"/>
        <w:spacing w:after="0" w:line="182" w:lineRule="auto"/>
        <w:rPr>
          <w:sz w:val="20"/>
          <w:szCs w:val="20"/>
          <w:color w:val="auto"/>
        </w:rPr>
      </w:pPr>
      <w:r>
        <w:rPr>
          <w:rFonts w:ascii="Arial" w:cs="Arial" w:eastAsia="Arial" w:hAnsi="Arial"/>
          <w:sz w:val="16"/>
          <w:szCs w:val="16"/>
          <w:color w:val="auto"/>
        </w:rPr>
        <w:t>executive leadership at several asset management and equity investment firms</w:t>
      </w:r>
    </w:p>
    <w:p>
      <w:pPr>
        <w:ind w:left="1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PUBLIC BOARD AND GOVERNANCE: </w:t>
      </w:r>
      <w:r>
        <w:rPr>
          <w:rFonts w:ascii="Arial" w:cs="Arial" w:eastAsia="Arial" w:hAnsi="Arial"/>
          <w:sz w:val="16"/>
          <w:szCs w:val="16"/>
          <w:color w:val="auto"/>
        </w:rPr>
        <w:t>Previously served on boards in the</w:t>
      </w:r>
    </w:p>
    <w:p>
      <w:pPr>
        <w:ind w:left="120"/>
        <w:spacing w:after="0" w:line="182" w:lineRule="auto"/>
        <w:rPr>
          <w:sz w:val="20"/>
          <w:szCs w:val="20"/>
          <w:color w:val="auto"/>
        </w:rPr>
      </w:pPr>
      <w:r>
        <w:rPr>
          <w:rFonts w:ascii="Arial" w:cs="Arial" w:eastAsia="Arial" w:hAnsi="Arial"/>
          <w:sz w:val="16"/>
          <w:szCs w:val="16"/>
          <w:color w:val="auto"/>
        </w:rPr>
        <w:t>medical technology, pharmaceuticals, real estate and insurance sectors</w:t>
      </w:r>
    </w:p>
    <w:p>
      <w:pPr>
        <w:ind w:left="1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20" w:right="680"/>
        <w:spacing w:after="0" w:line="228" w:lineRule="auto"/>
        <w:rPr>
          <w:sz w:val="20"/>
          <w:szCs w:val="20"/>
          <w:color w:val="auto"/>
        </w:rPr>
      </w:pPr>
      <w:r>
        <w:rPr>
          <w:rFonts w:ascii="Arial" w:cs="Arial" w:eastAsia="Arial" w:hAnsi="Arial"/>
          <w:sz w:val="16"/>
          <w:szCs w:val="16"/>
          <w:b w:val="1"/>
          <w:bCs w:val="1"/>
          <w:color w:val="auto"/>
        </w:rPr>
        <w:t xml:space="preserve">MARKETING/SALES EXPERIENCE: </w:t>
      </w:r>
      <w:r>
        <w:rPr>
          <w:rFonts w:ascii="Arial" w:cs="Arial" w:eastAsia="Arial" w:hAnsi="Arial"/>
          <w:sz w:val="16"/>
          <w:szCs w:val="16"/>
          <w:color w:val="auto"/>
        </w:rPr>
        <w:t>Extensive experience in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applying market dynamics and investment strategies to drive business expansion and value creation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280" w:right="1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Managing Partner at Coppersmith Capital Management, LLC, January 1, 2026 –</w:t>
      </w:r>
      <w:r>
        <w:rPr>
          <w:rFonts w:ascii="Arial" w:cs="Arial" w:eastAsia="Arial" w:hAnsi="Arial"/>
          <w:sz w:val="16"/>
          <w:szCs w:val="16"/>
          <w:color w:val="D02A2E"/>
        </w:rPr>
        <w:t xml:space="preserve"> </w:t>
      </w:r>
      <w:r>
        <w:rPr>
          <w:rFonts w:ascii="Arial" w:cs="Arial" w:eastAsia="Arial" w:hAnsi="Arial"/>
          <w:sz w:val="16"/>
          <w:szCs w:val="16"/>
          <w:color w:val="000000"/>
        </w:rPr>
        <w:t>Present</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Deputy CIO and Managing Partner at Scopia Capital Management LP, April 2023</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January 2026</w:t>
      </w:r>
    </w:p>
    <w:p>
      <w:pPr>
        <w:spacing w:after="0" w:line="70" w:lineRule="exact"/>
        <w:rPr>
          <w:sz w:val="20"/>
          <w:szCs w:val="20"/>
          <w:color w:val="auto"/>
        </w:rPr>
      </w:pPr>
    </w:p>
    <w:p>
      <w:pPr>
        <w:ind w:left="280" w:right="2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Asset management firm executive with a strong background in equity investing</w:t>
      </w:r>
      <w:r>
        <w:rPr>
          <w:rFonts w:ascii="Arial" w:cs="Arial" w:eastAsia="Arial" w:hAnsi="Arial"/>
          <w:sz w:val="16"/>
          <w:szCs w:val="16"/>
          <w:color w:val="D02A2E"/>
        </w:rPr>
        <w:t xml:space="preserve"> </w:t>
      </w:r>
      <w:r>
        <w:rPr>
          <w:rFonts w:ascii="Arial" w:cs="Arial" w:eastAsia="Arial" w:hAnsi="Arial"/>
          <w:sz w:val="16"/>
          <w:szCs w:val="16"/>
          <w:color w:val="000000"/>
        </w:rPr>
        <w:t>and long-term value creation</w:t>
      </w:r>
    </w:p>
    <w:p>
      <w:pPr>
        <w:spacing w:after="0" w:line="34" w:lineRule="exact"/>
        <w:rPr>
          <w:sz w:val="20"/>
          <w:szCs w:val="20"/>
          <w:color w:val="auto"/>
        </w:rPr>
      </w:pPr>
    </w:p>
    <w:p>
      <w:pPr>
        <w:ind w:left="280" w:right="4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Plays a pivotal role in various executive advisory capacities, guiding firms in</w:t>
      </w:r>
      <w:r>
        <w:rPr>
          <w:rFonts w:ascii="Arial" w:cs="Arial" w:eastAsia="Arial" w:hAnsi="Arial"/>
          <w:sz w:val="16"/>
          <w:szCs w:val="16"/>
          <w:color w:val="D02A2E"/>
        </w:rPr>
        <w:t xml:space="preserve"> </w:t>
      </w:r>
      <w:r>
        <w:rPr>
          <w:rFonts w:ascii="Arial" w:cs="Arial" w:eastAsia="Arial" w:hAnsi="Arial"/>
          <w:sz w:val="16"/>
          <w:szCs w:val="16"/>
          <w:color w:val="000000"/>
        </w:rPr>
        <w:t>financial strategy and market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176530</wp:posOffset>
            </wp:positionV>
            <wp:extent cx="5829300" cy="1482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5D6673"/>
              </w:rPr>
              <w:t>FINANCIAL</w:t>
            </w:r>
          </w:p>
        </w:tc>
        <w:tc>
          <w:tcPr>
            <w:tcW w:w="560" w:type="dxa"/>
            <w:vAlign w:val="bottom"/>
          </w:tcPr>
          <w:p>
            <w:pPr>
              <w:spacing w:after="0"/>
              <w:rPr>
                <w:sz w:val="14"/>
                <w:szCs w:val="14"/>
                <w:color w:val="auto"/>
              </w:rPr>
            </w:pPr>
          </w:p>
        </w:tc>
        <w:tc>
          <w:tcPr>
            <w:tcW w:w="1920" w:type="dxa"/>
            <w:vAlign w:val="bottom"/>
          </w:tcPr>
          <w:p>
            <w:pPr>
              <w:ind w:left="320"/>
              <w:spacing w:after="0"/>
              <w:rPr>
                <w:sz w:val="20"/>
                <w:szCs w:val="20"/>
                <w:color w:val="auto"/>
              </w:rPr>
            </w:pPr>
            <w:r>
              <w:rPr>
                <w:rFonts w:ascii="Arial" w:cs="Arial" w:eastAsia="Arial" w:hAnsi="Arial"/>
                <w:sz w:val="14"/>
                <w:szCs w:val="14"/>
                <w:b w:val="1"/>
                <w:bCs w:val="1"/>
                <w:color w:val="5D6673"/>
              </w:rPr>
              <w:t>PUBLIC BOARD</w:t>
            </w:r>
          </w:p>
        </w:tc>
        <w:tc>
          <w:tcPr>
            <w:tcW w:w="1900" w:type="dxa"/>
            <w:vAlign w:val="bottom"/>
          </w:tcPr>
          <w:p>
            <w:pPr>
              <w:ind w:left="980"/>
              <w:spacing w:after="0"/>
              <w:rPr>
                <w:sz w:val="20"/>
                <w:szCs w:val="20"/>
                <w:color w:val="auto"/>
              </w:rPr>
            </w:pPr>
            <w:r>
              <w:rPr>
                <w:rFonts w:ascii="Arial" w:cs="Arial" w:eastAsia="Arial" w:hAnsi="Arial"/>
                <w:sz w:val="14"/>
                <w:szCs w:val="14"/>
                <w:b w:val="1"/>
                <w:bCs w:val="1"/>
                <w:color w:val="5D6673"/>
              </w:rPr>
              <w:t>MARKETING/</w:t>
            </w:r>
          </w:p>
        </w:tc>
        <w:tc>
          <w:tcPr>
            <w:tcW w:w="0" w:type="dxa"/>
            <w:vAlign w:val="bottom"/>
          </w:tcPr>
          <w:p>
            <w:pPr>
              <w:spacing w:after="0"/>
              <w:rPr>
                <w:sz w:val="1"/>
                <w:szCs w:val="1"/>
                <w:color w:val="auto"/>
              </w:rPr>
            </w:pPr>
          </w:p>
        </w:tc>
      </w:tr>
      <w:tr>
        <w:trPr>
          <w:trHeight w:val="81"/>
        </w:trPr>
        <w:tc>
          <w:tcPr>
            <w:tcW w:w="12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92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AND GOVERNANCE</w:t>
            </w:r>
          </w:p>
        </w:tc>
        <w:tc>
          <w:tcPr>
            <w:tcW w:w="1900" w:type="dxa"/>
            <w:vAlign w:val="bottom"/>
            <w:vMerge w:val="restart"/>
          </w:tcPr>
          <w:p>
            <w:pPr>
              <w:ind w:left="980"/>
              <w:spacing w:after="0"/>
              <w:rPr>
                <w:sz w:val="20"/>
                <w:szCs w:val="20"/>
                <w:color w:val="auto"/>
              </w:rPr>
            </w:pPr>
            <w:r>
              <w:rPr>
                <w:rFonts w:ascii="Arial" w:cs="Arial" w:eastAsia="Arial" w:hAnsi="Arial"/>
                <w:sz w:val="14"/>
                <w:szCs w:val="14"/>
                <w:b w:val="1"/>
                <w:bCs w:val="1"/>
                <w:color w:val="5D6673"/>
              </w:rPr>
              <w:t>SALES</w:t>
            </w:r>
          </w:p>
        </w:tc>
        <w:tc>
          <w:tcPr>
            <w:tcW w:w="0" w:type="dxa"/>
            <w:vAlign w:val="bottom"/>
          </w:tcPr>
          <w:p>
            <w:pPr>
              <w:spacing w:after="0"/>
              <w:rPr>
                <w:sz w:val="1"/>
                <w:szCs w:val="1"/>
                <w:color w:val="auto"/>
              </w:rPr>
            </w:pPr>
          </w:p>
        </w:tc>
      </w:tr>
      <w:tr>
        <w:trPr>
          <w:trHeight w:val="8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5D6673"/>
              </w:rPr>
              <w:t>LITERACY/CFO</w:t>
            </w:r>
          </w:p>
        </w:tc>
        <w:tc>
          <w:tcPr>
            <w:tcW w:w="56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40" w:type="dxa"/>
            <w:vAlign w:val="bottom"/>
            <w:vMerge w:val="continue"/>
          </w:tcPr>
          <w:p>
            <w:pPr>
              <w:spacing w:after="0"/>
              <w:rPr>
                <w:sz w:val="10"/>
                <w:szCs w:val="10"/>
                <w:color w:val="auto"/>
              </w:rPr>
            </w:pPr>
          </w:p>
        </w:tc>
        <w:tc>
          <w:tcPr>
            <w:tcW w:w="560" w:type="dxa"/>
            <w:vAlign w:val="bottom"/>
            <w:vMerge w:val="restart"/>
          </w:tcPr>
          <w:p>
            <w:pPr>
              <w:ind w:left="18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restart"/>
          </w:tcPr>
          <w:p>
            <w:pPr>
              <w:ind w:left="320"/>
              <w:spacing w:after="0" w:line="145" w:lineRule="exact"/>
              <w:rPr>
                <w:sz w:val="20"/>
                <w:szCs w:val="20"/>
                <w:color w:val="auto"/>
              </w:rPr>
            </w:pPr>
            <w:r>
              <w:rPr>
                <w:rFonts w:ascii="Arial" w:cs="Arial" w:eastAsia="Arial" w:hAnsi="Arial"/>
                <w:sz w:val="14"/>
                <w:szCs w:val="14"/>
                <w:b w:val="1"/>
                <w:bCs w:val="1"/>
                <w:color w:val="5D6673"/>
              </w:rPr>
              <w:t>EXPERIENCE</w:t>
            </w:r>
          </w:p>
        </w:tc>
        <w:tc>
          <w:tcPr>
            <w:tcW w:w="1900" w:type="dxa"/>
            <w:vAlign w:val="bottom"/>
            <w:vMerge w:val="restart"/>
          </w:tcPr>
          <w:p>
            <w:pPr>
              <w:ind w:left="980"/>
              <w:spacing w:after="0" w:line="145" w:lineRule="exact"/>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29"/>
        </w:trPr>
        <w:tc>
          <w:tcPr>
            <w:tcW w:w="12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749935</wp:posOffset>
            </wp:positionV>
            <wp:extent cx="5829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164" w:lineRule="exact"/>
        <w:rPr>
          <w:sz w:val="20"/>
          <w:szCs w:val="20"/>
          <w:color w:val="auto"/>
        </w:rPr>
      </w:pPr>
    </w:p>
    <w:p>
      <w:pPr>
        <w:sectPr>
          <w:pgSz w:w="11900" w:h="16838" w:orient="portrait"/>
          <w:cols w:equalWidth="0" w:num="2">
            <w:col w:w="2320" w:space="680"/>
            <w:col w:w="6140"/>
          </w:cols>
          <w:pgMar w:left="1360" w:top="114" w:right="1399" w:bottom="1440" w:gutter="0" w:footer="0" w:header="0"/>
          <w:type w:val="continuous"/>
        </w:sectPr>
      </w:pPr>
    </w:p>
    <w:p>
      <w:pPr>
        <w:spacing w:after="0" w:line="13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74930</wp:posOffset>
            </wp:positionV>
            <wp:extent cx="1663065" cy="3789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63065" cy="37890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61</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2023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 xml:space="preserve">INDEPENDENT </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line="90" w:lineRule="exact"/>
        <w:rPr>
          <w:sz w:val="20"/>
          <w:szCs w:val="20"/>
          <w:color w:val="auto"/>
        </w:rPr>
      </w:pPr>
    </w:p>
    <w:p>
      <w:pPr>
        <w:ind w:right="600"/>
        <w:spacing w:after="0" w:line="299" w:lineRule="auto"/>
        <w:rPr>
          <w:sz w:val="20"/>
          <w:szCs w:val="20"/>
          <w:color w:val="auto"/>
        </w:rPr>
      </w:pPr>
      <w:r>
        <w:rPr>
          <w:rFonts w:ascii="Arial" w:cs="Arial" w:eastAsia="Arial" w:hAnsi="Arial"/>
          <w:sz w:val="16"/>
          <w:szCs w:val="16"/>
          <w:color w:val="auto"/>
        </w:rPr>
        <w:t>Member of Audit/Finance  </w:t>
      </w:r>
    </w:p>
    <w:p>
      <w:pPr>
        <w:ind w:right="120"/>
        <w:spacing w:after="0" w:line="289" w:lineRule="auto"/>
        <w:rPr>
          <w:sz w:val="20"/>
          <w:szCs w:val="20"/>
          <w:color w:val="auto"/>
        </w:rPr>
      </w:pPr>
      <w:r>
        <w:rPr>
          <w:rFonts w:ascii="Arial" w:cs="Arial" w:eastAsia="Arial" w:hAnsi="Arial"/>
          <w:sz w:val="18"/>
          <w:szCs w:val="18"/>
          <w:b w:val="1"/>
          <w:bCs w:val="1"/>
          <w:color w:val="5D6673"/>
        </w:rPr>
        <w:t>OTHER CURRENT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Commvault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Sanjay Mirchandani</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President and CEO of Commvault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7" w:lineRule="auto"/>
        <w:rPr>
          <w:sz w:val="20"/>
          <w:szCs w:val="20"/>
          <w:color w:val="auto"/>
        </w:rPr>
      </w:pPr>
      <w:r>
        <w:rPr>
          <w:rFonts w:ascii="Arial" w:cs="Arial" w:eastAsia="Arial" w:hAnsi="Arial"/>
          <w:sz w:val="18"/>
          <w:szCs w:val="18"/>
          <w:b w:val="1"/>
          <w:bCs w:val="1"/>
          <w:color w:val="D02A2E"/>
        </w:rPr>
        <w:t>QUALIFICATIONS</w:t>
      </w:r>
      <w:r>
        <w:rPr>
          <w:rFonts w:ascii="Arial" w:cs="Arial" w:eastAsia="Arial" w:hAnsi="Arial"/>
          <w:sz w:val="32"/>
          <w:szCs w:val="32"/>
          <w:color w:val="000000"/>
          <w:vertAlign w:val="subscript"/>
        </w:rPr>
        <w:t xml:space="preserve"> </w:t>
      </w:r>
      <w:r>
        <w:rPr>
          <w:rFonts w:ascii="Arial" w:cs="Arial" w:eastAsia="Arial" w:hAnsi="Arial"/>
          <w:sz w:val="18"/>
          <w:szCs w:val="18"/>
          <w:b w:val="1"/>
          <w:bCs w:val="1"/>
          <w:color w:val="D02A2E"/>
        </w:rPr>
        <w:t xml:space="preserve"> AND SKILLS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CYBERSECURITY: </w:t>
      </w:r>
      <w:r>
        <w:rPr>
          <w:rFonts w:ascii="Arial" w:cs="Arial" w:eastAsia="Arial" w:hAnsi="Arial"/>
          <w:sz w:val="16"/>
          <w:szCs w:val="16"/>
          <w:color w:val="auto"/>
        </w:rPr>
        <w:t>Expertise in cybersecurity crucial for modern business risk</w:t>
      </w:r>
    </w:p>
    <w:p>
      <w:pPr>
        <w:spacing w:after="0" w:line="182" w:lineRule="auto"/>
        <w:rPr>
          <w:sz w:val="20"/>
          <w:szCs w:val="20"/>
          <w:color w:val="auto"/>
        </w:rPr>
      </w:pPr>
      <w:r>
        <w:rPr>
          <w:rFonts w:ascii="Arial" w:cs="Arial" w:eastAsia="Arial" w:hAnsi="Arial"/>
          <w:sz w:val="16"/>
          <w:szCs w:val="16"/>
          <w:color w:val="auto"/>
        </w:rPr>
        <w:t>management gained through his executive leadership roles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INFORMATION TECHNOLOGY AND CLOUD COMPUTING: </w:t>
      </w:r>
      <w:r>
        <w:rPr>
          <w:rFonts w:ascii="Arial" w:cs="Arial" w:eastAsia="Arial" w:hAnsi="Arial"/>
          <w:sz w:val="16"/>
          <w:szCs w:val="16"/>
          <w:color w:val="auto"/>
        </w:rPr>
        <w:t>Former CIO of a</w:t>
      </w:r>
    </w:p>
    <w:p>
      <w:pPr>
        <w:spacing w:after="0" w:line="182" w:lineRule="auto"/>
        <w:rPr>
          <w:sz w:val="20"/>
          <w:szCs w:val="20"/>
          <w:color w:val="auto"/>
        </w:rPr>
      </w:pPr>
      <w:r>
        <w:rPr>
          <w:rFonts w:ascii="Arial" w:cs="Arial" w:eastAsia="Arial" w:hAnsi="Arial"/>
          <w:sz w:val="16"/>
          <w:szCs w:val="16"/>
          <w:color w:val="auto"/>
        </w:rPr>
        <w:t>multinational corporation</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360"/>
        <w:spacing w:after="0" w:line="223" w:lineRule="auto"/>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Valuable knowledge of product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management with a focus on security software, IT automation and data solutions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b w:val="1"/>
          <w:bCs w:val="1"/>
          <w:color w:val="auto"/>
        </w:rPr>
        <w:t xml:space="preserve">GLOBAL EXPERTISE: </w:t>
      </w:r>
      <w:r>
        <w:rPr>
          <w:rFonts w:ascii="Arial" w:cs="Arial" w:eastAsia="Arial" w:hAnsi="Arial"/>
          <w:sz w:val="16"/>
          <w:szCs w:val="16"/>
          <w:color w:val="auto"/>
        </w:rPr>
        <w:t>Offers an international business perspective on global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 dynamics and technological trends with his rich background in multinational companies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President and Chief Executive Officer of Commvault, February 2019 – Present</w:t>
      </w:r>
    </w:p>
    <w:p>
      <w:pPr>
        <w:spacing w:after="0" w:line="100" w:lineRule="exact"/>
        <w:rPr>
          <w:sz w:val="20"/>
          <w:szCs w:val="20"/>
          <w:color w:val="auto"/>
        </w:rPr>
      </w:pPr>
    </w:p>
    <w:p>
      <w:pPr>
        <w:ind w:left="160" w:right="5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Technology and software industry executive with deep cybersecurity and IT</w:t>
      </w:r>
      <w:r>
        <w:rPr>
          <w:rFonts w:ascii="Arial" w:cs="Arial" w:eastAsia="Arial" w:hAnsi="Arial"/>
          <w:sz w:val="16"/>
          <w:szCs w:val="16"/>
          <w:color w:val="D02A2E"/>
        </w:rPr>
        <w:t xml:space="preserve"> </w:t>
      </w:r>
      <w:r>
        <w:rPr>
          <w:rFonts w:ascii="Arial" w:cs="Arial" w:eastAsia="Arial" w:hAnsi="Arial"/>
          <w:sz w:val="16"/>
          <w:szCs w:val="16"/>
          <w:color w:val="000000"/>
        </w:rPr>
        <w:t>management experience</w:t>
      </w:r>
    </w:p>
    <w:p>
      <w:pPr>
        <w:spacing w:after="0" w:line="34" w:lineRule="exact"/>
        <w:rPr>
          <w:sz w:val="20"/>
          <w:szCs w:val="20"/>
          <w:color w:val="auto"/>
        </w:rPr>
      </w:pPr>
    </w:p>
    <w:p>
      <w:pPr>
        <w:ind w:left="160" w:right="7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20 years of expertise in IT leadership, cybersecurity, software</w:t>
      </w:r>
      <w:r>
        <w:rPr>
          <w:rFonts w:ascii="Arial" w:cs="Arial" w:eastAsia="Arial" w:hAnsi="Arial"/>
          <w:sz w:val="16"/>
          <w:szCs w:val="16"/>
          <w:color w:val="D02A2E"/>
        </w:rPr>
        <w:t xml:space="preserve"> </w:t>
      </w:r>
      <w:r>
        <w:rPr>
          <w:rFonts w:ascii="Arial" w:cs="Arial" w:eastAsia="Arial" w:hAnsi="Arial"/>
          <w:sz w:val="16"/>
          <w:szCs w:val="16"/>
          <w:color w:val="000000"/>
        </w:rPr>
        <w:t>development and global business strategy</w:t>
      </w:r>
    </w:p>
    <w:p>
      <w:pPr>
        <w:spacing w:after="0" w:line="21" w:lineRule="exact"/>
        <w:rPr>
          <w:sz w:val="20"/>
          <w:szCs w:val="20"/>
          <w:color w:val="auto"/>
        </w:rPr>
      </w:pPr>
    </w:p>
    <w:p>
      <w:pPr>
        <w:ind w:left="160" w:right="60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Serves key leadership and advisory roles in technology firms at the critical</w:t>
      </w:r>
      <w:r>
        <w:rPr>
          <w:rFonts w:ascii="Arial" w:cs="Arial" w:eastAsia="Arial" w:hAnsi="Arial"/>
          <w:sz w:val="16"/>
          <w:szCs w:val="16"/>
          <w:color w:val="D02A2E"/>
        </w:rPr>
        <w:t xml:space="preserve"> </w:t>
      </w:r>
      <w:r>
        <w:rPr>
          <w:rFonts w:ascii="Arial" w:cs="Arial" w:eastAsia="Arial" w:hAnsi="Arial"/>
          <w:sz w:val="16"/>
          <w:szCs w:val="16"/>
          <w:color w:val="000000"/>
        </w:rPr>
        <w:t>intersection of IT and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176530</wp:posOffset>
            </wp:positionV>
            <wp:extent cx="5829300" cy="2031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0" cy="2031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20" w:type="dxa"/>
            <w:vAlign w:val="bottom"/>
          </w:tcPr>
          <w:p>
            <w:pPr>
              <w:spacing w:after="0"/>
              <w:rPr>
                <w:sz w:val="24"/>
                <w:szCs w:val="24"/>
                <w:color w:val="auto"/>
              </w:rPr>
            </w:pPr>
          </w:p>
        </w:tc>
        <w:tc>
          <w:tcPr>
            <w:tcW w:w="680" w:type="dxa"/>
            <w:vAlign w:val="bottom"/>
            <w:shd w:val="clear" w:color="auto" w:fill="DCDEE4"/>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5D6673"/>
              </w:rPr>
              <w:t>EXECUTIVE</w:t>
            </w:r>
          </w:p>
        </w:tc>
        <w:tc>
          <w:tcPr>
            <w:tcW w:w="500" w:type="dxa"/>
            <w:vAlign w:val="bottom"/>
          </w:tcPr>
          <w:p>
            <w:pPr>
              <w:spacing w:after="0"/>
              <w:rPr>
                <w:sz w:val="24"/>
                <w:szCs w:val="24"/>
                <w:color w:val="auto"/>
              </w:rPr>
            </w:pPr>
          </w:p>
        </w:tc>
        <w:tc>
          <w:tcPr>
            <w:tcW w:w="212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FINANCIAL</w:t>
            </w:r>
          </w:p>
        </w:tc>
        <w:tc>
          <w:tcPr>
            <w:tcW w:w="1900" w:type="dxa"/>
            <w:vAlign w:val="bottom"/>
          </w:tcPr>
          <w:p>
            <w:pPr>
              <w:ind w:left="320"/>
              <w:spacing w:after="0"/>
              <w:rPr>
                <w:sz w:val="20"/>
                <w:szCs w:val="20"/>
                <w:color w:val="auto"/>
              </w:rPr>
            </w:pPr>
            <w:r>
              <w:rPr>
                <w:rFonts w:ascii="Arial" w:cs="Arial" w:eastAsia="Arial" w:hAnsi="Arial"/>
                <w:sz w:val="14"/>
                <w:szCs w:val="14"/>
                <w:b w:val="1"/>
                <w:bCs w:val="1"/>
                <w:color w:val="5D6673"/>
              </w:rPr>
              <w:t>PUBLIC BOARD</w:t>
            </w:r>
          </w:p>
        </w:tc>
        <w:tc>
          <w:tcPr>
            <w:tcW w:w="23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68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5D6673"/>
              </w:rPr>
              <w:t>LEADERSHIP</w:t>
            </w:r>
          </w:p>
        </w:tc>
        <w:tc>
          <w:tcPr>
            <w:tcW w:w="5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90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AND GOVERNANCE</w:t>
            </w: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68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12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LITERACY/CFO</w:t>
            </w:r>
          </w:p>
        </w:tc>
        <w:tc>
          <w:tcPr>
            <w:tcW w:w="1900" w:type="dxa"/>
            <w:vAlign w:val="bottom"/>
            <w:vMerge w:val="continue"/>
          </w:tcPr>
          <w:p>
            <w:pPr>
              <w:spacing w:after="0"/>
              <w:rPr>
                <w:sz w:val="7"/>
                <w:szCs w:val="7"/>
                <w:color w:val="auto"/>
              </w:rPr>
            </w:pPr>
          </w:p>
        </w:tc>
        <w:tc>
          <w:tcPr>
            <w:tcW w:w="23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68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8"/>
                <w:szCs w:val="8"/>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5D6673"/>
              </w:rPr>
              <w:t>EXPERIENCE</w:t>
            </w:r>
          </w:p>
        </w:tc>
        <w:tc>
          <w:tcPr>
            <w:tcW w:w="50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90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EXPERIENCE</w:t>
            </w: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680" w:type="dxa"/>
            <w:vAlign w:val="bottom"/>
            <w:vMerge w:val="continue"/>
            <w:shd w:val="clear" w:color="auto" w:fill="DCDEE4"/>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 </w:t>
            </w:r>
          </w:p>
        </w:tc>
        <w:tc>
          <w:tcPr>
            <w:tcW w:w="2120" w:type="dxa"/>
            <w:vAlign w:val="bottom"/>
            <w:vMerge w:val="restart"/>
          </w:tcPr>
          <w:p>
            <w:pPr>
              <w:ind w:left="1680"/>
              <w:spacing w:after="0"/>
              <w:rPr>
                <w:sz w:val="20"/>
                <w:szCs w:val="20"/>
                <w:color w:val="auto"/>
              </w:rPr>
            </w:pPr>
            <w:r>
              <w:rPr>
                <w:rFonts w:ascii="Arial" w:cs="Arial" w:eastAsia="Arial" w:hAnsi="Arial"/>
                <w:sz w:val="14"/>
                <w:szCs w:val="14"/>
                <w:b w:val="1"/>
                <w:bCs w:val="1"/>
                <w:color w:val="5D6673"/>
              </w:rPr>
              <w:t> </w:t>
            </w:r>
          </w:p>
        </w:tc>
        <w:tc>
          <w:tcPr>
            <w:tcW w:w="1900" w:type="dxa"/>
            <w:vAlign w:val="bottom"/>
            <w:vMerge w:val="continue"/>
          </w:tcPr>
          <w:p>
            <w:pPr>
              <w:spacing w:after="0"/>
              <w:rPr>
                <w:sz w:val="8"/>
                <w:szCs w:val="8"/>
                <w:color w:val="auto"/>
              </w:rPr>
            </w:pPr>
          </w:p>
        </w:tc>
        <w:tc>
          <w:tcPr>
            <w:tcW w:w="2360" w:type="dxa"/>
            <w:vAlign w:val="bottom"/>
            <w:vMerge w:val="restart"/>
          </w:tcPr>
          <w:p>
            <w:pPr>
              <w:ind w:left="16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680" w:type="dxa"/>
            <w:vAlign w:val="bottom"/>
            <w:vMerge w:val="continue"/>
            <w:shd w:val="clear" w:color="auto" w:fill="DCDEE4"/>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3"/>
        </w:trPr>
        <w:tc>
          <w:tcPr>
            <w:tcW w:w="120" w:type="dxa"/>
            <w:vAlign w:val="bottom"/>
          </w:tcPr>
          <w:p>
            <w:pPr>
              <w:spacing w:after="0"/>
              <w:rPr>
                <w:sz w:val="24"/>
                <w:szCs w:val="24"/>
                <w:color w:val="auto"/>
              </w:rPr>
            </w:pPr>
          </w:p>
        </w:tc>
        <w:tc>
          <w:tcPr>
            <w:tcW w:w="68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36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MANUFACTURING</w:t>
            </w:r>
          </w:p>
        </w:tc>
        <w:tc>
          <w:tcPr>
            <w:tcW w:w="500" w:type="dxa"/>
            <w:vAlign w:val="bottom"/>
            <w:shd w:val="clear" w:color="auto" w:fill="DCDEE4"/>
          </w:tcPr>
          <w:p>
            <w:pPr>
              <w:spacing w:after="0"/>
              <w:rPr>
                <w:sz w:val="24"/>
                <w:szCs w:val="24"/>
                <w:color w:val="auto"/>
              </w:rPr>
            </w:pPr>
          </w:p>
        </w:tc>
        <w:tc>
          <w:tcPr>
            <w:tcW w:w="2120" w:type="dxa"/>
            <w:vAlign w:val="bottom"/>
            <w:shd w:val="clear" w:color="auto" w:fill="DCDEE4"/>
          </w:tcPr>
          <w:p>
            <w:pPr>
              <w:spacing w:after="0"/>
              <w:rPr>
                <w:sz w:val="24"/>
                <w:szCs w:val="24"/>
                <w:color w:val="auto"/>
              </w:rPr>
            </w:pPr>
          </w:p>
        </w:tc>
        <w:tc>
          <w:tcPr>
            <w:tcW w:w="1900" w:type="dxa"/>
            <w:vAlign w:val="bottom"/>
            <w:shd w:val="clear" w:color="auto" w:fill="DCDEE4"/>
          </w:tcPr>
          <w:p>
            <w:pPr>
              <w:spacing w:after="0"/>
              <w:rPr>
                <w:sz w:val="24"/>
                <w:szCs w:val="24"/>
                <w:color w:val="auto"/>
              </w:rPr>
            </w:pPr>
          </w:p>
        </w:tc>
        <w:tc>
          <w:tcPr>
            <w:tcW w:w="23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680" w:type="dxa"/>
            <w:vAlign w:val="bottom"/>
            <w:shd w:val="clear" w:color="auto" w:fill="DCDEE4"/>
          </w:tcPr>
          <w:p>
            <w:pPr>
              <w:spacing w:after="0"/>
              <w:rPr>
                <w:sz w:val="14"/>
                <w:szCs w:val="14"/>
                <w:color w:val="auto"/>
              </w:rPr>
            </w:pPr>
          </w:p>
        </w:tc>
        <w:tc>
          <w:tcPr>
            <w:tcW w:w="140" w:type="dxa"/>
            <w:vAlign w:val="bottom"/>
            <w:shd w:val="clear" w:color="auto" w:fill="DCDEE4"/>
          </w:tcPr>
          <w:p>
            <w:pPr>
              <w:spacing w:after="0"/>
              <w:rPr>
                <w:sz w:val="14"/>
                <w:szCs w:val="14"/>
                <w:color w:val="auto"/>
              </w:rPr>
            </w:pPr>
          </w:p>
        </w:tc>
        <w:tc>
          <w:tcPr>
            <w:tcW w:w="136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AND/OR SUPPLY</w:t>
            </w:r>
          </w:p>
        </w:tc>
        <w:tc>
          <w:tcPr>
            <w:tcW w:w="500" w:type="dxa"/>
            <w:vAlign w:val="bottom"/>
            <w:shd w:val="clear" w:color="auto" w:fill="DCDEE4"/>
          </w:tcPr>
          <w:p>
            <w:pPr>
              <w:spacing w:after="0"/>
              <w:rPr>
                <w:sz w:val="14"/>
                <w:szCs w:val="14"/>
                <w:color w:val="auto"/>
              </w:rPr>
            </w:pPr>
          </w:p>
        </w:tc>
        <w:tc>
          <w:tcPr>
            <w:tcW w:w="2120" w:type="dxa"/>
            <w:vAlign w:val="bottom"/>
            <w:shd w:val="clear" w:color="auto" w:fill="DCDEE4"/>
          </w:tcPr>
          <w:p>
            <w:pPr>
              <w:ind w:left="300"/>
              <w:spacing w:after="0"/>
              <w:rPr>
                <w:sz w:val="20"/>
                <w:szCs w:val="20"/>
                <w:color w:val="auto"/>
              </w:rPr>
            </w:pPr>
            <w:r>
              <w:rPr>
                <w:rFonts w:ascii="Arial" w:cs="Arial" w:eastAsia="Arial" w:hAnsi="Arial"/>
                <w:sz w:val="14"/>
                <w:szCs w:val="14"/>
                <w:b w:val="1"/>
                <w:bCs w:val="1"/>
                <w:color w:val="5D6673"/>
              </w:rPr>
              <w:t>PRODUCT</w:t>
            </w:r>
          </w:p>
        </w:tc>
        <w:tc>
          <w:tcPr>
            <w:tcW w:w="1900" w:type="dxa"/>
            <w:vAlign w:val="bottom"/>
            <w:shd w:val="clear" w:color="auto" w:fill="DCDEE4"/>
          </w:tcPr>
          <w:p>
            <w:pPr>
              <w:ind w:left="320"/>
              <w:spacing w:after="0"/>
              <w:rPr>
                <w:sz w:val="20"/>
                <w:szCs w:val="20"/>
                <w:color w:val="auto"/>
              </w:rPr>
            </w:pPr>
            <w:r>
              <w:rPr>
                <w:rFonts w:ascii="Arial" w:cs="Arial" w:eastAsia="Arial" w:hAnsi="Arial"/>
                <w:sz w:val="14"/>
                <w:szCs w:val="14"/>
                <w:b w:val="1"/>
                <w:bCs w:val="1"/>
                <w:color w:val="5D6673"/>
              </w:rPr>
              <w:t>MARKETING/SALES</w:t>
            </w:r>
          </w:p>
        </w:tc>
        <w:tc>
          <w:tcPr>
            <w:tcW w:w="2360" w:type="dxa"/>
            <w:vAlign w:val="bottom"/>
            <w:shd w:val="clear" w:color="auto" w:fill="DCDEE4"/>
          </w:tcPr>
          <w:p>
            <w:pPr>
              <w:ind w:left="940"/>
              <w:spacing w:after="0"/>
              <w:rPr>
                <w:sz w:val="20"/>
                <w:szCs w:val="20"/>
                <w:color w:val="auto"/>
              </w:rPr>
            </w:pPr>
            <w:r>
              <w:rPr>
                <w:rFonts w:ascii="Arial" w:cs="Arial" w:eastAsia="Arial" w:hAnsi="Arial"/>
                <w:sz w:val="14"/>
                <w:szCs w:val="14"/>
                <w:b w:val="1"/>
                <w:bCs w:val="1"/>
                <w:color w:val="5D6673"/>
              </w:rPr>
              <w:t>MERGERS AND</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680" w:type="dxa"/>
            <w:vAlign w:val="bottom"/>
            <w:shd w:val="clear" w:color="auto" w:fill="DCDEE4"/>
          </w:tcPr>
          <w:p>
            <w:pPr>
              <w:spacing w:after="0"/>
              <w:rPr>
                <w:sz w:val="14"/>
                <w:szCs w:val="14"/>
                <w:color w:val="auto"/>
              </w:rPr>
            </w:pPr>
          </w:p>
        </w:tc>
        <w:tc>
          <w:tcPr>
            <w:tcW w:w="140" w:type="dxa"/>
            <w:vAlign w:val="bottom"/>
            <w:shd w:val="clear" w:color="auto" w:fill="DCDEE4"/>
          </w:tcPr>
          <w:p>
            <w:pPr>
              <w:spacing w:after="0"/>
              <w:rPr>
                <w:sz w:val="14"/>
                <w:szCs w:val="14"/>
                <w:color w:val="auto"/>
              </w:rPr>
            </w:pPr>
          </w:p>
        </w:tc>
        <w:tc>
          <w:tcPr>
            <w:tcW w:w="136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CHAIN</w:t>
            </w:r>
          </w:p>
        </w:tc>
        <w:tc>
          <w:tcPr>
            <w:tcW w:w="500" w:type="dxa"/>
            <w:vAlign w:val="bottom"/>
            <w:shd w:val="clear" w:color="auto" w:fill="DCDEE4"/>
          </w:tcPr>
          <w:p>
            <w:pPr>
              <w:spacing w:after="0"/>
              <w:rPr>
                <w:sz w:val="14"/>
                <w:szCs w:val="14"/>
                <w:color w:val="auto"/>
              </w:rPr>
            </w:pPr>
          </w:p>
        </w:tc>
        <w:tc>
          <w:tcPr>
            <w:tcW w:w="2120" w:type="dxa"/>
            <w:vAlign w:val="bottom"/>
            <w:shd w:val="clear" w:color="auto" w:fill="DCDEE4"/>
          </w:tcPr>
          <w:p>
            <w:pPr>
              <w:ind w:left="300"/>
              <w:spacing w:after="0"/>
              <w:rPr>
                <w:sz w:val="20"/>
                <w:szCs w:val="20"/>
                <w:color w:val="auto"/>
              </w:rPr>
            </w:pPr>
            <w:r>
              <w:rPr>
                <w:rFonts w:ascii="Arial" w:cs="Arial" w:eastAsia="Arial" w:hAnsi="Arial"/>
                <w:sz w:val="14"/>
                <w:szCs w:val="14"/>
                <w:b w:val="1"/>
                <w:bCs w:val="1"/>
                <w:color w:val="5D6673"/>
              </w:rPr>
              <w:t>TECHNOLOGY</w:t>
            </w:r>
          </w:p>
        </w:tc>
        <w:tc>
          <w:tcPr>
            <w:tcW w:w="1900" w:type="dxa"/>
            <w:vAlign w:val="bottom"/>
            <w:shd w:val="clear" w:color="auto" w:fill="DCDEE4"/>
          </w:tcPr>
          <w:p>
            <w:pPr>
              <w:ind w:left="320"/>
              <w:spacing w:after="0"/>
              <w:rPr>
                <w:sz w:val="20"/>
                <w:szCs w:val="20"/>
                <w:color w:val="auto"/>
              </w:rPr>
            </w:pPr>
            <w:r>
              <w:rPr>
                <w:rFonts w:ascii="Arial" w:cs="Arial" w:eastAsia="Arial" w:hAnsi="Arial"/>
                <w:sz w:val="14"/>
                <w:szCs w:val="14"/>
                <w:b w:val="1"/>
                <w:bCs w:val="1"/>
                <w:color w:val="5D6673"/>
              </w:rPr>
              <w:t>EXPERTISE</w:t>
            </w:r>
          </w:p>
        </w:tc>
        <w:tc>
          <w:tcPr>
            <w:tcW w:w="2360" w:type="dxa"/>
            <w:vAlign w:val="bottom"/>
            <w:shd w:val="clear" w:color="auto" w:fill="DCDEE4"/>
          </w:tcPr>
          <w:p>
            <w:pPr>
              <w:ind w:left="940"/>
              <w:spacing w:after="0"/>
              <w:rPr>
                <w:sz w:val="20"/>
                <w:szCs w:val="20"/>
                <w:color w:val="auto"/>
              </w:rPr>
            </w:pPr>
            <w:r>
              <w:rPr>
                <w:rFonts w:ascii="Arial" w:cs="Arial" w:eastAsia="Arial" w:hAnsi="Arial"/>
                <w:sz w:val="14"/>
                <w:szCs w:val="14"/>
                <w:b w:val="1"/>
                <w:bCs w:val="1"/>
                <w:color w:val="5D6673"/>
              </w:rPr>
              <w:t>ACQUISITIONS</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80" w:type="dxa"/>
            <w:vAlign w:val="bottom"/>
            <w:shd w:val="clear" w:color="auto" w:fill="DCDEE4"/>
          </w:tcPr>
          <w:p>
            <w:pPr>
              <w:ind w:left="100"/>
              <w:spacing w:after="0"/>
              <w:rPr>
                <w:sz w:val="20"/>
                <w:szCs w:val="20"/>
                <w:color w:val="auto"/>
              </w:rPr>
            </w:pPr>
            <w:r>
              <w:rPr>
                <w:rFonts w:ascii="Arial" w:cs="Arial" w:eastAsia="Arial" w:hAnsi="Arial"/>
                <w:sz w:val="14"/>
                <w:szCs w:val="14"/>
                <w:b w:val="1"/>
                <w:bCs w:val="1"/>
                <w:color w:val="auto"/>
              </w:rPr>
              <w:t> </w:t>
            </w:r>
          </w:p>
        </w:tc>
        <w:tc>
          <w:tcPr>
            <w:tcW w:w="140" w:type="dxa"/>
            <w:vAlign w:val="bottom"/>
            <w:shd w:val="clear" w:color="auto" w:fill="DCDEE4"/>
          </w:tcPr>
          <w:p>
            <w:pPr>
              <w:spacing w:after="0"/>
              <w:rPr>
                <w:sz w:val="21"/>
                <w:szCs w:val="21"/>
                <w:color w:val="auto"/>
              </w:rPr>
            </w:pPr>
          </w:p>
        </w:tc>
        <w:tc>
          <w:tcPr>
            <w:tcW w:w="136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EXPERTISE</w:t>
            </w:r>
          </w:p>
        </w:tc>
        <w:tc>
          <w:tcPr>
            <w:tcW w:w="500" w:type="dxa"/>
            <w:vAlign w:val="bottom"/>
            <w:shd w:val="clear" w:color="auto" w:fill="DCDEE4"/>
          </w:tcPr>
          <w:p>
            <w:pPr>
              <w:ind w:left="160"/>
              <w:spacing w:after="0"/>
              <w:rPr>
                <w:sz w:val="20"/>
                <w:szCs w:val="20"/>
                <w:color w:val="auto"/>
              </w:rPr>
            </w:pPr>
            <w:r>
              <w:rPr>
                <w:rFonts w:ascii="Arial" w:cs="Arial" w:eastAsia="Arial" w:hAnsi="Arial"/>
                <w:sz w:val="14"/>
                <w:szCs w:val="14"/>
                <w:b w:val="1"/>
                <w:bCs w:val="1"/>
                <w:color w:val="5D6673"/>
              </w:rPr>
              <w:t> </w:t>
            </w:r>
          </w:p>
        </w:tc>
        <w:tc>
          <w:tcPr>
            <w:tcW w:w="2120" w:type="dxa"/>
            <w:vAlign w:val="bottom"/>
            <w:shd w:val="clear" w:color="auto" w:fill="DCDEE4"/>
          </w:tcPr>
          <w:p>
            <w:pPr>
              <w:ind w:left="1780"/>
              <w:spacing w:after="0"/>
              <w:rPr>
                <w:sz w:val="20"/>
                <w:szCs w:val="20"/>
                <w:color w:val="auto"/>
              </w:rPr>
            </w:pPr>
            <w:r>
              <w:rPr>
                <w:rFonts w:ascii="Arial" w:cs="Arial" w:eastAsia="Arial" w:hAnsi="Arial"/>
                <w:sz w:val="14"/>
                <w:szCs w:val="14"/>
                <w:b w:val="1"/>
                <w:bCs w:val="1"/>
                <w:color w:val="5D6673"/>
              </w:rPr>
              <w:t> </w:t>
            </w:r>
          </w:p>
        </w:tc>
        <w:tc>
          <w:tcPr>
            <w:tcW w:w="1900" w:type="dxa"/>
            <w:vAlign w:val="bottom"/>
            <w:shd w:val="clear" w:color="auto" w:fill="DCDEE4"/>
          </w:tcPr>
          <w:p>
            <w:pPr>
              <w:spacing w:after="0"/>
              <w:rPr>
                <w:sz w:val="21"/>
                <w:szCs w:val="21"/>
                <w:color w:val="auto"/>
              </w:rPr>
            </w:pPr>
          </w:p>
        </w:tc>
        <w:tc>
          <w:tcPr>
            <w:tcW w:w="2360" w:type="dxa"/>
            <w:vAlign w:val="bottom"/>
            <w:shd w:val="clear" w:color="auto" w:fill="DCDEE4"/>
          </w:tcPr>
          <w:p>
            <w:pPr>
              <w:ind w:left="16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519"/>
        </w:trPr>
        <w:tc>
          <w:tcPr>
            <w:tcW w:w="120" w:type="dxa"/>
            <w:vAlign w:val="bottom"/>
          </w:tcPr>
          <w:p>
            <w:pPr>
              <w:spacing w:after="0"/>
              <w:rPr>
                <w:sz w:val="24"/>
                <w:szCs w:val="24"/>
                <w:color w:val="auto"/>
              </w:rPr>
            </w:pPr>
          </w:p>
        </w:tc>
        <w:tc>
          <w:tcPr>
            <w:tcW w:w="680" w:type="dxa"/>
            <w:vAlign w:val="bottom"/>
            <w:vMerge w:val="restart"/>
            <w:shd w:val="clear" w:color="auto" w:fill="DCDEE4"/>
          </w:tcPr>
          <w:p>
            <w:pPr>
              <w:ind w:left="280"/>
              <w:spacing w:after="0"/>
              <w:rPr>
                <w:sz w:val="20"/>
                <w:szCs w:val="20"/>
                <w:color w:val="auto"/>
              </w:rPr>
            </w:pPr>
            <w:r>
              <w:rPr>
                <w:rFonts w:ascii="Arial" w:cs="Arial" w:eastAsia="Arial" w:hAnsi="Arial"/>
                <w:sz w:val="14"/>
                <w:szCs w:val="14"/>
                <w:b w:val="1"/>
                <w:bCs w:val="1"/>
                <w:color w:val="auto"/>
              </w:rPr>
              <w:t> </w:t>
            </w:r>
          </w:p>
        </w:tc>
        <w:tc>
          <w:tcPr>
            <w:tcW w:w="140" w:type="dxa"/>
            <w:vAlign w:val="bottom"/>
            <w:shd w:val="clear" w:color="auto" w:fill="DCDEE4"/>
          </w:tcPr>
          <w:p>
            <w:pPr>
              <w:spacing w:after="0"/>
              <w:rPr>
                <w:sz w:val="24"/>
                <w:szCs w:val="24"/>
                <w:color w:val="auto"/>
              </w:rPr>
            </w:pPr>
          </w:p>
        </w:tc>
        <w:tc>
          <w:tcPr>
            <w:tcW w:w="136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CYBERSECURITY</w:t>
            </w:r>
          </w:p>
        </w:tc>
        <w:tc>
          <w:tcPr>
            <w:tcW w:w="500" w:type="dxa"/>
            <w:vAlign w:val="bottom"/>
            <w:shd w:val="clear" w:color="auto" w:fill="DCDEE4"/>
          </w:tcPr>
          <w:p>
            <w:pPr>
              <w:spacing w:after="0"/>
              <w:rPr>
                <w:sz w:val="24"/>
                <w:szCs w:val="24"/>
                <w:color w:val="auto"/>
              </w:rPr>
            </w:pPr>
          </w:p>
        </w:tc>
        <w:tc>
          <w:tcPr>
            <w:tcW w:w="2120" w:type="dxa"/>
            <w:vAlign w:val="bottom"/>
            <w:shd w:val="clear" w:color="auto" w:fill="DCDEE4"/>
          </w:tcPr>
          <w:p>
            <w:pPr>
              <w:ind w:left="300"/>
              <w:spacing w:after="0"/>
              <w:rPr>
                <w:sz w:val="20"/>
                <w:szCs w:val="20"/>
                <w:color w:val="auto"/>
              </w:rPr>
            </w:pPr>
            <w:r>
              <w:rPr>
                <w:rFonts w:ascii="Arial" w:cs="Arial" w:eastAsia="Arial" w:hAnsi="Arial"/>
                <w:sz w:val="14"/>
                <w:szCs w:val="14"/>
                <w:b w:val="1"/>
                <w:bCs w:val="1"/>
                <w:color w:val="5D6673"/>
              </w:rPr>
              <w:t>INFORMATION</w:t>
            </w:r>
          </w:p>
        </w:tc>
        <w:tc>
          <w:tcPr>
            <w:tcW w:w="1900" w:type="dxa"/>
            <w:vAlign w:val="bottom"/>
            <w:shd w:val="clear" w:color="auto" w:fill="DCDEE4"/>
          </w:tcPr>
          <w:p>
            <w:pPr>
              <w:spacing w:after="0"/>
              <w:rPr>
                <w:sz w:val="24"/>
                <w:szCs w:val="24"/>
                <w:color w:val="auto"/>
              </w:rPr>
            </w:pPr>
          </w:p>
        </w:tc>
        <w:tc>
          <w:tcPr>
            <w:tcW w:w="23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680" w:type="dxa"/>
            <w:vAlign w:val="bottom"/>
            <w:vMerge w:val="continue"/>
            <w:shd w:val="clear" w:color="auto" w:fill="DCDEE4"/>
          </w:tcPr>
          <w:p>
            <w:pPr>
              <w:spacing w:after="0"/>
              <w:rPr>
                <w:sz w:val="11"/>
                <w:szCs w:val="11"/>
                <w:color w:val="auto"/>
              </w:rPr>
            </w:pPr>
          </w:p>
        </w:tc>
        <w:tc>
          <w:tcPr>
            <w:tcW w:w="140" w:type="dxa"/>
            <w:vAlign w:val="bottom"/>
            <w:shd w:val="clear" w:color="auto" w:fill="DCDEE4"/>
          </w:tcPr>
          <w:p>
            <w:pPr>
              <w:spacing w:after="0"/>
              <w:rPr>
                <w:sz w:val="11"/>
                <w:szCs w:val="11"/>
                <w:color w:val="auto"/>
              </w:rPr>
            </w:pPr>
          </w:p>
        </w:tc>
        <w:tc>
          <w:tcPr>
            <w:tcW w:w="1360" w:type="dxa"/>
            <w:vAlign w:val="bottom"/>
            <w:vMerge w:val="continue"/>
            <w:shd w:val="clear" w:color="auto" w:fill="DCDEE4"/>
          </w:tcPr>
          <w:p>
            <w:pPr>
              <w:spacing w:after="0"/>
              <w:rPr>
                <w:sz w:val="11"/>
                <w:szCs w:val="11"/>
                <w:color w:val="auto"/>
              </w:rPr>
            </w:pPr>
          </w:p>
        </w:tc>
        <w:tc>
          <w:tcPr>
            <w:tcW w:w="500" w:type="dxa"/>
            <w:vAlign w:val="bottom"/>
            <w:shd w:val="clear" w:color="auto" w:fill="DCDEE4"/>
          </w:tcPr>
          <w:p>
            <w:pPr>
              <w:spacing w:after="0"/>
              <w:rPr>
                <w:sz w:val="11"/>
                <w:szCs w:val="11"/>
                <w:color w:val="auto"/>
              </w:rPr>
            </w:pPr>
          </w:p>
        </w:tc>
        <w:tc>
          <w:tcPr>
            <w:tcW w:w="212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TECHNOLOGY</w:t>
            </w:r>
          </w:p>
        </w:tc>
        <w:tc>
          <w:tcPr>
            <w:tcW w:w="1900" w:type="dxa"/>
            <w:vAlign w:val="bottom"/>
            <w:shd w:val="clear" w:color="auto" w:fill="DCDEE4"/>
          </w:tcPr>
          <w:p>
            <w:pPr>
              <w:spacing w:after="0"/>
              <w:rPr>
                <w:sz w:val="11"/>
                <w:szCs w:val="11"/>
                <w:color w:val="auto"/>
              </w:rPr>
            </w:pPr>
          </w:p>
        </w:tc>
        <w:tc>
          <w:tcPr>
            <w:tcW w:w="2360" w:type="dxa"/>
            <w:vAlign w:val="bottom"/>
            <w:shd w:val="clear" w:color="auto" w:fill="DCDEE4"/>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680" w:type="dxa"/>
            <w:vAlign w:val="bottom"/>
            <w:shd w:val="clear" w:color="auto" w:fill="DCDEE4"/>
          </w:tcPr>
          <w:p>
            <w:pPr>
              <w:spacing w:after="0"/>
              <w:rPr>
                <w:sz w:val="5"/>
                <w:szCs w:val="5"/>
                <w:color w:val="auto"/>
              </w:rPr>
            </w:pPr>
          </w:p>
        </w:tc>
        <w:tc>
          <w:tcPr>
            <w:tcW w:w="140" w:type="dxa"/>
            <w:vAlign w:val="bottom"/>
            <w:shd w:val="clear" w:color="auto" w:fill="DCDEE4"/>
          </w:tcPr>
          <w:p>
            <w:pPr>
              <w:spacing w:after="0"/>
              <w:rPr>
                <w:sz w:val="5"/>
                <w:szCs w:val="5"/>
                <w:color w:val="auto"/>
              </w:rPr>
            </w:pPr>
          </w:p>
        </w:tc>
        <w:tc>
          <w:tcPr>
            <w:tcW w:w="1360" w:type="dxa"/>
            <w:vAlign w:val="bottom"/>
            <w:shd w:val="clear" w:color="auto" w:fill="DCDEE4"/>
          </w:tcPr>
          <w:p>
            <w:pPr>
              <w:spacing w:after="0"/>
              <w:rPr>
                <w:sz w:val="5"/>
                <w:szCs w:val="5"/>
                <w:color w:val="auto"/>
              </w:rPr>
            </w:pPr>
          </w:p>
        </w:tc>
        <w:tc>
          <w:tcPr>
            <w:tcW w:w="500" w:type="dxa"/>
            <w:vAlign w:val="bottom"/>
            <w:shd w:val="clear" w:color="auto" w:fill="DCDEE4"/>
          </w:tcPr>
          <w:p>
            <w:pPr>
              <w:spacing w:after="0"/>
              <w:rPr>
                <w:sz w:val="5"/>
                <w:szCs w:val="5"/>
                <w:color w:val="auto"/>
              </w:rPr>
            </w:pPr>
          </w:p>
        </w:tc>
        <w:tc>
          <w:tcPr>
            <w:tcW w:w="2120" w:type="dxa"/>
            <w:vAlign w:val="bottom"/>
            <w:vMerge w:val="continue"/>
            <w:shd w:val="clear" w:color="auto" w:fill="DCDEE4"/>
          </w:tcPr>
          <w:p>
            <w:pPr>
              <w:spacing w:after="0"/>
              <w:rPr>
                <w:sz w:val="5"/>
                <w:szCs w:val="5"/>
                <w:color w:val="auto"/>
              </w:rPr>
            </w:pPr>
          </w:p>
        </w:tc>
        <w:tc>
          <w:tcPr>
            <w:tcW w:w="1900" w:type="dxa"/>
            <w:vAlign w:val="bottom"/>
            <w:shd w:val="clear" w:color="auto" w:fill="DCDEE4"/>
          </w:tcPr>
          <w:p>
            <w:pPr>
              <w:spacing w:after="0"/>
              <w:rPr>
                <w:sz w:val="5"/>
                <w:szCs w:val="5"/>
                <w:color w:val="auto"/>
              </w:rPr>
            </w:pPr>
          </w:p>
        </w:tc>
        <w:tc>
          <w:tcPr>
            <w:tcW w:w="2360" w:type="dxa"/>
            <w:vAlign w:val="bottom"/>
            <w:shd w:val="clear" w:color="auto" w:fill="DCDEE4"/>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680" w:type="dxa"/>
            <w:vAlign w:val="bottom"/>
            <w:shd w:val="clear" w:color="auto" w:fill="DCDEE4"/>
          </w:tcPr>
          <w:p>
            <w:pPr>
              <w:spacing w:after="0"/>
              <w:rPr>
                <w:sz w:val="16"/>
                <w:szCs w:val="16"/>
                <w:color w:val="auto"/>
              </w:rPr>
            </w:pPr>
          </w:p>
        </w:tc>
        <w:tc>
          <w:tcPr>
            <w:tcW w:w="140" w:type="dxa"/>
            <w:vAlign w:val="bottom"/>
            <w:shd w:val="clear" w:color="auto" w:fill="DCDEE4"/>
          </w:tcPr>
          <w:p>
            <w:pPr>
              <w:spacing w:after="0"/>
              <w:rPr>
                <w:sz w:val="16"/>
                <w:szCs w:val="16"/>
                <w:color w:val="auto"/>
              </w:rPr>
            </w:pPr>
          </w:p>
        </w:tc>
        <w:tc>
          <w:tcPr>
            <w:tcW w:w="1360" w:type="dxa"/>
            <w:vAlign w:val="bottom"/>
            <w:shd w:val="clear" w:color="auto" w:fill="DCDEE4"/>
          </w:tcPr>
          <w:p>
            <w:pPr>
              <w:spacing w:after="0"/>
              <w:rPr>
                <w:sz w:val="16"/>
                <w:szCs w:val="16"/>
                <w:color w:val="auto"/>
              </w:rPr>
            </w:pPr>
          </w:p>
        </w:tc>
        <w:tc>
          <w:tcPr>
            <w:tcW w:w="500" w:type="dxa"/>
            <w:vAlign w:val="bottom"/>
            <w:shd w:val="clear" w:color="auto" w:fill="DCDEE4"/>
          </w:tcPr>
          <w:p>
            <w:pPr>
              <w:ind w:left="80"/>
              <w:spacing w:after="0"/>
              <w:rPr>
                <w:sz w:val="20"/>
                <w:szCs w:val="20"/>
                <w:color w:val="auto"/>
              </w:rPr>
            </w:pPr>
            <w:r>
              <w:rPr>
                <w:rFonts w:ascii="Arial" w:cs="Arial" w:eastAsia="Arial" w:hAnsi="Arial"/>
                <w:sz w:val="14"/>
                <w:szCs w:val="14"/>
                <w:b w:val="1"/>
                <w:bCs w:val="1"/>
                <w:color w:val="5D6673"/>
              </w:rPr>
              <w:t> </w:t>
            </w:r>
          </w:p>
        </w:tc>
        <w:tc>
          <w:tcPr>
            <w:tcW w:w="2120" w:type="dxa"/>
            <w:vAlign w:val="bottom"/>
            <w:shd w:val="clear" w:color="auto" w:fill="DCDEE4"/>
          </w:tcPr>
          <w:p>
            <w:pPr>
              <w:spacing w:after="0"/>
              <w:rPr>
                <w:sz w:val="16"/>
                <w:szCs w:val="16"/>
                <w:color w:val="auto"/>
              </w:rPr>
            </w:pPr>
          </w:p>
        </w:tc>
        <w:tc>
          <w:tcPr>
            <w:tcW w:w="1900" w:type="dxa"/>
            <w:vAlign w:val="bottom"/>
            <w:shd w:val="clear" w:color="auto" w:fill="DCDEE4"/>
          </w:tcPr>
          <w:p>
            <w:pPr>
              <w:spacing w:after="0"/>
              <w:rPr>
                <w:sz w:val="16"/>
                <w:szCs w:val="16"/>
                <w:color w:val="auto"/>
              </w:rPr>
            </w:pPr>
          </w:p>
        </w:tc>
        <w:tc>
          <w:tcPr>
            <w:tcW w:w="2360" w:type="dxa"/>
            <w:vAlign w:val="bottom"/>
            <w:shd w:val="clear" w:color="auto" w:fill="DCDEE4"/>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68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360" w:type="dxa"/>
            <w:vAlign w:val="bottom"/>
            <w:shd w:val="clear" w:color="auto" w:fill="DCDEE4"/>
          </w:tcPr>
          <w:p>
            <w:pPr>
              <w:spacing w:after="0"/>
              <w:rPr>
                <w:sz w:val="10"/>
                <w:szCs w:val="10"/>
                <w:color w:val="auto"/>
              </w:rPr>
            </w:pPr>
          </w:p>
        </w:tc>
        <w:tc>
          <w:tcPr>
            <w:tcW w:w="500" w:type="dxa"/>
            <w:vAlign w:val="bottom"/>
            <w:shd w:val="clear" w:color="auto" w:fill="DCDEE4"/>
          </w:tcPr>
          <w:p>
            <w:pPr>
              <w:spacing w:after="0"/>
              <w:rPr>
                <w:sz w:val="10"/>
                <w:szCs w:val="10"/>
                <w:color w:val="auto"/>
              </w:rPr>
            </w:pPr>
          </w:p>
        </w:tc>
        <w:tc>
          <w:tcPr>
            <w:tcW w:w="2120" w:type="dxa"/>
            <w:vAlign w:val="bottom"/>
            <w:shd w:val="clear" w:color="auto" w:fill="DCDEE4"/>
          </w:tcPr>
          <w:p>
            <w:pPr>
              <w:spacing w:after="0"/>
              <w:rPr>
                <w:sz w:val="10"/>
                <w:szCs w:val="10"/>
                <w:color w:val="auto"/>
              </w:rPr>
            </w:pPr>
          </w:p>
        </w:tc>
        <w:tc>
          <w:tcPr>
            <w:tcW w:w="1900" w:type="dxa"/>
            <w:vAlign w:val="bottom"/>
            <w:shd w:val="clear" w:color="auto" w:fill="DCDEE4"/>
          </w:tcPr>
          <w:p>
            <w:pPr>
              <w:spacing w:after="0"/>
              <w:rPr>
                <w:sz w:val="10"/>
                <w:szCs w:val="10"/>
                <w:color w:val="auto"/>
              </w:rPr>
            </w:pPr>
          </w:p>
        </w:tc>
        <w:tc>
          <w:tcPr>
            <w:tcW w:w="23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D02A2E"/>
            </w:tcBorders>
          </w:tcPr>
          <w:p>
            <w:pPr>
              <w:spacing w:after="0"/>
              <w:rPr>
                <w:sz w:val="18"/>
                <w:szCs w:val="18"/>
                <w:color w:val="auto"/>
              </w:rPr>
            </w:pPr>
          </w:p>
        </w:tc>
        <w:tc>
          <w:tcPr>
            <w:tcW w:w="680" w:type="dxa"/>
            <w:vAlign w:val="bottom"/>
            <w:tcBorders>
              <w:bottom w:val="single" w:sz="8" w:color="D02A2E"/>
            </w:tcBorders>
          </w:tcPr>
          <w:p>
            <w:pPr>
              <w:spacing w:after="0"/>
              <w:rPr>
                <w:sz w:val="18"/>
                <w:szCs w:val="18"/>
                <w:color w:val="auto"/>
              </w:rPr>
            </w:pPr>
          </w:p>
        </w:tc>
        <w:tc>
          <w:tcPr>
            <w:tcW w:w="140" w:type="dxa"/>
            <w:vAlign w:val="bottom"/>
            <w:tcBorders>
              <w:bottom w:val="single" w:sz="8" w:color="D02A2E"/>
            </w:tcBorders>
          </w:tcPr>
          <w:p>
            <w:pPr>
              <w:spacing w:after="0"/>
              <w:rPr>
                <w:sz w:val="18"/>
                <w:szCs w:val="18"/>
                <w:color w:val="auto"/>
              </w:rPr>
            </w:pPr>
          </w:p>
        </w:tc>
        <w:tc>
          <w:tcPr>
            <w:tcW w:w="1360" w:type="dxa"/>
            <w:vAlign w:val="bottom"/>
            <w:tcBorders>
              <w:bottom w:val="single" w:sz="8" w:color="D02A2E"/>
            </w:tcBorders>
          </w:tcPr>
          <w:p>
            <w:pPr>
              <w:spacing w:after="0"/>
              <w:rPr>
                <w:sz w:val="18"/>
                <w:szCs w:val="18"/>
                <w:color w:val="auto"/>
              </w:rPr>
            </w:pPr>
          </w:p>
        </w:tc>
        <w:tc>
          <w:tcPr>
            <w:tcW w:w="500" w:type="dxa"/>
            <w:vAlign w:val="bottom"/>
            <w:tcBorders>
              <w:bottom w:val="single" w:sz="8" w:color="D02A2E"/>
            </w:tcBorders>
          </w:tcPr>
          <w:p>
            <w:pPr>
              <w:spacing w:after="0"/>
              <w:rPr>
                <w:sz w:val="18"/>
                <w:szCs w:val="18"/>
                <w:color w:val="auto"/>
              </w:rPr>
            </w:pPr>
          </w:p>
        </w:tc>
        <w:tc>
          <w:tcPr>
            <w:tcW w:w="2120" w:type="dxa"/>
            <w:vAlign w:val="bottom"/>
            <w:tcBorders>
              <w:bottom w:val="single" w:sz="8" w:color="D02A2E"/>
            </w:tcBorders>
          </w:tcPr>
          <w:p>
            <w:pPr>
              <w:spacing w:after="0"/>
              <w:rPr>
                <w:sz w:val="18"/>
                <w:szCs w:val="18"/>
                <w:color w:val="auto"/>
              </w:rPr>
            </w:pPr>
          </w:p>
        </w:tc>
        <w:tc>
          <w:tcPr>
            <w:tcW w:w="1900" w:type="dxa"/>
            <w:vAlign w:val="bottom"/>
            <w:tcBorders>
              <w:bottom w:val="single" w:sz="8" w:color="D02A2E"/>
            </w:tcBorders>
          </w:tcPr>
          <w:p>
            <w:pPr>
              <w:spacing w:after="0"/>
              <w:rPr>
                <w:sz w:val="18"/>
                <w:szCs w:val="18"/>
                <w:color w:val="auto"/>
              </w:rPr>
            </w:pPr>
          </w:p>
        </w:tc>
        <w:tc>
          <w:tcPr>
            <w:tcW w:w="236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902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582930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286"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F"/>
        </w:rPr>
        <w:t>Current Class 3 Director – Term That Will Expire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121920</wp:posOffset>
            </wp:positionV>
            <wp:extent cx="1663065" cy="4465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63065" cy="44659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66</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 xml:space="preserve">INDEPENDENT </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Chair of the Board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b w:val="1"/>
          <w:bCs w:val="1"/>
          <w:color w:val="5D6673"/>
        </w:rPr>
        <w:t>OTHER PREVIOUS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(within the past 5 years)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Lightning eMotors,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Diana D. Tremblay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CEO of Riverhawk Consulting, LLC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Former General Motors Vice President of</w:t>
      </w:r>
    </w:p>
    <w:p>
      <w:pPr>
        <w:spacing w:after="0" w:line="29" w:lineRule="exact"/>
        <w:rPr>
          <w:sz w:val="20"/>
          <w:szCs w:val="20"/>
          <w:color w:val="auto"/>
        </w:rPr>
      </w:pPr>
    </w:p>
    <w:p>
      <w:pPr>
        <w:ind w:right="2480"/>
        <w:spacing w:after="0" w:line="330" w:lineRule="auto"/>
        <w:rPr>
          <w:sz w:val="20"/>
          <w:szCs w:val="20"/>
          <w:color w:val="auto"/>
        </w:rPr>
      </w:pPr>
      <w:r>
        <w:rPr>
          <w:rFonts w:ascii="Arial" w:cs="Arial" w:eastAsia="Arial" w:hAnsi="Arial"/>
          <w:sz w:val="18"/>
          <w:szCs w:val="18"/>
          <w:i w:val="1"/>
          <w:iCs w:val="1"/>
          <w:color w:val="5D6673"/>
        </w:rPr>
        <w:t>Manufacturing and Global Business Services  </w:t>
      </w:r>
    </w:p>
    <w:p>
      <w:pPr>
        <w:spacing w:after="0" w:line="195" w:lineRule="auto"/>
        <w:rPr>
          <w:sz w:val="20"/>
          <w:szCs w:val="20"/>
          <w:color w:val="auto"/>
        </w:rPr>
      </w:pPr>
      <w:r>
        <w:rPr>
          <w:rFonts w:ascii="Arial" w:cs="Arial" w:eastAsia="Arial" w:hAnsi="Arial"/>
          <w:sz w:val="18"/>
          <w:szCs w:val="18"/>
          <w:b w:val="1"/>
          <w:bCs w:val="1"/>
          <w:color w:val="D02A2E"/>
        </w:rPr>
        <w:t>QUALIFICATIONS</w:t>
      </w:r>
      <w:r>
        <w:rPr>
          <w:rFonts w:ascii="Arial" w:cs="Arial" w:eastAsia="Arial" w:hAnsi="Arial"/>
          <w:sz w:val="32"/>
          <w:szCs w:val="32"/>
          <w:color w:val="000000"/>
          <w:vertAlign w:val="subscript"/>
        </w:rPr>
        <w:t xml:space="preserve"> </w:t>
      </w:r>
      <w:r>
        <w:rPr>
          <w:rFonts w:ascii="Arial" w:cs="Arial" w:eastAsia="Arial" w:hAnsi="Arial"/>
          <w:sz w:val="18"/>
          <w:szCs w:val="18"/>
          <w:b w:val="1"/>
          <w:bCs w:val="1"/>
          <w:color w:val="D02A2E"/>
        </w:rPr>
        <w:t xml:space="preserve"> AND SKILLS</w:t>
      </w:r>
    </w:p>
    <w:p>
      <w:pPr>
        <w:spacing w:after="0" w:line="1" w:lineRule="exact"/>
        <w:rPr>
          <w:sz w:val="20"/>
          <w:szCs w:val="20"/>
          <w:color w:val="auto"/>
        </w:rPr>
      </w:pPr>
    </w:p>
    <w:p>
      <w:pPr>
        <w:ind w:right="180"/>
        <w:spacing w:after="0" w:line="223" w:lineRule="auto"/>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Contributes valuable insights gleaned</w:t>
      </w:r>
      <w:r>
        <w:rPr>
          <w:rFonts w:ascii="Arial" w:cs="Arial" w:eastAsia="Arial" w:hAnsi="Arial"/>
          <w:sz w:val="16"/>
          <w:szCs w:val="16"/>
          <w:b w:val="1"/>
          <w:bCs w:val="1"/>
          <w:color w:val="auto"/>
        </w:rPr>
        <w:t xml:space="preserve"> </w:t>
      </w:r>
      <w:r>
        <w:rPr>
          <w:rFonts w:ascii="Arial" w:cs="Arial" w:eastAsia="Arial" w:hAnsi="Arial"/>
          <w:sz w:val="16"/>
          <w:szCs w:val="16"/>
          <w:color w:val="auto"/>
        </w:rPr>
        <w:t>from her leadership experience as vice president of manufacturing and of global business services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320"/>
        <w:spacing w:after="0" w:line="223" w:lineRule="auto"/>
        <w:rPr>
          <w:sz w:val="20"/>
          <w:szCs w:val="20"/>
          <w:color w:val="auto"/>
        </w:rPr>
      </w:pPr>
      <w:r>
        <w:rPr>
          <w:rFonts w:ascii="Arial" w:cs="Arial" w:eastAsia="Arial" w:hAnsi="Arial"/>
          <w:sz w:val="16"/>
          <w:szCs w:val="16"/>
          <w:b w:val="1"/>
          <w:bCs w:val="1"/>
          <w:color w:val="auto"/>
        </w:rPr>
        <w:t xml:space="preserve">PUBLIC BOARD AND GOVERNANCE EXPERIENCE: </w:t>
      </w:r>
      <w:r>
        <w:rPr>
          <w:rFonts w:ascii="Arial" w:cs="Arial" w:eastAsia="Arial" w:hAnsi="Arial"/>
          <w:sz w:val="16"/>
          <w:szCs w:val="16"/>
          <w:color w:val="auto"/>
        </w:rPr>
        <w:t>Applies extensive board</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strategy and corporate governance, from board roles and as lead independent director</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80"/>
        <w:spacing w:after="0" w:line="223" w:lineRule="auto"/>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Brings expertise in managing international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streamlining administrative processes worldwide, and improving global service quality</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260"/>
        <w:spacing w:after="0" w:line="233" w:lineRule="auto"/>
        <w:rPr>
          <w:sz w:val="20"/>
          <w:szCs w:val="20"/>
          <w:color w:val="auto"/>
        </w:rPr>
      </w:pPr>
      <w:r>
        <w:rPr>
          <w:rFonts w:ascii="Arial" w:cs="Arial" w:eastAsia="Arial" w:hAnsi="Arial"/>
          <w:sz w:val="16"/>
          <w:szCs w:val="16"/>
          <w:b w:val="1"/>
          <w:bCs w:val="1"/>
          <w:color w:val="auto"/>
        </w:rPr>
        <w:t xml:space="preserve">MANUFACTURING AND SUPPLY CHAIN EXPERTISE: </w:t>
      </w:r>
      <w:r>
        <w:rPr>
          <w:rFonts w:ascii="Arial" w:cs="Arial" w:eastAsia="Arial" w:hAnsi="Arial"/>
          <w:sz w:val="16"/>
          <w:szCs w:val="16"/>
          <w:color w:val="auto"/>
        </w:rPr>
        <w:t>Draws on her rich</w:t>
      </w:r>
      <w:r>
        <w:rPr>
          <w:rFonts w:ascii="Arial" w:cs="Arial" w:eastAsia="Arial" w:hAnsi="Arial"/>
          <w:sz w:val="16"/>
          <w:szCs w:val="16"/>
          <w:b w:val="1"/>
          <w:bCs w:val="1"/>
          <w:color w:val="auto"/>
        </w:rPr>
        <w:t xml:space="preserve"> </w:t>
      </w:r>
      <w:r>
        <w:rPr>
          <w:rFonts w:ascii="Arial" w:cs="Arial" w:eastAsia="Arial" w:hAnsi="Arial"/>
          <w:sz w:val="16"/>
          <w:szCs w:val="16"/>
          <w:color w:val="auto"/>
        </w:rPr>
        <w:t>background in managing global manufacturing and supply chain processes in the automotive industry, including deep experience in a lower margin, long lead time cyclical business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160" w:right="6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Chief Executive Officer at Riverhawk Consulting, LLC, September 2017 –</w:t>
      </w:r>
      <w:r>
        <w:rPr>
          <w:rFonts w:ascii="Arial" w:cs="Arial" w:eastAsia="Arial" w:hAnsi="Arial"/>
          <w:sz w:val="16"/>
          <w:szCs w:val="16"/>
          <w:color w:val="D02A2E"/>
        </w:rPr>
        <w:t xml:space="preserve"> </w:t>
      </w:r>
      <w:r>
        <w:rPr>
          <w:rFonts w:ascii="Arial" w:cs="Arial" w:eastAsia="Arial" w:hAnsi="Arial"/>
          <w:sz w:val="16"/>
          <w:szCs w:val="16"/>
          <w:color w:val="000000"/>
        </w:rPr>
        <w:t>Present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Operating Partner at Castle Creek Capital, October 2022 – Present</w:t>
      </w:r>
    </w:p>
    <w:p>
      <w:pPr>
        <w:spacing w:after="0" w:line="86" w:lineRule="exact"/>
        <w:rPr>
          <w:sz w:val="20"/>
          <w:szCs w:val="20"/>
          <w:color w:val="auto"/>
        </w:rPr>
      </w:pPr>
    </w:p>
    <w:p>
      <w:pPr>
        <w:jc w:val="both"/>
        <w:ind w:left="160" w:right="700" w:hanging="170"/>
        <w:spacing w:after="0" w:line="26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40 years of operational experience with General Motors as an</w:t>
      </w:r>
      <w:r>
        <w:rPr>
          <w:rFonts w:ascii="Arial" w:cs="Arial" w:eastAsia="Arial" w:hAnsi="Arial"/>
          <w:sz w:val="16"/>
          <w:szCs w:val="16"/>
          <w:color w:val="D02A2E"/>
        </w:rPr>
        <w:t xml:space="preserve"> </w:t>
      </w:r>
      <w:r>
        <w:rPr>
          <w:rFonts w:ascii="Arial" w:cs="Arial" w:eastAsia="Arial" w:hAnsi="Arial"/>
          <w:sz w:val="16"/>
          <w:szCs w:val="16"/>
          <w:color w:val="000000"/>
        </w:rPr>
        <w:t>engineer, plant manager, head of manufacturing and lead labor relations negotiator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Served extensively in leadership positions on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149225</wp:posOffset>
            </wp:positionV>
            <wp:extent cx="5829300" cy="1371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0" cy="1371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5D6673"/>
              </w:rPr>
              <w:t>FINANCIAL</w:t>
            </w:r>
          </w:p>
        </w:tc>
        <w:tc>
          <w:tcPr>
            <w:tcW w:w="60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Arial" w:cs="Arial" w:eastAsia="Arial" w:hAnsi="Arial"/>
                <w:sz w:val="14"/>
                <w:szCs w:val="14"/>
                <w:b w:val="1"/>
                <w:bCs w:val="1"/>
                <w:color w:val="5D6673"/>
              </w:rPr>
              <w:t>PUBLIC BOARD</w:t>
            </w:r>
          </w:p>
        </w:tc>
        <w:tc>
          <w:tcPr>
            <w:tcW w:w="2240" w:type="dxa"/>
            <w:vAlign w:val="bottom"/>
            <w:vMerge w:val="restart"/>
          </w:tcPr>
          <w:p>
            <w:pPr>
              <w:ind w:left="92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LEADERSHIP</w:t>
            </w:r>
          </w:p>
        </w:tc>
        <w:tc>
          <w:tcPr>
            <w:tcW w:w="20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40" w:type="dxa"/>
            <w:vAlign w:val="bottom"/>
            <w:vMerge w:val="restart"/>
          </w:tcPr>
          <w:p>
            <w:pPr>
              <w:ind w:left="440"/>
              <w:spacing w:after="0"/>
              <w:rPr>
                <w:sz w:val="20"/>
                <w:szCs w:val="20"/>
                <w:color w:val="auto"/>
              </w:rPr>
            </w:pPr>
            <w:r>
              <w:rPr>
                <w:rFonts w:ascii="Arial" w:cs="Arial" w:eastAsia="Arial" w:hAnsi="Arial"/>
                <w:sz w:val="14"/>
                <w:szCs w:val="14"/>
                <w:b w:val="1"/>
                <w:bCs w:val="1"/>
                <w:color w:val="5D6673"/>
              </w:rPr>
              <w:t>AND GOVERNANCE</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5D6673"/>
              </w:rPr>
              <w:t>LITERACY/CFO</w:t>
            </w:r>
          </w:p>
        </w:tc>
        <w:tc>
          <w:tcPr>
            <w:tcW w:w="60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2240" w:type="dxa"/>
            <w:vAlign w:val="bottom"/>
            <w:vMerge w:val="restart"/>
          </w:tcPr>
          <w:p>
            <w:pPr>
              <w:ind w:left="92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tcPr>
          <w:p>
            <w:pPr>
              <w:spacing w:after="0"/>
              <w:rPr>
                <w:sz w:val="8"/>
                <w:szCs w:val="8"/>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EXPERIENCE</w:t>
            </w:r>
          </w:p>
        </w:tc>
        <w:tc>
          <w:tcPr>
            <w:tcW w:w="20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040" w:type="dxa"/>
            <w:vAlign w:val="bottom"/>
            <w:vMerge w:val="restart"/>
          </w:tcPr>
          <w:p>
            <w:pPr>
              <w:ind w:left="440"/>
              <w:spacing w:after="0"/>
              <w:rPr>
                <w:sz w:val="20"/>
                <w:szCs w:val="20"/>
                <w:color w:val="auto"/>
              </w:rPr>
            </w:pPr>
            <w:r>
              <w:rPr>
                <w:rFonts w:ascii="Arial" w:cs="Arial" w:eastAsia="Arial" w:hAnsi="Arial"/>
                <w:sz w:val="14"/>
                <w:szCs w:val="14"/>
                <w:b w:val="1"/>
                <w:bCs w:val="1"/>
                <w:color w:val="5D6673"/>
              </w:rPr>
              <w:t>EXPERIENCE</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2000" w:type="dxa"/>
            <w:vAlign w:val="bottom"/>
            <w:vMerge w:val="restart"/>
          </w:tcPr>
          <w:p>
            <w:pPr>
              <w:ind w:left="120"/>
              <w:spacing w:after="0"/>
              <w:rPr>
                <w:sz w:val="20"/>
                <w:szCs w:val="20"/>
                <w:color w:val="auto"/>
              </w:rPr>
            </w:pPr>
            <w:r>
              <w:rPr>
                <w:rFonts w:ascii="Arial" w:cs="Arial" w:eastAsia="Arial" w:hAnsi="Arial"/>
                <w:sz w:val="14"/>
                <w:szCs w:val="14"/>
                <w:b w:val="1"/>
                <w:bCs w:val="1"/>
                <w:color w:val="5D6673"/>
              </w:rPr>
              <w:t> </w:t>
            </w: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2040" w:type="dxa"/>
            <w:vAlign w:val="bottom"/>
            <w:vMerge w:val="continue"/>
          </w:tcPr>
          <w:p>
            <w:pPr>
              <w:spacing w:after="0"/>
              <w:rPr>
                <w:sz w:val="8"/>
                <w:szCs w:val="8"/>
                <w:color w:val="auto"/>
              </w:rPr>
            </w:pPr>
          </w:p>
        </w:tc>
        <w:tc>
          <w:tcPr>
            <w:tcW w:w="2240" w:type="dxa"/>
            <w:vAlign w:val="bottom"/>
            <w:vMerge w:val="restart"/>
          </w:tcPr>
          <w:p>
            <w:pPr>
              <w:ind w:left="20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540" w:type="dxa"/>
            <w:vAlign w:val="bottom"/>
            <w:vMerge w:val="continue"/>
            <w:shd w:val="clear" w:color="auto" w:fill="DCDEE4"/>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shd w:val="clear" w:color="auto" w:fill="DCDEE4"/>
          </w:tcPr>
          <w:p>
            <w:pPr>
              <w:spacing w:after="0"/>
              <w:rPr>
                <w:sz w:val="24"/>
                <w:szCs w:val="24"/>
                <w:color w:val="auto"/>
              </w:rPr>
            </w:pPr>
          </w:p>
        </w:tc>
        <w:tc>
          <w:tcPr>
            <w:tcW w:w="1500" w:type="dxa"/>
            <w:vAlign w:val="bottom"/>
            <w:shd w:val="clear" w:color="auto" w:fill="DCDEE4"/>
          </w:tcPr>
          <w:p>
            <w:pPr>
              <w:ind w:left="80"/>
              <w:spacing w:after="0"/>
              <w:rPr>
                <w:sz w:val="20"/>
                <w:szCs w:val="20"/>
                <w:color w:val="auto"/>
              </w:rPr>
            </w:pPr>
            <w:r>
              <w:rPr>
                <w:rFonts w:ascii="Arial" w:cs="Arial" w:eastAsia="Arial" w:hAnsi="Arial"/>
                <w:sz w:val="14"/>
                <w:szCs w:val="14"/>
                <w:b w:val="1"/>
                <w:bCs w:val="1"/>
                <w:color w:val="5D6673"/>
              </w:rPr>
              <w:t>MANUFACTURING</w:t>
            </w:r>
          </w:p>
        </w:tc>
        <w:tc>
          <w:tcPr>
            <w:tcW w:w="2000" w:type="dxa"/>
            <w:vAlign w:val="bottom"/>
            <w:vMerge w:val="restart"/>
            <w:shd w:val="clear" w:color="auto" w:fill="DCDEE4"/>
          </w:tcPr>
          <w:p>
            <w:pPr>
              <w:ind w:left="820"/>
              <w:spacing w:after="0"/>
              <w:rPr>
                <w:sz w:val="20"/>
                <w:szCs w:val="20"/>
                <w:color w:val="auto"/>
              </w:rPr>
            </w:pPr>
            <w:r>
              <w:rPr>
                <w:rFonts w:ascii="Arial" w:cs="Arial" w:eastAsia="Arial" w:hAnsi="Arial"/>
                <w:sz w:val="14"/>
                <w:szCs w:val="14"/>
                <w:b w:val="1"/>
                <w:bCs w:val="1"/>
                <w:color w:val="5D6673"/>
              </w:rPr>
              <w:t>MERGERS AND</w:t>
            </w:r>
          </w:p>
        </w:tc>
        <w:tc>
          <w:tcPr>
            <w:tcW w:w="600" w:type="dxa"/>
            <w:vAlign w:val="bottom"/>
            <w:shd w:val="clear" w:color="auto" w:fill="DCDEE4"/>
          </w:tcPr>
          <w:p>
            <w:pPr>
              <w:spacing w:after="0"/>
              <w:rPr>
                <w:sz w:val="24"/>
                <w:szCs w:val="24"/>
                <w:color w:val="auto"/>
              </w:rPr>
            </w:pPr>
          </w:p>
        </w:tc>
        <w:tc>
          <w:tcPr>
            <w:tcW w:w="2040" w:type="dxa"/>
            <w:vAlign w:val="bottom"/>
            <w:shd w:val="clear" w:color="auto" w:fill="DCDEE4"/>
          </w:tcPr>
          <w:p>
            <w:pPr>
              <w:ind w:left="440"/>
              <w:spacing w:after="0"/>
              <w:rPr>
                <w:sz w:val="20"/>
                <w:szCs w:val="20"/>
                <w:color w:val="auto"/>
              </w:rPr>
            </w:pPr>
            <w:r>
              <w:rPr>
                <w:rFonts w:ascii="Arial" w:cs="Arial" w:eastAsia="Arial" w:hAnsi="Arial"/>
                <w:sz w:val="14"/>
                <w:szCs w:val="14"/>
                <w:b w:val="1"/>
                <w:bCs w:val="1"/>
                <w:color w:val="5D6673"/>
              </w:rPr>
              <w:t>MANUFACTURING</w:t>
            </w:r>
          </w:p>
        </w:tc>
        <w:tc>
          <w:tcPr>
            <w:tcW w:w="224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AND/OR SUPPLY</w:t>
            </w:r>
          </w:p>
        </w:tc>
        <w:tc>
          <w:tcPr>
            <w:tcW w:w="2000" w:type="dxa"/>
            <w:vAlign w:val="bottom"/>
            <w:vMerge w:val="continue"/>
            <w:shd w:val="clear" w:color="auto" w:fill="DCDEE4"/>
          </w:tcPr>
          <w:p>
            <w:pPr>
              <w:spacing w:after="0"/>
              <w:rPr>
                <w:sz w:val="7"/>
                <w:szCs w:val="7"/>
                <w:color w:val="auto"/>
              </w:rPr>
            </w:pPr>
          </w:p>
        </w:tc>
        <w:tc>
          <w:tcPr>
            <w:tcW w:w="600" w:type="dxa"/>
            <w:vAlign w:val="bottom"/>
            <w:shd w:val="clear" w:color="auto" w:fill="DCDEE4"/>
          </w:tcPr>
          <w:p>
            <w:pPr>
              <w:spacing w:after="0"/>
              <w:rPr>
                <w:sz w:val="7"/>
                <w:szCs w:val="7"/>
                <w:color w:val="auto"/>
              </w:rPr>
            </w:pPr>
          </w:p>
        </w:tc>
        <w:tc>
          <w:tcPr>
            <w:tcW w:w="2040" w:type="dxa"/>
            <w:vAlign w:val="bottom"/>
            <w:vMerge w:val="restart"/>
            <w:shd w:val="clear" w:color="auto" w:fill="DCDEE4"/>
          </w:tcPr>
          <w:p>
            <w:pPr>
              <w:ind w:left="440"/>
              <w:spacing w:after="0"/>
              <w:rPr>
                <w:sz w:val="20"/>
                <w:szCs w:val="20"/>
                <w:color w:val="auto"/>
              </w:rPr>
            </w:pPr>
            <w:r>
              <w:rPr>
                <w:rFonts w:ascii="Arial" w:cs="Arial" w:eastAsia="Arial" w:hAnsi="Arial"/>
                <w:sz w:val="14"/>
                <w:szCs w:val="14"/>
                <w:b w:val="1"/>
                <w:bCs w:val="1"/>
                <w:color w:val="5D6673"/>
              </w:rPr>
              <w:t>IMPROVEMENT AND</w:t>
            </w: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vMerge w:val="continue"/>
            <w:shd w:val="clear" w:color="auto" w:fill="DCDEE4"/>
          </w:tcPr>
          <w:p>
            <w:pPr>
              <w:spacing w:after="0"/>
              <w:rPr>
                <w:sz w:val="7"/>
                <w:szCs w:val="7"/>
                <w:color w:val="auto"/>
              </w:rPr>
            </w:pPr>
          </w:p>
        </w:tc>
        <w:tc>
          <w:tcPr>
            <w:tcW w:w="2000" w:type="dxa"/>
            <w:vAlign w:val="bottom"/>
            <w:vMerge w:val="restart"/>
            <w:shd w:val="clear" w:color="auto" w:fill="DCDEE4"/>
          </w:tcPr>
          <w:p>
            <w:pPr>
              <w:ind w:left="820"/>
              <w:spacing w:after="0"/>
              <w:rPr>
                <w:sz w:val="20"/>
                <w:szCs w:val="20"/>
                <w:color w:val="auto"/>
              </w:rPr>
            </w:pPr>
            <w:r>
              <w:rPr>
                <w:rFonts w:ascii="Arial" w:cs="Arial" w:eastAsia="Arial" w:hAnsi="Arial"/>
                <w:sz w:val="14"/>
                <w:szCs w:val="14"/>
                <w:b w:val="1"/>
                <w:bCs w:val="1"/>
                <w:color w:val="5D6673"/>
              </w:rPr>
              <w:t>ACQUISITIONS</w:t>
            </w:r>
          </w:p>
        </w:tc>
        <w:tc>
          <w:tcPr>
            <w:tcW w:w="600" w:type="dxa"/>
            <w:vAlign w:val="bottom"/>
            <w:shd w:val="clear" w:color="auto" w:fill="DCDEE4"/>
          </w:tcPr>
          <w:p>
            <w:pPr>
              <w:spacing w:after="0"/>
              <w:rPr>
                <w:sz w:val="7"/>
                <w:szCs w:val="7"/>
                <w:color w:val="auto"/>
              </w:rPr>
            </w:pPr>
          </w:p>
        </w:tc>
        <w:tc>
          <w:tcPr>
            <w:tcW w:w="2040" w:type="dxa"/>
            <w:vAlign w:val="bottom"/>
            <w:vMerge w:val="continue"/>
            <w:shd w:val="clear" w:color="auto" w:fill="DCDEE4"/>
          </w:tcPr>
          <w:p>
            <w:pPr>
              <w:spacing w:after="0"/>
              <w:rPr>
                <w:sz w:val="7"/>
                <w:szCs w:val="7"/>
                <w:color w:val="auto"/>
              </w:rPr>
            </w:pP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shd w:val="clear" w:color="auto" w:fill="DCDEE4"/>
          </w:tcPr>
          <w:p>
            <w:pPr>
              <w:spacing w:after="0"/>
              <w:rPr>
                <w:sz w:val="9"/>
                <w:szCs w:val="9"/>
                <w:color w:val="auto"/>
              </w:rPr>
            </w:pPr>
          </w:p>
        </w:tc>
        <w:tc>
          <w:tcPr>
            <w:tcW w:w="150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CHAIN EXPERTISE</w:t>
            </w:r>
          </w:p>
        </w:tc>
        <w:tc>
          <w:tcPr>
            <w:tcW w:w="2000" w:type="dxa"/>
            <w:vAlign w:val="bottom"/>
            <w:vMerge w:val="continue"/>
            <w:shd w:val="clear" w:color="auto" w:fill="DCDEE4"/>
          </w:tcPr>
          <w:p>
            <w:pPr>
              <w:spacing w:after="0"/>
              <w:rPr>
                <w:sz w:val="9"/>
                <w:szCs w:val="9"/>
                <w:color w:val="auto"/>
              </w:rPr>
            </w:pPr>
          </w:p>
        </w:tc>
        <w:tc>
          <w:tcPr>
            <w:tcW w:w="60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2040" w:type="dxa"/>
            <w:vAlign w:val="bottom"/>
            <w:vMerge w:val="restart"/>
            <w:shd w:val="clear" w:color="auto" w:fill="DCDEE4"/>
          </w:tcPr>
          <w:p>
            <w:pPr>
              <w:ind w:left="440"/>
              <w:spacing w:after="0"/>
              <w:rPr>
                <w:sz w:val="20"/>
                <w:szCs w:val="20"/>
                <w:color w:val="auto"/>
              </w:rPr>
            </w:pPr>
            <w:r>
              <w:rPr>
                <w:rFonts w:ascii="Arial" w:cs="Arial" w:eastAsia="Arial" w:hAnsi="Arial"/>
                <w:sz w:val="14"/>
                <w:szCs w:val="14"/>
                <w:b w:val="1"/>
                <w:bCs w:val="1"/>
                <w:color w:val="5D6673"/>
              </w:rPr>
              <w:t>PROCESSES</w:t>
            </w:r>
          </w:p>
        </w:tc>
        <w:tc>
          <w:tcPr>
            <w:tcW w:w="2240" w:type="dxa"/>
            <w:vAlign w:val="bottom"/>
            <w:shd w:val="clear" w:color="auto" w:fill="DCDEE4"/>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vMerge w:val="continue"/>
            <w:shd w:val="clear" w:color="auto" w:fill="DCDEE4"/>
          </w:tcPr>
          <w:p>
            <w:pPr>
              <w:spacing w:after="0"/>
              <w:rPr>
                <w:sz w:val="7"/>
                <w:szCs w:val="7"/>
                <w:color w:val="auto"/>
              </w:rPr>
            </w:pPr>
          </w:p>
        </w:tc>
        <w:tc>
          <w:tcPr>
            <w:tcW w:w="2000" w:type="dxa"/>
            <w:vAlign w:val="bottom"/>
            <w:vMerge w:val="restart"/>
            <w:shd w:val="clear" w:color="auto" w:fill="DCDEE4"/>
          </w:tcPr>
          <w:p>
            <w:pPr>
              <w:ind w:left="120"/>
              <w:spacing w:after="0"/>
              <w:rPr>
                <w:sz w:val="20"/>
                <w:szCs w:val="20"/>
                <w:color w:val="auto"/>
              </w:rPr>
            </w:pPr>
            <w:r>
              <w:rPr>
                <w:rFonts w:ascii="Arial" w:cs="Arial" w:eastAsia="Arial" w:hAnsi="Arial"/>
                <w:sz w:val="14"/>
                <w:szCs w:val="14"/>
                <w:b w:val="1"/>
                <w:bCs w:val="1"/>
                <w:color w:val="5D6673"/>
              </w:rPr>
              <w:t> </w:t>
            </w:r>
          </w:p>
        </w:tc>
        <w:tc>
          <w:tcPr>
            <w:tcW w:w="600" w:type="dxa"/>
            <w:vAlign w:val="bottom"/>
            <w:vMerge w:val="continue"/>
            <w:shd w:val="clear" w:color="auto" w:fill="DCDEE4"/>
          </w:tcPr>
          <w:p>
            <w:pPr>
              <w:spacing w:after="0"/>
              <w:rPr>
                <w:sz w:val="7"/>
                <w:szCs w:val="7"/>
                <w:color w:val="auto"/>
              </w:rPr>
            </w:pPr>
          </w:p>
        </w:tc>
        <w:tc>
          <w:tcPr>
            <w:tcW w:w="2040" w:type="dxa"/>
            <w:vAlign w:val="bottom"/>
            <w:vMerge w:val="continue"/>
            <w:shd w:val="clear" w:color="auto" w:fill="DCDEE4"/>
          </w:tcPr>
          <w:p>
            <w:pPr>
              <w:spacing w:after="0"/>
              <w:rPr>
                <w:sz w:val="7"/>
                <w:szCs w:val="7"/>
                <w:color w:val="auto"/>
              </w:rPr>
            </w:pP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shd w:val="clear" w:color="auto" w:fill="DCDEE4"/>
          </w:tcPr>
          <w:p>
            <w:pPr>
              <w:spacing w:after="0"/>
              <w:rPr>
                <w:sz w:val="7"/>
                <w:szCs w:val="7"/>
                <w:color w:val="auto"/>
              </w:rPr>
            </w:pPr>
          </w:p>
        </w:tc>
        <w:tc>
          <w:tcPr>
            <w:tcW w:w="2000" w:type="dxa"/>
            <w:vAlign w:val="bottom"/>
            <w:vMerge w:val="continue"/>
            <w:shd w:val="clear" w:color="auto" w:fill="DCDEE4"/>
          </w:tcPr>
          <w:p>
            <w:pPr>
              <w:spacing w:after="0"/>
              <w:rPr>
                <w:sz w:val="7"/>
                <w:szCs w:val="7"/>
                <w:color w:val="auto"/>
              </w:rPr>
            </w:pPr>
          </w:p>
        </w:tc>
        <w:tc>
          <w:tcPr>
            <w:tcW w:w="600" w:type="dxa"/>
            <w:vAlign w:val="bottom"/>
            <w:vMerge w:val="continue"/>
            <w:shd w:val="clear" w:color="auto" w:fill="DCDEE4"/>
          </w:tcPr>
          <w:p>
            <w:pPr>
              <w:spacing w:after="0"/>
              <w:rPr>
                <w:sz w:val="7"/>
                <w:szCs w:val="7"/>
                <w:color w:val="auto"/>
              </w:rPr>
            </w:pPr>
          </w:p>
        </w:tc>
        <w:tc>
          <w:tcPr>
            <w:tcW w:w="2040" w:type="dxa"/>
            <w:vAlign w:val="bottom"/>
            <w:shd w:val="clear" w:color="auto" w:fill="DCDEE4"/>
          </w:tcPr>
          <w:p>
            <w:pPr>
              <w:spacing w:after="0"/>
              <w:rPr>
                <w:sz w:val="7"/>
                <w:szCs w:val="7"/>
                <w:color w:val="auto"/>
              </w:rPr>
            </w:pP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00" w:type="dxa"/>
            <w:vAlign w:val="bottom"/>
            <w:shd w:val="clear" w:color="auto" w:fill="DCDEE4"/>
          </w:tcPr>
          <w:p>
            <w:pPr>
              <w:spacing w:after="0"/>
              <w:rPr>
                <w:sz w:val="10"/>
                <w:szCs w:val="10"/>
                <w:color w:val="auto"/>
              </w:rPr>
            </w:pPr>
          </w:p>
        </w:tc>
        <w:tc>
          <w:tcPr>
            <w:tcW w:w="1500" w:type="dxa"/>
            <w:vAlign w:val="bottom"/>
            <w:shd w:val="clear" w:color="auto" w:fill="DCDEE4"/>
          </w:tcPr>
          <w:p>
            <w:pPr>
              <w:spacing w:after="0"/>
              <w:rPr>
                <w:sz w:val="10"/>
                <w:szCs w:val="10"/>
                <w:color w:val="auto"/>
              </w:rPr>
            </w:pPr>
          </w:p>
        </w:tc>
        <w:tc>
          <w:tcPr>
            <w:tcW w:w="2000" w:type="dxa"/>
            <w:vAlign w:val="bottom"/>
            <w:shd w:val="clear" w:color="auto" w:fill="DCDEE4"/>
          </w:tcPr>
          <w:p>
            <w:pPr>
              <w:spacing w:after="0"/>
              <w:rPr>
                <w:sz w:val="10"/>
                <w:szCs w:val="10"/>
                <w:color w:val="auto"/>
              </w:rPr>
            </w:pPr>
          </w:p>
        </w:tc>
        <w:tc>
          <w:tcPr>
            <w:tcW w:w="600" w:type="dxa"/>
            <w:vAlign w:val="bottom"/>
            <w:shd w:val="clear" w:color="auto" w:fill="DCDEE4"/>
          </w:tcPr>
          <w:p>
            <w:pPr>
              <w:spacing w:after="0"/>
              <w:rPr>
                <w:sz w:val="10"/>
                <w:szCs w:val="10"/>
                <w:color w:val="auto"/>
              </w:rPr>
            </w:pPr>
          </w:p>
        </w:tc>
        <w:tc>
          <w:tcPr>
            <w:tcW w:w="2040" w:type="dxa"/>
            <w:vAlign w:val="bottom"/>
            <w:shd w:val="clear" w:color="auto" w:fill="DCDEE4"/>
          </w:tcPr>
          <w:p>
            <w:pPr>
              <w:spacing w:after="0"/>
              <w:rPr>
                <w:sz w:val="10"/>
                <w:szCs w:val="10"/>
                <w:color w:val="auto"/>
              </w:rPr>
            </w:pPr>
          </w:p>
        </w:tc>
        <w:tc>
          <w:tcPr>
            <w:tcW w:w="224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00" w:type="dxa"/>
            <w:vAlign w:val="bottom"/>
            <w:tcBorders>
              <w:bottom w:val="single" w:sz="8" w:color="D02A2E"/>
            </w:tcBorders>
          </w:tcPr>
          <w:p>
            <w:pPr>
              <w:spacing w:after="0"/>
              <w:rPr>
                <w:sz w:val="18"/>
                <w:szCs w:val="18"/>
                <w:color w:val="auto"/>
              </w:rPr>
            </w:pPr>
          </w:p>
        </w:tc>
        <w:tc>
          <w:tcPr>
            <w:tcW w:w="1500" w:type="dxa"/>
            <w:vAlign w:val="bottom"/>
            <w:tcBorders>
              <w:bottom w:val="single" w:sz="8" w:color="D02A2E"/>
            </w:tcBorders>
          </w:tcPr>
          <w:p>
            <w:pPr>
              <w:spacing w:after="0"/>
              <w:rPr>
                <w:sz w:val="18"/>
                <w:szCs w:val="18"/>
                <w:color w:val="auto"/>
              </w:rPr>
            </w:pPr>
          </w:p>
        </w:tc>
        <w:tc>
          <w:tcPr>
            <w:tcW w:w="2000" w:type="dxa"/>
            <w:vAlign w:val="bottom"/>
            <w:tcBorders>
              <w:bottom w:val="single" w:sz="8" w:color="D02A2E"/>
            </w:tcBorders>
          </w:tcPr>
          <w:p>
            <w:pPr>
              <w:spacing w:after="0"/>
              <w:rPr>
                <w:sz w:val="18"/>
                <w:szCs w:val="18"/>
                <w:color w:val="auto"/>
              </w:rPr>
            </w:pPr>
          </w:p>
        </w:tc>
        <w:tc>
          <w:tcPr>
            <w:tcW w:w="600" w:type="dxa"/>
            <w:vAlign w:val="bottom"/>
            <w:tcBorders>
              <w:bottom w:val="single" w:sz="8" w:color="D02A2E"/>
            </w:tcBorders>
          </w:tcPr>
          <w:p>
            <w:pPr>
              <w:spacing w:after="0"/>
              <w:rPr>
                <w:sz w:val="18"/>
                <w:szCs w:val="18"/>
                <w:color w:val="auto"/>
              </w:rPr>
            </w:pPr>
          </w:p>
        </w:tc>
        <w:tc>
          <w:tcPr>
            <w:tcW w:w="2040" w:type="dxa"/>
            <w:vAlign w:val="bottom"/>
            <w:tcBorders>
              <w:bottom w:val="single" w:sz="8" w:color="D02A2E"/>
            </w:tcBorders>
          </w:tcPr>
          <w:p>
            <w:pPr>
              <w:spacing w:after="0"/>
              <w:rPr>
                <w:sz w:val="18"/>
                <w:szCs w:val="18"/>
                <w:color w:val="auto"/>
              </w:rPr>
            </w:pPr>
          </w:p>
        </w:tc>
        <w:tc>
          <w:tcPr>
            <w:tcW w:w="224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588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82930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Current Class 2 Directors – Term That Will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1757680" cy="4337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57680" cy="433768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59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2019</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No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color w:val="5D6673"/>
        </w:rPr>
        <w:t>OTHER CURRENT PUBLIC DIRECTORSHIPS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ON Semiconductor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Thomas L. Deitrich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President and CEO of Itron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7" w:lineRule="auto"/>
        <w:rPr>
          <w:sz w:val="20"/>
          <w:szCs w:val="20"/>
          <w:color w:val="auto"/>
        </w:rPr>
      </w:pPr>
      <w:r>
        <w:rPr>
          <w:rFonts w:ascii="Arial" w:cs="Arial" w:eastAsia="Arial" w:hAnsi="Arial"/>
          <w:sz w:val="18"/>
          <w:szCs w:val="18"/>
          <w:b w:val="1"/>
          <w:bCs w:val="1"/>
          <w:color w:val="D02A2E"/>
        </w:rPr>
        <w:t>QUALIFICATIONS</w:t>
      </w:r>
      <w:r>
        <w:rPr>
          <w:rFonts w:ascii="Arial" w:cs="Arial" w:eastAsia="Arial" w:hAnsi="Arial"/>
          <w:sz w:val="32"/>
          <w:szCs w:val="32"/>
          <w:color w:val="000000"/>
          <w:vertAlign w:val="subscript"/>
        </w:rPr>
        <w:t xml:space="preserve"> </w:t>
      </w:r>
      <w:r>
        <w:rPr>
          <w:rFonts w:ascii="Arial" w:cs="Arial" w:eastAsia="Arial" w:hAnsi="Arial"/>
          <w:sz w:val="18"/>
          <w:szCs w:val="18"/>
          <w:b w:val="1"/>
          <w:bCs w:val="1"/>
          <w:color w:val="D02A2E"/>
        </w:rPr>
        <w:t xml:space="preserve"> AND SKILLS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Enriches the board with more than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 years of executive experience in the global technology industry and informed</w:t>
      </w:r>
    </w:p>
    <w:p>
      <w:pPr>
        <w:spacing w:after="0" w:line="182" w:lineRule="auto"/>
        <w:rPr>
          <w:sz w:val="20"/>
          <w:szCs w:val="20"/>
          <w:color w:val="auto"/>
        </w:rPr>
      </w:pPr>
      <w:r>
        <w:rPr>
          <w:rFonts w:ascii="Arial" w:cs="Arial" w:eastAsia="Arial" w:hAnsi="Arial"/>
          <w:sz w:val="16"/>
          <w:szCs w:val="16"/>
          <w:color w:val="auto"/>
        </w:rPr>
        <w:t>perspective as CEO of Itron</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As CEO, brings crucial utility insights into Itron’s global</w:t>
      </w:r>
    </w:p>
    <w:p>
      <w:pPr>
        <w:spacing w:after="0" w:line="182" w:lineRule="auto"/>
        <w:rPr>
          <w:sz w:val="20"/>
          <w:szCs w:val="20"/>
          <w:color w:val="auto"/>
        </w:rPr>
      </w:pPr>
      <w:r>
        <w:rPr>
          <w:rFonts w:ascii="Arial" w:cs="Arial" w:eastAsia="Arial" w:hAnsi="Arial"/>
          <w:sz w:val="16"/>
          <w:szCs w:val="16"/>
          <w:color w:val="auto"/>
        </w:rPr>
        <w:t>operations, finances and product development from a management view</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80"/>
        <w:spacing w:after="0" w:line="223" w:lineRule="auto"/>
        <w:rPr>
          <w:sz w:val="20"/>
          <w:szCs w:val="20"/>
          <w:color w:val="auto"/>
        </w:rPr>
      </w:pPr>
      <w:r>
        <w:rPr>
          <w:rFonts w:ascii="Arial" w:cs="Arial" w:eastAsia="Arial" w:hAnsi="Arial"/>
          <w:sz w:val="16"/>
          <w:szCs w:val="16"/>
          <w:b w:val="1"/>
          <w:bCs w:val="1"/>
          <w:color w:val="auto"/>
        </w:rPr>
        <w:t xml:space="preserve">MANUFACTURING AND/OR SUPPLY CHAIN EXPERIENCE: </w:t>
      </w:r>
      <w:r>
        <w:rPr>
          <w:rFonts w:ascii="Arial" w:cs="Arial" w:eastAsia="Arial" w:hAnsi="Arial"/>
          <w:sz w:val="16"/>
          <w:szCs w:val="16"/>
          <w:color w:val="auto"/>
        </w:rPr>
        <w:t>Leverages</w:t>
      </w:r>
      <w:r>
        <w:rPr>
          <w:rFonts w:ascii="Arial" w:cs="Arial" w:eastAsia="Arial" w:hAnsi="Arial"/>
          <w:sz w:val="16"/>
          <w:szCs w:val="16"/>
          <w:b w:val="1"/>
          <w:bCs w:val="1"/>
          <w:color w:val="auto"/>
        </w:rPr>
        <w:t xml:space="preserve"> </w:t>
      </w:r>
      <w:r>
        <w:rPr>
          <w:rFonts w:ascii="Arial" w:cs="Arial" w:eastAsia="Arial" w:hAnsi="Arial"/>
          <w:sz w:val="16"/>
          <w:szCs w:val="16"/>
          <w:color w:val="auto"/>
        </w:rPr>
        <w:t>extensive expertise in manufacturing and supply chain management in technology and machinery industries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Offers a rich executive background in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with roles in business development and product research, development and manufacturing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5" w:lineRule="exact"/>
        <w:rPr>
          <w:sz w:val="20"/>
          <w:szCs w:val="20"/>
          <w:color w:val="auto"/>
        </w:rPr>
      </w:pPr>
    </w:p>
    <w:p>
      <w:pPr>
        <w:ind w:left="160" w:right="66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Technology industry executive with extensive experience in industrial IoT,</w:t>
      </w:r>
      <w:r>
        <w:rPr>
          <w:rFonts w:ascii="Arial" w:cs="Arial" w:eastAsia="Arial" w:hAnsi="Arial"/>
          <w:sz w:val="16"/>
          <w:szCs w:val="16"/>
          <w:color w:val="D02A2E"/>
        </w:rPr>
        <w:t xml:space="preserve"> </w:t>
      </w:r>
      <w:r>
        <w:rPr>
          <w:rFonts w:ascii="Arial" w:cs="Arial" w:eastAsia="Arial" w:hAnsi="Arial"/>
          <w:sz w:val="16"/>
          <w:szCs w:val="16"/>
          <w:color w:val="000000"/>
        </w:rPr>
        <w:t>networking and smart utility management</w:t>
      </w:r>
    </w:p>
    <w:p>
      <w:pPr>
        <w:spacing w:after="0" w:line="34" w:lineRule="exact"/>
        <w:rPr>
          <w:sz w:val="20"/>
          <w:szCs w:val="20"/>
          <w:color w:val="auto"/>
        </w:rPr>
      </w:pPr>
    </w:p>
    <w:p>
      <w:pPr>
        <w:ind w:left="160" w:right="480" w:hanging="170"/>
        <w:spacing w:after="0" w:line="26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Expertise in product management, research and development, supply chain</w:t>
      </w:r>
      <w:r>
        <w:rPr>
          <w:rFonts w:ascii="Arial" w:cs="Arial" w:eastAsia="Arial" w:hAnsi="Arial"/>
          <w:sz w:val="16"/>
          <w:szCs w:val="16"/>
          <w:color w:val="D02A2E"/>
        </w:rPr>
        <w:t xml:space="preserve"> </w:t>
      </w:r>
      <w:r>
        <w:rPr>
          <w:rFonts w:ascii="Arial" w:cs="Arial" w:eastAsia="Arial" w:hAnsi="Arial"/>
          <w:sz w:val="16"/>
          <w:szCs w:val="16"/>
          <w:color w:val="000000"/>
        </w:rPr>
        <w:t>management and business development in several industries, including industrial equipment, telecommunications and semiconductors</w:t>
      </w:r>
    </w:p>
    <w:p>
      <w:pPr>
        <w:spacing w:after="0" w:line="50" w:lineRule="exact"/>
        <w:rPr>
          <w:sz w:val="20"/>
          <w:szCs w:val="20"/>
          <w:color w:val="auto"/>
        </w:rPr>
      </w:pPr>
    </w:p>
    <w:p>
      <w:pPr>
        <w:ind w:left="160" w:right="120" w:hanging="170"/>
        <w:spacing w:after="0" w:line="254"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Mr. Deitrich has served as director of ON Semiconductor Corporation since 2020</w:t>
      </w:r>
      <w:r>
        <w:rPr>
          <w:rFonts w:ascii="Arial" w:cs="Arial" w:eastAsia="Arial" w:hAnsi="Arial"/>
          <w:sz w:val="16"/>
          <w:szCs w:val="16"/>
          <w:color w:val="D02A2E"/>
        </w:rPr>
        <w:t xml:space="preserve"> </w:t>
      </w:r>
      <w:r>
        <w:rPr>
          <w:rFonts w:ascii="Arial" w:cs="Arial" w:eastAsia="Arial" w:hAnsi="Arial"/>
          <w:sz w:val="16"/>
          <w:szCs w:val="16"/>
          <w:color w:val="000000"/>
        </w:rPr>
        <w:t>and has been appointed as chair of its Board, which is expected to become effective after its 2026 annual meeting, assuming his renomination and reelection. The Nominating and Corporate Governance Committee has carefully considered this commitment and determined that it will not impact Mr. Deitrich’s ability to effectively perform his duties as director or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124460</wp:posOffset>
            </wp:positionV>
            <wp:extent cx="5829300" cy="1937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9300" cy="1937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20" w:type="dxa"/>
            <w:vAlign w:val="bottom"/>
          </w:tcPr>
          <w:p>
            <w:pPr>
              <w:spacing w:after="0"/>
              <w:rPr>
                <w:sz w:val="24"/>
                <w:szCs w:val="24"/>
                <w:color w:val="auto"/>
              </w:rPr>
            </w:pPr>
          </w:p>
        </w:tc>
        <w:tc>
          <w:tcPr>
            <w:tcW w:w="620" w:type="dxa"/>
            <w:vAlign w:val="bottom"/>
            <w:shd w:val="clear" w:color="auto" w:fill="DCDEE4"/>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5D6673"/>
              </w:rPr>
              <w:t>EXECUTIVE</w:t>
            </w:r>
          </w:p>
        </w:tc>
        <w:tc>
          <w:tcPr>
            <w:tcW w:w="460" w:type="dxa"/>
            <w:vAlign w:val="bottom"/>
          </w:tcPr>
          <w:p>
            <w:pPr>
              <w:spacing w:after="0"/>
              <w:rPr>
                <w:sz w:val="24"/>
                <w:szCs w:val="24"/>
                <w:color w:val="auto"/>
              </w:rPr>
            </w:pPr>
          </w:p>
        </w:tc>
        <w:tc>
          <w:tcPr>
            <w:tcW w:w="180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FINANCIAL</w:t>
            </w:r>
          </w:p>
        </w:tc>
        <w:tc>
          <w:tcPr>
            <w:tcW w:w="240" w:type="dxa"/>
            <w:vAlign w:val="bottom"/>
          </w:tcPr>
          <w:p>
            <w:pPr>
              <w:spacing w:after="0"/>
              <w:rPr>
                <w:sz w:val="24"/>
                <w:szCs w:val="24"/>
                <w:color w:val="auto"/>
              </w:rPr>
            </w:pPr>
          </w:p>
        </w:tc>
        <w:tc>
          <w:tcPr>
            <w:tcW w:w="2200" w:type="dxa"/>
            <w:vAlign w:val="bottom"/>
          </w:tcPr>
          <w:p>
            <w:pPr>
              <w:ind w:left="660"/>
              <w:spacing w:after="0"/>
              <w:rPr>
                <w:sz w:val="20"/>
                <w:szCs w:val="20"/>
                <w:color w:val="auto"/>
              </w:rPr>
            </w:pPr>
            <w:r>
              <w:rPr>
                <w:rFonts w:ascii="Arial" w:cs="Arial" w:eastAsia="Arial" w:hAnsi="Arial"/>
                <w:sz w:val="14"/>
                <w:szCs w:val="14"/>
                <w:b w:val="1"/>
                <w:bCs w:val="1"/>
                <w:color w:val="5D6673"/>
              </w:rPr>
              <w:t>PUBLIC BOARD</w:t>
            </w:r>
          </w:p>
        </w:tc>
        <w:tc>
          <w:tcPr>
            <w:tcW w:w="2460" w:type="dxa"/>
            <w:vAlign w:val="bottom"/>
            <w:vMerge w:val="restart"/>
          </w:tcPr>
          <w:p>
            <w:pPr>
              <w:ind w:left="900"/>
              <w:spacing w:after="0"/>
              <w:rPr>
                <w:sz w:val="20"/>
                <w:szCs w:val="20"/>
                <w:color w:val="auto"/>
              </w:rPr>
            </w:pPr>
            <w:r>
              <w:rPr>
                <w:rFonts w:ascii="Arial" w:cs="Arial" w:eastAsia="Arial" w:hAnsi="Arial"/>
                <w:sz w:val="14"/>
                <w:szCs w:val="14"/>
                <w:b w:val="1"/>
                <w:bCs w:val="1"/>
                <w:color w:val="5D6673"/>
              </w:rPr>
              <w:t>INDUSTRY</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62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4"/>
                <w:szCs w:val="14"/>
                <w:b w:val="1"/>
                <w:bCs w:val="1"/>
                <w:color w:val="5D6673"/>
              </w:rPr>
              <w:t>LEADERSHIP</w:t>
            </w:r>
          </w:p>
        </w:tc>
        <w:tc>
          <w:tcPr>
            <w:tcW w:w="46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200" w:type="dxa"/>
            <w:vAlign w:val="bottom"/>
            <w:vMerge w:val="restart"/>
          </w:tcPr>
          <w:p>
            <w:pPr>
              <w:ind w:left="660"/>
              <w:spacing w:after="0"/>
              <w:rPr>
                <w:sz w:val="20"/>
                <w:szCs w:val="20"/>
                <w:color w:val="auto"/>
              </w:rPr>
            </w:pPr>
            <w:r>
              <w:rPr>
                <w:rFonts w:ascii="Arial" w:cs="Arial" w:eastAsia="Arial" w:hAnsi="Arial"/>
                <w:sz w:val="14"/>
                <w:szCs w:val="14"/>
                <w:b w:val="1"/>
                <w:bCs w:val="1"/>
                <w:color w:val="5D6673"/>
              </w:rPr>
              <w:t>AND GOVERNANCE</w:t>
            </w: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62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80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LITERACY/CFO</w:t>
            </w:r>
          </w:p>
        </w:tc>
        <w:tc>
          <w:tcPr>
            <w:tcW w:w="24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2460" w:type="dxa"/>
            <w:vAlign w:val="bottom"/>
            <w:vMerge w:val="restart"/>
          </w:tcPr>
          <w:p>
            <w:pPr>
              <w:ind w:left="900"/>
              <w:spacing w:after="0"/>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62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4"/>
                <w:szCs w:val="14"/>
                <w:b w:val="1"/>
                <w:bCs w:val="1"/>
                <w:color w:val="5D6673"/>
              </w:rPr>
              <w:t>EXPERIENCE</w:t>
            </w:r>
          </w:p>
        </w:tc>
        <w:tc>
          <w:tcPr>
            <w:tcW w:w="46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200" w:type="dxa"/>
            <w:vAlign w:val="bottom"/>
            <w:vMerge w:val="restart"/>
          </w:tcPr>
          <w:p>
            <w:pPr>
              <w:ind w:left="660"/>
              <w:spacing w:after="0"/>
              <w:rPr>
                <w:sz w:val="20"/>
                <w:szCs w:val="20"/>
                <w:color w:val="auto"/>
              </w:rPr>
            </w:pPr>
            <w:r>
              <w:rPr>
                <w:rFonts w:ascii="Arial" w:cs="Arial" w:eastAsia="Arial" w:hAnsi="Arial"/>
                <w:sz w:val="14"/>
                <w:szCs w:val="14"/>
                <w:b w:val="1"/>
                <w:bCs w:val="1"/>
                <w:color w:val="5D6673"/>
              </w:rPr>
              <w:t>EXPERIENCE</w:t>
            </w: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 </w:t>
            </w: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46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1800" w:type="dxa"/>
            <w:vAlign w:val="bottom"/>
          </w:tcPr>
          <w:p>
            <w:pPr>
              <w:spacing w:after="0"/>
              <w:rPr>
                <w:sz w:val="10"/>
                <w:szCs w:val="10"/>
                <w:color w:val="auto"/>
              </w:rPr>
            </w:pPr>
          </w:p>
        </w:tc>
        <w:tc>
          <w:tcPr>
            <w:tcW w:w="240" w:type="dxa"/>
            <w:vAlign w:val="bottom"/>
            <w:vMerge w:val="restart"/>
          </w:tcPr>
          <w:p>
            <w:pPr>
              <w:ind w:left="180"/>
              <w:spacing w:after="0"/>
              <w:rPr>
                <w:sz w:val="20"/>
                <w:szCs w:val="20"/>
                <w:color w:val="auto"/>
              </w:rPr>
            </w:pPr>
            <w:r>
              <w:rPr>
                <w:rFonts w:ascii="Arial" w:cs="Arial" w:eastAsia="Arial" w:hAnsi="Arial"/>
                <w:sz w:val="14"/>
                <w:szCs w:val="14"/>
                <w:b w:val="1"/>
                <w:bCs w:val="1"/>
                <w:color w:val="5D6673"/>
              </w:rPr>
              <w:t> </w:t>
            </w:r>
          </w:p>
        </w:tc>
        <w:tc>
          <w:tcPr>
            <w:tcW w:w="2200" w:type="dxa"/>
            <w:vAlign w:val="bottom"/>
            <w:vMerge w:val="continue"/>
          </w:tcPr>
          <w:p>
            <w:pPr>
              <w:spacing w:after="0"/>
              <w:rPr>
                <w:sz w:val="10"/>
                <w:szCs w:val="10"/>
                <w:color w:val="auto"/>
              </w:rPr>
            </w:pPr>
          </w:p>
        </w:tc>
        <w:tc>
          <w:tcPr>
            <w:tcW w:w="2460" w:type="dxa"/>
            <w:vAlign w:val="bottom"/>
            <w:vMerge w:val="restart"/>
          </w:tcPr>
          <w:p>
            <w:pPr>
              <w:ind w:left="14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620" w:type="dxa"/>
            <w:vAlign w:val="bottom"/>
            <w:vMerge w:val="continue"/>
            <w:shd w:val="clear" w:color="auto" w:fill="DCDEE4"/>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120" w:type="dxa"/>
            <w:vAlign w:val="bottom"/>
          </w:tcPr>
          <w:p>
            <w:pPr>
              <w:spacing w:after="0"/>
              <w:rPr>
                <w:sz w:val="24"/>
                <w:szCs w:val="24"/>
                <w:color w:val="auto"/>
              </w:rPr>
            </w:pPr>
          </w:p>
        </w:tc>
        <w:tc>
          <w:tcPr>
            <w:tcW w:w="62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14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GLOBAL</w:t>
            </w:r>
          </w:p>
        </w:tc>
        <w:tc>
          <w:tcPr>
            <w:tcW w:w="460" w:type="dxa"/>
            <w:vAlign w:val="bottom"/>
            <w:shd w:val="clear" w:color="auto" w:fill="DCDEE4"/>
          </w:tcPr>
          <w:p>
            <w:pPr>
              <w:spacing w:after="0"/>
              <w:rPr>
                <w:sz w:val="24"/>
                <w:szCs w:val="24"/>
                <w:color w:val="auto"/>
              </w:rPr>
            </w:pPr>
          </w:p>
        </w:tc>
        <w:tc>
          <w:tcPr>
            <w:tcW w:w="1800" w:type="dxa"/>
            <w:vAlign w:val="bottom"/>
            <w:shd w:val="clear" w:color="auto" w:fill="DCDEE4"/>
          </w:tcPr>
          <w:p>
            <w:pPr>
              <w:ind w:left="300"/>
              <w:spacing w:after="0"/>
              <w:rPr>
                <w:sz w:val="20"/>
                <w:szCs w:val="20"/>
                <w:color w:val="auto"/>
              </w:rPr>
            </w:pPr>
            <w:r>
              <w:rPr>
                <w:rFonts w:ascii="Arial" w:cs="Arial" w:eastAsia="Arial" w:hAnsi="Arial"/>
                <w:sz w:val="14"/>
                <w:szCs w:val="14"/>
                <w:b w:val="1"/>
                <w:bCs w:val="1"/>
                <w:color w:val="5D6673"/>
              </w:rPr>
              <w:t>MANUFACTURING</w:t>
            </w:r>
          </w:p>
        </w:tc>
        <w:tc>
          <w:tcPr>
            <w:tcW w:w="240" w:type="dxa"/>
            <w:vAlign w:val="bottom"/>
            <w:shd w:val="clear" w:color="auto" w:fill="DCDEE4"/>
          </w:tcPr>
          <w:p>
            <w:pPr>
              <w:spacing w:after="0"/>
              <w:rPr>
                <w:sz w:val="24"/>
                <w:szCs w:val="24"/>
                <w:color w:val="auto"/>
              </w:rPr>
            </w:pPr>
          </w:p>
        </w:tc>
        <w:tc>
          <w:tcPr>
            <w:tcW w:w="2200" w:type="dxa"/>
            <w:vAlign w:val="bottom"/>
            <w:vMerge w:val="restart"/>
            <w:shd w:val="clear" w:color="auto" w:fill="DCDEE4"/>
          </w:tcPr>
          <w:p>
            <w:pPr>
              <w:ind w:left="660"/>
              <w:spacing w:after="0"/>
              <w:rPr>
                <w:sz w:val="20"/>
                <w:szCs w:val="20"/>
                <w:color w:val="auto"/>
              </w:rPr>
            </w:pPr>
            <w:r>
              <w:rPr>
                <w:rFonts w:ascii="Arial" w:cs="Arial" w:eastAsia="Arial" w:hAnsi="Arial"/>
                <w:sz w:val="14"/>
                <w:szCs w:val="14"/>
                <w:b w:val="1"/>
                <w:bCs w:val="1"/>
                <w:color w:val="5D6673"/>
              </w:rPr>
              <w:t>PRODUCT</w:t>
            </w:r>
          </w:p>
        </w:tc>
        <w:tc>
          <w:tcPr>
            <w:tcW w:w="2460" w:type="dxa"/>
            <w:vAlign w:val="bottom"/>
            <w:vMerge w:val="restart"/>
            <w:shd w:val="clear" w:color="auto" w:fill="DCDEE4"/>
          </w:tcPr>
          <w:p>
            <w:pPr>
              <w:ind w:left="900"/>
              <w:spacing w:after="0"/>
              <w:rPr>
                <w:sz w:val="20"/>
                <w:szCs w:val="20"/>
                <w:color w:val="auto"/>
              </w:rPr>
            </w:pPr>
            <w:r>
              <w:rPr>
                <w:rFonts w:ascii="Arial" w:cs="Arial" w:eastAsia="Arial" w:hAnsi="Arial"/>
                <w:sz w:val="14"/>
                <w:szCs w:val="14"/>
                <w:b w:val="1"/>
                <w:bCs w:val="1"/>
                <w:color w:val="5D6673"/>
              </w:rPr>
              <w:t>MARKETING/SALES</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62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140" w:type="dxa"/>
            <w:vAlign w:val="bottom"/>
            <w:vMerge w:val="continue"/>
            <w:shd w:val="clear" w:color="auto" w:fill="DCDEE4"/>
          </w:tcPr>
          <w:p>
            <w:pPr>
              <w:spacing w:after="0"/>
              <w:rPr>
                <w:sz w:val="7"/>
                <w:szCs w:val="7"/>
                <w:color w:val="auto"/>
              </w:rPr>
            </w:pPr>
          </w:p>
        </w:tc>
        <w:tc>
          <w:tcPr>
            <w:tcW w:w="460" w:type="dxa"/>
            <w:vAlign w:val="bottom"/>
            <w:shd w:val="clear" w:color="auto" w:fill="DCDEE4"/>
          </w:tcPr>
          <w:p>
            <w:pPr>
              <w:spacing w:after="0"/>
              <w:rPr>
                <w:sz w:val="7"/>
                <w:szCs w:val="7"/>
                <w:color w:val="auto"/>
              </w:rPr>
            </w:pPr>
          </w:p>
        </w:tc>
        <w:tc>
          <w:tcPr>
            <w:tcW w:w="180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AND/OR SUPPLY</w:t>
            </w:r>
          </w:p>
        </w:tc>
        <w:tc>
          <w:tcPr>
            <w:tcW w:w="240" w:type="dxa"/>
            <w:vAlign w:val="bottom"/>
            <w:shd w:val="clear" w:color="auto" w:fill="DCDEE4"/>
          </w:tcPr>
          <w:p>
            <w:pPr>
              <w:spacing w:after="0"/>
              <w:rPr>
                <w:sz w:val="7"/>
                <w:szCs w:val="7"/>
                <w:color w:val="auto"/>
              </w:rPr>
            </w:pPr>
          </w:p>
        </w:tc>
        <w:tc>
          <w:tcPr>
            <w:tcW w:w="2200" w:type="dxa"/>
            <w:vAlign w:val="bottom"/>
            <w:vMerge w:val="continue"/>
            <w:shd w:val="clear" w:color="auto" w:fill="DCDEE4"/>
          </w:tcPr>
          <w:p>
            <w:pPr>
              <w:spacing w:after="0"/>
              <w:rPr>
                <w:sz w:val="7"/>
                <w:szCs w:val="7"/>
                <w:color w:val="auto"/>
              </w:rPr>
            </w:pPr>
          </w:p>
        </w:tc>
        <w:tc>
          <w:tcPr>
            <w:tcW w:w="246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62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14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EXPERIENCE</w:t>
            </w:r>
          </w:p>
        </w:tc>
        <w:tc>
          <w:tcPr>
            <w:tcW w:w="460" w:type="dxa"/>
            <w:vAlign w:val="bottom"/>
            <w:shd w:val="clear" w:color="auto" w:fill="DCDEE4"/>
          </w:tcPr>
          <w:p>
            <w:pPr>
              <w:spacing w:after="0"/>
              <w:rPr>
                <w:sz w:val="7"/>
                <w:szCs w:val="7"/>
                <w:color w:val="auto"/>
              </w:rPr>
            </w:pPr>
          </w:p>
        </w:tc>
        <w:tc>
          <w:tcPr>
            <w:tcW w:w="1800" w:type="dxa"/>
            <w:vAlign w:val="bottom"/>
            <w:vMerge w:val="continue"/>
            <w:shd w:val="clear" w:color="auto" w:fill="DCDEE4"/>
          </w:tcPr>
          <w:p>
            <w:pPr>
              <w:spacing w:after="0"/>
              <w:rPr>
                <w:sz w:val="7"/>
                <w:szCs w:val="7"/>
                <w:color w:val="auto"/>
              </w:rPr>
            </w:pPr>
          </w:p>
        </w:tc>
        <w:tc>
          <w:tcPr>
            <w:tcW w:w="240" w:type="dxa"/>
            <w:vAlign w:val="bottom"/>
            <w:shd w:val="clear" w:color="auto" w:fill="DCDEE4"/>
          </w:tcPr>
          <w:p>
            <w:pPr>
              <w:spacing w:after="0"/>
              <w:rPr>
                <w:sz w:val="7"/>
                <w:szCs w:val="7"/>
                <w:color w:val="auto"/>
              </w:rPr>
            </w:pPr>
          </w:p>
        </w:tc>
        <w:tc>
          <w:tcPr>
            <w:tcW w:w="2200" w:type="dxa"/>
            <w:vAlign w:val="bottom"/>
            <w:vMerge w:val="restart"/>
            <w:shd w:val="clear" w:color="auto" w:fill="DCDEE4"/>
          </w:tcPr>
          <w:p>
            <w:pPr>
              <w:ind w:left="660"/>
              <w:spacing w:after="0"/>
              <w:rPr>
                <w:sz w:val="20"/>
                <w:szCs w:val="20"/>
                <w:color w:val="auto"/>
              </w:rPr>
            </w:pPr>
            <w:r>
              <w:rPr>
                <w:rFonts w:ascii="Arial" w:cs="Arial" w:eastAsia="Arial" w:hAnsi="Arial"/>
                <w:sz w:val="14"/>
                <w:szCs w:val="14"/>
                <w:b w:val="1"/>
                <w:bCs w:val="1"/>
                <w:color w:val="5D6673"/>
              </w:rPr>
              <w:t>TECHNOLOGY</w:t>
            </w:r>
          </w:p>
        </w:tc>
        <w:tc>
          <w:tcPr>
            <w:tcW w:w="2460" w:type="dxa"/>
            <w:vAlign w:val="bottom"/>
            <w:vMerge w:val="restart"/>
            <w:shd w:val="clear" w:color="auto" w:fill="DCDEE4"/>
          </w:tcPr>
          <w:p>
            <w:pPr>
              <w:ind w:left="900"/>
              <w:spacing w:after="0"/>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10"/>
                <w:szCs w:val="10"/>
                <w:color w:val="auto"/>
              </w:rPr>
            </w:pPr>
          </w:p>
        </w:tc>
        <w:tc>
          <w:tcPr>
            <w:tcW w:w="1140" w:type="dxa"/>
            <w:vAlign w:val="bottom"/>
            <w:vMerge w:val="continue"/>
            <w:shd w:val="clear" w:color="auto" w:fill="DCDEE4"/>
          </w:tcPr>
          <w:p>
            <w:pPr>
              <w:spacing w:after="0"/>
              <w:rPr>
                <w:sz w:val="10"/>
                <w:szCs w:val="10"/>
                <w:color w:val="auto"/>
              </w:rPr>
            </w:pPr>
          </w:p>
        </w:tc>
        <w:tc>
          <w:tcPr>
            <w:tcW w:w="46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80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CHAIN EXPERTISE</w:t>
            </w:r>
          </w:p>
        </w:tc>
        <w:tc>
          <w:tcPr>
            <w:tcW w:w="240" w:type="dxa"/>
            <w:vAlign w:val="bottom"/>
            <w:shd w:val="clear" w:color="auto" w:fill="DCDEE4"/>
          </w:tcPr>
          <w:p>
            <w:pPr>
              <w:spacing w:after="0"/>
              <w:rPr>
                <w:sz w:val="10"/>
                <w:szCs w:val="10"/>
                <w:color w:val="auto"/>
              </w:rPr>
            </w:pPr>
          </w:p>
        </w:tc>
        <w:tc>
          <w:tcPr>
            <w:tcW w:w="2200" w:type="dxa"/>
            <w:vAlign w:val="bottom"/>
            <w:vMerge w:val="continue"/>
            <w:shd w:val="clear" w:color="auto" w:fill="DCDEE4"/>
          </w:tcPr>
          <w:p>
            <w:pPr>
              <w:spacing w:after="0"/>
              <w:rPr>
                <w:sz w:val="10"/>
                <w:szCs w:val="10"/>
                <w:color w:val="auto"/>
              </w:rPr>
            </w:pPr>
          </w:p>
        </w:tc>
        <w:tc>
          <w:tcPr>
            <w:tcW w:w="2460" w:type="dxa"/>
            <w:vAlign w:val="bottom"/>
            <w:vMerge w:val="continue"/>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620" w:type="dxa"/>
            <w:vAlign w:val="bottom"/>
            <w:vMerge w:val="continue"/>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140" w:type="dxa"/>
            <w:vAlign w:val="bottom"/>
            <w:shd w:val="clear" w:color="auto" w:fill="DCDEE4"/>
          </w:tcPr>
          <w:p>
            <w:pPr>
              <w:spacing w:after="0"/>
              <w:rPr>
                <w:sz w:val="7"/>
                <w:szCs w:val="7"/>
                <w:color w:val="auto"/>
              </w:rPr>
            </w:pPr>
          </w:p>
        </w:tc>
        <w:tc>
          <w:tcPr>
            <w:tcW w:w="460" w:type="dxa"/>
            <w:vAlign w:val="bottom"/>
            <w:vMerge w:val="continue"/>
            <w:shd w:val="clear" w:color="auto" w:fill="DCDEE4"/>
          </w:tcPr>
          <w:p>
            <w:pPr>
              <w:spacing w:after="0"/>
              <w:rPr>
                <w:sz w:val="7"/>
                <w:szCs w:val="7"/>
                <w:color w:val="auto"/>
              </w:rPr>
            </w:pPr>
          </w:p>
        </w:tc>
        <w:tc>
          <w:tcPr>
            <w:tcW w:w="1800" w:type="dxa"/>
            <w:vAlign w:val="bottom"/>
            <w:vMerge w:val="continue"/>
            <w:shd w:val="clear" w:color="auto" w:fill="DCDEE4"/>
          </w:tcPr>
          <w:p>
            <w:pPr>
              <w:spacing w:after="0"/>
              <w:rPr>
                <w:sz w:val="7"/>
                <w:szCs w:val="7"/>
                <w:color w:val="auto"/>
              </w:rPr>
            </w:pPr>
          </w:p>
        </w:tc>
        <w:tc>
          <w:tcPr>
            <w:tcW w:w="240" w:type="dxa"/>
            <w:vAlign w:val="bottom"/>
            <w:shd w:val="clear" w:color="auto" w:fill="DCDEE4"/>
          </w:tcPr>
          <w:p>
            <w:pPr>
              <w:spacing w:after="0"/>
              <w:rPr>
                <w:sz w:val="7"/>
                <w:szCs w:val="7"/>
                <w:color w:val="auto"/>
              </w:rPr>
            </w:pPr>
          </w:p>
        </w:tc>
        <w:tc>
          <w:tcPr>
            <w:tcW w:w="2200" w:type="dxa"/>
            <w:vAlign w:val="bottom"/>
            <w:vMerge w:val="restart"/>
            <w:shd w:val="clear" w:color="auto" w:fill="DCDEE4"/>
          </w:tcPr>
          <w:p>
            <w:pPr>
              <w:ind w:left="20"/>
              <w:spacing w:after="0"/>
              <w:rPr>
                <w:sz w:val="20"/>
                <w:szCs w:val="20"/>
                <w:color w:val="auto"/>
              </w:rPr>
            </w:pPr>
            <w:r>
              <w:rPr>
                <w:rFonts w:ascii="Arial" w:cs="Arial" w:eastAsia="Arial" w:hAnsi="Arial"/>
                <w:sz w:val="14"/>
                <w:szCs w:val="14"/>
                <w:b w:val="1"/>
                <w:bCs w:val="1"/>
                <w:color w:val="5D6673"/>
              </w:rPr>
              <w:t> </w:t>
            </w:r>
          </w:p>
        </w:tc>
        <w:tc>
          <w:tcPr>
            <w:tcW w:w="2460" w:type="dxa"/>
            <w:vAlign w:val="bottom"/>
            <w:vMerge w:val="restart"/>
            <w:shd w:val="clear" w:color="auto" w:fill="DCDEE4"/>
          </w:tcPr>
          <w:p>
            <w:pPr>
              <w:ind w:left="22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620" w:type="dxa"/>
            <w:vAlign w:val="bottom"/>
            <w:vMerge w:val="continue"/>
            <w:shd w:val="clear" w:color="auto" w:fill="DCDEE4"/>
          </w:tcPr>
          <w:p>
            <w:pPr>
              <w:spacing w:after="0"/>
              <w:rPr>
                <w:sz w:val="11"/>
                <w:szCs w:val="11"/>
                <w:color w:val="auto"/>
              </w:rPr>
            </w:pPr>
          </w:p>
        </w:tc>
        <w:tc>
          <w:tcPr>
            <w:tcW w:w="140" w:type="dxa"/>
            <w:vAlign w:val="bottom"/>
            <w:shd w:val="clear" w:color="auto" w:fill="DCDEE4"/>
          </w:tcPr>
          <w:p>
            <w:pPr>
              <w:spacing w:after="0"/>
              <w:rPr>
                <w:sz w:val="11"/>
                <w:szCs w:val="11"/>
                <w:color w:val="auto"/>
              </w:rPr>
            </w:pPr>
          </w:p>
        </w:tc>
        <w:tc>
          <w:tcPr>
            <w:tcW w:w="1140" w:type="dxa"/>
            <w:vAlign w:val="bottom"/>
            <w:shd w:val="clear" w:color="auto" w:fill="DCDEE4"/>
          </w:tcPr>
          <w:p>
            <w:pPr>
              <w:spacing w:after="0"/>
              <w:rPr>
                <w:sz w:val="11"/>
                <w:szCs w:val="11"/>
                <w:color w:val="auto"/>
              </w:rPr>
            </w:pPr>
          </w:p>
        </w:tc>
        <w:tc>
          <w:tcPr>
            <w:tcW w:w="460" w:type="dxa"/>
            <w:vAlign w:val="bottom"/>
            <w:vMerge w:val="continue"/>
            <w:shd w:val="clear" w:color="auto" w:fill="DCDEE4"/>
          </w:tcPr>
          <w:p>
            <w:pPr>
              <w:spacing w:after="0"/>
              <w:rPr>
                <w:sz w:val="11"/>
                <w:szCs w:val="11"/>
                <w:color w:val="auto"/>
              </w:rPr>
            </w:pPr>
          </w:p>
        </w:tc>
        <w:tc>
          <w:tcPr>
            <w:tcW w:w="1800" w:type="dxa"/>
            <w:vAlign w:val="bottom"/>
            <w:shd w:val="clear" w:color="auto" w:fill="DCDEE4"/>
          </w:tcPr>
          <w:p>
            <w:pPr>
              <w:spacing w:after="0"/>
              <w:rPr>
                <w:sz w:val="11"/>
                <w:szCs w:val="11"/>
                <w:color w:val="auto"/>
              </w:rPr>
            </w:pPr>
          </w:p>
        </w:tc>
        <w:tc>
          <w:tcPr>
            <w:tcW w:w="240" w:type="dxa"/>
            <w:vAlign w:val="bottom"/>
            <w:shd w:val="clear" w:color="auto" w:fill="DCDEE4"/>
          </w:tcPr>
          <w:p>
            <w:pPr>
              <w:spacing w:after="0"/>
              <w:rPr>
                <w:sz w:val="11"/>
                <w:szCs w:val="11"/>
                <w:color w:val="auto"/>
              </w:rPr>
            </w:pPr>
          </w:p>
        </w:tc>
        <w:tc>
          <w:tcPr>
            <w:tcW w:w="2200" w:type="dxa"/>
            <w:vAlign w:val="bottom"/>
            <w:vMerge w:val="continue"/>
            <w:shd w:val="clear" w:color="auto" w:fill="DCDEE4"/>
          </w:tcPr>
          <w:p>
            <w:pPr>
              <w:spacing w:after="0"/>
              <w:rPr>
                <w:sz w:val="11"/>
                <w:szCs w:val="11"/>
                <w:color w:val="auto"/>
              </w:rPr>
            </w:pPr>
          </w:p>
        </w:tc>
        <w:tc>
          <w:tcPr>
            <w:tcW w:w="2460" w:type="dxa"/>
            <w:vAlign w:val="bottom"/>
            <w:vMerge w:val="continue"/>
            <w:shd w:val="clear" w:color="auto" w:fill="DCDEE4"/>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120" w:type="dxa"/>
            <w:vAlign w:val="bottom"/>
          </w:tcPr>
          <w:p>
            <w:pPr>
              <w:spacing w:after="0"/>
              <w:rPr>
                <w:sz w:val="24"/>
                <w:szCs w:val="24"/>
                <w:color w:val="auto"/>
              </w:rPr>
            </w:pPr>
          </w:p>
        </w:tc>
        <w:tc>
          <w:tcPr>
            <w:tcW w:w="62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14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GOVERNMENT</w:t>
            </w:r>
          </w:p>
        </w:tc>
        <w:tc>
          <w:tcPr>
            <w:tcW w:w="460" w:type="dxa"/>
            <w:vAlign w:val="bottom"/>
            <w:shd w:val="clear" w:color="auto" w:fill="DCDEE4"/>
          </w:tcPr>
          <w:p>
            <w:pPr>
              <w:spacing w:after="0"/>
              <w:rPr>
                <w:sz w:val="24"/>
                <w:szCs w:val="24"/>
                <w:color w:val="auto"/>
              </w:rPr>
            </w:pPr>
          </w:p>
        </w:tc>
        <w:tc>
          <w:tcPr>
            <w:tcW w:w="1800" w:type="dxa"/>
            <w:vAlign w:val="bottom"/>
            <w:shd w:val="clear" w:color="auto" w:fill="DCDEE4"/>
          </w:tcPr>
          <w:p>
            <w:pPr>
              <w:ind w:left="300"/>
              <w:spacing w:after="0"/>
              <w:rPr>
                <w:sz w:val="20"/>
                <w:szCs w:val="20"/>
                <w:color w:val="auto"/>
              </w:rPr>
            </w:pPr>
            <w:r>
              <w:rPr>
                <w:rFonts w:ascii="Arial" w:cs="Arial" w:eastAsia="Arial" w:hAnsi="Arial"/>
                <w:sz w:val="14"/>
                <w:szCs w:val="14"/>
                <w:b w:val="1"/>
                <w:bCs w:val="1"/>
                <w:color w:val="5D6673"/>
              </w:rPr>
              <w:t>MERGERS AND</w:t>
            </w:r>
          </w:p>
        </w:tc>
        <w:tc>
          <w:tcPr>
            <w:tcW w:w="240" w:type="dxa"/>
            <w:vAlign w:val="bottom"/>
            <w:shd w:val="clear" w:color="auto" w:fill="DCDEE4"/>
          </w:tcPr>
          <w:p>
            <w:pPr>
              <w:spacing w:after="0"/>
              <w:rPr>
                <w:sz w:val="24"/>
                <w:szCs w:val="24"/>
                <w:color w:val="auto"/>
              </w:rPr>
            </w:pPr>
          </w:p>
        </w:tc>
        <w:tc>
          <w:tcPr>
            <w:tcW w:w="2200" w:type="dxa"/>
            <w:vAlign w:val="bottom"/>
            <w:vMerge w:val="restart"/>
            <w:shd w:val="clear" w:color="auto" w:fill="DCDEE4"/>
          </w:tcPr>
          <w:p>
            <w:pPr>
              <w:ind w:left="660"/>
              <w:spacing w:after="0"/>
              <w:rPr>
                <w:sz w:val="20"/>
                <w:szCs w:val="20"/>
                <w:color w:val="auto"/>
              </w:rPr>
            </w:pPr>
            <w:r>
              <w:rPr>
                <w:rFonts w:ascii="Arial" w:cs="Arial" w:eastAsia="Arial" w:hAnsi="Arial"/>
                <w:sz w:val="14"/>
                <w:szCs w:val="14"/>
                <w:b w:val="1"/>
                <w:bCs w:val="1"/>
                <w:color w:val="5D6673"/>
              </w:rPr>
              <w:t>CYBERSECURITY</w:t>
            </w:r>
          </w:p>
        </w:tc>
        <w:tc>
          <w:tcPr>
            <w:tcW w:w="24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62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14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EXPERTISE</w:t>
            </w:r>
          </w:p>
        </w:tc>
        <w:tc>
          <w:tcPr>
            <w:tcW w:w="460" w:type="dxa"/>
            <w:vAlign w:val="bottom"/>
            <w:shd w:val="clear" w:color="auto" w:fill="DCDEE4"/>
          </w:tcPr>
          <w:p>
            <w:pPr>
              <w:spacing w:after="0"/>
              <w:rPr>
                <w:sz w:val="10"/>
                <w:szCs w:val="10"/>
                <w:color w:val="auto"/>
              </w:rPr>
            </w:pPr>
          </w:p>
        </w:tc>
        <w:tc>
          <w:tcPr>
            <w:tcW w:w="180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ACQUISITIONS</w:t>
            </w:r>
          </w:p>
        </w:tc>
        <w:tc>
          <w:tcPr>
            <w:tcW w:w="240" w:type="dxa"/>
            <w:vAlign w:val="bottom"/>
            <w:shd w:val="clear" w:color="auto" w:fill="DCDEE4"/>
          </w:tcPr>
          <w:p>
            <w:pPr>
              <w:spacing w:after="0"/>
              <w:rPr>
                <w:sz w:val="10"/>
                <w:szCs w:val="10"/>
                <w:color w:val="auto"/>
              </w:rPr>
            </w:pPr>
          </w:p>
        </w:tc>
        <w:tc>
          <w:tcPr>
            <w:tcW w:w="2200" w:type="dxa"/>
            <w:vAlign w:val="bottom"/>
            <w:vMerge w:val="continue"/>
            <w:shd w:val="clear" w:color="auto" w:fill="DCDEE4"/>
          </w:tcPr>
          <w:p>
            <w:pPr>
              <w:spacing w:after="0"/>
              <w:rPr>
                <w:sz w:val="10"/>
                <w:szCs w:val="10"/>
                <w:color w:val="auto"/>
              </w:rPr>
            </w:pPr>
          </w:p>
        </w:tc>
        <w:tc>
          <w:tcPr>
            <w:tcW w:w="24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7"/>
                <w:szCs w:val="7"/>
                <w:color w:val="auto"/>
              </w:rPr>
            </w:pPr>
          </w:p>
        </w:tc>
        <w:tc>
          <w:tcPr>
            <w:tcW w:w="1140" w:type="dxa"/>
            <w:vAlign w:val="bottom"/>
            <w:vMerge w:val="continue"/>
            <w:shd w:val="clear" w:color="auto" w:fill="DCDEE4"/>
          </w:tcPr>
          <w:p>
            <w:pPr>
              <w:spacing w:after="0"/>
              <w:rPr>
                <w:sz w:val="7"/>
                <w:szCs w:val="7"/>
                <w:color w:val="auto"/>
              </w:rPr>
            </w:pPr>
          </w:p>
        </w:tc>
        <w:tc>
          <w:tcPr>
            <w:tcW w:w="46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800" w:type="dxa"/>
            <w:vAlign w:val="bottom"/>
            <w:vMerge w:val="continue"/>
            <w:shd w:val="clear" w:color="auto" w:fill="DCDEE4"/>
          </w:tcPr>
          <w:p>
            <w:pPr>
              <w:spacing w:after="0"/>
              <w:rPr>
                <w:sz w:val="7"/>
                <w:szCs w:val="7"/>
                <w:color w:val="auto"/>
              </w:rPr>
            </w:pPr>
          </w:p>
        </w:tc>
        <w:tc>
          <w:tcPr>
            <w:tcW w:w="240" w:type="dxa"/>
            <w:vAlign w:val="bottom"/>
            <w:shd w:val="clear" w:color="auto" w:fill="DCDEE4"/>
          </w:tcPr>
          <w:p>
            <w:pPr>
              <w:spacing w:after="0"/>
              <w:rPr>
                <w:sz w:val="7"/>
                <w:szCs w:val="7"/>
                <w:color w:val="auto"/>
              </w:rPr>
            </w:pPr>
          </w:p>
        </w:tc>
        <w:tc>
          <w:tcPr>
            <w:tcW w:w="2200" w:type="dxa"/>
            <w:vAlign w:val="bottom"/>
            <w:shd w:val="clear" w:color="auto" w:fill="DCDEE4"/>
          </w:tcPr>
          <w:p>
            <w:pPr>
              <w:spacing w:after="0"/>
              <w:rPr>
                <w:sz w:val="7"/>
                <w:szCs w:val="7"/>
                <w:color w:val="auto"/>
              </w:rPr>
            </w:pPr>
          </w:p>
        </w:tc>
        <w:tc>
          <w:tcPr>
            <w:tcW w:w="24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620" w:type="dxa"/>
            <w:vAlign w:val="bottom"/>
            <w:vMerge w:val="continue"/>
            <w:shd w:val="clear" w:color="auto" w:fill="DCDEE4"/>
          </w:tcPr>
          <w:p>
            <w:pPr>
              <w:spacing w:after="0"/>
              <w:rPr>
                <w:sz w:val="16"/>
                <w:szCs w:val="16"/>
                <w:color w:val="auto"/>
              </w:rPr>
            </w:pPr>
          </w:p>
        </w:tc>
        <w:tc>
          <w:tcPr>
            <w:tcW w:w="140" w:type="dxa"/>
            <w:vAlign w:val="bottom"/>
            <w:shd w:val="clear" w:color="auto" w:fill="DCDEE4"/>
          </w:tcPr>
          <w:p>
            <w:pPr>
              <w:spacing w:after="0"/>
              <w:rPr>
                <w:sz w:val="16"/>
                <w:szCs w:val="16"/>
                <w:color w:val="auto"/>
              </w:rPr>
            </w:pPr>
          </w:p>
        </w:tc>
        <w:tc>
          <w:tcPr>
            <w:tcW w:w="1140" w:type="dxa"/>
            <w:vAlign w:val="bottom"/>
            <w:shd w:val="clear" w:color="auto" w:fill="DCDEE4"/>
          </w:tcPr>
          <w:p>
            <w:pPr>
              <w:spacing w:after="0"/>
              <w:rPr>
                <w:sz w:val="16"/>
                <w:szCs w:val="16"/>
                <w:color w:val="auto"/>
              </w:rPr>
            </w:pPr>
          </w:p>
        </w:tc>
        <w:tc>
          <w:tcPr>
            <w:tcW w:w="460" w:type="dxa"/>
            <w:vAlign w:val="bottom"/>
            <w:vMerge w:val="continue"/>
            <w:shd w:val="clear" w:color="auto" w:fill="DCDEE4"/>
          </w:tcPr>
          <w:p>
            <w:pPr>
              <w:spacing w:after="0"/>
              <w:rPr>
                <w:sz w:val="16"/>
                <w:szCs w:val="16"/>
                <w:color w:val="auto"/>
              </w:rPr>
            </w:pPr>
          </w:p>
        </w:tc>
        <w:tc>
          <w:tcPr>
            <w:tcW w:w="1800" w:type="dxa"/>
            <w:vAlign w:val="bottom"/>
            <w:shd w:val="clear" w:color="auto" w:fill="DCDEE4"/>
          </w:tcPr>
          <w:p>
            <w:pPr>
              <w:spacing w:after="0"/>
              <w:rPr>
                <w:sz w:val="16"/>
                <w:szCs w:val="16"/>
                <w:color w:val="auto"/>
              </w:rPr>
            </w:pPr>
          </w:p>
        </w:tc>
        <w:tc>
          <w:tcPr>
            <w:tcW w:w="240" w:type="dxa"/>
            <w:vAlign w:val="bottom"/>
            <w:shd w:val="clear" w:color="auto" w:fill="DCDEE4"/>
          </w:tcPr>
          <w:p>
            <w:pPr>
              <w:spacing w:after="0"/>
              <w:rPr>
                <w:sz w:val="16"/>
                <w:szCs w:val="16"/>
                <w:color w:val="auto"/>
              </w:rPr>
            </w:pPr>
          </w:p>
        </w:tc>
        <w:tc>
          <w:tcPr>
            <w:tcW w:w="2200" w:type="dxa"/>
            <w:vAlign w:val="bottom"/>
            <w:shd w:val="clear" w:color="auto" w:fill="DCDEE4"/>
          </w:tcPr>
          <w:p>
            <w:pPr>
              <w:ind w:left="20"/>
              <w:spacing w:after="0"/>
              <w:rPr>
                <w:sz w:val="20"/>
                <w:szCs w:val="20"/>
                <w:color w:val="auto"/>
              </w:rPr>
            </w:pPr>
            <w:r>
              <w:rPr>
                <w:rFonts w:ascii="Arial" w:cs="Arial" w:eastAsia="Arial" w:hAnsi="Arial"/>
                <w:sz w:val="14"/>
                <w:szCs w:val="14"/>
                <w:b w:val="1"/>
                <w:bCs w:val="1"/>
                <w:color w:val="5D6673"/>
              </w:rPr>
              <w:t> </w:t>
            </w:r>
          </w:p>
        </w:tc>
        <w:tc>
          <w:tcPr>
            <w:tcW w:w="2460" w:type="dxa"/>
            <w:vAlign w:val="bottom"/>
            <w:shd w:val="clear" w:color="auto" w:fill="DCDEE4"/>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62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140" w:type="dxa"/>
            <w:vAlign w:val="bottom"/>
            <w:shd w:val="clear" w:color="auto" w:fill="DCDEE4"/>
          </w:tcPr>
          <w:p>
            <w:pPr>
              <w:spacing w:after="0"/>
              <w:rPr>
                <w:sz w:val="10"/>
                <w:szCs w:val="10"/>
                <w:color w:val="auto"/>
              </w:rPr>
            </w:pPr>
          </w:p>
        </w:tc>
        <w:tc>
          <w:tcPr>
            <w:tcW w:w="460" w:type="dxa"/>
            <w:vAlign w:val="bottom"/>
            <w:shd w:val="clear" w:color="auto" w:fill="DCDEE4"/>
          </w:tcPr>
          <w:p>
            <w:pPr>
              <w:spacing w:after="0"/>
              <w:rPr>
                <w:sz w:val="10"/>
                <w:szCs w:val="10"/>
                <w:color w:val="auto"/>
              </w:rPr>
            </w:pPr>
          </w:p>
        </w:tc>
        <w:tc>
          <w:tcPr>
            <w:tcW w:w="1800" w:type="dxa"/>
            <w:vAlign w:val="bottom"/>
            <w:shd w:val="clear" w:color="auto" w:fill="DCDEE4"/>
          </w:tcPr>
          <w:p>
            <w:pPr>
              <w:spacing w:after="0"/>
              <w:rPr>
                <w:sz w:val="10"/>
                <w:szCs w:val="10"/>
                <w:color w:val="auto"/>
              </w:rPr>
            </w:pPr>
          </w:p>
        </w:tc>
        <w:tc>
          <w:tcPr>
            <w:tcW w:w="240" w:type="dxa"/>
            <w:vAlign w:val="bottom"/>
            <w:shd w:val="clear" w:color="auto" w:fill="DCDEE4"/>
          </w:tcPr>
          <w:p>
            <w:pPr>
              <w:spacing w:after="0"/>
              <w:rPr>
                <w:sz w:val="10"/>
                <w:szCs w:val="10"/>
                <w:color w:val="auto"/>
              </w:rPr>
            </w:pPr>
          </w:p>
        </w:tc>
        <w:tc>
          <w:tcPr>
            <w:tcW w:w="2200" w:type="dxa"/>
            <w:vAlign w:val="bottom"/>
            <w:shd w:val="clear" w:color="auto" w:fill="DCDEE4"/>
          </w:tcPr>
          <w:p>
            <w:pPr>
              <w:spacing w:after="0"/>
              <w:rPr>
                <w:sz w:val="10"/>
                <w:szCs w:val="10"/>
                <w:color w:val="auto"/>
              </w:rPr>
            </w:pPr>
          </w:p>
        </w:tc>
        <w:tc>
          <w:tcPr>
            <w:tcW w:w="24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D02A2E"/>
            </w:tcBorders>
          </w:tcPr>
          <w:p>
            <w:pPr>
              <w:spacing w:after="0"/>
              <w:rPr>
                <w:sz w:val="18"/>
                <w:szCs w:val="18"/>
                <w:color w:val="auto"/>
              </w:rPr>
            </w:pPr>
          </w:p>
        </w:tc>
        <w:tc>
          <w:tcPr>
            <w:tcW w:w="620" w:type="dxa"/>
            <w:vAlign w:val="bottom"/>
            <w:tcBorders>
              <w:bottom w:val="single" w:sz="8" w:color="D02A2E"/>
            </w:tcBorders>
          </w:tcPr>
          <w:p>
            <w:pPr>
              <w:spacing w:after="0"/>
              <w:rPr>
                <w:sz w:val="18"/>
                <w:szCs w:val="18"/>
                <w:color w:val="auto"/>
              </w:rPr>
            </w:pPr>
          </w:p>
        </w:tc>
        <w:tc>
          <w:tcPr>
            <w:tcW w:w="140" w:type="dxa"/>
            <w:vAlign w:val="bottom"/>
            <w:tcBorders>
              <w:bottom w:val="single" w:sz="8" w:color="D02A2E"/>
            </w:tcBorders>
          </w:tcPr>
          <w:p>
            <w:pPr>
              <w:spacing w:after="0"/>
              <w:rPr>
                <w:sz w:val="18"/>
                <w:szCs w:val="18"/>
                <w:color w:val="auto"/>
              </w:rPr>
            </w:pPr>
          </w:p>
        </w:tc>
        <w:tc>
          <w:tcPr>
            <w:tcW w:w="1140" w:type="dxa"/>
            <w:vAlign w:val="bottom"/>
            <w:tcBorders>
              <w:bottom w:val="single" w:sz="8" w:color="D02A2E"/>
            </w:tcBorders>
          </w:tcPr>
          <w:p>
            <w:pPr>
              <w:spacing w:after="0"/>
              <w:rPr>
                <w:sz w:val="18"/>
                <w:szCs w:val="18"/>
                <w:color w:val="auto"/>
              </w:rPr>
            </w:pPr>
          </w:p>
        </w:tc>
        <w:tc>
          <w:tcPr>
            <w:tcW w:w="460" w:type="dxa"/>
            <w:vAlign w:val="bottom"/>
            <w:tcBorders>
              <w:bottom w:val="single" w:sz="8" w:color="D02A2E"/>
            </w:tcBorders>
          </w:tcPr>
          <w:p>
            <w:pPr>
              <w:spacing w:after="0"/>
              <w:rPr>
                <w:sz w:val="18"/>
                <w:szCs w:val="18"/>
                <w:color w:val="auto"/>
              </w:rPr>
            </w:pPr>
          </w:p>
        </w:tc>
        <w:tc>
          <w:tcPr>
            <w:tcW w:w="1800" w:type="dxa"/>
            <w:vAlign w:val="bottom"/>
            <w:tcBorders>
              <w:bottom w:val="single" w:sz="8" w:color="D02A2E"/>
            </w:tcBorders>
          </w:tcPr>
          <w:p>
            <w:pPr>
              <w:spacing w:after="0"/>
              <w:rPr>
                <w:sz w:val="18"/>
                <w:szCs w:val="18"/>
                <w:color w:val="auto"/>
              </w:rPr>
            </w:pPr>
          </w:p>
        </w:tc>
        <w:tc>
          <w:tcPr>
            <w:tcW w:w="240" w:type="dxa"/>
            <w:vAlign w:val="bottom"/>
            <w:tcBorders>
              <w:bottom w:val="single" w:sz="8" w:color="D02A2E"/>
            </w:tcBorders>
          </w:tcPr>
          <w:p>
            <w:pPr>
              <w:spacing w:after="0"/>
              <w:rPr>
                <w:sz w:val="18"/>
                <w:szCs w:val="18"/>
                <w:color w:val="auto"/>
              </w:rPr>
            </w:pPr>
          </w:p>
        </w:tc>
        <w:tc>
          <w:tcPr>
            <w:tcW w:w="2200" w:type="dxa"/>
            <w:vAlign w:val="bottom"/>
            <w:tcBorders>
              <w:bottom w:val="single" w:sz="8" w:color="D02A2E"/>
            </w:tcBorders>
          </w:tcPr>
          <w:p>
            <w:pPr>
              <w:spacing w:after="0"/>
              <w:rPr>
                <w:sz w:val="18"/>
                <w:szCs w:val="18"/>
                <w:color w:val="auto"/>
              </w:rPr>
            </w:pPr>
          </w:p>
        </w:tc>
        <w:tc>
          <w:tcPr>
            <w:tcW w:w="246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1757680" cy="3737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57680" cy="373761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74</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Chair of Audit/Finance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Timothy M. Leyden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Retired Western Digital Senior Executive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7" w:lineRule="auto"/>
        <w:rPr>
          <w:sz w:val="20"/>
          <w:szCs w:val="20"/>
          <w:color w:val="auto"/>
        </w:rPr>
      </w:pPr>
      <w:r>
        <w:rPr>
          <w:rFonts w:ascii="Arial" w:cs="Arial" w:eastAsia="Arial" w:hAnsi="Arial"/>
          <w:sz w:val="18"/>
          <w:szCs w:val="18"/>
          <w:b w:val="1"/>
          <w:bCs w:val="1"/>
          <w:color w:val="D02A2E"/>
        </w:rPr>
        <w:t>QUALIFICATIONS</w:t>
      </w:r>
      <w:r>
        <w:rPr>
          <w:rFonts w:ascii="Arial" w:cs="Arial" w:eastAsia="Arial" w:hAnsi="Arial"/>
          <w:sz w:val="32"/>
          <w:szCs w:val="32"/>
          <w:color w:val="000000"/>
          <w:vertAlign w:val="subscript"/>
        </w:rPr>
        <w:t xml:space="preserve"> </w:t>
      </w:r>
      <w:r>
        <w:rPr>
          <w:rFonts w:ascii="Arial" w:cs="Arial" w:eastAsia="Arial" w:hAnsi="Arial"/>
          <w:sz w:val="18"/>
          <w:szCs w:val="18"/>
          <w:b w:val="1"/>
          <w:bCs w:val="1"/>
          <w:color w:val="D02A2E"/>
        </w:rPr>
        <w:t xml:space="preserve"> AND SKILLS</w:t>
      </w:r>
    </w:p>
    <w:p>
      <w:pPr>
        <w:spacing w:after="0" w:line="1" w:lineRule="exact"/>
        <w:rPr>
          <w:sz w:val="20"/>
          <w:szCs w:val="20"/>
          <w:color w:val="auto"/>
        </w:rPr>
      </w:pPr>
    </w:p>
    <w:p>
      <w:pPr>
        <w:ind w:right="400"/>
        <w:spacing w:after="0" w:line="223" w:lineRule="auto"/>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More than 43 years of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experience across diverse sectors, including CIO, CFO and COO roles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300"/>
        <w:spacing w:after="0" w:line="223" w:lineRule="auto"/>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Enriches the board with international business insights</w:t>
      </w:r>
      <w:r>
        <w:rPr>
          <w:rFonts w:ascii="Arial" w:cs="Arial" w:eastAsia="Arial" w:hAnsi="Arial"/>
          <w:sz w:val="16"/>
          <w:szCs w:val="16"/>
          <w:b w:val="1"/>
          <w:bCs w:val="1"/>
          <w:color w:val="auto"/>
        </w:rPr>
        <w:t xml:space="preserve"> </w:t>
      </w:r>
      <w:r>
        <w:rPr>
          <w:rFonts w:ascii="Arial" w:cs="Arial" w:eastAsia="Arial" w:hAnsi="Arial"/>
          <w:sz w:val="16"/>
          <w:szCs w:val="16"/>
          <w:color w:val="auto"/>
        </w:rPr>
        <w:t>from a career across U.S. and U.K. multinationals and leading teams in Europe, Asia and the Americas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Leverages executive level finance experience, including</w:t>
      </w:r>
    </w:p>
    <w:p>
      <w:pPr>
        <w:spacing w:after="0" w:line="182" w:lineRule="auto"/>
        <w:rPr>
          <w:sz w:val="20"/>
          <w:szCs w:val="20"/>
          <w:color w:val="auto"/>
        </w:rPr>
      </w:pPr>
      <w:r>
        <w:rPr>
          <w:rFonts w:ascii="Arial" w:cs="Arial" w:eastAsia="Arial" w:hAnsi="Arial"/>
          <w:sz w:val="16"/>
          <w:szCs w:val="16"/>
          <w:color w:val="auto"/>
        </w:rPr>
        <w:t>as former CFO</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b w:val="1"/>
          <w:bCs w:val="1"/>
          <w:color w:val="auto"/>
        </w:rPr>
        <w:t xml:space="preserve">MERGERS AND ACQUISITIONS: </w:t>
      </w:r>
      <w:r>
        <w:rPr>
          <w:rFonts w:ascii="Arial" w:cs="Arial" w:eastAsia="Arial" w:hAnsi="Arial"/>
          <w:sz w:val="16"/>
          <w:szCs w:val="16"/>
          <w:color w:val="auto"/>
        </w:rPr>
        <w:t>Leverages his strong background in executing</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 mergers, playing a pivotal role in company expansions, integrations and market growth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5" w:lineRule="exact"/>
        <w:rPr>
          <w:sz w:val="20"/>
          <w:szCs w:val="20"/>
          <w:color w:val="auto"/>
        </w:rPr>
      </w:pPr>
    </w:p>
    <w:p>
      <w:pPr>
        <w:ind w:left="160" w:right="76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Operational and finance industry executive with extensive experience in</w:t>
      </w:r>
      <w:r>
        <w:rPr>
          <w:rFonts w:ascii="Arial" w:cs="Arial" w:eastAsia="Arial" w:hAnsi="Arial"/>
          <w:sz w:val="16"/>
          <w:szCs w:val="16"/>
          <w:color w:val="D02A2E"/>
        </w:rPr>
        <w:t xml:space="preserve"> </w:t>
      </w:r>
      <w:r>
        <w:rPr>
          <w:rFonts w:ascii="Arial" w:cs="Arial" w:eastAsia="Arial" w:hAnsi="Arial"/>
          <w:sz w:val="16"/>
          <w:szCs w:val="16"/>
          <w:color w:val="000000"/>
        </w:rPr>
        <w:t>hardware, software and consumer goods sectors</w:t>
      </w:r>
    </w:p>
    <w:p>
      <w:pPr>
        <w:spacing w:after="0" w:line="34" w:lineRule="exact"/>
        <w:rPr>
          <w:sz w:val="20"/>
          <w:szCs w:val="20"/>
          <w:color w:val="auto"/>
        </w:rPr>
      </w:pPr>
    </w:p>
    <w:p>
      <w:pPr>
        <w:ind w:left="160" w:right="420" w:hanging="170"/>
        <w:spacing w:after="0" w:line="26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Diverse background in finance, operations, manufacturing, IT, strategy and a</w:t>
      </w:r>
      <w:r>
        <w:rPr>
          <w:rFonts w:ascii="Arial" w:cs="Arial" w:eastAsia="Arial" w:hAnsi="Arial"/>
          <w:sz w:val="16"/>
          <w:szCs w:val="16"/>
          <w:color w:val="D02A2E"/>
        </w:rPr>
        <w:t xml:space="preserve"> </w:t>
      </w:r>
      <w:r>
        <w:rPr>
          <w:rFonts w:ascii="Arial" w:cs="Arial" w:eastAsia="Arial" w:hAnsi="Arial"/>
          <w:sz w:val="16"/>
          <w:szCs w:val="16"/>
          <w:color w:val="000000"/>
        </w:rPr>
        <w:t>broad range of business functions, including marketing, engineering, sales, purchasing and HR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Member of the Chartered Institute of Management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217805</wp:posOffset>
            </wp:positionV>
            <wp:extent cx="5829300" cy="1440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9300" cy="1440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3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60" w:type="dxa"/>
            <w:vAlign w:val="bottom"/>
          </w:tcPr>
          <w:p>
            <w:pPr>
              <w:spacing w:after="0"/>
              <w:rPr>
                <w:sz w:val="24"/>
                <w:szCs w:val="24"/>
                <w:color w:val="auto"/>
              </w:rPr>
            </w:pPr>
          </w:p>
        </w:tc>
        <w:tc>
          <w:tcPr>
            <w:tcW w:w="640" w:type="dxa"/>
            <w:vAlign w:val="bottom"/>
            <w:shd w:val="clear" w:color="auto" w:fill="DCDEE4"/>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600" w:type="dxa"/>
            <w:vAlign w:val="bottom"/>
          </w:tcPr>
          <w:p>
            <w:pPr>
              <w:spacing w:after="0"/>
              <w:rPr>
                <w:sz w:val="24"/>
                <w:szCs w:val="24"/>
                <w:color w:val="auto"/>
              </w:rPr>
            </w:pPr>
          </w:p>
        </w:tc>
        <w:tc>
          <w:tcPr>
            <w:tcW w:w="194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FINANCIAL</w:t>
            </w:r>
          </w:p>
        </w:tc>
        <w:tc>
          <w:tcPr>
            <w:tcW w:w="1920" w:type="dxa"/>
            <w:vAlign w:val="bottom"/>
          </w:tcPr>
          <w:p>
            <w:pPr>
              <w:ind w:left="340"/>
              <w:spacing w:after="0"/>
              <w:rPr>
                <w:sz w:val="20"/>
                <w:szCs w:val="20"/>
                <w:color w:val="auto"/>
              </w:rPr>
            </w:pPr>
            <w:r>
              <w:rPr>
                <w:rFonts w:ascii="Arial" w:cs="Arial" w:eastAsia="Arial" w:hAnsi="Arial"/>
                <w:sz w:val="14"/>
                <w:szCs w:val="14"/>
                <w:b w:val="1"/>
                <w:bCs w:val="1"/>
                <w:color w:val="5D6673"/>
              </w:rPr>
              <w:t>PUBLIC BOARD</w:t>
            </w:r>
          </w:p>
        </w:tc>
        <w:tc>
          <w:tcPr>
            <w:tcW w:w="2220" w:type="dxa"/>
            <w:vAlign w:val="bottom"/>
            <w:vMerge w:val="restart"/>
          </w:tcPr>
          <w:p>
            <w:pPr>
              <w:ind w:left="90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shd w:val="clear" w:color="auto" w:fill="DCDEE4"/>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LEADERSHIP</w:t>
            </w:r>
          </w:p>
        </w:tc>
        <w:tc>
          <w:tcPr>
            <w:tcW w:w="6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AND GOVERNANCE</w:t>
            </w:r>
          </w:p>
        </w:tc>
        <w:tc>
          <w:tcPr>
            <w:tcW w:w="2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shd w:val="clear" w:color="auto" w:fill="DCDEE4"/>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94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LITERACY/CFO</w:t>
            </w:r>
          </w:p>
        </w:tc>
        <w:tc>
          <w:tcPr>
            <w:tcW w:w="1920" w:type="dxa"/>
            <w:vAlign w:val="bottom"/>
            <w:vMerge w:val="continue"/>
          </w:tcPr>
          <w:p>
            <w:pPr>
              <w:spacing w:after="0"/>
              <w:rPr>
                <w:sz w:val="7"/>
                <w:szCs w:val="7"/>
                <w:color w:val="auto"/>
              </w:rPr>
            </w:pPr>
          </w:p>
        </w:tc>
        <w:tc>
          <w:tcPr>
            <w:tcW w:w="2220" w:type="dxa"/>
            <w:vAlign w:val="bottom"/>
            <w:vMerge w:val="restart"/>
          </w:tcPr>
          <w:p>
            <w:pPr>
              <w:ind w:left="90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6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tcPr>
          <w:p>
            <w:pPr>
              <w:spacing w:after="0"/>
              <w:rPr>
                <w:sz w:val="8"/>
                <w:szCs w:val="8"/>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EXPERIENCE</w:t>
            </w:r>
          </w:p>
        </w:tc>
        <w:tc>
          <w:tcPr>
            <w:tcW w:w="60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EXPERIENCE</w:t>
            </w:r>
          </w:p>
        </w:tc>
        <w:tc>
          <w:tcPr>
            <w:tcW w:w="2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640" w:type="dxa"/>
            <w:vAlign w:val="bottom"/>
            <w:vMerge w:val="continue"/>
            <w:shd w:val="clear" w:color="auto" w:fill="DCDEE4"/>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4"/>
                <w:szCs w:val="14"/>
                <w:b w:val="1"/>
                <w:bCs w:val="1"/>
                <w:color w:val="5D6673"/>
              </w:rPr>
              <w:t> </w:t>
            </w:r>
          </w:p>
        </w:tc>
        <w:tc>
          <w:tcPr>
            <w:tcW w:w="1940" w:type="dxa"/>
            <w:vAlign w:val="bottom"/>
            <w:vMerge w:val="restart"/>
          </w:tcPr>
          <w:p>
            <w:pPr>
              <w:ind w:left="158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continue"/>
          </w:tcPr>
          <w:p>
            <w:pPr>
              <w:spacing w:after="0"/>
              <w:rPr>
                <w:sz w:val="8"/>
                <w:szCs w:val="8"/>
                <w:color w:val="auto"/>
              </w:rPr>
            </w:pPr>
          </w:p>
        </w:tc>
        <w:tc>
          <w:tcPr>
            <w:tcW w:w="2220" w:type="dxa"/>
            <w:vAlign w:val="bottom"/>
            <w:vMerge w:val="restart"/>
          </w:tcPr>
          <w:p>
            <w:pPr>
              <w:ind w:left="20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640" w:type="dxa"/>
            <w:vAlign w:val="bottom"/>
            <w:vMerge w:val="continue"/>
            <w:shd w:val="clear" w:color="auto" w:fill="DCDEE4"/>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60" w:type="dxa"/>
            <w:vAlign w:val="bottom"/>
          </w:tcPr>
          <w:p>
            <w:pPr>
              <w:spacing w:after="0"/>
              <w:rPr>
                <w:sz w:val="24"/>
                <w:szCs w:val="24"/>
                <w:color w:val="auto"/>
              </w:rPr>
            </w:pPr>
          </w:p>
        </w:tc>
        <w:tc>
          <w:tcPr>
            <w:tcW w:w="640" w:type="dxa"/>
            <w:vAlign w:val="bottom"/>
            <w:shd w:val="clear" w:color="auto" w:fill="DCDEE4"/>
          </w:tcPr>
          <w:p>
            <w:pPr>
              <w:spacing w:after="0"/>
              <w:rPr>
                <w:sz w:val="24"/>
                <w:szCs w:val="24"/>
                <w:color w:val="auto"/>
              </w:rPr>
            </w:pPr>
          </w:p>
        </w:tc>
        <w:tc>
          <w:tcPr>
            <w:tcW w:w="80" w:type="dxa"/>
            <w:vAlign w:val="bottom"/>
            <w:shd w:val="clear" w:color="auto" w:fill="DCDEE4"/>
          </w:tcPr>
          <w:p>
            <w:pPr>
              <w:spacing w:after="0"/>
              <w:rPr>
                <w:sz w:val="24"/>
                <w:szCs w:val="24"/>
                <w:color w:val="auto"/>
              </w:rPr>
            </w:pPr>
          </w:p>
        </w:tc>
        <w:tc>
          <w:tcPr>
            <w:tcW w:w="1620" w:type="dxa"/>
            <w:vAlign w:val="bottom"/>
            <w:shd w:val="clear" w:color="auto" w:fill="DCDEE4"/>
          </w:tcPr>
          <w:p>
            <w:pPr>
              <w:ind w:left="80"/>
              <w:spacing w:after="0"/>
              <w:rPr>
                <w:sz w:val="20"/>
                <w:szCs w:val="20"/>
                <w:color w:val="auto"/>
              </w:rPr>
            </w:pPr>
            <w:r>
              <w:rPr>
                <w:rFonts w:ascii="Arial" w:cs="Arial" w:eastAsia="Arial" w:hAnsi="Arial"/>
                <w:sz w:val="14"/>
                <w:szCs w:val="14"/>
                <w:b w:val="1"/>
                <w:bCs w:val="1"/>
                <w:color w:val="5D6673"/>
              </w:rPr>
              <w:t>MANUFACTURING</w:t>
            </w:r>
          </w:p>
        </w:tc>
        <w:tc>
          <w:tcPr>
            <w:tcW w:w="600" w:type="dxa"/>
            <w:vAlign w:val="bottom"/>
            <w:shd w:val="clear" w:color="auto" w:fill="DCDEE4"/>
          </w:tcPr>
          <w:p>
            <w:pPr>
              <w:spacing w:after="0"/>
              <w:rPr>
                <w:sz w:val="24"/>
                <w:szCs w:val="24"/>
                <w:color w:val="auto"/>
              </w:rPr>
            </w:pPr>
          </w:p>
        </w:tc>
        <w:tc>
          <w:tcPr>
            <w:tcW w:w="1940" w:type="dxa"/>
            <w:vAlign w:val="bottom"/>
            <w:vMerge w:val="restart"/>
            <w:shd w:val="clear" w:color="auto" w:fill="DCDEE4"/>
          </w:tcPr>
          <w:p>
            <w:pPr>
              <w:ind w:left="320"/>
              <w:spacing w:after="0"/>
              <w:rPr>
                <w:sz w:val="20"/>
                <w:szCs w:val="20"/>
                <w:color w:val="auto"/>
              </w:rPr>
            </w:pPr>
            <w:r>
              <w:rPr>
                <w:rFonts w:ascii="Arial" w:cs="Arial" w:eastAsia="Arial" w:hAnsi="Arial"/>
                <w:sz w:val="14"/>
                <w:szCs w:val="14"/>
                <w:b w:val="1"/>
                <w:bCs w:val="1"/>
                <w:color w:val="5D6673"/>
              </w:rPr>
              <w:t>MERGERS AND</w:t>
            </w:r>
          </w:p>
        </w:tc>
        <w:tc>
          <w:tcPr>
            <w:tcW w:w="1920" w:type="dxa"/>
            <w:vAlign w:val="bottom"/>
            <w:shd w:val="clear" w:color="auto" w:fill="DCDEE4"/>
          </w:tcPr>
          <w:p>
            <w:pPr>
              <w:spacing w:after="0"/>
              <w:rPr>
                <w:sz w:val="24"/>
                <w:szCs w:val="24"/>
                <w:color w:val="auto"/>
              </w:rPr>
            </w:pPr>
          </w:p>
        </w:tc>
        <w:tc>
          <w:tcPr>
            <w:tcW w:w="222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shd w:val="clear" w:color="auto" w:fill="DCDEE4"/>
          </w:tcPr>
          <w:p>
            <w:pPr>
              <w:spacing w:after="0"/>
              <w:rPr>
                <w:sz w:val="7"/>
                <w:szCs w:val="7"/>
                <w:color w:val="auto"/>
              </w:rPr>
            </w:pPr>
          </w:p>
        </w:tc>
        <w:tc>
          <w:tcPr>
            <w:tcW w:w="80" w:type="dxa"/>
            <w:vAlign w:val="bottom"/>
            <w:shd w:val="clear" w:color="auto" w:fill="DCDEE4"/>
          </w:tcPr>
          <w:p>
            <w:pPr>
              <w:spacing w:after="0"/>
              <w:rPr>
                <w:sz w:val="7"/>
                <w:szCs w:val="7"/>
                <w:color w:val="auto"/>
              </w:rPr>
            </w:pPr>
          </w:p>
        </w:tc>
        <w:tc>
          <w:tcPr>
            <w:tcW w:w="1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AND/OR SUPPLY</w:t>
            </w:r>
          </w:p>
        </w:tc>
        <w:tc>
          <w:tcPr>
            <w:tcW w:w="600" w:type="dxa"/>
            <w:vAlign w:val="bottom"/>
            <w:shd w:val="clear" w:color="auto" w:fill="DCDEE4"/>
          </w:tcPr>
          <w:p>
            <w:pPr>
              <w:spacing w:after="0"/>
              <w:rPr>
                <w:sz w:val="7"/>
                <w:szCs w:val="7"/>
                <w:color w:val="auto"/>
              </w:rPr>
            </w:pPr>
          </w:p>
        </w:tc>
        <w:tc>
          <w:tcPr>
            <w:tcW w:w="1940" w:type="dxa"/>
            <w:vAlign w:val="bottom"/>
            <w:vMerge w:val="continue"/>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2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shd w:val="clear" w:color="auto" w:fill="DCDEE4"/>
          </w:tcPr>
          <w:p>
            <w:pPr>
              <w:spacing w:after="0"/>
              <w:rPr>
                <w:sz w:val="7"/>
                <w:szCs w:val="7"/>
                <w:color w:val="auto"/>
              </w:rPr>
            </w:pPr>
          </w:p>
        </w:tc>
        <w:tc>
          <w:tcPr>
            <w:tcW w:w="80" w:type="dxa"/>
            <w:vAlign w:val="bottom"/>
            <w:shd w:val="clear" w:color="auto" w:fill="DCDEE4"/>
          </w:tcPr>
          <w:p>
            <w:pPr>
              <w:spacing w:after="0"/>
              <w:rPr>
                <w:sz w:val="7"/>
                <w:szCs w:val="7"/>
                <w:color w:val="auto"/>
              </w:rPr>
            </w:pPr>
          </w:p>
        </w:tc>
        <w:tc>
          <w:tcPr>
            <w:tcW w:w="1620" w:type="dxa"/>
            <w:vAlign w:val="bottom"/>
            <w:vMerge w:val="continue"/>
            <w:shd w:val="clear" w:color="auto" w:fill="DCDEE4"/>
          </w:tcPr>
          <w:p>
            <w:pPr>
              <w:spacing w:after="0"/>
              <w:rPr>
                <w:sz w:val="7"/>
                <w:szCs w:val="7"/>
                <w:color w:val="auto"/>
              </w:rPr>
            </w:pPr>
          </w:p>
        </w:tc>
        <w:tc>
          <w:tcPr>
            <w:tcW w:w="600" w:type="dxa"/>
            <w:vAlign w:val="bottom"/>
            <w:shd w:val="clear" w:color="auto" w:fill="DCDEE4"/>
          </w:tcPr>
          <w:p>
            <w:pPr>
              <w:spacing w:after="0"/>
              <w:rPr>
                <w:sz w:val="7"/>
                <w:szCs w:val="7"/>
                <w:color w:val="auto"/>
              </w:rPr>
            </w:pPr>
          </w:p>
        </w:tc>
        <w:tc>
          <w:tcPr>
            <w:tcW w:w="1940" w:type="dxa"/>
            <w:vAlign w:val="bottom"/>
            <w:vMerge w:val="restart"/>
            <w:shd w:val="clear" w:color="auto" w:fill="DCDEE4"/>
          </w:tcPr>
          <w:p>
            <w:pPr>
              <w:ind w:left="320"/>
              <w:spacing w:after="0"/>
              <w:rPr>
                <w:sz w:val="20"/>
                <w:szCs w:val="20"/>
                <w:color w:val="auto"/>
              </w:rPr>
            </w:pPr>
            <w:r>
              <w:rPr>
                <w:rFonts w:ascii="Arial" w:cs="Arial" w:eastAsia="Arial" w:hAnsi="Arial"/>
                <w:sz w:val="14"/>
                <w:szCs w:val="14"/>
                <w:b w:val="1"/>
                <w:bCs w:val="1"/>
                <w:color w:val="5D6673"/>
              </w:rPr>
              <w:t>ACQUISITIONS</w:t>
            </w:r>
          </w:p>
        </w:tc>
        <w:tc>
          <w:tcPr>
            <w:tcW w:w="1920" w:type="dxa"/>
            <w:vAlign w:val="bottom"/>
            <w:shd w:val="clear" w:color="auto" w:fill="DCDEE4"/>
          </w:tcPr>
          <w:p>
            <w:pPr>
              <w:spacing w:after="0"/>
              <w:rPr>
                <w:sz w:val="7"/>
                <w:szCs w:val="7"/>
                <w:color w:val="auto"/>
              </w:rPr>
            </w:pPr>
          </w:p>
        </w:tc>
        <w:tc>
          <w:tcPr>
            <w:tcW w:w="222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6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shd w:val="clear" w:color="auto" w:fill="DCDEE4"/>
          </w:tcPr>
          <w:p>
            <w:pPr>
              <w:spacing w:after="0"/>
              <w:rPr>
                <w:sz w:val="10"/>
                <w:szCs w:val="10"/>
                <w:color w:val="auto"/>
              </w:rPr>
            </w:pPr>
          </w:p>
        </w:tc>
        <w:tc>
          <w:tcPr>
            <w:tcW w:w="1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CHAIN EXPERTISE</w:t>
            </w:r>
          </w:p>
        </w:tc>
        <w:tc>
          <w:tcPr>
            <w:tcW w:w="600" w:type="dxa"/>
            <w:vAlign w:val="bottom"/>
            <w:vMerge w:val="restart"/>
            <w:shd w:val="clear" w:color="auto" w:fill="DCDEE4"/>
          </w:tcPr>
          <w:p>
            <w:pPr>
              <w:ind w:left="220"/>
              <w:spacing w:after="0"/>
              <w:rPr>
                <w:sz w:val="20"/>
                <w:szCs w:val="20"/>
                <w:color w:val="auto"/>
              </w:rPr>
            </w:pPr>
            <w:r>
              <w:rPr>
                <w:rFonts w:ascii="Arial" w:cs="Arial" w:eastAsia="Arial" w:hAnsi="Arial"/>
                <w:sz w:val="14"/>
                <w:szCs w:val="14"/>
                <w:b w:val="1"/>
                <w:bCs w:val="1"/>
                <w:color w:val="5D6673"/>
              </w:rPr>
              <w:t> </w:t>
            </w:r>
          </w:p>
        </w:tc>
        <w:tc>
          <w:tcPr>
            <w:tcW w:w="1940" w:type="dxa"/>
            <w:vAlign w:val="bottom"/>
            <w:vMerge w:val="continue"/>
            <w:shd w:val="clear" w:color="auto" w:fill="DCDEE4"/>
          </w:tcPr>
          <w:p>
            <w:pPr>
              <w:spacing w:after="0"/>
              <w:rPr>
                <w:sz w:val="10"/>
                <w:szCs w:val="10"/>
                <w:color w:val="auto"/>
              </w:rPr>
            </w:pPr>
          </w:p>
        </w:tc>
        <w:tc>
          <w:tcPr>
            <w:tcW w:w="1920" w:type="dxa"/>
            <w:vAlign w:val="bottom"/>
            <w:shd w:val="clear" w:color="auto" w:fill="DCDEE4"/>
          </w:tcPr>
          <w:p>
            <w:pPr>
              <w:spacing w:after="0"/>
              <w:rPr>
                <w:sz w:val="10"/>
                <w:szCs w:val="10"/>
                <w:color w:val="auto"/>
              </w:rPr>
            </w:pPr>
          </w:p>
        </w:tc>
        <w:tc>
          <w:tcPr>
            <w:tcW w:w="222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vMerge w:val="continue"/>
            <w:shd w:val="clear" w:color="auto" w:fill="DCDEE4"/>
          </w:tcPr>
          <w:p>
            <w:pPr>
              <w:spacing w:after="0"/>
              <w:rPr>
                <w:sz w:val="7"/>
                <w:szCs w:val="7"/>
                <w:color w:val="auto"/>
              </w:rPr>
            </w:pPr>
          </w:p>
        </w:tc>
        <w:tc>
          <w:tcPr>
            <w:tcW w:w="80" w:type="dxa"/>
            <w:vAlign w:val="bottom"/>
            <w:shd w:val="clear" w:color="auto" w:fill="DCDEE4"/>
          </w:tcPr>
          <w:p>
            <w:pPr>
              <w:spacing w:after="0"/>
              <w:rPr>
                <w:sz w:val="7"/>
                <w:szCs w:val="7"/>
                <w:color w:val="auto"/>
              </w:rPr>
            </w:pPr>
          </w:p>
        </w:tc>
        <w:tc>
          <w:tcPr>
            <w:tcW w:w="1620" w:type="dxa"/>
            <w:vAlign w:val="bottom"/>
            <w:vMerge w:val="continue"/>
            <w:shd w:val="clear" w:color="auto" w:fill="DCDEE4"/>
          </w:tcPr>
          <w:p>
            <w:pPr>
              <w:spacing w:after="0"/>
              <w:rPr>
                <w:sz w:val="7"/>
                <w:szCs w:val="7"/>
                <w:color w:val="auto"/>
              </w:rPr>
            </w:pPr>
          </w:p>
        </w:tc>
        <w:tc>
          <w:tcPr>
            <w:tcW w:w="600" w:type="dxa"/>
            <w:vAlign w:val="bottom"/>
            <w:vMerge w:val="continue"/>
            <w:shd w:val="clear" w:color="auto" w:fill="DCDEE4"/>
          </w:tcPr>
          <w:p>
            <w:pPr>
              <w:spacing w:after="0"/>
              <w:rPr>
                <w:sz w:val="7"/>
                <w:szCs w:val="7"/>
                <w:color w:val="auto"/>
              </w:rPr>
            </w:pPr>
          </w:p>
        </w:tc>
        <w:tc>
          <w:tcPr>
            <w:tcW w:w="1940" w:type="dxa"/>
            <w:vAlign w:val="bottom"/>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2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 w:type="dxa"/>
            <w:vAlign w:val="bottom"/>
          </w:tcPr>
          <w:p>
            <w:pPr>
              <w:spacing w:after="0"/>
              <w:rPr>
                <w:sz w:val="7"/>
                <w:szCs w:val="7"/>
                <w:color w:val="auto"/>
              </w:rPr>
            </w:pPr>
          </w:p>
        </w:tc>
        <w:tc>
          <w:tcPr>
            <w:tcW w:w="640" w:type="dxa"/>
            <w:vAlign w:val="bottom"/>
            <w:vMerge w:val="continue"/>
            <w:shd w:val="clear" w:color="auto" w:fill="DCDEE4"/>
          </w:tcPr>
          <w:p>
            <w:pPr>
              <w:spacing w:after="0"/>
              <w:rPr>
                <w:sz w:val="7"/>
                <w:szCs w:val="7"/>
                <w:color w:val="auto"/>
              </w:rPr>
            </w:pPr>
          </w:p>
        </w:tc>
        <w:tc>
          <w:tcPr>
            <w:tcW w:w="80" w:type="dxa"/>
            <w:vAlign w:val="bottom"/>
            <w:shd w:val="clear" w:color="auto" w:fill="DCDEE4"/>
          </w:tcPr>
          <w:p>
            <w:pPr>
              <w:spacing w:after="0"/>
              <w:rPr>
                <w:sz w:val="7"/>
                <w:szCs w:val="7"/>
                <w:color w:val="auto"/>
              </w:rPr>
            </w:pPr>
          </w:p>
        </w:tc>
        <w:tc>
          <w:tcPr>
            <w:tcW w:w="1620" w:type="dxa"/>
            <w:vAlign w:val="bottom"/>
            <w:shd w:val="clear" w:color="auto" w:fill="DCDEE4"/>
          </w:tcPr>
          <w:p>
            <w:pPr>
              <w:spacing w:after="0"/>
              <w:rPr>
                <w:sz w:val="7"/>
                <w:szCs w:val="7"/>
                <w:color w:val="auto"/>
              </w:rPr>
            </w:pPr>
          </w:p>
        </w:tc>
        <w:tc>
          <w:tcPr>
            <w:tcW w:w="600" w:type="dxa"/>
            <w:vAlign w:val="bottom"/>
            <w:vMerge w:val="continue"/>
            <w:shd w:val="clear" w:color="auto" w:fill="DCDEE4"/>
          </w:tcPr>
          <w:p>
            <w:pPr>
              <w:spacing w:after="0"/>
              <w:rPr>
                <w:sz w:val="7"/>
                <w:szCs w:val="7"/>
                <w:color w:val="auto"/>
              </w:rPr>
            </w:pPr>
          </w:p>
        </w:tc>
        <w:tc>
          <w:tcPr>
            <w:tcW w:w="1940" w:type="dxa"/>
            <w:vAlign w:val="bottom"/>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2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640" w:type="dxa"/>
            <w:vAlign w:val="bottom"/>
            <w:shd w:val="clear" w:color="auto" w:fill="DCDEE4"/>
          </w:tcPr>
          <w:p>
            <w:pPr>
              <w:spacing w:after="0"/>
              <w:rPr>
                <w:sz w:val="10"/>
                <w:szCs w:val="10"/>
                <w:color w:val="auto"/>
              </w:rPr>
            </w:pPr>
          </w:p>
        </w:tc>
        <w:tc>
          <w:tcPr>
            <w:tcW w:w="80" w:type="dxa"/>
            <w:vAlign w:val="bottom"/>
            <w:shd w:val="clear" w:color="auto" w:fill="DCDEE4"/>
          </w:tcPr>
          <w:p>
            <w:pPr>
              <w:spacing w:after="0"/>
              <w:rPr>
                <w:sz w:val="10"/>
                <w:szCs w:val="10"/>
                <w:color w:val="auto"/>
              </w:rPr>
            </w:pPr>
          </w:p>
        </w:tc>
        <w:tc>
          <w:tcPr>
            <w:tcW w:w="1620" w:type="dxa"/>
            <w:vAlign w:val="bottom"/>
            <w:shd w:val="clear" w:color="auto" w:fill="DCDEE4"/>
          </w:tcPr>
          <w:p>
            <w:pPr>
              <w:spacing w:after="0"/>
              <w:rPr>
                <w:sz w:val="10"/>
                <w:szCs w:val="10"/>
                <w:color w:val="auto"/>
              </w:rPr>
            </w:pPr>
          </w:p>
        </w:tc>
        <w:tc>
          <w:tcPr>
            <w:tcW w:w="600" w:type="dxa"/>
            <w:vAlign w:val="bottom"/>
            <w:shd w:val="clear" w:color="auto" w:fill="DCDEE4"/>
          </w:tcPr>
          <w:p>
            <w:pPr>
              <w:spacing w:after="0"/>
              <w:rPr>
                <w:sz w:val="10"/>
                <w:szCs w:val="10"/>
                <w:color w:val="auto"/>
              </w:rPr>
            </w:pPr>
          </w:p>
        </w:tc>
        <w:tc>
          <w:tcPr>
            <w:tcW w:w="1940" w:type="dxa"/>
            <w:vAlign w:val="bottom"/>
            <w:shd w:val="clear" w:color="auto" w:fill="DCDEE4"/>
          </w:tcPr>
          <w:p>
            <w:pPr>
              <w:spacing w:after="0"/>
              <w:rPr>
                <w:sz w:val="10"/>
                <w:szCs w:val="10"/>
                <w:color w:val="auto"/>
              </w:rPr>
            </w:pPr>
          </w:p>
        </w:tc>
        <w:tc>
          <w:tcPr>
            <w:tcW w:w="1920" w:type="dxa"/>
            <w:vAlign w:val="bottom"/>
            <w:shd w:val="clear" w:color="auto" w:fill="DCDEE4"/>
          </w:tcPr>
          <w:p>
            <w:pPr>
              <w:spacing w:after="0"/>
              <w:rPr>
                <w:sz w:val="10"/>
                <w:szCs w:val="10"/>
                <w:color w:val="auto"/>
              </w:rPr>
            </w:pPr>
          </w:p>
        </w:tc>
        <w:tc>
          <w:tcPr>
            <w:tcW w:w="222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D02A2E"/>
            </w:tcBorders>
          </w:tcPr>
          <w:p>
            <w:pPr>
              <w:spacing w:after="0"/>
              <w:rPr>
                <w:sz w:val="18"/>
                <w:szCs w:val="18"/>
                <w:color w:val="auto"/>
              </w:rPr>
            </w:pPr>
          </w:p>
        </w:tc>
        <w:tc>
          <w:tcPr>
            <w:tcW w:w="640" w:type="dxa"/>
            <w:vAlign w:val="bottom"/>
            <w:tcBorders>
              <w:bottom w:val="single" w:sz="8" w:color="D02A2E"/>
            </w:tcBorders>
          </w:tcPr>
          <w:p>
            <w:pPr>
              <w:spacing w:after="0"/>
              <w:rPr>
                <w:sz w:val="18"/>
                <w:szCs w:val="18"/>
                <w:color w:val="auto"/>
              </w:rPr>
            </w:pPr>
          </w:p>
        </w:tc>
        <w:tc>
          <w:tcPr>
            <w:tcW w:w="80" w:type="dxa"/>
            <w:vAlign w:val="bottom"/>
            <w:tcBorders>
              <w:bottom w:val="single" w:sz="8" w:color="D02A2E"/>
            </w:tcBorders>
          </w:tcPr>
          <w:p>
            <w:pPr>
              <w:spacing w:after="0"/>
              <w:rPr>
                <w:sz w:val="18"/>
                <w:szCs w:val="18"/>
                <w:color w:val="auto"/>
              </w:rPr>
            </w:pPr>
          </w:p>
        </w:tc>
        <w:tc>
          <w:tcPr>
            <w:tcW w:w="1620" w:type="dxa"/>
            <w:vAlign w:val="bottom"/>
            <w:tcBorders>
              <w:bottom w:val="single" w:sz="8" w:color="D02A2E"/>
            </w:tcBorders>
          </w:tcPr>
          <w:p>
            <w:pPr>
              <w:spacing w:after="0"/>
              <w:rPr>
                <w:sz w:val="18"/>
                <w:szCs w:val="18"/>
                <w:color w:val="auto"/>
              </w:rPr>
            </w:pPr>
          </w:p>
        </w:tc>
        <w:tc>
          <w:tcPr>
            <w:tcW w:w="600" w:type="dxa"/>
            <w:vAlign w:val="bottom"/>
            <w:tcBorders>
              <w:bottom w:val="single" w:sz="8" w:color="D02A2E"/>
            </w:tcBorders>
          </w:tcPr>
          <w:p>
            <w:pPr>
              <w:spacing w:after="0"/>
              <w:rPr>
                <w:sz w:val="18"/>
                <w:szCs w:val="18"/>
                <w:color w:val="auto"/>
              </w:rPr>
            </w:pPr>
          </w:p>
        </w:tc>
        <w:tc>
          <w:tcPr>
            <w:tcW w:w="1940" w:type="dxa"/>
            <w:vAlign w:val="bottom"/>
            <w:tcBorders>
              <w:bottom w:val="single" w:sz="8" w:color="D02A2E"/>
            </w:tcBorders>
          </w:tcPr>
          <w:p>
            <w:pPr>
              <w:spacing w:after="0"/>
              <w:rPr>
                <w:sz w:val="18"/>
                <w:szCs w:val="18"/>
                <w:color w:val="auto"/>
              </w:rPr>
            </w:pPr>
          </w:p>
        </w:tc>
        <w:tc>
          <w:tcPr>
            <w:tcW w:w="1920" w:type="dxa"/>
            <w:vAlign w:val="bottom"/>
            <w:tcBorders>
              <w:bottom w:val="single" w:sz="8" w:color="D02A2E"/>
            </w:tcBorders>
          </w:tcPr>
          <w:p>
            <w:pPr>
              <w:spacing w:after="0"/>
              <w:rPr>
                <w:sz w:val="18"/>
                <w:szCs w:val="18"/>
                <w:color w:val="auto"/>
              </w:rPr>
            </w:pPr>
          </w:p>
        </w:tc>
        <w:tc>
          <w:tcPr>
            <w:tcW w:w="222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74930</wp:posOffset>
            </wp:positionV>
            <wp:extent cx="1663065" cy="39173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63065" cy="391731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61</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2021</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line="9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Chair of Nominating &amp; Corporate Governance and Member of Compensation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Santiago Perez</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CEO of The Hiller Companies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7" w:lineRule="auto"/>
        <w:rPr>
          <w:sz w:val="20"/>
          <w:szCs w:val="20"/>
          <w:color w:val="auto"/>
        </w:rPr>
      </w:pPr>
      <w:r>
        <w:rPr>
          <w:rFonts w:ascii="Arial" w:cs="Arial" w:eastAsia="Arial" w:hAnsi="Arial"/>
          <w:sz w:val="18"/>
          <w:szCs w:val="18"/>
          <w:b w:val="1"/>
          <w:bCs w:val="1"/>
          <w:color w:val="D02A2E"/>
        </w:rPr>
        <w:t>QUALIFICATIONS</w:t>
      </w:r>
      <w:r>
        <w:rPr>
          <w:rFonts w:ascii="Arial" w:cs="Arial" w:eastAsia="Arial" w:hAnsi="Arial"/>
          <w:sz w:val="32"/>
          <w:szCs w:val="32"/>
          <w:color w:val="000000"/>
          <w:vertAlign w:val="subscript"/>
        </w:rPr>
        <w:t xml:space="preserve"> </w:t>
      </w:r>
      <w:r>
        <w:rPr>
          <w:rFonts w:ascii="Arial" w:cs="Arial" w:eastAsia="Arial" w:hAnsi="Arial"/>
          <w:sz w:val="18"/>
          <w:szCs w:val="18"/>
          <w:b w:val="1"/>
          <w:bCs w:val="1"/>
          <w:color w:val="D02A2E"/>
        </w:rPr>
        <w:t xml:space="preserve"> AND SKILLS</w:t>
      </w:r>
    </w:p>
    <w:p>
      <w:pPr>
        <w:spacing w:after="0" w:line="1" w:lineRule="exact"/>
        <w:rPr>
          <w:sz w:val="20"/>
          <w:szCs w:val="20"/>
          <w:color w:val="auto"/>
        </w:rPr>
      </w:pPr>
    </w:p>
    <w:p>
      <w:pPr>
        <w:ind w:right="140"/>
        <w:spacing w:after="0" w:line="223" w:lineRule="auto"/>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Brings 35 years of diverse global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high-tech industries, including energy, HVAC&amp;R, building automation and industrial automation sectors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40"/>
        <w:spacing w:after="0" w:line="223" w:lineRule="auto"/>
        <w:rPr>
          <w:sz w:val="20"/>
          <w:szCs w:val="20"/>
          <w:color w:val="auto"/>
        </w:rPr>
      </w:pPr>
      <w:r>
        <w:rPr>
          <w:rFonts w:ascii="Arial" w:cs="Arial" w:eastAsia="Arial" w:hAnsi="Arial"/>
          <w:sz w:val="16"/>
          <w:szCs w:val="16"/>
          <w:b w:val="1"/>
          <w:bCs w:val="1"/>
          <w:color w:val="auto"/>
        </w:rPr>
        <w:t xml:space="preserve">MANUFACTURING AND SUPPLY CHAIN EXPERTISE: </w:t>
      </w:r>
      <w:r>
        <w:rPr>
          <w:rFonts w:ascii="Arial" w:cs="Arial" w:eastAsia="Arial" w:hAnsi="Arial"/>
          <w:sz w:val="16"/>
          <w:szCs w:val="16"/>
          <w:color w:val="auto"/>
        </w:rPr>
        <w:t>Leads with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global supply chain management, product development and engineering</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520"/>
        <w:spacing w:after="0" w:line="246" w:lineRule="auto"/>
        <w:rPr>
          <w:sz w:val="20"/>
          <w:szCs w:val="20"/>
          <w:color w:val="auto"/>
        </w:rPr>
      </w:pPr>
      <w:r>
        <w:rPr>
          <w:rFonts w:ascii="Arial" w:cs="Arial" w:eastAsia="Arial" w:hAnsi="Arial"/>
          <w:sz w:val="16"/>
          <w:szCs w:val="16"/>
          <w:b w:val="1"/>
          <w:bCs w:val="1"/>
          <w:color w:val="auto"/>
        </w:rPr>
        <w:t xml:space="preserve">MARKETING/SALES EXPERTISE: </w:t>
      </w:r>
      <w:r>
        <w:rPr>
          <w:rFonts w:ascii="Arial" w:cs="Arial" w:eastAsia="Arial" w:hAnsi="Arial"/>
          <w:sz w:val="16"/>
          <w:szCs w:val="16"/>
          <w:color w:val="auto"/>
        </w:rPr>
        <w:t>Leverages valuable experience in driving</w:t>
      </w:r>
      <w:r>
        <w:rPr>
          <w:rFonts w:ascii="Arial" w:cs="Arial" w:eastAsia="Arial" w:hAnsi="Arial"/>
          <w:sz w:val="16"/>
          <w:szCs w:val="16"/>
          <w:b w:val="1"/>
          <w:bCs w:val="1"/>
          <w:color w:val="auto"/>
        </w:rPr>
        <w:t xml:space="preserve"> </w:t>
      </w:r>
      <w:r>
        <w:rPr>
          <w:rFonts w:ascii="Arial" w:cs="Arial" w:eastAsia="Arial" w:hAnsi="Arial"/>
          <w:sz w:val="16"/>
          <w:szCs w:val="16"/>
          <w:color w:val="auto"/>
        </w:rPr>
        <w:t>sales, distribution, contracting and service operations across global markets,</w:t>
      </w:r>
    </w:p>
    <w:p>
      <w:pPr>
        <w:spacing w:after="0" w:line="1" w:lineRule="exact"/>
        <w:rPr>
          <w:sz w:val="20"/>
          <w:szCs w:val="20"/>
          <w:color w:val="auto"/>
        </w:rPr>
      </w:pPr>
    </w:p>
    <w:p>
      <w:pPr>
        <w:ind w:right="2520"/>
        <w:spacing w:after="0" w:line="211" w:lineRule="auto"/>
        <w:rPr>
          <w:sz w:val="20"/>
          <w:szCs w:val="20"/>
          <w:color w:val="auto"/>
        </w:rPr>
      </w:pPr>
      <w:r>
        <w:rPr>
          <w:rFonts w:ascii="Arial" w:cs="Arial" w:eastAsia="Arial" w:hAnsi="Arial"/>
          <w:sz w:val="16"/>
          <w:szCs w:val="16"/>
          <w:color w:val="auto"/>
        </w:rPr>
        <w:t>including software-as-a-service recurring revenue  </w:t>
      </w:r>
    </w:p>
    <w:p>
      <w:pPr>
        <w:spacing w:after="0"/>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Offers unique insight from leading innovative global</w:t>
      </w:r>
    </w:p>
    <w:p>
      <w:pPr>
        <w:spacing w:after="0" w:line="217" w:lineRule="auto"/>
        <w:rPr>
          <w:sz w:val="20"/>
          <w:szCs w:val="20"/>
          <w:color w:val="auto"/>
        </w:rPr>
      </w:pPr>
      <w:r>
        <w:rPr>
          <w:rFonts w:ascii="Arial" w:cs="Arial" w:eastAsia="Arial" w:hAnsi="Arial"/>
          <w:sz w:val="16"/>
          <w:szCs w:val="16"/>
          <w:color w:val="auto"/>
        </w:rPr>
        <w:t>product development and engineering initiatives for major corporations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5" w:lineRule="exact"/>
        <w:rPr>
          <w:sz w:val="20"/>
          <w:szCs w:val="20"/>
          <w:color w:val="auto"/>
        </w:rPr>
      </w:pPr>
    </w:p>
    <w:p>
      <w:pPr>
        <w:ind w:left="160" w:right="6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High-tech executive with expertise in sales, product management, service</w:t>
      </w:r>
      <w:r>
        <w:rPr>
          <w:rFonts w:ascii="Arial" w:cs="Arial" w:eastAsia="Arial" w:hAnsi="Arial"/>
          <w:sz w:val="16"/>
          <w:szCs w:val="16"/>
          <w:color w:val="D02A2E"/>
        </w:rPr>
        <w:t xml:space="preserve"> </w:t>
      </w:r>
      <w:r>
        <w:rPr>
          <w:rFonts w:ascii="Arial" w:cs="Arial" w:eastAsia="Arial" w:hAnsi="Arial"/>
          <w:sz w:val="16"/>
          <w:szCs w:val="16"/>
          <w:color w:val="000000"/>
        </w:rPr>
        <w:t>operations and digital transformation in complex business environments</w:t>
      </w:r>
    </w:p>
    <w:p>
      <w:pPr>
        <w:spacing w:after="0" w:line="34" w:lineRule="exact"/>
        <w:rPr>
          <w:sz w:val="20"/>
          <w:szCs w:val="20"/>
          <w:color w:val="auto"/>
        </w:rPr>
      </w:pPr>
    </w:p>
    <w:p>
      <w:pPr>
        <w:ind w:left="160" w:right="200" w:hanging="170"/>
        <w:spacing w:after="0" w:line="254"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Held various leadership roles, including currently as CEO of The Hiller</w:t>
      </w:r>
      <w:r>
        <w:rPr>
          <w:rFonts w:ascii="Arial" w:cs="Arial" w:eastAsia="Arial" w:hAnsi="Arial"/>
          <w:sz w:val="16"/>
          <w:szCs w:val="16"/>
          <w:color w:val="D02A2E"/>
        </w:rPr>
        <w:t xml:space="preserve"> </w:t>
      </w:r>
      <w:r>
        <w:rPr>
          <w:rFonts w:ascii="Arial" w:cs="Arial" w:eastAsia="Arial" w:hAnsi="Arial"/>
          <w:sz w:val="16"/>
          <w:szCs w:val="16"/>
          <w:color w:val="000000"/>
        </w:rPr>
        <w:t>Companies since March 2023, formerly as CEO of Keter Environmental Services, LLC from January 2022 to June 2022, and as a Senior Advisor at Arsenal Capital Partners in 2021. Prior to this, Mr. Perez served as Chief Digital Officer &amp; Senior Vice President U.S. Services &amp; Solutions at Schneider Electric from 2017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193040</wp:posOffset>
            </wp:positionV>
            <wp:extent cx="5829300" cy="2040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9300" cy="2040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4"/>
                <w:szCs w:val="14"/>
                <w:b w:val="1"/>
                <w:bCs w:val="1"/>
                <w:color w:val="5D6673"/>
              </w:rPr>
              <w:t>EXECUTIVE</w:t>
            </w: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FINANCIAL</w:t>
            </w:r>
          </w:p>
        </w:tc>
        <w:tc>
          <w:tcPr>
            <w:tcW w:w="380" w:type="dxa"/>
            <w:vAlign w:val="bottom"/>
          </w:tcPr>
          <w:p>
            <w:pPr>
              <w:spacing w:after="0"/>
              <w:rPr>
                <w:sz w:val="24"/>
                <w:szCs w:val="24"/>
                <w:color w:val="auto"/>
              </w:rPr>
            </w:pPr>
          </w:p>
        </w:tc>
        <w:tc>
          <w:tcPr>
            <w:tcW w:w="2240" w:type="dxa"/>
            <w:vAlign w:val="bottom"/>
          </w:tcPr>
          <w:p>
            <w:pPr>
              <w:ind w:left="680"/>
              <w:spacing w:after="0"/>
              <w:rPr>
                <w:sz w:val="20"/>
                <w:szCs w:val="20"/>
                <w:color w:val="auto"/>
              </w:rPr>
            </w:pPr>
            <w:r>
              <w:rPr>
                <w:rFonts w:ascii="Arial" w:cs="Arial" w:eastAsia="Arial" w:hAnsi="Arial"/>
                <w:sz w:val="14"/>
                <w:szCs w:val="14"/>
                <w:b w:val="1"/>
                <w:bCs w:val="1"/>
                <w:color w:val="5D6673"/>
              </w:rPr>
              <w:t>PUBLIC BOARD</w:t>
            </w:r>
          </w:p>
        </w:tc>
        <w:tc>
          <w:tcPr>
            <w:tcW w:w="206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vMerge w:val="restart"/>
          </w:tcPr>
          <w:p>
            <w:pPr>
              <w:spacing w:after="0"/>
              <w:rPr>
                <w:sz w:val="20"/>
                <w:szCs w:val="20"/>
                <w:color w:val="auto"/>
              </w:rPr>
            </w:pPr>
            <w:r>
              <w:rPr>
                <w:rFonts w:ascii="Arial" w:cs="Arial" w:eastAsia="Arial" w:hAnsi="Arial"/>
                <w:sz w:val="14"/>
                <w:szCs w:val="14"/>
                <w:b w:val="1"/>
                <w:bCs w:val="1"/>
                <w:color w:val="5D6673"/>
              </w:rPr>
              <w:t>LEADERSHIP</w:t>
            </w:r>
          </w:p>
        </w:tc>
        <w:tc>
          <w:tcPr>
            <w:tcW w:w="22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240" w:type="dxa"/>
            <w:vAlign w:val="bottom"/>
            <w:vMerge w:val="restart"/>
          </w:tcPr>
          <w:p>
            <w:pPr>
              <w:ind w:left="680"/>
              <w:spacing w:after="0"/>
              <w:rPr>
                <w:sz w:val="20"/>
                <w:szCs w:val="20"/>
                <w:color w:val="auto"/>
              </w:rPr>
            </w:pPr>
            <w:r>
              <w:rPr>
                <w:rFonts w:ascii="Arial" w:cs="Arial" w:eastAsia="Arial" w:hAnsi="Arial"/>
                <w:sz w:val="14"/>
                <w:szCs w:val="14"/>
                <w:b w:val="1"/>
                <w:bCs w:val="1"/>
                <w:color w:val="5D6673"/>
              </w:rPr>
              <w:t>AND GOVERNANCE</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LITERACY/CFO</w:t>
            </w:r>
          </w:p>
        </w:tc>
        <w:tc>
          <w:tcPr>
            <w:tcW w:w="38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206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40" w:type="dxa"/>
            <w:vAlign w:val="bottom"/>
          </w:tcPr>
          <w:p>
            <w:pPr>
              <w:spacing w:after="0"/>
              <w:rPr>
                <w:sz w:val="8"/>
                <w:szCs w:val="8"/>
                <w:color w:val="auto"/>
              </w:rPr>
            </w:pPr>
          </w:p>
        </w:tc>
        <w:tc>
          <w:tcPr>
            <w:tcW w:w="1480" w:type="dxa"/>
            <w:vAlign w:val="bottom"/>
            <w:vMerge w:val="restart"/>
          </w:tcPr>
          <w:p>
            <w:pPr>
              <w:spacing w:after="0"/>
              <w:rPr>
                <w:sz w:val="20"/>
                <w:szCs w:val="20"/>
                <w:color w:val="auto"/>
              </w:rPr>
            </w:pPr>
            <w:r>
              <w:rPr>
                <w:rFonts w:ascii="Arial" w:cs="Arial" w:eastAsia="Arial" w:hAnsi="Arial"/>
                <w:sz w:val="14"/>
                <w:szCs w:val="14"/>
                <w:b w:val="1"/>
                <w:bCs w:val="1"/>
                <w:color w:val="5D6673"/>
              </w:rPr>
              <w:t>EXPERIENCE</w:t>
            </w:r>
          </w:p>
        </w:tc>
        <w:tc>
          <w:tcPr>
            <w:tcW w:w="22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240" w:type="dxa"/>
            <w:vAlign w:val="bottom"/>
            <w:vMerge w:val="restart"/>
          </w:tcPr>
          <w:p>
            <w:pPr>
              <w:ind w:left="680"/>
              <w:spacing w:after="0"/>
              <w:rPr>
                <w:sz w:val="20"/>
                <w:szCs w:val="20"/>
                <w:color w:val="auto"/>
              </w:rPr>
            </w:pPr>
            <w:r>
              <w:rPr>
                <w:rFonts w:ascii="Arial" w:cs="Arial" w:eastAsia="Arial" w:hAnsi="Arial"/>
                <w:sz w:val="14"/>
                <w:szCs w:val="14"/>
                <w:b w:val="1"/>
                <w:bCs w:val="1"/>
                <w:color w:val="5D6673"/>
              </w:rPr>
              <w:t>EXPERIENCE</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2220" w:type="dxa"/>
            <w:vAlign w:val="bottom"/>
            <w:vMerge w:val="restart"/>
          </w:tcPr>
          <w:p>
            <w:pPr>
              <w:ind w:left="160"/>
              <w:spacing w:after="0"/>
              <w:rPr>
                <w:sz w:val="20"/>
                <w:szCs w:val="20"/>
                <w:color w:val="auto"/>
              </w:rPr>
            </w:pPr>
            <w:r>
              <w:rPr>
                <w:rFonts w:ascii="Arial" w:cs="Arial" w:eastAsia="Arial" w:hAnsi="Arial"/>
                <w:sz w:val="14"/>
                <w:szCs w:val="14"/>
                <w:b w:val="1"/>
                <w:bCs w:val="1"/>
                <w:color w:val="5D6673"/>
              </w:rPr>
              <w:t> </w:t>
            </w:r>
          </w:p>
        </w:tc>
        <w:tc>
          <w:tcPr>
            <w:tcW w:w="38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 </w:t>
            </w:r>
          </w:p>
        </w:tc>
        <w:tc>
          <w:tcPr>
            <w:tcW w:w="2240" w:type="dxa"/>
            <w:vAlign w:val="bottom"/>
            <w:vMerge w:val="continue"/>
          </w:tcPr>
          <w:p>
            <w:pPr>
              <w:spacing w:after="0"/>
              <w:rPr>
                <w:sz w:val="8"/>
                <w:szCs w:val="8"/>
                <w:color w:val="auto"/>
              </w:rPr>
            </w:pPr>
          </w:p>
        </w:tc>
        <w:tc>
          <w:tcPr>
            <w:tcW w:w="2060" w:type="dxa"/>
            <w:vAlign w:val="bottom"/>
            <w:vMerge w:val="restart"/>
          </w:tcPr>
          <w:p>
            <w:pPr>
              <w:ind w:left="16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4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MANUFACTURING</w:t>
            </w:r>
          </w:p>
        </w:tc>
        <w:tc>
          <w:tcPr>
            <w:tcW w:w="222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PRODUCT</w:t>
            </w:r>
          </w:p>
        </w:tc>
        <w:tc>
          <w:tcPr>
            <w:tcW w:w="380" w:type="dxa"/>
            <w:vAlign w:val="bottom"/>
            <w:shd w:val="clear" w:color="auto" w:fill="DCDEE4"/>
          </w:tcPr>
          <w:p>
            <w:pPr>
              <w:spacing w:after="0"/>
              <w:rPr>
                <w:sz w:val="24"/>
                <w:szCs w:val="24"/>
                <w:color w:val="auto"/>
              </w:rPr>
            </w:pPr>
          </w:p>
        </w:tc>
        <w:tc>
          <w:tcPr>
            <w:tcW w:w="224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5D6673"/>
              </w:rPr>
              <w:t>MARKETING/SALES</w:t>
            </w:r>
          </w:p>
        </w:tc>
        <w:tc>
          <w:tcPr>
            <w:tcW w:w="206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GOVERNMENT</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4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AND/OR SUPPLY</w:t>
            </w:r>
          </w:p>
        </w:tc>
        <w:tc>
          <w:tcPr>
            <w:tcW w:w="2220" w:type="dxa"/>
            <w:vAlign w:val="bottom"/>
            <w:vMerge w:val="continue"/>
            <w:shd w:val="clear" w:color="auto" w:fill="DCDEE4"/>
          </w:tcPr>
          <w:p>
            <w:pPr>
              <w:spacing w:after="0"/>
              <w:rPr>
                <w:sz w:val="7"/>
                <w:szCs w:val="7"/>
                <w:color w:val="auto"/>
              </w:rPr>
            </w:pPr>
          </w:p>
        </w:tc>
        <w:tc>
          <w:tcPr>
            <w:tcW w:w="380" w:type="dxa"/>
            <w:vAlign w:val="bottom"/>
            <w:shd w:val="clear" w:color="auto" w:fill="DCDEE4"/>
          </w:tcPr>
          <w:p>
            <w:pPr>
              <w:spacing w:after="0"/>
              <w:rPr>
                <w:sz w:val="7"/>
                <w:szCs w:val="7"/>
                <w:color w:val="auto"/>
              </w:rPr>
            </w:pPr>
          </w:p>
        </w:tc>
        <w:tc>
          <w:tcPr>
            <w:tcW w:w="2240" w:type="dxa"/>
            <w:vAlign w:val="bottom"/>
            <w:vMerge w:val="continue"/>
            <w:shd w:val="clear" w:color="auto" w:fill="DCDEE4"/>
          </w:tcPr>
          <w:p>
            <w:pPr>
              <w:spacing w:after="0"/>
              <w:rPr>
                <w:sz w:val="7"/>
                <w:szCs w:val="7"/>
                <w:color w:val="auto"/>
              </w:rPr>
            </w:pPr>
          </w:p>
        </w:tc>
        <w:tc>
          <w:tcPr>
            <w:tcW w:w="206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480" w:type="dxa"/>
            <w:vAlign w:val="bottom"/>
            <w:vMerge w:val="continue"/>
            <w:shd w:val="clear" w:color="auto" w:fill="DCDEE4"/>
          </w:tcPr>
          <w:p>
            <w:pPr>
              <w:spacing w:after="0"/>
              <w:rPr>
                <w:sz w:val="7"/>
                <w:szCs w:val="7"/>
                <w:color w:val="auto"/>
              </w:rPr>
            </w:pPr>
          </w:p>
        </w:tc>
        <w:tc>
          <w:tcPr>
            <w:tcW w:w="222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TECHNOLOGY</w:t>
            </w:r>
          </w:p>
        </w:tc>
        <w:tc>
          <w:tcPr>
            <w:tcW w:w="380" w:type="dxa"/>
            <w:vAlign w:val="bottom"/>
            <w:shd w:val="clear" w:color="auto" w:fill="DCDEE4"/>
          </w:tcPr>
          <w:p>
            <w:pPr>
              <w:spacing w:after="0"/>
              <w:rPr>
                <w:sz w:val="7"/>
                <w:szCs w:val="7"/>
                <w:color w:val="auto"/>
              </w:rPr>
            </w:pPr>
          </w:p>
        </w:tc>
        <w:tc>
          <w:tcPr>
            <w:tcW w:w="224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5D6673"/>
              </w:rPr>
              <w:t>EXPERTISE</w:t>
            </w:r>
          </w:p>
        </w:tc>
        <w:tc>
          <w:tcPr>
            <w:tcW w:w="206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4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CHAIN EXPERTISE</w:t>
            </w:r>
          </w:p>
        </w:tc>
        <w:tc>
          <w:tcPr>
            <w:tcW w:w="2220" w:type="dxa"/>
            <w:vAlign w:val="bottom"/>
            <w:vMerge w:val="continue"/>
            <w:shd w:val="clear" w:color="auto" w:fill="DCDEE4"/>
          </w:tcPr>
          <w:p>
            <w:pPr>
              <w:spacing w:after="0"/>
              <w:rPr>
                <w:sz w:val="7"/>
                <w:szCs w:val="7"/>
                <w:color w:val="auto"/>
              </w:rPr>
            </w:pPr>
          </w:p>
        </w:tc>
        <w:tc>
          <w:tcPr>
            <w:tcW w:w="380" w:type="dxa"/>
            <w:vAlign w:val="bottom"/>
            <w:shd w:val="clear" w:color="auto" w:fill="DCDEE4"/>
          </w:tcPr>
          <w:p>
            <w:pPr>
              <w:spacing w:after="0"/>
              <w:rPr>
                <w:sz w:val="7"/>
                <w:szCs w:val="7"/>
                <w:color w:val="auto"/>
              </w:rPr>
            </w:pPr>
          </w:p>
        </w:tc>
        <w:tc>
          <w:tcPr>
            <w:tcW w:w="2240" w:type="dxa"/>
            <w:vAlign w:val="bottom"/>
            <w:vMerge w:val="continue"/>
            <w:shd w:val="clear" w:color="auto" w:fill="DCDEE4"/>
          </w:tcPr>
          <w:p>
            <w:pPr>
              <w:spacing w:after="0"/>
              <w:rPr>
                <w:sz w:val="7"/>
                <w:szCs w:val="7"/>
                <w:color w:val="auto"/>
              </w:rPr>
            </w:pPr>
          </w:p>
        </w:tc>
        <w:tc>
          <w:tcPr>
            <w:tcW w:w="206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10"/>
                <w:szCs w:val="10"/>
                <w:color w:val="auto"/>
              </w:rPr>
            </w:pPr>
          </w:p>
        </w:tc>
        <w:tc>
          <w:tcPr>
            <w:tcW w:w="1480" w:type="dxa"/>
            <w:vAlign w:val="bottom"/>
            <w:vMerge w:val="continue"/>
            <w:shd w:val="clear" w:color="auto" w:fill="DCDEE4"/>
          </w:tcPr>
          <w:p>
            <w:pPr>
              <w:spacing w:after="0"/>
              <w:rPr>
                <w:sz w:val="10"/>
                <w:szCs w:val="10"/>
                <w:color w:val="auto"/>
              </w:rPr>
            </w:pPr>
          </w:p>
        </w:tc>
        <w:tc>
          <w:tcPr>
            <w:tcW w:w="2220" w:type="dxa"/>
            <w:vAlign w:val="bottom"/>
            <w:vMerge w:val="restart"/>
            <w:shd w:val="clear" w:color="auto" w:fill="DCDEE4"/>
          </w:tcPr>
          <w:p>
            <w:pPr>
              <w:ind w:left="220"/>
              <w:spacing w:after="0"/>
              <w:rPr>
                <w:sz w:val="20"/>
                <w:szCs w:val="20"/>
                <w:color w:val="auto"/>
              </w:rPr>
            </w:pPr>
            <w:r>
              <w:rPr>
                <w:rFonts w:ascii="Arial" w:cs="Arial" w:eastAsia="Arial" w:hAnsi="Arial"/>
                <w:sz w:val="14"/>
                <w:szCs w:val="14"/>
                <w:b w:val="1"/>
                <w:bCs w:val="1"/>
                <w:color w:val="5D6673"/>
              </w:rPr>
              <w:t> </w:t>
            </w:r>
          </w:p>
        </w:tc>
        <w:tc>
          <w:tcPr>
            <w:tcW w:w="380" w:type="dxa"/>
            <w:vAlign w:val="bottom"/>
            <w:shd w:val="clear" w:color="auto" w:fill="DCDEE4"/>
          </w:tcPr>
          <w:p>
            <w:pPr>
              <w:spacing w:after="0"/>
              <w:rPr>
                <w:sz w:val="10"/>
                <w:szCs w:val="10"/>
                <w:color w:val="auto"/>
              </w:rPr>
            </w:pPr>
          </w:p>
        </w:tc>
        <w:tc>
          <w:tcPr>
            <w:tcW w:w="2240" w:type="dxa"/>
            <w:vAlign w:val="bottom"/>
            <w:vMerge w:val="restart"/>
            <w:shd w:val="clear" w:color="auto" w:fill="DCDEE4"/>
          </w:tcPr>
          <w:p>
            <w:pPr>
              <w:ind w:left="20"/>
              <w:spacing w:after="0"/>
              <w:rPr>
                <w:sz w:val="20"/>
                <w:szCs w:val="20"/>
                <w:color w:val="auto"/>
              </w:rPr>
            </w:pPr>
            <w:r>
              <w:rPr>
                <w:rFonts w:ascii="Arial" w:cs="Arial" w:eastAsia="Arial" w:hAnsi="Arial"/>
                <w:sz w:val="14"/>
                <w:szCs w:val="14"/>
                <w:b w:val="1"/>
                <w:bCs w:val="1"/>
                <w:color w:val="5D6673"/>
              </w:rPr>
              <w:t> </w:t>
            </w:r>
          </w:p>
        </w:tc>
        <w:tc>
          <w:tcPr>
            <w:tcW w:w="2060" w:type="dxa"/>
            <w:vAlign w:val="bottom"/>
            <w:vMerge w:val="restart"/>
            <w:shd w:val="clear" w:color="auto" w:fill="DCDEE4"/>
          </w:tcPr>
          <w:p>
            <w:pPr>
              <w:ind w:left="16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40" w:type="dxa"/>
            <w:vAlign w:val="bottom"/>
            <w:vMerge w:val="continue"/>
            <w:shd w:val="clear" w:color="auto" w:fill="DCDEE4"/>
          </w:tcPr>
          <w:p>
            <w:pPr>
              <w:spacing w:after="0"/>
              <w:rPr>
                <w:sz w:val="11"/>
                <w:szCs w:val="11"/>
                <w:color w:val="auto"/>
              </w:rPr>
            </w:pPr>
          </w:p>
        </w:tc>
        <w:tc>
          <w:tcPr>
            <w:tcW w:w="140" w:type="dxa"/>
            <w:vAlign w:val="bottom"/>
            <w:shd w:val="clear" w:color="auto" w:fill="DCDEE4"/>
          </w:tcPr>
          <w:p>
            <w:pPr>
              <w:spacing w:after="0"/>
              <w:rPr>
                <w:sz w:val="11"/>
                <w:szCs w:val="11"/>
                <w:color w:val="auto"/>
              </w:rPr>
            </w:pPr>
          </w:p>
        </w:tc>
        <w:tc>
          <w:tcPr>
            <w:tcW w:w="1480" w:type="dxa"/>
            <w:vAlign w:val="bottom"/>
            <w:shd w:val="clear" w:color="auto" w:fill="DCDEE4"/>
          </w:tcPr>
          <w:p>
            <w:pPr>
              <w:spacing w:after="0"/>
              <w:rPr>
                <w:sz w:val="11"/>
                <w:szCs w:val="11"/>
                <w:color w:val="auto"/>
              </w:rPr>
            </w:pPr>
          </w:p>
        </w:tc>
        <w:tc>
          <w:tcPr>
            <w:tcW w:w="2220" w:type="dxa"/>
            <w:vAlign w:val="bottom"/>
            <w:vMerge w:val="continue"/>
            <w:shd w:val="clear" w:color="auto" w:fill="DCDEE4"/>
          </w:tcPr>
          <w:p>
            <w:pPr>
              <w:spacing w:after="0"/>
              <w:rPr>
                <w:sz w:val="11"/>
                <w:szCs w:val="11"/>
                <w:color w:val="auto"/>
              </w:rPr>
            </w:pPr>
          </w:p>
        </w:tc>
        <w:tc>
          <w:tcPr>
            <w:tcW w:w="380" w:type="dxa"/>
            <w:vAlign w:val="bottom"/>
            <w:shd w:val="clear" w:color="auto" w:fill="DCDEE4"/>
          </w:tcPr>
          <w:p>
            <w:pPr>
              <w:spacing w:after="0"/>
              <w:rPr>
                <w:sz w:val="11"/>
                <w:szCs w:val="11"/>
                <w:color w:val="auto"/>
              </w:rPr>
            </w:pPr>
          </w:p>
        </w:tc>
        <w:tc>
          <w:tcPr>
            <w:tcW w:w="2240" w:type="dxa"/>
            <w:vAlign w:val="bottom"/>
            <w:vMerge w:val="continue"/>
            <w:shd w:val="clear" w:color="auto" w:fill="DCDEE4"/>
          </w:tcPr>
          <w:p>
            <w:pPr>
              <w:spacing w:after="0"/>
              <w:rPr>
                <w:sz w:val="11"/>
                <w:szCs w:val="11"/>
                <w:color w:val="auto"/>
              </w:rPr>
            </w:pPr>
          </w:p>
        </w:tc>
        <w:tc>
          <w:tcPr>
            <w:tcW w:w="2060" w:type="dxa"/>
            <w:vAlign w:val="bottom"/>
            <w:vMerge w:val="continue"/>
            <w:shd w:val="clear" w:color="auto" w:fill="DCDEE4"/>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4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MERGERS AND</w:t>
            </w:r>
          </w:p>
        </w:tc>
        <w:tc>
          <w:tcPr>
            <w:tcW w:w="2220" w:type="dxa"/>
            <w:vAlign w:val="bottom"/>
            <w:shd w:val="clear" w:color="auto" w:fill="DCDEE4"/>
          </w:tcPr>
          <w:p>
            <w:pPr>
              <w:spacing w:after="0"/>
              <w:rPr>
                <w:sz w:val="24"/>
                <w:szCs w:val="24"/>
                <w:color w:val="auto"/>
              </w:rPr>
            </w:pPr>
          </w:p>
        </w:tc>
        <w:tc>
          <w:tcPr>
            <w:tcW w:w="380" w:type="dxa"/>
            <w:vAlign w:val="bottom"/>
            <w:shd w:val="clear" w:color="auto" w:fill="DCDEE4"/>
          </w:tcPr>
          <w:p>
            <w:pPr>
              <w:spacing w:after="0"/>
              <w:rPr>
                <w:sz w:val="24"/>
                <w:szCs w:val="24"/>
                <w:color w:val="auto"/>
              </w:rPr>
            </w:pPr>
          </w:p>
        </w:tc>
        <w:tc>
          <w:tcPr>
            <w:tcW w:w="2240" w:type="dxa"/>
            <w:vAlign w:val="bottom"/>
            <w:shd w:val="clear" w:color="auto" w:fill="DCDEE4"/>
          </w:tcPr>
          <w:p>
            <w:pPr>
              <w:spacing w:after="0"/>
              <w:rPr>
                <w:sz w:val="24"/>
                <w:szCs w:val="24"/>
                <w:color w:val="auto"/>
              </w:rPr>
            </w:pPr>
          </w:p>
        </w:tc>
        <w:tc>
          <w:tcPr>
            <w:tcW w:w="20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17"/>
                <w:szCs w:val="17"/>
                <w:color w:val="auto"/>
              </w:rPr>
            </w:pPr>
          </w:p>
        </w:tc>
        <w:tc>
          <w:tcPr>
            <w:tcW w:w="14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ACQUISITIONS</w:t>
            </w:r>
          </w:p>
        </w:tc>
        <w:tc>
          <w:tcPr>
            <w:tcW w:w="2220" w:type="dxa"/>
            <w:vAlign w:val="bottom"/>
            <w:shd w:val="clear" w:color="auto" w:fill="DCDEE4"/>
          </w:tcPr>
          <w:p>
            <w:pPr>
              <w:spacing w:after="0"/>
              <w:rPr>
                <w:sz w:val="17"/>
                <w:szCs w:val="17"/>
                <w:color w:val="auto"/>
              </w:rPr>
            </w:pPr>
          </w:p>
        </w:tc>
        <w:tc>
          <w:tcPr>
            <w:tcW w:w="380" w:type="dxa"/>
            <w:vAlign w:val="bottom"/>
            <w:shd w:val="clear" w:color="auto" w:fill="DCDEE4"/>
          </w:tcPr>
          <w:p>
            <w:pPr>
              <w:spacing w:after="0"/>
              <w:rPr>
                <w:sz w:val="17"/>
                <w:szCs w:val="17"/>
                <w:color w:val="auto"/>
              </w:rPr>
            </w:pPr>
          </w:p>
        </w:tc>
        <w:tc>
          <w:tcPr>
            <w:tcW w:w="2240" w:type="dxa"/>
            <w:vAlign w:val="bottom"/>
            <w:shd w:val="clear" w:color="auto" w:fill="DCDEE4"/>
          </w:tcPr>
          <w:p>
            <w:pPr>
              <w:spacing w:after="0"/>
              <w:rPr>
                <w:sz w:val="17"/>
                <w:szCs w:val="17"/>
                <w:color w:val="auto"/>
              </w:rPr>
            </w:pPr>
          </w:p>
        </w:tc>
        <w:tc>
          <w:tcPr>
            <w:tcW w:w="2060" w:type="dxa"/>
            <w:vAlign w:val="bottom"/>
            <w:shd w:val="clear" w:color="auto" w:fill="DCDEE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540" w:type="dxa"/>
            <w:vAlign w:val="bottom"/>
            <w:vMerge w:val="continue"/>
            <w:shd w:val="clear" w:color="auto" w:fill="DCDEE4"/>
          </w:tcPr>
          <w:p>
            <w:pPr>
              <w:spacing w:after="0"/>
              <w:rPr>
                <w:sz w:val="14"/>
                <w:szCs w:val="14"/>
                <w:color w:val="auto"/>
              </w:rPr>
            </w:pPr>
          </w:p>
        </w:tc>
        <w:tc>
          <w:tcPr>
            <w:tcW w:w="140" w:type="dxa"/>
            <w:vAlign w:val="bottom"/>
            <w:shd w:val="clear" w:color="auto" w:fill="DCDEE4"/>
          </w:tcPr>
          <w:p>
            <w:pPr>
              <w:spacing w:after="0"/>
              <w:rPr>
                <w:sz w:val="14"/>
                <w:szCs w:val="14"/>
                <w:color w:val="auto"/>
              </w:rPr>
            </w:pPr>
          </w:p>
        </w:tc>
        <w:tc>
          <w:tcPr>
            <w:tcW w:w="1480" w:type="dxa"/>
            <w:vAlign w:val="bottom"/>
            <w:shd w:val="clear" w:color="auto" w:fill="DCDEE4"/>
          </w:tcPr>
          <w:p>
            <w:pPr>
              <w:spacing w:after="0"/>
              <w:rPr>
                <w:sz w:val="14"/>
                <w:szCs w:val="14"/>
                <w:color w:val="auto"/>
              </w:rPr>
            </w:pPr>
          </w:p>
        </w:tc>
        <w:tc>
          <w:tcPr>
            <w:tcW w:w="2220" w:type="dxa"/>
            <w:vAlign w:val="bottom"/>
            <w:shd w:val="clear" w:color="auto" w:fill="DCDEE4"/>
          </w:tcPr>
          <w:p>
            <w:pPr>
              <w:spacing w:after="0"/>
              <w:rPr>
                <w:sz w:val="14"/>
                <w:szCs w:val="14"/>
                <w:color w:val="auto"/>
              </w:rPr>
            </w:pPr>
          </w:p>
        </w:tc>
        <w:tc>
          <w:tcPr>
            <w:tcW w:w="380" w:type="dxa"/>
            <w:vAlign w:val="bottom"/>
            <w:shd w:val="clear" w:color="auto" w:fill="DCDEE4"/>
          </w:tcPr>
          <w:p>
            <w:pPr>
              <w:spacing w:after="0"/>
              <w:rPr>
                <w:sz w:val="14"/>
                <w:szCs w:val="14"/>
                <w:color w:val="auto"/>
              </w:rPr>
            </w:pPr>
          </w:p>
        </w:tc>
        <w:tc>
          <w:tcPr>
            <w:tcW w:w="2240" w:type="dxa"/>
            <w:vAlign w:val="bottom"/>
            <w:shd w:val="clear" w:color="auto" w:fill="DCDEE4"/>
          </w:tcPr>
          <w:p>
            <w:pPr>
              <w:spacing w:after="0"/>
              <w:rPr>
                <w:sz w:val="14"/>
                <w:szCs w:val="14"/>
                <w:color w:val="auto"/>
              </w:rPr>
            </w:pPr>
          </w:p>
        </w:tc>
        <w:tc>
          <w:tcPr>
            <w:tcW w:w="2060" w:type="dxa"/>
            <w:vAlign w:val="bottom"/>
            <w:shd w:val="clear" w:color="auto" w:fill="DCDEE4"/>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480" w:type="dxa"/>
            <w:vAlign w:val="bottom"/>
            <w:shd w:val="clear" w:color="auto" w:fill="DCDEE4"/>
          </w:tcPr>
          <w:p>
            <w:pPr>
              <w:spacing w:after="0"/>
              <w:rPr>
                <w:sz w:val="10"/>
                <w:szCs w:val="10"/>
                <w:color w:val="auto"/>
              </w:rPr>
            </w:pPr>
          </w:p>
        </w:tc>
        <w:tc>
          <w:tcPr>
            <w:tcW w:w="2220" w:type="dxa"/>
            <w:vAlign w:val="bottom"/>
            <w:shd w:val="clear" w:color="auto" w:fill="DCDEE4"/>
          </w:tcPr>
          <w:p>
            <w:pPr>
              <w:spacing w:after="0"/>
              <w:rPr>
                <w:sz w:val="10"/>
                <w:szCs w:val="10"/>
                <w:color w:val="auto"/>
              </w:rPr>
            </w:pPr>
          </w:p>
        </w:tc>
        <w:tc>
          <w:tcPr>
            <w:tcW w:w="380" w:type="dxa"/>
            <w:vAlign w:val="bottom"/>
            <w:shd w:val="clear" w:color="auto" w:fill="DCDEE4"/>
          </w:tcPr>
          <w:p>
            <w:pPr>
              <w:spacing w:after="0"/>
              <w:rPr>
                <w:sz w:val="10"/>
                <w:szCs w:val="10"/>
                <w:color w:val="auto"/>
              </w:rPr>
            </w:pPr>
          </w:p>
        </w:tc>
        <w:tc>
          <w:tcPr>
            <w:tcW w:w="2240" w:type="dxa"/>
            <w:vAlign w:val="bottom"/>
            <w:shd w:val="clear" w:color="auto" w:fill="DCDEE4"/>
          </w:tcPr>
          <w:p>
            <w:pPr>
              <w:spacing w:after="0"/>
              <w:rPr>
                <w:sz w:val="10"/>
                <w:szCs w:val="10"/>
                <w:color w:val="auto"/>
              </w:rPr>
            </w:pPr>
          </w:p>
        </w:tc>
        <w:tc>
          <w:tcPr>
            <w:tcW w:w="20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40" w:type="dxa"/>
            <w:vAlign w:val="bottom"/>
            <w:tcBorders>
              <w:bottom w:val="single" w:sz="8" w:color="D02A2E"/>
            </w:tcBorders>
          </w:tcPr>
          <w:p>
            <w:pPr>
              <w:spacing w:after="0"/>
              <w:rPr>
                <w:sz w:val="18"/>
                <w:szCs w:val="18"/>
                <w:color w:val="auto"/>
              </w:rPr>
            </w:pPr>
          </w:p>
        </w:tc>
        <w:tc>
          <w:tcPr>
            <w:tcW w:w="1480" w:type="dxa"/>
            <w:vAlign w:val="bottom"/>
            <w:tcBorders>
              <w:bottom w:val="single" w:sz="8" w:color="D02A2E"/>
            </w:tcBorders>
          </w:tcPr>
          <w:p>
            <w:pPr>
              <w:spacing w:after="0"/>
              <w:rPr>
                <w:sz w:val="18"/>
                <w:szCs w:val="18"/>
                <w:color w:val="auto"/>
              </w:rPr>
            </w:pPr>
          </w:p>
        </w:tc>
        <w:tc>
          <w:tcPr>
            <w:tcW w:w="2220" w:type="dxa"/>
            <w:vAlign w:val="bottom"/>
            <w:tcBorders>
              <w:bottom w:val="single" w:sz="8" w:color="D02A2E"/>
            </w:tcBorders>
          </w:tcPr>
          <w:p>
            <w:pPr>
              <w:spacing w:after="0"/>
              <w:rPr>
                <w:sz w:val="18"/>
                <w:szCs w:val="18"/>
                <w:color w:val="auto"/>
              </w:rPr>
            </w:pPr>
          </w:p>
        </w:tc>
        <w:tc>
          <w:tcPr>
            <w:tcW w:w="380" w:type="dxa"/>
            <w:vAlign w:val="bottom"/>
            <w:tcBorders>
              <w:bottom w:val="single" w:sz="8" w:color="D02A2E"/>
            </w:tcBorders>
          </w:tcPr>
          <w:p>
            <w:pPr>
              <w:spacing w:after="0"/>
              <w:rPr>
                <w:sz w:val="18"/>
                <w:szCs w:val="18"/>
                <w:color w:val="auto"/>
              </w:rPr>
            </w:pPr>
          </w:p>
        </w:tc>
        <w:tc>
          <w:tcPr>
            <w:tcW w:w="2240" w:type="dxa"/>
            <w:vAlign w:val="bottom"/>
            <w:tcBorders>
              <w:bottom w:val="single" w:sz="8" w:color="D02A2E"/>
            </w:tcBorders>
          </w:tcPr>
          <w:p>
            <w:pPr>
              <w:spacing w:after="0"/>
              <w:rPr>
                <w:sz w:val="18"/>
                <w:szCs w:val="18"/>
                <w:color w:val="auto"/>
              </w:rPr>
            </w:pPr>
          </w:p>
        </w:tc>
        <w:tc>
          <w:tcPr>
            <w:tcW w:w="206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Snapshot of Directors and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200660</wp:posOffset>
            </wp:positionV>
            <wp:extent cx="5803265" cy="1551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0326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and Director Nominee Qualifications</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Nominating and Corporate Governance Committee assists the Board in reviewing the business and personal background of each of our directors with respect to our business and business goals. Our skill criteria for our Board members includes a person with the following personal criteria: adheres to and demonstrates the highest ethical standards and personal and professional integrity; an effective negotiator, listener, and team player; a visionary with a strategic and global perspective; a successful leader with a proven record of accomplishments; a problem-solver; an effective decision-maker; and a person who will take a strong interest in the Company. In addition, we believe that certain skills and experience should be represented on the Board, as represented below, although not every Board member must possess all such skills and experience to be considered capable of making valuable contributions to the Board.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Borders>
              <w:right w:val="single" w:sz="8" w:color="0063A6"/>
            </w:tcBorders>
          </w:tcPr>
          <w:p>
            <w:pPr>
              <w:spacing w:after="0"/>
              <w:rPr>
                <w:sz w:val="19"/>
                <w:szCs w:val="19"/>
                <w:color w:val="auto"/>
              </w:rPr>
            </w:pPr>
          </w:p>
        </w:tc>
        <w:tc>
          <w:tcPr>
            <w:tcW w:w="780" w:type="dxa"/>
            <w:vAlign w:val="bottom"/>
            <w:shd w:val="clear" w:color="auto" w:fill="0063A6"/>
          </w:tcPr>
          <w:p>
            <w:pPr>
              <w:jc w:val="center"/>
              <w:ind w:right="3"/>
              <w:spacing w:after="0"/>
              <w:rPr>
                <w:sz w:val="20"/>
                <w:szCs w:val="20"/>
                <w:color w:val="auto"/>
              </w:rPr>
            </w:pPr>
            <w:r>
              <w:rPr>
                <w:rFonts w:ascii="Arial" w:cs="Arial" w:eastAsia="Arial" w:hAnsi="Arial"/>
                <w:sz w:val="14"/>
                <w:szCs w:val="14"/>
                <w:b w:val="1"/>
                <w:bCs w:val="1"/>
                <w:color w:val="FFFFFF"/>
              </w:rPr>
              <w:t>Thomas L.</w:t>
            </w:r>
          </w:p>
        </w:tc>
        <w:tc>
          <w:tcPr>
            <w:tcW w:w="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Scott D.</w:t>
            </w:r>
          </w:p>
        </w:tc>
        <w:tc>
          <w:tcPr>
            <w:tcW w:w="7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Frank M.</w:t>
            </w: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Jerome J.</w:t>
            </w:r>
          </w:p>
        </w:tc>
        <w:tc>
          <w:tcPr>
            <w:tcW w:w="8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Timothy M.</w:t>
            </w:r>
          </w:p>
        </w:tc>
        <w:tc>
          <w:tcPr>
            <w:tcW w:w="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Sanjay</w:t>
            </w:r>
          </w:p>
        </w:tc>
        <w:tc>
          <w:tcPr>
            <w:tcW w:w="6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Santiago</w:t>
            </w:r>
          </w:p>
        </w:tc>
        <w:tc>
          <w:tcPr>
            <w:tcW w:w="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Sheri L.</w:t>
            </w:r>
          </w:p>
        </w:tc>
        <w:tc>
          <w:tcPr>
            <w:tcW w:w="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Diana D.</w:t>
            </w:r>
          </w:p>
        </w:tc>
        <w:tc>
          <w:tcPr>
            <w:tcW w:w="0" w:type="dxa"/>
            <w:vAlign w:val="bottom"/>
          </w:tcPr>
          <w:p>
            <w:pPr>
              <w:spacing w:after="0"/>
              <w:rPr>
                <w:sz w:val="1"/>
                <w:szCs w:val="1"/>
                <w:color w:val="auto"/>
              </w:rPr>
            </w:pPr>
          </w:p>
        </w:tc>
      </w:tr>
      <w:tr>
        <w:trPr>
          <w:trHeight w:val="196"/>
        </w:trPr>
        <w:tc>
          <w:tcPr>
            <w:tcW w:w="2500" w:type="dxa"/>
            <w:vAlign w:val="bottom"/>
            <w:tcBorders>
              <w:right w:val="single" w:sz="8" w:color="0063A6"/>
            </w:tcBorders>
          </w:tcPr>
          <w:p>
            <w:pPr>
              <w:spacing w:after="0"/>
              <w:rPr>
                <w:sz w:val="17"/>
                <w:szCs w:val="17"/>
                <w:color w:val="auto"/>
              </w:rPr>
            </w:pPr>
          </w:p>
        </w:tc>
        <w:tc>
          <w:tcPr>
            <w:tcW w:w="7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Deitrich</w:t>
            </w:r>
          </w:p>
        </w:tc>
        <w:tc>
          <w:tcPr>
            <w:tcW w:w="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Drury</w:t>
            </w:r>
          </w:p>
        </w:tc>
        <w:tc>
          <w:tcPr>
            <w:tcW w:w="7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Jaehnert</w:t>
            </w: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Lande</w:t>
            </w:r>
          </w:p>
        </w:tc>
        <w:tc>
          <w:tcPr>
            <w:tcW w:w="8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Leyden</w:t>
            </w:r>
          </w:p>
        </w:tc>
        <w:tc>
          <w:tcPr>
            <w:tcW w:w="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Mirchandani</w:t>
            </w:r>
          </w:p>
        </w:tc>
        <w:tc>
          <w:tcPr>
            <w:tcW w:w="6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Perez</w:t>
            </w:r>
          </w:p>
        </w:tc>
        <w:tc>
          <w:tcPr>
            <w:tcW w:w="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Savage</w:t>
            </w:r>
          </w:p>
        </w:tc>
        <w:tc>
          <w:tcPr>
            <w:tcW w:w="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Tremblay</w:t>
            </w:r>
          </w:p>
        </w:tc>
        <w:tc>
          <w:tcPr>
            <w:tcW w:w="0" w:type="dxa"/>
            <w:vAlign w:val="bottom"/>
          </w:tcPr>
          <w:p>
            <w:pPr>
              <w:spacing w:after="0"/>
              <w:rPr>
                <w:sz w:val="1"/>
                <w:szCs w:val="1"/>
                <w:color w:val="auto"/>
              </w:rPr>
            </w:pPr>
          </w:p>
        </w:tc>
      </w:tr>
      <w:tr>
        <w:trPr>
          <w:trHeight w:val="29"/>
        </w:trPr>
        <w:tc>
          <w:tcPr>
            <w:tcW w:w="2500" w:type="dxa"/>
            <w:vAlign w:val="bottom"/>
            <w:tcBorders>
              <w:bottom w:val="single" w:sz="8" w:color="0063A6"/>
              <w:right w:val="single" w:sz="8" w:color="0063A6"/>
            </w:tcBorders>
          </w:tcPr>
          <w:p>
            <w:pPr>
              <w:spacing w:after="0"/>
              <w:rPr>
                <w:sz w:val="2"/>
                <w:szCs w:val="2"/>
                <w:color w:val="auto"/>
              </w:rPr>
            </w:pPr>
          </w:p>
        </w:tc>
        <w:tc>
          <w:tcPr>
            <w:tcW w:w="780" w:type="dxa"/>
            <w:vAlign w:val="bottom"/>
            <w:tcBorders>
              <w:bottom w:val="single" w:sz="8" w:color="0063A6"/>
            </w:tcBorders>
            <w:shd w:val="clear" w:color="auto" w:fill="0063A6"/>
          </w:tcPr>
          <w:p>
            <w:pPr>
              <w:spacing w:after="0"/>
              <w:rPr>
                <w:sz w:val="2"/>
                <w:szCs w:val="2"/>
                <w:color w:val="auto"/>
              </w:rPr>
            </w:pPr>
          </w:p>
        </w:tc>
        <w:tc>
          <w:tcPr>
            <w:tcW w:w="620" w:type="dxa"/>
            <w:vAlign w:val="bottom"/>
            <w:tcBorders>
              <w:bottom w:val="single" w:sz="8" w:color="0063A6"/>
            </w:tcBorders>
            <w:shd w:val="clear" w:color="auto" w:fill="0063A6"/>
          </w:tcPr>
          <w:p>
            <w:pPr>
              <w:spacing w:after="0"/>
              <w:rPr>
                <w:sz w:val="2"/>
                <w:szCs w:val="2"/>
                <w:color w:val="auto"/>
              </w:rPr>
            </w:pPr>
          </w:p>
        </w:tc>
        <w:tc>
          <w:tcPr>
            <w:tcW w:w="700" w:type="dxa"/>
            <w:vAlign w:val="bottom"/>
            <w:tcBorders>
              <w:bottom w:val="single" w:sz="8" w:color="0063A6"/>
            </w:tcBorders>
            <w:shd w:val="clear" w:color="auto" w:fill="0063A6"/>
          </w:tcPr>
          <w:p>
            <w:pPr>
              <w:spacing w:after="0"/>
              <w:rPr>
                <w:sz w:val="2"/>
                <w:szCs w:val="2"/>
                <w:color w:val="auto"/>
              </w:rPr>
            </w:pPr>
          </w:p>
        </w:tc>
        <w:tc>
          <w:tcPr>
            <w:tcW w:w="760" w:type="dxa"/>
            <w:vAlign w:val="bottom"/>
            <w:tcBorders>
              <w:bottom w:val="single" w:sz="8" w:color="0063A6"/>
            </w:tcBorders>
            <w:shd w:val="clear" w:color="auto" w:fill="0063A6"/>
          </w:tcPr>
          <w:p>
            <w:pPr>
              <w:spacing w:after="0"/>
              <w:rPr>
                <w:sz w:val="2"/>
                <w:szCs w:val="2"/>
                <w:color w:val="auto"/>
              </w:rPr>
            </w:pPr>
          </w:p>
        </w:tc>
        <w:tc>
          <w:tcPr>
            <w:tcW w:w="840" w:type="dxa"/>
            <w:vAlign w:val="bottom"/>
            <w:tcBorders>
              <w:bottom w:val="single" w:sz="8" w:color="0063A6"/>
            </w:tcBorders>
            <w:shd w:val="clear" w:color="auto" w:fill="0063A6"/>
          </w:tcPr>
          <w:p>
            <w:pPr>
              <w:spacing w:after="0"/>
              <w:rPr>
                <w:sz w:val="2"/>
                <w:szCs w:val="2"/>
                <w:color w:val="auto"/>
              </w:rPr>
            </w:pPr>
          </w:p>
        </w:tc>
        <w:tc>
          <w:tcPr>
            <w:tcW w:w="940" w:type="dxa"/>
            <w:vAlign w:val="bottom"/>
            <w:tcBorders>
              <w:bottom w:val="single" w:sz="8" w:color="0063A6"/>
            </w:tcBorders>
            <w:shd w:val="clear" w:color="auto" w:fill="0063A6"/>
          </w:tcPr>
          <w:p>
            <w:pPr>
              <w:spacing w:after="0"/>
              <w:rPr>
                <w:sz w:val="2"/>
                <w:szCs w:val="2"/>
                <w:color w:val="auto"/>
              </w:rPr>
            </w:pPr>
          </w:p>
        </w:tc>
        <w:tc>
          <w:tcPr>
            <w:tcW w:w="680" w:type="dxa"/>
            <w:vAlign w:val="bottom"/>
            <w:tcBorders>
              <w:bottom w:val="single" w:sz="8" w:color="0063A6"/>
            </w:tcBorders>
            <w:shd w:val="clear" w:color="auto" w:fill="0063A6"/>
          </w:tcPr>
          <w:p>
            <w:pPr>
              <w:spacing w:after="0"/>
              <w:rPr>
                <w:sz w:val="2"/>
                <w:szCs w:val="2"/>
                <w:color w:val="auto"/>
              </w:rPr>
            </w:pPr>
          </w:p>
        </w:tc>
        <w:tc>
          <w:tcPr>
            <w:tcW w:w="620" w:type="dxa"/>
            <w:vAlign w:val="bottom"/>
            <w:tcBorders>
              <w:bottom w:val="single" w:sz="8" w:color="0063A6"/>
            </w:tcBorders>
            <w:shd w:val="clear" w:color="auto" w:fill="0063A6"/>
          </w:tcPr>
          <w:p>
            <w:pPr>
              <w:spacing w:after="0"/>
              <w:rPr>
                <w:sz w:val="2"/>
                <w:szCs w:val="2"/>
                <w:color w:val="auto"/>
              </w:rPr>
            </w:pPr>
          </w:p>
        </w:tc>
        <w:tc>
          <w:tcPr>
            <w:tcW w:w="740" w:type="dxa"/>
            <w:vAlign w:val="bottom"/>
            <w:tcBorders>
              <w:bottom w:val="single" w:sz="8" w:color="0063A6"/>
            </w:tcBorders>
            <w:shd w:val="clear" w:color="auto" w:fill="0063A6"/>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Executive leadership</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75"/>
        </w:trPr>
        <w:tc>
          <w:tcPr>
            <w:tcW w:w="2500" w:type="dxa"/>
            <w:vAlign w:val="bottom"/>
            <w:vMerge w:val="restart"/>
          </w:tcPr>
          <w:p>
            <w:pPr>
              <w:ind w:left="80"/>
              <w:spacing w:after="0"/>
              <w:rPr>
                <w:sz w:val="20"/>
                <w:szCs w:val="20"/>
                <w:color w:val="auto"/>
              </w:rPr>
            </w:pPr>
            <w:r>
              <w:rPr>
                <w:rFonts w:ascii="Arial" w:cs="Arial" w:eastAsia="Arial" w:hAnsi="Arial"/>
                <w:sz w:val="16"/>
                <w:szCs w:val="16"/>
                <w:b w:val="1"/>
                <w:bCs w:val="1"/>
                <w:color w:val="0063A6"/>
              </w:rPr>
              <w:t>experience</w:t>
            </w: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5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Financial literacy/CFO</w:t>
            </w:r>
          </w:p>
        </w:tc>
        <w:tc>
          <w:tcPr>
            <w:tcW w:w="7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0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Public board and governance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75"/>
        </w:trPr>
        <w:tc>
          <w:tcPr>
            <w:tcW w:w="2500" w:type="dxa"/>
            <w:vAlign w:val="bottom"/>
            <w:vMerge w:val="restart"/>
          </w:tcPr>
          <w:p>
            <w:pPr>
              <w:ind w:left="80"/>
              <w:spacing w:after="0"/>
              <w:rPr>
                <w:sz w:val="20"/>
                <w:szCs w:val="20"/>
                <w:color w:val="auto"/>
              </w:rPr>
            </w:pPr>
            <w:r>
              <w:rPr>
                <w:rFonts w:ascii="Arial" w:cs="Arial" w:eastAsia="Arial" w:hAnsi="Arial"/>
                <w:sz w:val="16"/>
                <w:szCs w:val="16"/>
                <w:b w:val="1"/>
                <w:bCs w:val="1"/>
                <w:color w:val="0063A6"/>
              </w:rPr>
              <w:t>experience</w:t>
            </w: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5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Industry expertise</w:t>
            </w:r>
          </w:p>
        </w:tc>
        <w:tc>
          <w:tcPr>
            <w:tcW w:w="7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Global experience</w:t>
            </w:r>
          </w:p>
        </w:tc>
        <w:tc>
          <w:tcPr>
            <w:tcW w:w="7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Manufacturing and/or Supply</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9"/>
                <w:szCs w:val="19"/>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75"/>
        </w:trPr>
        <w:tc>
          <w:tcPr>
            <w:tcW w:w="2500" w:type="dxa"/>
            <w:vAlign w:val="bottom"/>
            <w:vMerge w:val="restart"/>
          </w:tcPr>
          <w:p>
            <w:pPr>
              <w:ind w:left="80"/>
              <w:spacing w:after="0"/>
              <w:rPr>
                <w:sz w:val="20"/>
                <w:szCs w:val="20"/>
                <w:color w:val="auto"/>
              </w:rPr>
            </w:pPr>
            <w:r>
              <w:rPr>
                <w:rFonts w:ascii="Arial" w:cs="Arial" w:eastAsia="Arial" w:hAnsi="Arial"/>
                <w:sz w:val="16"/>
                <w:szCs w:val="16"/>
                <w:b w:val="1"/>
                <w:bCs w:val="1"/>
                <w:color w:val="0063A6"/>
              </w:rPr>
              <w:t>Chain expertise</w:t>
            </w: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5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Product Technology</w:t>
            </w:r>
          </w:p>
        </w:tc>
        <w:tc>
          <w:tcPr>
            <w:tcW w:w="7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Marketing/sales expertise</w:t>
            </w:r>
          </w:p>
        </w:tc>
        <w:tc>
          <w:tcPr>
            <w:tcW w:w="7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8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Government expertise</w:t>
            </w:r>
          </w:p>
        </w:tc>
        <w:tc>
          <w:tcPr>
            <w:tcW w:w="7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Mergers and Acquisitions</w:t>
            </w:r>
          </w:p>
        </w:tc>
        <w:tc>
          <w:tcPr>
            <w:tcW w:w="7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Cybersecurity</w:t>
            </w:r>
          </w:p>
        </w:tc>
        <w:tc>
          <w:tcPr>
            <w:tcW w:w="7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Information Technology</w:t>
            </w:r>
          </w:p>
        </w:tc>
        <w:tc>
          <w:tcPr>
            <w:tcW w:w="7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50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94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62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80"/>
              <w:spacing w:after="0"/>
              <w:rPr>
                <w:sz w:val="20"/>
                <w:szCs w:val="20"/>
                <w:color w:val="auto"/>
              </w:rPr>
            </w:pPr>
            <w:r>
              <w:rPr>
                <w:rFonts w:ascii="Arial" w:cs="Arial" w:eastAsia="Arial" w:hAnsi="Arial"/>
                <w:sz w:val="16"/>
                <w:szCs w:val="16"/>
                <w:b w:val="1"/>
                <w:bCs w:val="1"/>
                <w:color w:val="0063A6"/>
              </w:rPr>
              <w:t>Manufacturing improvement</w:t>
            </w: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75"/>
        </w:trPr>
        <w:tc>
          <w:tcPr>
            <w:tcW w:w="2500" w:type="dxa"/>
            <w:vAlign w:val="bottom"/>
            <w:vMerge w:val="restart"/>
          </w:tcPr>
          <w:p>
            <w:pPr>
              <w:ind w:left="80"/>
              <w:spacing w:after="0"/>
              <w:rPr>
                <w:sz w:val="20"/>
                <w:szCs w:val="20"/>
                <w:color w:val="auto"/>
              </w:rPr>
            </w:pPr>
            <w:r>
              <w:rPr>
                <w:rFonts w:ascii="Arial" w:cs="Arial" w:eastAsia="Arial" w:hAnsi="Arial"/>
                <w:sz w:val="16"/>
                <w:szCs w:val="16"/>
                <w:b w:val="1"/>
                <w:bCs w:val="1"/>
                <w:color w:val="0063A6"/>
              </w:rPr>
              <w:t>and processes</w:t>
            </w: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500" w:type="dxa"/>
            <w:vAlign w:val="bottom"/>
            <w:tcBorders>
              <w:bottom w:val="single" w:sz="8" w:color="0063A6"/>
            </w:tcBorders>
            <w:vMerge w:val="continue"/>
          </w:tcPr>
          <w:p>
            <w:pPr>
              <w:spacing w:after="0"/>
              <w:rPr>
                <w:sz w:val="12"/>
                <w:szCs w:val="12"/>
                <w:color w:val="auto"/>
              </w:rPr>
            </w:pPr>
          </w:p>
        </w:tc>
        <w:tc>
          <w:tcPr>
            <w:tcW w:w="780" w:type="dxa"/>
            <w:vAlign w:val="bottom"/>
            <w:tcBorders>
              <w:bottom w:val="single" w:sz="8" w:color="0063A6"/>
            </w:tcBorders>
          </w:tcPr>
          <w:p>
            <w:pPr>
              <w:spacing w:after="0"/>
              <w:rPr>
                <w:sz w:val="12"/>
                <w:szCs w:val="12"/>
                <w:color w:val="auto"/>
              </w:rPr>
            </w:pPr>
          </w:p>
        </w:tc>
        <w:tc>
          <w:tcPr>
            <w:tcW w:w="620" w:type="dxa"/>
            <w:vAlign w:val="bottom"/>
            <w:tcBorders>
              <w:bottom w:val="single" w:sz="8" w:color="0063A6"/>
            </w:tcBorders>
          </w:tcPr>
          <w:p>
            <w:pPr>
              <w:spacing w:after="0"/>
              <w:rPr>
                <w:sz w:val="12"/>
                <w:szCs w:val="12"/>
                <w:color w:val="auto"/>
              </w:rPr>
            </w:pPr>
          </w:p>
        </w:tc>
        <w:tc>
          <w:tcPr>
            <w:tcW w:w="700" w:type="dxa"/>
            <w:vAlign w:val="bottom"/>
            <w:tcBorders>
              <w:bottom w:val="single" w:sz="8" w:color="0063A6"/>
            </w:tcBorders>
          </w:tcPr>
          <w:p>
            <w:pPr>
              <w:spacing w:after="0"/>
              <w:rPr>
                <w:sz w:val="12"/>
                <w:szCs w:val="12"/>
                <w:color w:val="auto"/>
              </w:rPr>
            </w:pPr>
          </w:p>
        </w:tc>
        <w:tc>
          <w:tcPr>
            <w:tcW w:w="760" w:type="dxa"/>
            <w:vAlign w:val="bottom"/>
            <w:tcBorders>
              <w:bottom w:val="single" w:sz="8" w:color="0063A6"/>
            </w:tcBorders>
          </w:tcPr>
          <w:p>
            <w:pPr>
              <w:spacing w:after="0"/>
              <w:rPr>
                <w:sz w:val="12"/>
                <w:szCs w:val="12"/>
                <w:color w:val="auto"/>
              </w:rPr>
            </w:pPr>
          </w:p>
        </w:tc>
        <w:tc>
          <w:tcPr>
            <w:tcW w:w="840" w:type="dxa"/>
            <w:vAlign w:val="bottom"/>
            <w:tcBorders>
              <w:bottom w:val="single" w:sz="8" w:color="0063A6"/>
            </w:tcBorders>
          </w:tcPr>
          <w:p>
            <w:pPr>
              <w:spacing w:after="0"/>
              <w:rPr>
                <w:sz w:val="12"/>
                <w:szCs w:val="12"/>
                <w:color w:val="auto"/>
              </w:rPr>
            </w:pPr>
          </w:p>
        </w:tc>
        <w:tc>
          <w:tcPr>
            <w:tcW w:w="940" w:type="dxa"/>
            <w:vAlign w:val="bottom"/>
            <w:tcBorders>
              <w:bottom w:val="single" w:sz="8" w:color="0063A6"/>
            </w:tcBorders>
          </w:tcPr>
          <w:p>
            <w:pPr>
              <w:spacing w:after="0"/>
              <w:rPr>
                <w:sz w:val="12"/>
                <w:szCs w:val="12"/>
                <w:color w:val="auto"/>
              </w:rPr>
            </w:pPr>
          </w:p>
        </w:tc>
        <w:tc>
          <w:tcPr>
            <w:tcW w:w="680" w:type="dxa"/>
            <w:vAlign w:val="bottom"/>
            <w:tcBorders>
              <w:bottom w:val="single" w:sz="8" w:color="0063A6"/>
            </w:tcBorders>
          </w:tcPr>
          <w:p>
            <w:pPr>
              <w:spacing w:after="0"/>
              <w:rPr>
                <w:sz w:val="12"/>
                <w:szCs w:val="12"/>
                <w:color w:val="auto"/>
              </w:rPr>
            </w:pPr>
          </w:p>
        </w:tc>
        <w:tc>
          <w:tcPr>
            <w:tcW w:w="620" w:type="dxa"/>
            <w:vAlign w:val="bottom"/>
            <w:tcBorders>
              <w:bottom w:val="single" w:sz="8" w:color="0063A6"/>
            </w:tcBorders>
          </w:tcPr>
          <w:p>
            <w:pPr>
              <w:spacing w:after="0"/>
              <w:rPr>
                <w:sz w:val="12"/>
                <w:szCs w:val="12"/>
                <w:color w:val="auto"/>
              </w:rPr>
            </w:pPr>
          </w:p>
        </w:tc>
        <w:tc>
          <w:tcPr>
            <w:tcW w:w="740" w:type="dxa"/>
            <w:vAlign w:val="bottom"/>
            <w:tcBorders>
              <w:bottom w:val="single" w:sz="8" w:color="0063A6"/>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Nominating and Corporate Governance Committee considers diversity as one of several factors relating to overall composition when recommending nominations to our Board. Although we do not have a formal policy governing how diversity is considered, our Corporate Governance Guiding Principles (Governance Principles) state that diversity is an aspect that should be considered with respect to director nominations. The Nominating and Corporate Governance Committee examines the entire Board Membership and construes diversity broadly to include diversity of experience, thought, and skills,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8" w:name="page19"/>
    <w:bookmarkEnd w:id="1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5886"/>
        <w:spacing w:after="0"/>
        <w:rPr>
          <w:sz w:val="20"/>
          <w:szCs w:val="20"/>
          <w:color w:val="auto"/>
        </w:rPr>
      </w:pPr>
      <w:r>
        <w:rPr>
          <w:rFonts w:ascii="Arial" w:cs="Arial" w:eastAsia="Arial" w:hAnsi="Arial"/>
          <w:sz w:val="14"/>
          <w:szCs w:val="14"/>
          <w:color w:val="5D6673"/>
        </w:rPr>
        <w:t>MORE INFORMATION ABOUT OUR DIRECTORS</w:t>
      </w:r>
    </w:p>
    <w:p>
      <w:pPr>
        <w:spacing w:after="0" w:line="104" w:lineRule="exact"/>
        <w:rPr>
          <w:sz w:val="20"/>
          <w:szCs w:val="20"/>
          <w:color w:val="auto"/>
        </w:rPr>
      </w:pPr>
    </w:p>
    <w:p>
      <w:pPr>
        <w:ind w:left="6" w:right="40"/>
        <w:spacing w:after="0" w:line="253" w:lineRule="auto"/>
        <w:rPr>
          <w:sz w:val="20"/>
          <w:szCs w:val="20"/>
          <w:color w:val="auto"/>
        </w:rPr>
      </w:pPr>
      <w:r>
        <w:rPr>
          <w:rFonts w:ascii="Arial" w:cs="Arial" w:eastAsia="Arial" w:hAnsi="Arial"/>
          <w:sz w:val="16"/>
          <w:szCs w:val="16"/>
          <w:color w:val="auto"/>
        </w:rPr>
        <w:t>other traditional diversity concepts. As a result, the Nominating and Corporate Governance Committee strives to ensure when recommending nominations to our Board that our Board is represented by individuals with a variety of different opinions, perspectives, personal, professional, and industry experience and backgrounds, skills, and expertise. In addition, as part of our effort to provide for fresh perspectives and diverse views on our Board, our Governance Principles require that a director will not be nominated for a new term if, upon such nomination, the director would be 75 years of age or older or if the director has served five full terms on the Board, unless the Board determines it to be in the best interests of the Company’s shareholders to renominate the director.</w:t>
      </w:r>
    </w:p>
    <w:p>
      <w:pPr>
        <w:spacing w:after="0" w:line="24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Director Qualifications and Attributes</w:t>
      </w:r>
    </w:p>
    <w:p>
      <w:pPr>
        <w:spacing w:after="0" w:line="99"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color w:val="auto"/>
        </w:rPr>
        <w:t xml:space="preserve">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GOVERNANCE –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Nominations by Shareholders</w:t>
      </w:r>
      <w:r>
        <w:rPr>
          <w:rFonts w:ascii="Arial" w:cs="Arial" w:eastAsia="Arial" w:hAnsi="Arial"/>
          <w:sz w:val="16"/>
          <w:szCs w:val="16"/>
          <w:color w:val="auto"/>
        </w:rPr>
        <w:t>” in this proxy statement.</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Compensation of Directors</w:t>
      </w:r>
    </w:p>
    <w:p>
      <w:pPr>
        <w:spacing w:after="0" w:line="85" w:lineRule="exact"/>
        <w:rPr>
          <w:sz w:val="20"/>
          <w:szCs w:val="20"/>
          <w:color w:val="auto"/>
        </w:rPr>
      </w:pPr>
    </w:p>
    <w:p>
      <w:pPr>
        <w:ind w:left="6" w:right="60"/>
        <w:spacing w:after="0" w:line="256" w:lineRule="auto"/>
        <w:rPr>
          <w:sz w:val="20"/>
          <w:szCs w:val="20"/>
          <w:color w:val="auto"/>
        </w:rPr>
      </w:pPr>
      <w:r>
        <w:rPr>
          <w:rFonts w:ascii="Arial" w:cs="Arial" w:eastAsia="Arial" w:hAnsi="Arial"/>
          <w:sz w:val="16"/>
          <w:szCs w:val="16"/>
          <w:color w:val="auto"/>
        </w:rPr>
        <w:t>The Nominating and Corporate Governance Committee annually reviews compensation paid to non-employee directors and makes recommendations for adjustment, as appropriate, to the Board. The Board last adjusted the compensation paid to non-employee directors effective January 1, 2024. Both equity and cash compensation paid to our directors in 2025 was determined using benchmark data from our peer companies provided by the Compensation Committee’s independent compensation consultant, Frederic W. Cook &amp; Co., Inc. (FW Cook).</w:t>
      </w:r>
    </w:p>
    <w:p>
      <w:pPr>
        <w:spacing w:after="0" w:line="45" w:lineRule="exact"/>
        <w:rPr>
          <w:sz w:val="20"/>
          <w:szCs w:val="20"/>
          <w:color w:val="auto"/>
        </w:rPr>
      </w:pPr>
    </w:p>
    <w:tbl>
      <w:tblPr>
        <w:tblLayout w:type="fixed"/>
        <w:tblInd w:w="6" w:type="dxa"/>
        <w:tblCellMar>
          <w:top w:w="0" w:type="dxa"/>
          <w:left w:w="0" w:type="dxa"/>
          <w:bottom w:w="0" w:type="dxa"/>
          <w:right w:w="0" w:type="dxa"/>
        </w:tblCellMar>
      </w:tblPr>
      <w:tr>
        <w:trPr>
          <w:trHeight w:val="297"/>
        </w:trPr>
        <w:tc>
          <w:tcPr>
            <w:tcW w:w="584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Compensation structure for directors</w:t>
            </w:r>
            <w:r>
              <w:rPr>
                <w:rFonts w:ascii="Arial" w:cs="Arial" w:eastAsia="Arial" w:hAnsi="Arial"/>
                <w:sz w:val="23"/>
                <w:szCs w:val="23"/>
                <w:b w:val="1"/>
                <w:bCs w:val="1"/>
                <w:color w:val="FFFFFF"/>
                <w:vertAlign w:val="superscript"/>
              </w:rPr>
              <w:t>(1)</w:t>
            </w:r>
          </w:p>
        </w:tc>
        <w:tc>
          <w:tcPr>
            <w:tcW w:w="2660" w:type="dxa"/>
            <w:vAlign w:val="bottom"/>
            <w:shd w:val="clear" w:color="auto" w:fill="0063A6"/>
          </w:tcPr>
          <w:p>
            <w:pPr>
              <w:spacing w:after="0"/>
              <w:rPr>
                <w:sz w:val="24"/>
                <w:szCs w:val="24"/>
                <w:color w:val="auto"/>
              </w:rPr>
            </w:pPr>
          </w:p>
        </w:tc>
        <w:tc>
          <w:tcPr>
            <w:tcW w:w="6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97"/>
        </w:trPr>
        <w:tc>
          <w:tcPr>
            <w:tcW w:w="5840" w:type="dxa"/>
            <w:vAlign w:val="bottom"/>
            <w:tcBorders>
              <w:bottom w:val="single" w:sz="8" w:color="5D6673"/>
            </w:tcBorders>
            <w:shd w:val="clear" w:color="auto" w:fill="F2F2F2"/>
          </w:tcPr>
          <w:p>
            <w:pPr>
              <w:ind w:left="80"/>
              <w:spacing w:after="0" w:line="297" w:lineRule="exact"/>
              <w:rPr>
                <w:sz w:val="20"/>
                <w:szCs w:val="20"/>
                <w:color w:val="auto"/>
              </w:rPr>
            </w:pPr>
            <w:r>
              <w:rPr>
                <w:rFonts w:ascii="Arial" w:cs="Arial" w:eastAsia="Arial" w:hAnsi="Arial"/>
                <w:sz w:val="16"/>
                <w:szCs w:val="16"/>
                <w:b w:val="1"/>
                <w:bCs w:val="1"/>
                <w:color w:val="auto"/>
              </w:rPr>
              <w:t>Regular retainer</w:t>
            </w:r>
            <w:r>
              <w:rPr>
                <w:rFonts w:ascii="Arial" w:cs="Arial" w:eastAsia="Arial" w:hAnsi="Arial"/>
                <w:sz w:val="26"/>
                <w:szCs w:val="26"/>
                <w:b w:val="1"/>
                <w:bCs w:val="1"/>
                <w:color w:val="auto"/>
                <w:vertAlign w:val="superscript"/>
              </w:rPr>
              <w:t>(2)</w:t>
            </w:r>
          </w:p>
        </w:tc>
        <w:tc>
          <w:tcPr>
            <w:tcW w:w="2660" w:type="dxa"/>
            <w:vAlign w:val="bottom"/>
            <w:tcBorders>
              <w:bottom w:val="single" w:sz="8" w:color="5D6673"/>
            </w:tcBorders>
            <w:shd w:val="clear" w:color="auto" w:fill="F2F2F2"/>
          </w:tcPr>
          <w:p>
            <w:pPr>
              <w:spacing w:after="0"/>
              <w:rPr>
                <w:sz w:val="24"/>
                <w:szCs w:val="24"/>
                <w:color w:val="auto"/>
              </w:rPr>
            </w:pPr>
          </w:p>
        </w:tc>
        <w:tc>
          <w:tcPr>
            <w:tcW w:w="680" w:type="dxa"/>
            <w:vAlign w:val="bottom"/>
            <w:tcBorders>
              <w:bottom w:val="single" w:sz="8" w:color="5D6673"/>
            </w:tcBorders>
            <w:shd w:val="clear" w:color="auto" w:fill="F2F2F2"/>
          </w:tcPr>
          <w:p>
            <w:pPr>
              <w:spacing w:after="0"/>
              <w:rPr>
                <w:sz w:val="24"/>
                <w:szCs w:val="24"/>
                <w:color w:val="auto"/>
              </w:rPr>
            </w:pPr>
          </w:p>
        </w:tc>
      </w:tr>
      <w:tr>
        <w:trPr>
          <w:trHeight w:val="277"/>
        </w:trPr>
        <w:tc>
          <w:tcPr>
            <w:tcW w:w="5840" w:type="dxa"/>
            <w:vAlign w:val="bottom"/>
            <w:tcBorders>
              <w:bottom w:val="single" w:sz="8" w:color="5D6673"/>
            </w:tcBorders>
          </w:tcPr>
          <w:p>
            <w:pPr>
              <w:ind w:left="80"/>
              <w:spacing w:after="0" w:line="277" w:lineRule="exact"/>
              <w:rPr>
                <w:sz w:val="20"/>
                <w:szCs w:val="20"/>
                <w:color w:val="auto"/>
              </w:rPr>
            </w:pPr>
            <w:r>
              <w:rPr>
                <w:rFonts w:ascii="Arial" w:cs="Arial" w:eastAsia="Arial" w:hAnsi="Arial"/>
                <w:sz w:val="16"/>
                <w:szCs w:val="16"/>
                <w:color w:val="auto"/>
              </w:rPr>
              <w:t>Total annual base retainer</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275,000</w:t>
            </w:r>
          </w:p>
        </w:tc>
      </w:tr>
      <w:tr>
        <w:trPr>
          <w:trHeight w:val="230"/>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Cash</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75,000</w:t>
            </w:r>
          </w:p>
        </w:tc>
      </w:tr>
      <w:tr>
        <w:trPr>
          <w:trHeight w:val="236"/>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Stock</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200,000</w:t>
            </w:r>
          </w:p>
        </w:tc>
      </w:tr>
      <w:tr>
        <w:trPr>
          <w:trHeight w:val="284"/>
        </w:trPr>
        <w:tc>
          <w:tcPr>
            <w:tcW w:w="5840" w:type="dxa"/>
            <w:vAlign w:val="bottom"/>
            <w:tcBorders>
              <w:bottom w:val="single" w:sz="8" w:color="5D6673"/>
            </w:tcBorders>
          </w:tcPr>
          <w:p>
            <w:pPr>
              <w:ind w:left="80"/>
              <w:spacing w:after="0" w:line="283" w:lineRule="exact"/>
              <w:rPr>
                <w:sz w:val="20"/>
                <w:szCs w:val="20"/>
                <w:color w:val="auto"/>
              </w:rPr>
            </w:pPr>
            <w:r>
              <w:rPr>
                <w:rFonts w:ascii="Arial" w:cs="Arial" w:eastAsia="Arial" w:hAnsi="Arial"/>
                <w:sz w:val="16"/>
                <w:szCs w:val="16"/>
                <w:color w:val="auto"/>
              </w:rPr>
              <w:t>Annual committee chair retainer (cash)</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spacing w:after="0"/>
              <w:rPr>
                <w:sz w:val="24"/>
                <w:szCs w:val="24"/>
                <w:color w:val="auto"/>
              </w:rPr>
            </w:pPr>
          </w:p>
        </w:tc>
        <w:tc>
          <w:tcPr>
            <w:tcW w:w="680" w:type="dxa"/>
            <w:vAlign w:val="bottom"/>
            <w:tcBorders>
              <w:bottom w:val="single" w:sz="8" w:color="5D6673"/>
            </w:tcBorders>
          </w:tcPr>
          <w:p>
            <w:pPr>
              <w:spacing w:after="0"/>
              <w:rPr>
                <w:sz w:val="24"/>
                <w:szCs w:val="24"/>
                <w:color w:val="auto"/>
              </w:rPr>
            </w:pPr>
          </w:p>
        </w:tc>
      </w:tr>
      <w:tr>
        <w:trPr>
          <w:trHeight w:val="230"/>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Compensation</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22,500</w:t>
            </w:r>
          </w:p>
        </w:tc>
      </w:tr>
      <w:tr>
        <w:trPr>
          <w:trHeight w:val="237"/>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Nominating &amp; Corporate Governance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22,500</w:t>
            </w:r>
          </w:p>
        </w:tc>
      </w:tr>
      <w:tr>
        <w:trPr>
          <w:trHeight w:val="236"/>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Audit/Finance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30,000</w:t>
            </w:r>
          </w:p>
        </w:tc>
      </w:tr>
      <w:tr>
        <w:trPr>
          <w:trHeight w:val="284"/>
        </w:trPr>
        <w:tc>
          <w:tcPr>
            <w:tcW w:w="5840" w:type="dxa"/>
            <w:vAlign w:val="bottom"/>
            <w:tcBorders>
              <w:bottom w:val="single" w:sz="8" w:color="5D6673"/>
            </w:tcBorders>
          </w:tcPr>
          <w:p>
            <w:pPr>
              <w:ind w:left="80"/>
              <w:spacing w:after="0" w:line="283" w:lineRule="exact"/>
              <w:rPr>
                <w:sz w:val="20"/>
                <w:szCs w:val="20"/>
                <w:color w:val="auto"/>
              </w:rPr>
            </w:pPr>
            <w:r>
              <w:rPr>
                <w:rFonts w:ascii="Arial" w:cs="Arial" w:eastAsia="Arial" w:hAnsi="Arial"/>
                <w:sz w:val="16"/>
                <w:szCs w:val="16"/>
                <w:color w:val="auto"/>
              </w:rPr>
              <w:t>Annual committee member retainer (cash)</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spacing w:after="0"/>
              <w:rPr>
                <w:sz w:val="24"/>
                <w:szCs w:val="24"/>
                <w:color w:val="auto"/>
              </w:rPr>
            </w:pPr>
          </w:p>
        </w:tc>
        <w:tc>
          <w:tcPr>
            <w:tcW w:w="680" w:type="dxa"/>
            <w:vAlign w:val="bottom"/>
            <w:tcBorders>
              <w:bottom w:val="single" w:sz="8" w:color="5D6673"/>
            </w:tcBorders>
          </w:tcPr>
          <w:p>
            <w:pPr>
              <w:spacing w:after="0"/>
              <w:rPr>
                <w:sz w:val="24"/>
                <w:szCs w:val="24"/>
                <w:color w:val="auto"/>
              </w:rPr>
            </w:pPr>
          </w:p>
        </w:tc>
      </w:tr>
      <w:tr>
        <w:trPr>
          <w:trHeight w:val="230"/>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Compensation</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7,500</w:t>
            </w:r>
          </w:p>
        </w:tc>
      </w:tr>
      <w:tr>
        <w:trPr>
          <w:trHeight w:val="236"/>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Nominating &amp; Corporate Governance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7,500</w:t>
            </w:r>
          </w:p>
        </w:tc>
      </w:tr>
      <w:tr>
        <w:trPr>
          <w:trHeight w:val="237"/>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Audit/Finance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10,000</w:t>
            </w:r>
          </w:p>
        </w:tc>
      </w:tr>
      <w:tr>
        <w:trPr>
          <w:trHeight w:val="239"/>
        </w:trPr>
        <w:tc>
          <w:tcPr>
            <w:tcW w:w="5840" w:type="dxa"/>
            <w:vAlign w:val="bottom"/>
            <w:tcBorders>
              <w:bottom w:val="single" w:sz="8" w:color="5D6673"/>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Board Chair retainer</w:t>
            </w:r>
          </w:p>
        </w:tc>
        <w:tc>
          <w:tcPr>
            <w:tcW w:w="2660" w:type="dxa"/>
            <w:vAlign w:val="bottom"/>
            <w:tcBorders>
              <w:bottom w:val="single" w:sz="8" w:color="5D6673"/>
            </w:tcBorders>
            <w:shd w:val="clear" w:color="auto" w:fill="F2F2F2"/>
          </w:tcPr>
          <w:p>
            <w:pPr>
              <w:spacing w:after="0"/>
              <w:rPr>
                <w:sz w:val="20"/>
                <w:szCs w:val="20"/>
                <w:color w:val="auto"/>
              </w:rPr>
            </w:pPr>
          </w:p>
        </w:tc>
        <w:tc>
          <w:tcPr>
            <w:tcW w:w="680" w:type="dxa"/>
            <w:vAlign w:val="bottom"/>
            <w:tcBorders>
              <w:bottom w:val="single" w:sz="8" w:color="5D6673"/>
            </w:tcBorders>
            <w:shd w:val="clear" w:color="auto" w:fill="F2F2F2"/>
          </w:tcPr>
          <w:p>
            <w:pPr>
              <w:spacing w:after="0"/>
              <w:rPr>
                <w:sz w:val="20"/>
                <w:szCs w:val="20"/>
                <w:color w:val="auto"/>
              </w:rPr>
            </w:pPr>
          </w:p>
        </w:tc>
      </w:tr>
      <w:tr>
        <w:trPr>
          <w:trHeight w:val="281"/>
        </w:trPr>
        <w:tc>
          <w:tcPr>
            <w:tcW w:w="5840" w:type="dxa"/>
            <w:vAlign w:val="bottom"/>
            <w:tcBorders>
              <w:bottom w:val="single" w:sz="8" w:color="5D6673"/>
            </w:tcBorders>
          </w:tcPr>
          <w:p>
            <w:pPr>
              <w:ind w:left="80"/>
              <w:spacing w:after="0" w:line="281" w:lineRule="exact"/>
              <w:rPr>
                <w:sz w:val="20"/>
                <w:szCs w:val="20"/>
                <w:color w:val="auto"/>
              </w:rPr>
            </w:pPr>
            <w:r>
              <w:rPr>
                <w:rFonts w:ascii="Arial" w:cs="Arial" w:eastAsia="Arial" w:hAnsi="Arial"/>
                <w:sz w:val="16"/>
                <w:szCs w:val="16"/>
                <w:color w:val="auto"/>
              </w:rPr>
              <w:t>Total annual Board Chair retainer</w:t>
            </w:r>
            <w:r>
              <w:rPr>
                <w:rFonts w:ascii="Arial" w:cs="Arial" w:eastAsia="Arial" w:hAnsi="Arial"/>
                <w:sz w:val="26"/>
                <w:szCs w:val="26"/>
                <w:color w:val="auto"/>
                <w:vertAlign w:val="superscript"/>
              </w:rPr>
              <w:t>(3)(4)</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375,000</w:t>
            </w:r>
          </w:p>
        </w:tc>
      </w:tr>
      <w:tr>
        <w:trPr>
          <w:trHeight w:val="230"/>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Cash</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130,000</w:t>
            </w:r>
          </w:p>
        </w:tc>
      </w:tr>
      <w:tr>
        <w:trPr>
          <w:trHeight w:val="236"/>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Stock</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245,000</w:t>
            </w:r>
          </w:p>
        </w:tc>
      </w:tr>
      <w:tr>
        <w:trPr>
          <w:trHeight w:val="239"/>
        </w:trPr>
        <w:tc>
          <w:tcPr>
            <w:tcW w:w="5840" w:type="dxa"/>
            <w:vAlign w:val="bottom"/>
            <w:tcBorders>
              <w:bottom w:val="single" w:sz="8" w:color="5D6673"/>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Board Vice Chair retainer</w:t>
            </w:r>
          </w:p>
        </w:tc>
        <w:tc>
          <w:tcPr>
            <w:tcW w:w="2660" w:type="dxa"/>
            <w:vAlign w:val="bottom"/>
            <w:tcBorders>
              <w:bottom w:val="single" w:sz="8" w:color="5D6673"/>
            </w:tcBorders>
            <w:shd w:val="clear" w:color="auto" w:fill="F2F2F2"/>
          </w:tcPr>
          <w:p>
            <w:pPr>
              <w:spacing w:after="0"/>
              <w:rPr>
                <w:sz w:val="20"/>
                <w:szCs w:val="20"/>
                <w:color w:val="auto"/>
              </w:rPr>
            </w:pPr>
          </w:p>
        </w:tc>
        <w:tc>
          <w:tcPr>
            <w:tcW w:w="680" w:type="dxa"/>
            <w:vAlign w:val="bottom"/>
            <w:tcBorders>
              <w:bottom w:val="single" w:sz="8" w:color="5D6673"/>
            </w:tcBorders>
            <w:shd w:val="clear" w:color="auto" w:fill="F2F2F2"/>
          </w:tcPr>
          <w:p>
            <w:pPr>
              <w:spacing w:after="0"/>
              <w:rPr>
                <w:sz w:val="20"/>
                <w:szCs w:val="20"/>
                <w:color w:val="auto"/>
              </w:rPr>
            </w:pPr>
          </w:p>
        </w:tc>
      </w:tr>
      <w:tr>
        <w:trPr>
          <w:trHeight w:val="281"/>
        </w:trPr>
        <w:tc>
          <w:tcPr>
            <w:tcW w:w="5840" w:type="dxa"/>
            <w:vAlign w:val="bottom"/>
            <w:tcBorders>
              <w:bottom w:val="single" w:sz="8" w:color="5D6673"/>
            </w:tcBorders>
          </w:tcPr>
          <w:p>
            <w:pPr>
              <w:ind w:left="80"/>
              <w:spacing w:after="0" w:line="281" w:lineRule="exact"/>
              <w:rPr>
                <w:sz w:val="20"/>
                <w:szCs w:val="20"/>
                <w:color w:val="auto"/>
              </w:rPr>
            </w:pPr>
            <w:r>
              <w:rPr>
                <w:rFonts w:ascii="Arial" w:cs="Arial" w:eastAsia="Arial" w:hAnsi="Arial"/>
                <w:sz w:val="16"/>
                <w:szCs w:val="16"/>
                <w:color w:val="auto"/>
              </w:rPr>
              <w:t>Total annual Board Vice Chair retainer</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315,000</w:t>
            </w:r>
          </w:p>
        </w:tc>
      </w:tr>
      <w:tr>
        <w:trPr>
          <w:trHeight w:val="230"/>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Cash</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w w:val="96"/>
              </w:rPr>
              <w:t>115,000</w:t>
            </w:r>
          </w:p>
        </w:tc>
      </w:tr>
      <w:tr>
        <w:trPr>
          <w:trHeight w:val="229"/>
        </w:trPr>
        <w:tc>
          <w:tcPr>
            <w:tcW w:w="5840" w:type="dxa"/>
            <w:vAlign w:val="bottom"/>
            <w:tcBorders>
              <w:bottom w:val="single" w:sz="8" w:color="0063A6"/>
            </w:tcBorders>
          </w:tcPr>
          <w:p>
            <w:pPr>
              <w:ind w:left="440"/>
              <w:spacing w:after="0"/>
              <w:rPr>
                <w:sz w:val="20"/>
                <w:szCs w:val="20"/>
                <w:color w:val="auto"/>
              </w:rPr>
            </w:pPr>
            <w:r>
              <w:rPr>
                <w:rFonts w:ascii="Arial" w:cs="Arial" w:eastAsia="Arial" w:hAnsi="Arial"/>
                <w:sz w:val="16"/>
                <w:szCs w:val="16"/>
                <w:color w:val="auto"/>
              </w:rPr>
              <w:t>Stock</w:t>
            </w:r>
          </w:p>
        </w:tc>
        <w:tc>
          <w:tcPr>
            <w:tcW w:w="2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200,000</w:t>
            </w:r>
          </w:p>
        </w:tc>
      </w:tr>
    </w:tbl>
    <w:p>
      <w:pPr>
        <w:spacing w:after="0" w:line="99" w:lineRule="exact"/>
        <w:rPr>
          <w:sz w:val="20"/>
          <w:szCs w:val="20"/>
          <w:color w:val="auto"/>
        </w:rPr>
      </w:pPr>
    </w:p>
    <w:p>
      <w:pPr>
        <w:ind w:left="326" w:hanging="326"/>
        <w:spacing w:after="0"/>
        <w:tabs>
          <w:tab w:leader="none" w:pos="326" w:val="left"/>
        </w:tabs>
        <w:numPr>
          <w:ilvl w:val="0"/>
          <w:numId w:val="7"/>
        </w:numPr>
        <w:rPr>
          <w:rFonts w:ascii="Arial" w:cs="Arial" w:eastAsia="Arial" w:hAnsi="Arial"/>
          <w:sz w:val="14"/>
          <w:szCs w:val="14"/>
          <w:color w:val="auto"/>
        </w:rPr>
      </w:pPr>
      <w:r>
        <w:rPr>
          <w:rFonts w:ascii="Arial" w:cs="Arial" w:eastAsia="Arial" w:hAnsi="Arial"/>
          <w:sz w:val="14"/>
          <w:szCs w:val="14"/>
          <w:color w:val="auto"/>
        </w:rPr>
        <w:t>Director compensation is payable quarterly at the beginning of each quarter.</w:t>
      </w:r>
    </w:p>
    <w:p>
      <w:pPr>
        <w:spacing w:after="0" w:line="68" w:lineRule="exact"/>
        <w:rPr>
          <w:rFonts w:ascii="Arial" w:cs="Arial" w:eastAsia="Arial" w:hAnsi="Arial"/>
          <w:sz w:val="14"/>
          <w:szCs w:val="14"/>
          <w:color w:val="auto"/>
        </w:rPr>
      </w:pPr>
    </w:p>
    <w:p>
      <w:pPr>
        <w:ind w:left="326" w:right="540" w:hanging="326"/>
        <w:spacing w:after="0" w:line="285" w:lineRule="auto"/>
        <w:tabs>
          <w:tab w:leader="none" w:pos="326"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Applies to our non-employee directors (other than our Board Chair and Vice Chair). Mr. Deitrich is our CEO. In accordance with our Governance Principles, our employee directors do not receive any compensation for serving on the Board.</w:t>
      </w:r>
    </w:p>
    <w:p>
      <w:pPr>
        <w:spacing w:after="0" w:line="22" w:lineRule="exact"/>
        <w:rPr>
          <w:rFonts w:ascii="Arial" w:cs="Arial" w:eastAsia="Arial" w:hAnsi="Arial"/>
          <w:sz w:val="14"/>
          <w:szCs w:val="14"/>
          <w:color w:val="auto"/>
        </w:rPr>
      </w:pPr>
    </w:p>
    <w:p>
      <w:pPr>
        <w:ind w:left="326" w:right="380" w:hanging="326"/>
        <w:spacing w:after="0" w:line="285" w:lineRule="auto"/>
        <w:tabs>
          <w:tab w:leader="none" w:pos="326" w:val="left"/>
        </w:tabs>
        <w:numPr>
          <w:ilvl w:val="0"/>
          <w:numId w:val="7"/>
        </w:numPr>
        <w:rPr>
          <w:rFonts w:ascii="Arial" w:cs="Arial" w:eastAsia="Arial" w:hAnsi="Arial"/>
          <w:sz w:val="14"/>
          <w:szCs w:val="14"/>
          <w:color w:val="auto"/>
        </w:rPr>
      </w:pPr>
      <w:r>
        <w:rPr>
          <w:rFonts w:ascii="Arial" w:cs="Arial" w:eastAsia="Arial" w:hAnsi="Arial"/>
          <w:sz w:val="14"/>
          <w:szCs w:val="14"/>
          <w:color w:val="auto"/>
        </w:rPr>
        <w:t>Directors with age 65 or older may elect to receive all of his or her retainer in cash, provided the director continuously meets the stock ownership guidelines described under “</w:t>
      </w:r>
      <w:r>
        <w:rPr>
          <w:rFonts w:ascii="Arial" w:cs="Arial" w:eastAsia="Arial" w:hAnsi="Arial"/>
          <w:sz w:val="14"/>
          <w:szCs w:val="14"/>
          <w:i w:val="1"/>
          <w:iCs w:val="1"/>
          <w:color w:val="auto"/>
        </w:rPr>
        <w:t>Stock Ownership Guidelines</w:t>
      </w:r>
      <w:r>
        <w:rPr>
          <w:rFonts w:ascii="Arial" w:cs="Arial" w:eastAsia="Arial" w:hAnsi="Arial"/>
          <w:sz w:val="14"/>
          <w:szCs w:val="14"/>
          <w:color w:val="auto"/>
        </w:rPr>
        <w:t>.” Mr. Jaehnert and Ms. Tremblay made this election for 2025.</w:t>
      </w:r>
    </w:p>
    <w:p>
      <w:pPr>
        <w:spacing w:after="0" w:line="9" w:lineRule="exact"/>
        <w:rPr>
          <w:rFonts w:ascii="Arial" w:cs="Arial" w:eastAsia="Arial" w:hAnsi="Arial"/>
          <w:sz w:val="14"/>
          <w:szCs w:val="14"/>
          <w:color w:val="auto"/>
        </w:rPr>
      </w:pPr>
    </w:p>
    <w:p>
      <w:pPr>
        <w:ind w:left="326" w:hanging="326"/>
        <w:spacing w:after="0"/>
        <w:tabs>
          <w:tab w:leader="none" w:pos="32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Board Chair receives no additional retainers for serving on any of our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2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9" w:name="page20"/>
    <w:bookmarkEnd w:id="1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MORE INFORMATION ABOUT OUR DIRECTORS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2025 Director Compensation Table (for all non-employee Directors)</w:t>
      </w:r>
    </w:p>
    <w:p>
      <w:pPr>
        <w:spacing w:after="0" w:line="77"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0063A6"/>
            </w:tcBorders>
          </w:tcPr>
          <w:p>
            <w:pPr>
              <w:spacing w:after="0"/>
              <w:rPr>
                <w:sz w:val="17"/>
                <w:szCs w:val="17"/>
                <w:color w:val="auto"/>
              </w:rPr>
            </w:pPr>
          </w:p>
        </w:tc>
        <w:tc>
          <w:tcPr>
            <w:tcW w:w="860" w:type="dxa"/>
            <w:vAlign w:val="bottom"/>
            <w:tcBorders>
              <w:bottom w:val="single" w:sz="8" w:color="0063A6"/>
            </w:tcBorders>
          </w:tcPr>
          <w:p>
            <w:pPr>
              <w:spacing w:after="0"/>
              <w:rPr>
                <w:sz w:val="17"/>
                <w:szCs w:val="17"/>
                <w:color w:val="auto"/>
              </w:rPr>
            </w:pPr>
          </w:p>
        </w:tc>
        <w:tc>
          <w:tcPr>
            <w:tcW w:w="780" w:type="dxa"/>
            <w:vAlign w:val="bottom"/>
            <w:tcBorders>
              <w:bottom w:val="single" w:sz="8" w:color="0063A6"/>
            </w:tcBorders>
          </w:tcPr>
          <w:p>
            <w:pPr>
              <w:spacing w:after="0"/>
              <w:rPr>
                <w:sz w:val="17"/>
                <w:szCs w:val="17"/>
                <w:color w:val="auto"/>
              </w:rPr>
            </w:pPr>
          </w:p>
        </w:tc>
        <w:tc>
          <w:tcPr>
            <w:tcW w:w="2400" w:type="dxa"/>
            <w:vAlign w:val="bottom"/>
            <w:tcBorders>
              <w:bottom w:val="single" w:sz="8" w:color="0063A6"/>
            </w:tcBorders>
            <w:gridSpan w:val="2"/>
          </w:tcPr>
          <w:p>
            <w:pPr>
              <w:jc w:val="center"/>
              <w:ind w:right="544"/>
              <w:spacing w:after="0"/>
              <w:rPr>
                <w:sz w:val="20"/>
                <w:szCs w:val="20"/>
                <w:color w:val="auto"/>
              </w:rPr>
            </w:pPr>
            <w:r>
              <w:rPr>
                <w:rFonts w:ascii="Arial" w:cs="Arial" w:eastAsia="Arial" w:hAnsi="Arial"/>
                <w:sz w:val="14"/>
                <w:szCs w:val="14"/>
                <w:b w:val="1"/>
                <w:bCs w:val="1"/>
                <w:color w:val="auto"/>
              </w:rPr>
              <w:t>ITRON, INC.</w:t>
            </w:r>
          </w:p>
        </w:tc>
        <w:tc>
          <w:tcPr>
            <w:tcW w:w="1200" w:type="dxa"/>
            <w:vAlign w:val="bottom"/>
            <w:tcBorders>
              <w:bottom w:val="single" w:sz="8" w:color="0063A6"/>
            </w:tcBorders>
          </w:tcPr>
          <w:p>
            <w:pPr>
              <w:spacing w:after="0"/>
              <w:rPr>
                <w:sz w:val="17"/>
                <w:szCs w:val="17"/>
                <w:color w:val="auto"/>
              </w:rPr>
            </w:pPr>
          </w:p>
        </w:tc>
        <w:tc>
          <w:tcPr>
            <w:tcW w:w="680" w:type="dxa"/>
            <w:vAlign w:val="bottom"/>
            <w:tcBorders>
              <w:bottom w:val="single" w:sz="8" w:color="0063A6"/>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0063A6"/>
            </w:tcBorders>
          </w:tcPr>
          <w:p>
            <w:pPr>
              <w:spacing w:after="0"/>
              <w:rPr>
                <w:sz w:val="19"/>
                <w:szCs w:val="19"/>
                <w:color w:val="auto"/>
              </w:rPr>
            </w:pPr>
          </w:p>
        </w:tc>
        <w:tc>
          <w:tcPr>
            <w:tcW w:w="860" w:type="dxa"/>
            <w:vAlign w:val="bottom"/>
            <w:tcBorders>
              <w:bottom w:val="single" w:sz="8" w:color="0063A6"/>
            </w:tcBorders>
          </w:tcPr>
          <w:p>
            <w:pPr>
              <w:spacing w:after="0"/>
              <w:rPr>
                <w:sz w:val="19"/>
                <w:szCs w:val="19"/>
                <w:color w:val="auto"/>
              </w:rPr>
            </w:pPr>
          </w:p>
        </w:tc>
        <w:tc>
          <w:tcPr>
            <w:tcW w:w="780" w:type="dxa"/>
            <w:vAlign w:val="bottom"/>
            <w:tcBorders>
              <w:bottom w:val="single" w:sz="8" w:color="0063A6"/>
            </w:tcBorders>
          </w:tcPr>
          <w:p>
            <w:pPr>
              <w:spacing w:after="0"/>
              <w:rPr>
                <w:sz w:val="19"/>
                <w:szCs w:val="19"/>
                <w:color w:val="auto"/>
              </w:rPr>
            </w:pPr>
          </w:p>
        </w:tc>
        <w:tc>
          <w:tcPr>
            <w:tcW w:w="2400" w:type="dxa"/>
            <w:vAlign w:val="bottom"/>
            <w:tcBorders>
              <w:bottom w:val="single" w:sz="8" w:color="0063A6"/>
            </w:tcBorders>
            <w:gridSpan w:val="2"/>
          </w:tcPr>
          <w:p>
            <w:pPr>
              <w:jc w:val="center"/>
              <w:ind w:right="544"/>
              <w:spacing w:after="0"/>
              <w:rPr>
                <w:sz w:val="20"/>
                <w:szCs w:val="20"/>
                <w:color w:val="auto"/>
              </w:rPr>
            </w:pPr>
            <w:r>
              <w:rPr>
                <w:rFonts w:ascii="Arial" w:cs="Arial" w:eastAsia="Arial" w:hAnsi="Arial"/>
                <w:sz w:val="14"/>
                <w:szCs w:val="14"/>
                <w:b w:val="1"/>
                <w:bCs w:val="1"/>
                <w:color w:val="auto"/>
              </w:rPr>
              <w:t>Director Compensation</w:t>
            </w:r>
          </w:p>
        </w:tc>
        <w:tc>
          <w:tcPr>
            <w:tcW w:w="1200" w:type="dxa"/>
            <w:vAlign w:val="bottom"/>
            <w:tcBorders>
              <w:bottom w:val="single" w:sz="8" w:color="0063A6"/>
            </w:tcBorders>
          </w:tcPr>
          <w:p>
            <w:pPr>
              <w:spacing w:after="0"/>
              <w:rPr>
                <w:sz w:val="19"/>
                <w:szCs w:val="19"/>
                <w:color w:val="auto"/>
              </w:rPr>
            </w:pPr>
          </w:p>
        </w:tc>
        <w:tc>
          <w:tcPr>
            <w:tcW w:w="680" w:type="dxa"/>
            <w:vAlign w:val="bottom"/>
            <w:tcBorders>
              <w:bottom w:val="single" w:sz="8" w:color="0063A6"/>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00" w:type="dxa"/>
            <w:vAlign w:val="bottom"/>
            <w:shd w:val="clear" w:color="auto" w:fill="0063A6"/>
          </w:tcPr>
          <w:p>
            <w:pPr>
              <w:spacing w:after="0"/>
              <w:rPr>
                <w:sz w:val="15"/>
                <w:szCs w:val="15"/>
                <w:color w:val="auto"/>
              </w:rPr>
            </w:pPr>
          </w:p>
        </w:tc>
        <w:tc>
          <w:tcPr>
            <w:tcW w:w="860" w:type="dxa"/>
            <w:vAlign w:val="bottom"/>
            <w:shd w:val="clear" w:color="auto" w:fill="0063A6"/>
          </w:tcPr>
          <w:p>
            <w:pPr>
              <w:spacing w:after="0"/>
              <w:rPr>
                <w:sz w:val="15"/>
                <w:szCs w:val="15"/>
                <w:color w:val="auto"/>
              </w:rPr>
            </w:pPr>
          </w:p>
        </w:tc>
        <w:tc>
          <w:tcPr>
            <w:tcW w:w="860" w:type="dxa"/>
            <w:vAlign w:val="bottom"/>
            <w:shd w:val="clear" w:color="auto" w:fill="0063A6"/>
          </w:tcPr>
          <w:p>
            <w:pPr>
              <w:spacing w:after="0"/>
              <w:rPr>
                <w:sz w:val="15"/>
                <w:szCs w:val="15"/>
                <w:color w:val="auto"/>
              </w:rPr>
            </w:pPr>
          </w:p>
        </w:tc>
        <w:tc>
          <w:tcPr>
            <w:tcW w:w="780" w:type="dxa"/>
            <w:vAlign w:val="bottom"/>
            <w:shd w:val="clear" w:color="auto" w:fill="0063A6"/>
          </w:tcPr>
          <w:p>
            <w:pPr>
              <w:spacing w:after="0"/>
              <w:rPr>
                <w:sz w:val="15"/>
                <w:szCs w:val="15"/>
                <w:color w:val="auto"/>
              </w:rPr>
            </w:pPr>
          </w:p>
        </w:tc>
        <w:tc>
          <w:tcPr>
            <w:tcW w:w="1200" w:type="dxa"/>
            <w:vAlign w:val="bottom"/>
            <w:shd w:val="clear" w:color="auto" w:fill="0063A6"/>
          </w:tcPr>
          <w:p>
            <w:pPr>
              <w:spacing w:after="0"/>
              <w:rPr>
                <w:sz w:val="15"/>
                <w:szCs w:val="15"/>
                <w:color w:val="auto"/>
              </w:rPr>
            </w:pPr>
          </w:p>
        </w:tc>
        <w:tc>
          <w:tcPr>
            <w:tcW w:w="120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Change in</w:t>
            </w:r>
          </w:p>
        </w:tc>
        <w:tc>
          <w:tcPr>
            <w:tcW w:w="1200" w:type="dxa"/>
            <w:vAlign w:val="bottom"/>
            <w:shd w:val="clear" w:color="auto" w:fill="0063A6"/>
          </w:tcPr>
          <w:p>
            <w:pPr>
              <w:spacing w:after="0"/>
              <w:rPr>
                <w:sz w:val="15"/>
                <w:szCs w:val="15"/>
                <w:color w:val="auto"/>
              </w:rPr>
            </w:pPr>
          </w:p>
        </w:tc>
        <w:tc>
          <w:tcPr>
            <w:tcW w:w="680" w:type="dxa"/>
            <w:vAlign w:val="bottom"/>
            <w:shd w:val="clear" w:color="auto" w:fill="0063A6"/>
          </w:tcPr>
          <w:p>
            <w:pPr>
              <w:spacing w:after="0"/>
              <w:rPr>
                <w:sz w:val="15"/>
                <w:szCs w:val="15"/>
                <w:color w:val="auto"/>
              </w:rPr>
            </w:pPr>
          </w:p>
        </w:tc>
        <w:tc>
          <w:tcPr>
            <w:tcW w:w="60" w:type="dxa"/>
            <w:vAlign w:val="bottom"/>
            <w:shd w:val="clear" w:color="auto" w:fill="0063A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00" w:type="dxa"/>
            <w:vAlign w:val="bottom"/>
            <w:shd w:val="clear" w:color="auto" w:fill="0063A6"/>
          </w:tcPr>
          <w:p>
            <w:pPr>
              <w:spacing w:after="0"/>
              <w:rPr>
                <w:sz w:val="14"/>
                <w:szCs w:val="14"/>
                <w:color w:val="auto"/>
              </w:rPr>
            </w:pPr>
          </w:p>
        </w:tc>
        <w:tc>
          <w:tcPr>
            <w:tcW w:w="1200" w:type="dxa"/>
            <w:vAlign w:val="bottom"/>
            <w:shd w:val="clear" w:color="auto" w:fill="0063A6"/>
          </w:tcPr>
          <w:p>
            <w:pPr>
              <w:ind w:left="500"/>
              <w:spacing w:after="0"/>
              <w:rPr>
                <w:sz w:val="20"/>
                <w:szCs w:val="20"/>
                <w:color w:val="auto"/>
              </w:rPr>
            </w:pPr>
            <w:r>
              <w:rPr>
                <w:rFonts w:ascii="Arial" w:cs="Arial" w:eastAsia="Arial" w:hAnsi="Arial"/>
                <w:sz w:val="14"/>
                <w:szCs w:val="14"/>
                <w:b w:val="1"/>
                <w:bCs w:val="1"/>
                <w:color w:val="FFFFFF"/>
              </w:rPr>
              <w:t>Pension</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00" w:type="dxa"/>
            <w:vAlign w:val="bottom"/>
            <w:shd w:val="clear" w:color="auto" w:fill="0063A6"/>
          </w:tcPr>
          <w:p>
            <w:pPr>
              <w:spacing w:after="0"/>
              <w:rPr>
                <w:sz w:val="14"/>
                <w:szCs w:val="14"/>
                <w:color w:val="auto"/>
              </w:rPr>
            </w:pPr>
          </w:p>
        </w:tc>
        <w:tc>
          <w:tcPr>
            <w:tcW w:w="120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Value and</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Fees</w:t>
            </w:r>
          </w:p>
        </w:tc>
        <w:tc>
          <w:tcPr>
            <w:tcW w:w="86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00" w:type="dxa"/>
            <w:vAlign w:val="bottom"/>
            <w:shd w:val="clear" w:color="auto" w:fill="0063A6"/>
          </w:tcPr>
          <w:p>
            <w:pPr>
              <w:spacing w:after="0"/>
              <w:rPr>
                <w:sz w:val="14"/>
                <w:szCs w:val="14"/>
                <w:color w:val="auto"/>
              </w:rPr>
            </w:pPr>
          </w:p>
        </w:tc>
        <w:tc>
          <w:tcPr>
            <w:tcW w:w="120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Nonqualified</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Earned</w:t>
            </w:r>
          </w:p>
        </w:tc>
        <w:tc>
          <w:tcPr>
            <w:tcW w:w="860" w:type="dxa"/>
            <w:vAlign w:val="bottom"/>
            <w:vMerge w:val="restart"/>
            <w:shd w:val="clear" w:color="auto" w:fill="0063A6"/>
          </w:tcPr>
          <w:p>
            <w:pPr>
              <w:jc w:val="right"/>
              <w:ind w:right="82"/>
              <w:spacing w:after="0"/>
              <w:rPr>
                <w:sz w:val="20"/>
                <w:szCs w:val="20"/>
                <w:color w:val="auto"/>
              </w:rPr>
            </w:pPr>
            <w:r>
              <w:rPr>
                <w:rFonts w:ascii="Arial" w:cs="Arial" w:eastAsia="Arial" w:hAnsi="Arial"/>
                <w:sz w:val="14"/>
                <w:szCs w:val="14"/>
                <w:b w:val="1"/>
                <w:bCs w:val="1"/>
                <w:color w:val="FFFFFF"/>
              </w:rPr>
              <w:t>Stock</w:t>
            </w:r>
          </w:p>
        </w:tc>
        <w:tc>
          <w:tcPr>
            <w:tcW w:w="780" w:type="dxa"/>
            <w:vAlign w:val="bottom"/>
            <w:shd w:val="clear" w:color="auto" w:fill="0063A6"/>
          </w:tcPr>
          <w:p>
            <w:pPr>
              <w:spacing w:after="0"/>
              <w:rPr>
                <w:sz w:val="14"/>
                <w:szCs w:val="14"/>
                <w:color w:val="auto"/>
              </w:rPr>
            </w:pPr>
          </w:p>
        </w:tc>
        <w:tc>
          <w:tcPr>
            <w:tcW w:w="1200" w:type="dxa"/>
            <w:vAlign w:val="bottom"/>
            <w:shd w:val="clear" w:color="auto" w:fill="0063A6"/>
          </w:tcPr>
          <w:p>
            <w:pPr>
              <w:jc w:val="right"/>
              <w:ind w:right="23"/>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Deferred</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860" w:type="dxa"/>
            <w:vAlign w:val="bottom"/>
            <w:shd w:val="clear" w:color="auto" w:fill="0063A6"/>
          </w:tcPr>
          <w:p>
            <w:pPr>
              <w:jc w:val="right"/>
              <w:ind w:right="2"/>
              <w:spacing w:after="0" w:line="145" w:lineRule="exact"/>
              <w:rPr>
                <w:sz w:val="20"/>
                <w:szCs w:val="20"/>
                <w:color w:val="auto"/>
              </w:rPr>
            </w:pPr>
            <w:r>
              <w:rPr>
                <w:rFonts w:ascii="Arial" w:cs="Arial" w:eastAsia="Arial" w:hAnsi="Arial"/>
                <w:sz w:val="14"/>
                <w:szCs w:val="14"/>
                <w:b w:val="1"/>
                <w:bCs w:val="1"/>
                <w:color w:val="FFFFFF"/>
              </w:rPr>
              <w:t>or Paid</w:t>
            </w:r>
          </w:p>
        </w:tc>
        <w:tc>
          <w:tcPr>
            <w:tcW w:w="860" w:type="dxa"/>
            <w:vAlign w:val="bottom"/>
            <w:vMerge w:val="continue"/>
            <w:shd w:val="clear" w:color="auto" w:fill="0063A6"/>
          </w:tcPr>
          <w:p>
            <w:pPr>
              <w:spacing w:after="0"/>
              <w:rPr>
                <w:sz w:val="12"/>
                <w:szCs w:val="12"/>
                <w:color w:val="auto"/>
              </w:rPr>
            </w:pPr>
          </w:p>
        </w:tc>
        <w:tc>
          <w:tcPr>
            <w:tcW w:w="780" w:type="dxa"/>
            <w:vAlign w:val="bottom"/>
            <w:shd w:val="clear" w:color="auto" w:fill="0063A6"/>
          </w:tcPr>
          <w:p>
            <w:pPr>
              <w:jc w:val="right"/>
              <w:ind w:right="21"/>
              <w:spacing w:after="0" w:line="145" w:lineRule="exact"/>
              <w:rPr>
                <w:sz w:val="20"/>
                <w:szCs w:val="20"/>
                <w:color w:val="auto"/>
              </w:rPr>
            </w:pPr>
            <w:r>
              <w:rPr>
                <w:rFonts w:ascii="Arial" w:cs="Arial" w:eastAsia="Arial" w:hAnsi="Arial"/>
                <w:sz w:val="14"/>
                <w:szCs w:val="14"/>
                <w:b w:val="1"/>
                <w:bCs w:val="1"/>
                <w:color w:val="FFFFFF"/>
              </w:rPr>
              <w:t>Option</w:t>
            </w:r>
          </w:p>
        </w:tc>
        <w:tc>
          <w:tcPr>
            <w:tcW w:w="1200" w:type="dxa"/>
            <w:vAlign w:val="bottom"/>
            <w:shd w:val="clear" w:color="auto" w:fill="0063A6"/>
          </w:tcPr>
          <w:p>
            <w:pPr>
              <w:jc w:val="right"/>
              <w:ind w:right="23"/>
              <w:spacing w:after="0" w:line="145" w:lineRule="exact"/>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0063A6"/>
          </w:tcPr>
          <w:p>
            <w:pPr>
              <w:jc w:val="right"/>
              <w:ind w:right="24"/>
              <w:spacing w:after="0" w:line="145" w:lineRule="exact"/>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3A6"/>
          </w:tcPr>
          <w:p>
            <w:pPr>
              <w:jc w:val="right"/>
              <w:ind w:right="21"/>
              <w:spacing w:after="0" w:line="145" w:lineRule="exact"/>
              <w:rPr>
                <w:sz w:val="20"/>
                <w:szCs w:val="20"/>
                <w:color w:val="auto"/>
              </w:rPr>
            </w:pPr>
            <w:r>
              <w:rPr>
                <w:rFonts w:ascii="Arial" w:cs="Arial" w:eastAsia="Arial" w:hAnsi="Arial"/>
                <w:sz w:val="14"/>
                <w:szCs w:val="14"/>
                <w:b w:val="1"/>
                <w:bCs w:val="1"/>
                <w:color w:val="FFFFFF"/>
              </w:rPr>
              <w:t>All Other</w:t>
            </w:r>
          </w:p>
        </w:tc>
        <w:tc>
          <w:tcPr>
            <w:tcW w:w="68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in Cash</w:t>
            </w:r>
          </w:p>
        </w:tc>
        <w:tc>
          <w:tcPr>
            <w:tcW w:w="860" w:type="dxa"/>
            <w:vAlign w:val="bottom"/>
            <w:shd w:val="clear" w:color="auto" w:fill="0063A6"/>
          </w:tcPr>
          <w:p>
            <w:pPr>
              <w:jc w:val="right"/>
              <w:ind w:right="82"/>
              <w:spacing w:after="0"/>
              <w:rPr>
                <w:sz w:val="20"/>
                <w:szCs w:val="20"/>
                <w:color w:val="auto"/>
              </w:rPr>
            </w:pPr>
            <w:r>
              <w:rPr>
                <w:rFonts w:ascii="Arial" w:cs="Arial" w:eastAsia="Arial" w:hAnsi="Arial"/>
                <w:sz w:val="14"/>
                <w:szCs w:val="14"/>
                <w:b w:val="1"/>
                <w:bCs w:val="1"/>
                <w:color w:val="FFFFFF"/>
              </w:rPr>
              <w:t>Awards</w:t>
            </w:r>
          </w:p>
        </w:tc>
        <w:tc>
          <w:tcPr>
            <w:tcW w:w="780" w:type="dxa"/>
            <w:vAlign w:val="bottom"/>
            <w:shd w:val="clear" w:color="auto" w:fill="0063A6"/>
          </w:tcPr>
          <w:p>
            <w:pPr>
              <w:jc w:val="right"/>
              <w:ind w:right="21"/>
              <w:spacing w:after="0"/>
              <w:rPr>
                <w:sz w:val="20"/>
                <w:szCs w:val="20"/>
                <w:color w:val="auto"/>
              </w:rPr>
            </w:pPr>
            <w:r>
              <w:rPr>
                <w:rFonts w:ascii="Arial" w:cs="Arial" w:eastAsia="Arial" w:hAnsi="Arial"/>
                <w:sz w:val="14"/>
                <w:szCs w:val="14"/>
                <w:b w:val="1"/>
                <w:bCs w:val="1"/>
                <w:color w:val="FFFFFF"/>
              </w:rPr>
              <w:t>Awards</w:t>
            </w:r>
          </w:p>
        </w:tc>
        <w:tc>
          <w:tcPr>
            <w:tcW w:w="1200" w:type="dxa"/>
            <w:vAlign w:val="bottom"/>
            <w:shd w:val="clear" w:color="auto" w:fill="0063A6"/>
          </w:tcPr>
          <w:p>
            <w:pPr>
              <w:jc w:val="right"/>
              <w:ind w:right="23"/>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Earnings</w:t>
            </w:r>
          </w:p>
        </w:tc>
        <w:tc>
          <w:tcPr>
            <w:tcW w:w="1200" w:type="dxa"/>
            <w:vAlign w:val="bottom"/>
            <w:shd w:val="clear" w:color="auto" w:fill="0063A6"/>
          </w:tcPr>
          <w:p>
            <w:pPr>
              <w:jc w:val="right"/>
              <w:ind w:right="21"/>
              <w:spacing w:after="0"/>
              <w:rPr>
                <w:sz w:val="20"/>
                <w:szCs w:val="20"/>
                <w:color w:val="auto"/>
              </w:rPr>
            </w:pPr>
            <w:r>
              <w:rPr>
                <w:rFonts w:ascii="Arial" w:cs="Arial" w:eastAsia="Arial" w:hAnsi="Arial"/>
                <w:sz w:val="14"/>
                <w:szCs w:val="14"/>
                <w:b w:val="1"/>
                <w:bCs w:val="1"/>
                <w:color w:val="FFFFFF"/>
              </w:rPr>
              <w:t>Compensation</w:t>
            </w:r>
          </w:p>
        </w:tc>
        <w:tc>
          <w:tcPr>
            <w:tcW w:w="740" w:type="dxa"/>
            <w:vAlign w:val="bottom"/>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0063A6"/>
            </w:tcBorders>
            <w:shd w:val="clear" w:color="auto" w:fill="0063A6"/>
          </w:tcPr>
          <w:p>
            <w:pPr>
              <w:spacing w:after="0"/>
              <w:rPr>
                <w:sz w:val="19"/>
                <w:szCs w:val="19"/>
                <w:color w:val="auto"/>
              </w:rPr>
            </w:pPr>
          </w:p>
        </w:tc>
        <w:tc>
          <w:tcPr>
            <w:tcW w:w="860" w:type="dxa"/>
            <w:vAlign w:val="bottom"/>
            <w:tcBorders>
              <w:bottom w:val="single" w:sz="8" w:color="0063A6"/>
            </w:tcBorders>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0063A6"/>
            </w:tcBorders>
            <w:shd w:val="clear" w:color="auto" w:fill="0063A6"/>
          </w:tcPr>
          <w:p>
            <w:pPr>
              <w:jc w:val="right"/>
              <w:ind w:right="82"/>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(14)</w:t>
            </w:r>
          </w:p>
        </w:tc>
        <w:tc>
          <w:tcPr>
            <w:tcW w:w="780" w:type="dxa"/>
            <w:vAlign w:val="bottom"/>
            <w:tcBorders>
              <w:bottom w:val="single" w:sz="8" w:color="0063A6"/>
            </w:tcBorders>
            <w:shd w:val="clear" w:color="auto" w:fill="0063A6"/>
          </w:tcPr>
          <w:p>
            <w:pPr>
              <w:jc w:val="right"/>
              <w:ind w:right="21"/>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ind w:left="920"/>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ind w:left="920"/>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ind w:left="92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63A6"/>
            </w:tcBorders>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77"/>
        </w:trPr>
        <w:tc>
          <w:tcPr>
            <w:tcW w:w="234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Scott D. Drury</w:t>
            </w:r>
            <w:r>
              <w:rPr>
                <w:rFonts w:ascii="Arial" w:cs="Arial" w:eastAsia="Arial" w:hAnsi="Arial"/>
                <w:sz w:val="26"/>
                <w:szCs w:val="26"/>
                <w:b w:val="1"/>
                <w:bCs w:val="1"/>
                <w:color w:val="0063A6"/>
                <w:vertAlign w:val="superscript"/>
              </w:rPr>
              <w:t>(1)(2)</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20,625</w:t>
            </w:r>
          </w:p>
        </w:tc>
        <w:tc>
          <w:tcPr>
            <w:tcW w:w="860" w:type="dxa"/>
            <w:vAlign w:val="bottom"/>
            <w:tcBorders>
              <w:bottom w:val="single" w:sz="8" w:color="5D6673"/>
            </w:tcBorders>
          </w:tcPr>
          <w:p>
            <w:pPr>
              <w:jc w:val="right"/>
              <w:ind w:right="102"/>
              <w:spacing w:after="0"/>
              <w:rPr>
                <w:sz w:val="20"/>
                <w:szCs w:val="20"/>
                <w:color w:val="auto"/>
              </w:rPr>
            </w:pPr>
            <w:r>
              <w:rPr>
                <w:rFonts w:ascii="Arial" w:cs="Arial" w:eastAsia="Arial" w:hAnsi="Arial"/>
                <w:sz w:val="16"/>
                <w:szCs w:val="16"/>
                <w:color w:val="auto"/>
              </w:rPr>
              <w:t>72,161</w:t>
            </w:r>
          </w:p>
        </w:tc>
        <w:tc>
          <w:tcPr>
            <w:tcW w:w="780" w:type="dxa"/>
            <w:vAlign w:val="bottom"/>
            <w:tcBorders>
              <w:bottom w:val="single" w:sz="8" w:color="5D6673"/>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92,786</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Mary C. Hemmingsen</w:t>
            </w:r>
            <w:r>
              <w:rPr>
                <w:rFonts w:ascii="Arial" w:cs="Arial" w:eastAsia="Arial" w:hAnsi="Arial"/>
                <w:sz w:val="26"/>
                <w:szCs w:val="26"/>
                <w:b w:val="1"/>
                <w:bCs w:val="1"/>
                <w:color w:val="0063A6"/>
                <w:vertAlign w:val="superscript"/>
              </w:rPr>
              <w:t>(3)(9)</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42,500</w:t>
            </w:r>
          </w:p>
        </w:tc>
        <w:tc>
          <w:tcPr>
            <w:tcW w:w="860" w:type="dxa"/>
            <w:vAlign w:val="bottom"/>
            <w:tcBorders>
              <w:bottom w:val="single" w:sz="8" w:color="5D6673"/>
            </w:tcBorders>
          </w:tcPr>
          <w:p>
            <w:pPr>
              <w:jc w:val="right"/>
              <w:ind w:right="102"/>
              <w:spacing w:after="0"/>
              <w:rPr>
                <w:sz w:val="20"/>
                <w:szCs w:val="20"/>
                <w:color w:val="auto"/>
              </w:rPr>
            </w:pPr>
            <w:r>
              <w:rPr>
                <w:rFonts w:ascii="Arial" w:cs="Arial" w:eastAsia="Arial" w:hAnsi="Arial"/>
                <w:sz w:val="16"/>
                <w:szCs w:val="16"/>
                <w:color w:val="auto"/>
              </w:rPr>
              <w:t>99,918</w:t>
            </w:r>
          </w:p>
        </w:tc>
        <w:tc>
          <w:tcPr>
            <w:tcW w:w="780" w:type="dxa"/>
            <w:vAlign w:val="bottom"/>
            <w:tcBorders>
              <w:bottom w:val="single" w:sz="8" w:color="5D6673"/>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142,418</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Frank M. Jaehnert</w:t>
            </w:r>
            <w:r>
              <w:rPr>
                <w:rFonts w:ascii="Arial" w:cs="Arial" w:eastAsia="Arial" w:hAnsi="Arial"/>
                <w:sz w:val="26"/>
                <w:szCs w:val="26"/>
                <w:b w:val="1"/>
                <w:bCs w:val="1"/>
                <w:color w:val="0063A6"/>
                <w:vertAlign w:val="superscript"/>
              </w:rPr>
              <w:t>(1)(4)</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305,000</w:t>
            </w:r>
          </w:p>
        </w:tc>
        <w:tc>
          <w:tcPr>
            <w:tcW w:w="860" w:type="dxa"/>
            <w:vAlign w:val="bottom"/>
            <w:tcBorders>
              <w:bottom w:val="single" w:sz="8" w:color="5D6673"/>
            </w:tcBorders>
          </w:tcPr>
          <w:p>
            <w:pPr>
              <w:jc w:val="right"/>
              <w:ind w:right="10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5D6673"/>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305,000</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Jerome J. Lande</w:t>
            </w:r>
            <w:r>
              <w:rPr>
                <w:rFonts w:ascii="Arial" w:cs="Arial" w:eastAsia="Arial" w:hAnsi="Arial"/>
                <w:sz w:val="26"/>
                <w:szCs w:val="26"/>
                <w:b w:val="1"/>
                <w:bCs w:val="1"/>
                <w:color w:val="0063A6"/>
                <w:vertAlign w:val="superscript"/>
              </w:rPr>
              <w:t>(5)(6)(7)(9)</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5D6673"/>
            </w:tcBorders>
          </w:tcPr>
          <w:p>
            <w:pPr>
              <w:jc w:val="right"/>
              <w:ind w:right="102"/>
              <w:spacing w:after="0"/>
              <w:rPr>
                <w:sz w:val="20"/>
                <w:szCs w:val="20"/>
                <w:color w:val="auto"/>
              </w:rPr>
            </w:pPr>
            <w:r>
              <w:rPr>
                <w:rFonts w:ascii="Arial" w:cs="Arial" w:eastAsia="Arial" w:hAnsi="Arial"/>
                <w:sz w:val="16"/>
                <w:szCs w:val="16"/>
                <w:color w:val="auto"/>
              </w:rPr>
              <w:t>199,844</w:t>
            </w:r>
          </w:p>
        </w:tc>
        <w:tc>
          <w:tcPr>
            <w:tcW w:w="780" w:type="dxa"/>
            <w:vAlign w:val="bottom"/>
            <w:tcBorders>
              <w:bottom w:val="single" w:sz="8" w:color="5D6673"/>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199,844</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Timothy M. Leyden</w:t>
            </w:r>
            <w:r>
              <w:rPr>
                <w:rFonts w:ascii="Arial" w:cs="Arial" w:eastAsia="Arial" w:hAnsi="Arial"/>
                <w:sz w:val="26"/>
                <w:szCs w:val="26"/>
                <w:b w:val="1"/>
                <w:bCs w:val="1"/>
                <w:color w:val="0063A6"/>
                <w:vertAlign w:val="superscript"/>
              </w:rPr>
              <w:t>(8)</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225,000</w:t>
            </w:r>
          </w:p>
        </w:tc>
        <w:tc>
          <w:tcPr>
            <w:tcW w:w="860" w:type="dxa"/>
            <w:vAlign w:val="bottom"/>
            <w:tcBorders>
              <w:bottom w:val="single" w:sz="8" w:color="5D6673"/>
            </w:tcBorders>
          </w:tcPr>
          <w:p>
            <w:pPr>
              <w:jc w:val="right"/>
              <w:ind w:right="102"/>
              <w:spacing w:after="0"/>
              <w:rPr>
                <w:sz w:val="20"/>
                <w:szCs w:val="20"/>
                <w:color w:val="auto"/>
              </w:rPr>
            </w:pPr>
            <w:r>
              <w:rPr>
                <w:rFonts w:ascii="Arial" w:cs="Arial" w:eastAsia="Arial" w:hAnsi="Arial"/>
                <w:sz w:val="16"/>
                <w:szCs w:val="16"/>
                <w:color w:val="auto"/>
              </w:rPr>
              <w:t>79,722</w:t>
            </w:r>
          </w:p>
        </w:tc>
        <w:tc>
          <w:tcPr>
            <w:tcW w:w="780" w:type="dxa"/>
            <w:vAlign w:val="bottom"/>
            <w:tcBorders>
              <w:bottom w:val="single" w:sz="8" w:color="5D6673"/>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304,722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Sanjay Mirchandani</w:t>
            </w:r>
            <w:r>
              <w:rPr>
                <w:rFonts w:ascii="Arial" w:cs="Arial" w:eastAsia="Arial" w:hAnsi="Arial"/>
                <w:sz w:val="26"/>
                <w:szCs w:val="26"/>
                <w:b w:val="1"/>
                <w:bCs w:val="1"/>
                <w:color w:val="0063A6"/>
                <w:vertAlign w:val="superscript"/>
              </w:rPr>
              <w:t>(9)</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85,000</w:t>
            </w:r>
          </w:p>
        </w:tc>
        <w:tc>
          <w:tcPr>
            <w:tcW w:w="860" w:type="dxa"/>
            <w:vAlign w:val="bottom"/>
            <w:tcBorders>
              <w:bottom w:val="single" w:sz="8" w:color="5D6673"/>
            </w:tcBorders>
          </w:tcPr>
          <w:p>
            <w:pPr>
              <w:jc w:val="right"/>
              <w:ind w:right="102"/>
              <w:spacing w:after="0"/>
              <w:rPr>
                <w:sz w:val="20"/>
                <w:szCs w:val="20"/>
                <w:color w:val="auto"/>
              </w:rPr>
            </w:pPr>
            <w:r>
              <w:rPr>
                <w:rFonts w:ascii="Arial" w:cs="Arial" w:eastAsia="Arial" w:hAnsi="Arial"/>
                <w:sz w:val="16"/>
                <w:szCs w:val="16"/>
                <w:color w:val="auto"/>
              </w:rPr>
              <w:t>199,844</w:t>
            </w:r>
          </w:p>
        </w:tc>
        <w:tc>
          <w:tcPr>
            <w:tcW w:w="780" w:type="dxa"/>
            <w:vAlign w:val="bottom"/>
            <w:tcBorders>
              <w:bottom w:val="single" w:sz="8" w:color="5D6673"/>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284,844</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Santiago Perez</w:t>
            </w:r>
            <w:r>
              <w:rPr>
                <w:rFonts w:ascii="Arial" w:cs="Arial" w:eastAsia="Arial" w:hAnsi="Arial"/>
                <w:sz w:val="26"/>
                <w:szCs w:val="26"/>
                <w:b w:val="1"/>
                <w:bCs w:val="1"/>
                <w:color w:val="0063A6"/>
                <w:vertAlign w:val="superscript"/>
              </w:rPr>
              <w:t>(5)(10)</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97,500</w:t>
            </w:r>
          </w:p>
        </w:tc>
        <w:tc>
          <w:tcPr>
            <w:tcW w:w="860" w:type="dxa"/>
            <w:vAlign w:val="bottom"/>
            <w:tcBorders>
              <w:bottom w:val="single" w:sz="8" w:color="5D6673"/>
            </w:tcBorders>
          </w:tcPr>
          <w:p>
            <w:pPr>
              <w:jc w:val="right"/>
              <w:ind w:right="102"/>
              <w:spacing w:after="0"/>
              <w:rPr>
                <w:sz w:val="20"/>
                <w:szCs w:val="20"/>
                <w:color w:val="auto"/>
              </w:rPr>
            </w:pPr>
            <w:r>
              <w:rPr>
                <w:rFonts w:ascii="Arial" w:cs="Arial" w:eastAsia="Arial" w:hAnsi="Arial"/>
                <w:sz w:val="16"/>
                <w:szCs w:val="16"/>
                <w:color w:val="auto"/>
              </w:rPr>
              <w:t>199,844</w:t>
            </w:r>
          </w:p>
        </w:tc>
        <w:tc>
          <w:tcPr>
            <w:tcW w:w="780" w:type="dxa"/>
            <w:vAlign w:val="bottom"/>
            <w:tcBorders>
              <w:bottom w:val="single" w:sz="8" w:color="5D6673"/>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297,344</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Sheri L. Savage</w:t>
            </w:r>
            <w:r>
              <w:rPr>
                <w:rFonts w:ascii="Arial" w:cs="Arial" w:eastAsia="Arial" w:hAnsi="Arial"/>
                <w:sz w:val="26"/>
                <w:szCs w:val="26"/>
                <w:b w:val="1"/>
                <w:bCs w:val="1"/>
                <w:color w:val="0063A6"/>
                <w:vertAlign w:val="superscript"/>
              </w:rPr>
              <w:t>(9)(11)</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33,029</w:t>
            </w:r>
          </w:p>
        </w:tc>
        <w:tc>
          <w:tcPr>
            <w:tcW w:w="860" w:type="dxa"/>
            <w:vAlign w:val="bottom"/>
            <w:tcBorders>
              <w:bottom w:val="single" w:sz="8" w:color="5D6673"/>
            </w:tcBorders>
          </w:tcPr>
          <w:p>
            <w:pPr>
              <w:jc w:val="right"/>
              <w:ind w:right="102"/>
              <w:spacing w:after="0"/>
              <w:rPr>
                <w:sz w:val="20"/>
                <w:szCs w:val="20"/>
                <w:color w:val="auto"/>
              </w:rPr>
            </w:pPr>
            <w:r>
              <w:rPr>
                <w:rFonts w:ascii="Arial" w:cs="Arial" w:eastAsia="Arial" w:hAnsi="Arial"/>
                <w:sz w:val="16"/>
                <w:szCs w:val="16"/>
                <w:color w:val="auto"/>
              </w:rPr>
              <w:t>77,595</w:t>
            </w:r>
          </w:p>
        </w:tc>
        <w:tc>
          <w:tcPr>
            <w:tcW w:w="780" w:type="dxa"/>
            <w:vAlign w:val="bottom"/>
            <w:tcBorders>
              <w:bottom w:val="single" w:sz="8" w:color="5D6673"/>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110,624</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Diana D. Tremblay</w:t>
            </w:r>
            <w:r>
              <w:rPr>
                <w:rFonts w:ascii="Arial" w:cs="Arial" w:eastAsia="Arial" w:hAnsi="Arial"/>
                <w:sz w:val="26"/>
                <w:szCs w:val="26"/>
                <w:b w:val="1"/>
                <w:bCs w:val="1"/>
                <w:color w:val="0063A6"/>
                <w:vertAlign w:val="superscript"/>
              </w:rPr>
              <w:t>(12)</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375,000</w:t>
            </w:r>
          </w:p>
        </w:tc>
        <w:tc>
          <w:tcPr>
            <w:tcW w:w="860" w:type="dxa"/>
            <w:vAlign w:val="bottom"/>
            <w:tcBorders>
              <w:bottom w:val="single" w:sz="8" w:color="5D6673"/>
            </w:tcBorders>
          </w:tcPr>
          <w:p>
            <w:pPr>
              <w:jc w:val="right"/>
              <w:ind w:right="10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5D6673"/>
            </w:tcBorders>
          </w:tcPr>
          <w:p>
            <w:pPr>
              <w:spacing w:after="0"/>
              <w:rPr>
                <w:sz w:val="24"/>
                <w:szCs w:val="24"/>
                <w:color w:val="auto"/>
              </w:rPr>
            </w:pPr>
          </w:p>
        </w:tc>
        <w:tc>
          <w:tcPr>
            <w:tcW w:w="1200" w:type="dxa"/>
            <w:vAlign w:val="bottom"/>
            <w:tcBorders>
              <w:bottom w:val="single" w:sz="8" w:color="5D6673"/>
            </w:tcBorders>
          </w:tcPr>
          <w:p>
            <w:pPr>
              <w:spacing w:after="0"/>
              <w:rPr>
                <w:sz w:val="24"/>
                <w:szCs w:val="24"/>
                <w:color w:val="auto"/>
              </w:rPr>
            </w:pPr>
          </w:p>
        </w:tc>
        <w:tc>
          <w:tcPr>
            <w:tcW w:w="1200" w:type="dxa"/>
            <w:vAlign w:val="bottom"/>
            <w:tcBorders>
              <w:bottom w:val="single" w:sz="8" w:color="5D6673"/>
            </w:tcBorders>
          </w:tcPr>
          <w:p>
            <w:pPr>
              <w:spacing w:after="0"/>
              <w:rPr>
                <w:sz w:val="24"/>
                <w:szCs w:val="24"/>
                <w:color w:val="auto"/>
              </w:rPr>
            </w:pPr>
          </w:p>
        </w:tc>
        <w:tc>
          <w:tcPr>
            <w:tcW w:w="1200" w:type="dxa"/>
            <w:vAlign w:val="bottom"/>
            <w:tcBorders>
              <w:bottom w:val="single" w:sz="8" w:color="5D6673"/>
            </w:tcBorders>
          </w:tcPr>
          <w:p>
            <w:pPr>
              <w:spacing w:after="0"/>
              <w:rPr>
                <w:sz w:val="24"/>
                <w:szCs w:val="24"/>
                <w:color w:val="auto"/>
              </w:rPr>
            </w:pPr>
          </w:p>
        </w:tc>
        <w:tc>
          <w:tcPr>
            <w:tcW w:w="68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375,000</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0063A6"/>
            </w:tcBorders>
            <w:gridSpan w:val="2"/>
          </w:tcPr>
          <w:p>
            <w:pPr>
              <w:ind w:left="60"/>
              <w:spacing w:after="0" w:line="263" w:lineRule="exact"/>
              <w:rPr>
                <w:sz w:val="20"/>
                <w:szCs w:val="20"/>
                <w:color w:val="auto"/>
              </w:rPr>
            </w:pPr>
            <w:r>
              <w:rPr>
                <w:rFonts w:ascii="Arial" w:cs="Arial" w:eastAsia="Arial" w:hAnsi="Arial"/>
                <w:sz w:val="16"/>
                <w:szCs w:val="16"/>
                <w:b w:val="1"/>
                <w:bCs w:val="1"/>
                <w:color w:val="0063A6"/>
              </w:rPr>
              <w:t>Lynda L. Ziegler</w:t>
            </w:r>
            <w:r>
              <w:rPr>
                <w:rFonts w:ascii="Arial" w:cs="Arial" w:eastAsia="Arial" w:hAnsi="Arial"/>
                <w:sz w:val="26"/>
                <w:szCs w:val="26"/>
                <w:b w:val="1"/>
                <w:bCs w:val="1"/>
                <w:color w:val="0063A6"/>
                <w:vertAlign w:val="superscript"/>
              </w:rPr>
              <w:t>(5)(10)(13)</w:t>
            </w:r>
          </w:p>
        </w:tc>
        <w:tc>
          <w:tcPr>
            <w:tcW w:w="860" w:type="dxa"/>
            <w:vAlign w:val="bottom"/>
            <w:tcBorders>
              <w:bottom w:val="single" w:sz="8" w:color="0063A6"/>
            </w:tcBorders>
          </w:tcPr>
          <w:p>
            <w:pPr>
              <w:jc w:val="right"/>
              <w:ind w:right="22"/>
              <w:spacing w:after="0"/>
              <w:rPr>
                <w:sz w:val="20"/>
                <w:szCs w:val="20"/>
                <w:color w:val="auto"/>
              </w:rPr>
            </w:pPr>
            <w:r>
              <w:rPr>
                <w:rFonts w:ascii="Arial" w:cs="Arial" w:eastAsia="Arial" w:hAnsi="Arial"/>
                <w:sz w:val="16"/>
                <w:szCs w:val="16"/>
                <w:color w:val="auto"/>
              </w:rPr>
              <w:t>152,500</w:t>
            </w:r>
          </w:p>
        </w:tc>
        <w:tc>
          <w:tcPr>
            <w:tcW w:w="860" w:type="dxa"/>
            <w:vAlign w:val="bottom"/>
            <w:tcBorders>
              <w:bottom w:val="single" w:sz="8" w:color="0063A6"/>
            </w:tcBorders>
          </w:tcPr>
          <w:p>
            <w:pPr>
              <w:jc w:val="right"/>
              <w:ind w:right="10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0063A6"/>
            </w:tcBorders>
          </w:tcPr>
          <w:p>
            <w:pPr>
              <w:spacing w:after="0"/>
              <w:rPr>
                <w:sz w:val="22"/>
                <w:szCs w:val="22"/>
                <w:color w:val="auto"/>
              </w:rPr>
            </w:pPr>
          </w:p>
        </w:tc>
        <w:tc>
          <w:tcPr>
            <w:tcW w:w="1200" w:type="dxa"/>
            <w:vAlign w:val="bottom"/>
            <w:tcBorders>
              <w:bottom w:val="single" w:sz="8" w:color="0063A6"/>
            </w:tcBorders>
          </w:tcPr>
          <w:p>
            <w:pPr>
              <w:spacing w:after="0"/>
              <w:rPr>
                <w:sz w:val="22"/>
                <w:szCs w:val="22"/>
                <w:color w:val="auto"/>
              </w:rPr>
            </w:pPr>
          </w:p>
        </w:tc>
        <w:tc>
          <w:tcPr>
            <w:tcW w:w="1200" w:type="dxa"/>
            <w:vAlign w:val="bottom"/>
            <w:tcBorders>
              <w:bottom w:val="single" w:sz="8" w:color="0063A6"/>
            </w:tcBorders>
          </w:tcPr>
          <w:p>
            <w:pPr>
              <w:spacing w:after="0"/>
              <w:rPr>
                <w:sz w:val="22"/>
                <w:szCs w:val="22"/>
                <w:color w:val="auto"/>
              </w:rPr>
            </w:pPr>
          </w:p>
        </w:tc>
        <w:tc>
          <w:tcPr>
            <w:tcW w:w="1200" w:type="dxa"/>
            <w:vAlign w:val="bottom"/>
            <w:tcBorders>
              <w:bottom w:val="single" w:sz="8" w:color="0063A6"/>
            </w:tcBorders>
          </w:tcPr>
          <w:p>
            <w:pPr>
              <w:spacing w:after="0"/>
              <w:rPr>
                <w:sz w:val="22"/>
                <w:szCs w:val="22"/>
                <w:color w:val="auto"/>
              </w:rPr>
            </w:pPr>
          </w:p>
        </w:tc>
        <w:tc>
          <w:tcPr>
            <w:tcW w:w="680" w:type="dxa"/>
            <w:vAlign w:val="bottom"/>
            <w:tcBorders>
              <w:bottom w:val="single" w:sz="8" w:color="0063A6"/>
            </w:tcBorders>
          </w:tcPr>
          <w:p>
            <w:pPr>
              <w:ind w:left="80"/>
              <w:spacing w:after="0"/>
              <w:rPr>
                <w:sz w:val="20"/>
                <w:szCs w:val="20"/>
                <w:color w:val="auto"/>
              </w:rPr>
            </w:pPr>
            <w:r>
              <w:rPr>
                <w:rFonts w:ascii="Arial" w:cs="Arial" w:eastAsia="Arial" w:hAnsi="Arial"/>
                <w:sz w:val="16"/>
                <w:szCs w:val="16"/>
                <w:color w:val="auto"/>
              </w:rPr>
              <w:t>152,500</w:t>
            </w:r>
          </w:p>
        </w:tc>
        <w:tc>
          <w:tcPr>
            <w:tcW w:w="60" w:type="dxa"/>
            <w:vAlign w:val="bottom"/>
            <w:tcBorders>
              <w:bottom w:val="single" w:sz="8" w:color="0063A6"/>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6" w:hanging="326"/>
        <w:spacing w:after="0"/>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68" w:lineRule="exact"/>
        <w:rPr>
          <w:rFonts w:ascii="Arial" w:cs="Arial" w:eastAsia="Arial" w:hAnsi="Arial"/>
          <w:sz w:val="14"/>
          <w:szCs w:val="14"/>
          <w:color w:val="auto"/>
        </w:rPr>
      </w:pPr>
    </w:p>
    <w:p>
      <w:pPr>
        <w:ind w:left="326" w:right="40" w:hanging="326"/>
        <w:spacing w:after="0" w:line="285"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Drury was appointed to the Board of Directors effective August 20, 2025, and was appointed to serve on the Nominating and Corporate Governance Committee effective as of the same date.</w:t>
      </w:r>
    </w:p>
    <w:p>
      <w:pPr>
        <w:spacing w:after="0" w:line="9" w:lineRule="exact"/>
        <w:rPr>
          <w:rFonts w:ascii="Arial" w:cs="Arial" w:eastAsia="Arial" w:hAnsi="Arial"/>
          <w:sz w:val="14"/>
          <w:szCs w:val="14"/>
          <w:color w:val="auto"/>
        </w:rPr>
      </w:pPr>
    </w:p>
    <w:p>
      <w:pPr>
        <w:ind w:left="326" w:hanging="326"/>
        <w:spacing w:after="0"/>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Ms. Hemmingsen did not stand for re-election at the 2025 annual meeting and her service on the Board concluded effective May 8, 2025.</w:t>
      </w:r>
    </w:p>
    <w:p>
      <w:pPr>
        <w:spacing w:after="0" w:line="82" w:lineRule="exact"/>
        <w:rPr>
          <w:rFonts w:ascii="Arial" w:cs="Arial" w:eastAsia="Arial" w:hAnsi="Arial"/>
          <w:sz w:val="14"/>
          <w:szCs w:val="14"/>
          <w:color w:val="auto"/>
        </w:rPr>
      </w:pPr>
    </w:p>
    <w:p>
      <w:pPr>
        <w:ind w:left="326" w:right="400" w:hanging="326"/>
        <w:spacing w:after="0" w:line="285"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Chair of the Compensation Committee. Director elected to receive all pay in cash as director met age and stock ownership guidelines required to make such an election.</w:t>
      </w:r>
    </w:p>
    <w:p>
      <w:pPr>
        <w:spacing w:after="0" w:line="9" w:lineRule="exact"/>
        <w:rPr>
          <w:rFonts w:ascii="Arial" w:cs="Arial" w:eastAsia="Arial" w:hAnsi="Arial"/>
          <w:sz w:val="14"/>
          <w:szCs w:val="14"/>
          <w:color w:val="auto"/>
        </w:rPr>
      </w:pPr>
    </w:p>
    <w:p>
      <w:pPr>
        <w:ind w:left="326" w:hanging="326"/>
        <w:spacing w:after="0"/>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68" w:lineRule="exact"/>
        <w:rPr>
          <w:rFonts w:ascii="Arial" w:cs="Arial" w:eastAsia="Arial" w:hAnsi="Arial"/>
          <w:sz w:val="14"/>
          <w:szCs w:val="14"/>
          <w:color w:val="auto"/>
        </w:rPr>
      </w:pPr>
    </w:p>
    <w:p>
      <w:pPr>
        <w:ind w:left="326" w:right="180" w:hanging="326"/>
        <w:spacing w:after="0" w:line="285"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Lande was initially appointed to the Board pursuant to a cooperation agreement with Coppersmith Capital Management, LLC, Scopia Management, Inc., and Jerome J. Lande.</w:t>
      </w:r>
    </w:p>
    <w:p>
      <w:pPr>
        <w:spacing w:after="0" w:line="22" w:lineRule="exact"/>
        <w:rPr>
          <w:rFonts w:ascii="Arial" w:cs="Arial" w:eastAsia="Arial" w:hAnsi="Arial"/>
          <w:sz w:val="14"/>
          <w:szCs w:val="14"/>
          <w:color w:val="auto"/>
        </w:rPr>
      </w:pPr>
    </w:p>
    <w:p>
      <w:pPr>
        <w:ind w:left="326" w:hanging="326"/>
        <w:spacing w:after="0"/>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Lande’s cash retainers were paid directly to Scopia Capital Management LP.</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Chair of the Audit/Finance Committee.</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Audit/Finance Committee.</w:t>
      </w:r>
    </w:p>
    <w:p>
      <w:pPr>
        <w:spacing w:after="0" w:line="82" w:lineRule="exact"/>
        <w:rPr>
          <w:rFonts w:ascii="Arial" w:cs="Arial" w:eastAsia="Arial" w:hAnsi="Arial"/>
          <w:sz w:val="14"/>
          <w:szCs w:val="14"/>
          <w:color w:val="auto"/>
        </w:rPr>
      </w:pPr>
    </w:p>
    <w:p>
      <w:pPr>
        <w:ind w:left="326" w:right="400" w:hanging="326"/>
        <w:spacing w:after="0" w:line="285"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Until May 8, 2025, Ms. Ziegler served as the Chair of the Nominating and Corporate Governance Committee at which point Mr. Perez assumed the role as Chair of the Nominating and Corporate Governance Committee.</w:t>
      </w:r>
    </w:p>
    <w:p>
      <w:pPr>
        <w:spacing w:after="0" w:line="9" w:lineRule="exact"/>
        <w:rPr>
          <w:rFonts w:ascii="Arial" w:cs="Arial" w:eastAsia="Arial" w:hAnsi="Arial"/>
          <w:sz w:val="14"/>
          <w:szCs w:val="14"/>
          <w:color w:val="auto"/>
        </w:rPr>
      </w:pPr>
    </w:p>
    <w:p>
      <w:pPr>
        <w:ind w:left="326" w:right="680" w:hanging="326"/>
        <w:spacing w:after="0" w:line="285"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Ms. Savage was appointed to the Board of Directors effective August 11, 2025, and was appointed to serve on the Audit/Finance Committee effective as of the same date.</w:t>
      </w:r>
    </w:p>
    <w:p>
      <w:pPr>
        <w:spacing w:after="0" w:line="9" w:lineRule="exact"/>
        <w:rPr>
          <w:rFonts w:ascii="Arial" w:cs="Arial" w:eastAsia="Arial" w:hAnsi="Arial"/>
          <w:sz w:val="14"/>
          <w:szCs w:val="14"/>
          <w:color w:val="auto"/>
        </w:rPr>
      </w:pPr>
    </w:p>
    <w:p>
      <w:pPr>
        <w:ind w:left="326" w:right="420" w:hanging="326"/>
        <w:spacing w:after="0" w:line="285"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Board Chair. Director elected to receive all pay in cash as director met age and stock ownership guidelines required to make such an election.</w:t>
      </w:r>
    </w:p>
    <w:p>
      <w:pPr>
        <w:spacing w:after="0" w:line="22" w:lineRule="exact"/>
        <w:rPr>
          <w:rFonts w:ascii="Arial" w:cs="Arial" w:eastAsia="Arial" w:hAnsi="Arial"/>
          <w:sz w:val="14"/>
          <w:szCs w:val="14"/>
          <w:color w:val="auto"/>
        </w:rPr>
      </w:pPr>
    </w:p>
    <w:p>
      <w:pPr>
        <w:ind w:left="326" w:right="100" w:hanging="326"/>
        <w:spacing w:after="0" w:line="285"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Ms. Ziegler did not stand for re-election at the 2025 annual meeting and retired effective May 8, 2025. Director elected to receive all pay in cash as director met age and stock ownership guidelines required to make such an election.</w:t>
      </w:r>
    </w:p>
    <w:p>
      <w:pPr>
        <w:spacing w:after="0" w:line="9" w:lineRule="exact"/>
        <w:rPr>
          <w:rFonts w:ascii="Arial" w:cs="Arial" w:eastAsia="Arial" w:hAnsi="Arial"/>
          <w:sz w:val="14"/>
          <w:szCs w:val="14"/>
          <w:color w:val="auto"/>
        </w:rPr>
      </w:pPr>
    </w:p>
    <w:p>
      <w:pPr>
        <w:ind w:left="326" w:right="160" w:hanging="326"/>
        <w:spacing w:after="0" w:line="263"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Stock Ownership Guidelines</w:t>
      </w:r>
    </w:p>
    <w:p>
      <w:pPr>
        <w:spacing w:after="0" w:line="99" w:lineRule="exact"/>
        <w:rPr>
          <w:sz w:val="20"/>
          <w:szCs w:val="20"/>
          <w:color w:val="auto"/>
        </w:rPr>
      </w:pPr>
    </w:p>
    <w:p>
      <w:pPr>
        <w:ind w:left="6" w:right="40"/>
        <w:spacing w:after="0" w:line="259" w:lineRule="auto"/>
        <w:rPr>
          <w:sz w:val="20"/>
          <w:szCs w:val="20"/>
          <w:color w:val="auto"/>
        </w:rPr>
      </w:pPr>
      <w:r>
        <w:rPr>
          <w:rFonts w:ascii="Arial" w:cs="Arial" w:eastAsia="Arial" w:hAnsi="Arial"/>
          <w:sz w:val="16"/>
          <w:szCs w:val="16"/>
          <w:color w:val="auto"/>
        </w:rPr>
        <w:t>Since 2006, we have maintained stock ownership guidelines for our non-employee directors. Under our current guidelines, we expect our directors, including the Chair of the Board, to accumulate shares equal to $375,000 over a period of three years from their initial appointment or election as a director, or to be making progress towards meeting the guidelines. All of our non-employee directors currently comply with these ownership guidelines.</w:t>
      </w:r>
    </w:p>
    <w:p>
      <w:pPr>
        <w:spacing w:after="0" w:line="23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Deferred Compensation Plan</w:t>
      </w:r>
    </w:p>
    <w:p>
      <w:pPr>
        <w:spacing w:after="0" w:line="99" w:lineRule="exact"/>
        <w:rPr>
          <w:sz w:val="20"/>
          <w:szCs w:val="20"/>
          <w:color w:val="auto"/>
        </w:rPr>
      </w:pPr>
    </w:p>
    <w:p>
      <w:pPr>
        <w:jc w:val="both"/>
        <w:ind w:left="6" w:right="200"/>
        <w:spacing w:after="0" w:line="266" w:lineRule="auto"/>
        <w:rPr>
          <w:sz w:val="20"/>
          <w:szCs w:val="20"/>
          <w:color w:val="auto"/>
        </w:rPr>
      </w:pPr>
      <w:r>
        <w:rPr>
          <w:rFonts w:ascii="Arial" w:cs="Arial" w:eastAsia="Arial" w:hAnsi="Arial"/>
          <w:sz w:val="16"/>
          <w:szCs w:val="16"/>
          <w:color w:val="auto"/>
        </w:rPr>
        <w:t>Pursuant to the Company’s Amended and Restated Executive Deferred Compensation Plan dated January 1, 2012, our non-employee directors are eligible to participate in that plan and may defer into a nonqualified account up to 100% of any director fees and 100% of any shares of common stock that he or she anticipates receiving.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30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16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20" w:name="page21"/>
    <w:bookmarkEnd w:id="2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CORPORATE GOVERNANCE</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Leadership Structure of the Board of Directors</w:t>
      </w:r>
    </w:p>
    <w:p>
      <w:pPr>
        <w:spacing w:after="0" w:line="72" w:lineRule="exact"/>
        <w:rPr>
          <w:sz w:val="20"/>
          <w:szCs w:val="20"/>
          <w:color w:val="auto"/>
        </w:rPr>
      </w:pPr>
    </w:p>
    <w:p>
      <w:pPr>
        <w:ind w:left="6" w:right="20"/>
        <w:spacing w:after="0" w:line="259" w:lineRule="auto"/>
        <w:rPr>
          <w:sz w:val="20"/>
          <w:szCs w:val="20"/>
          <w:color w:val="auto"/>
        </w:rPr>
      </w:pPr>
      <w:r>
        <w:rPr>
          <w:rFonts w:ascii="Arial" w:cs="Arial" w:eastAsia="Arial" w:hAnsi="Arial"/>
          <w:sz w:val="16"/>
          <w:szCs w:val="16"/>
          <w:color w:val="auto"/>
        </w:rPr>
        <w:t>The leadership of our Board is managed by our Board Chair. Our Governance Principles generally require the role of Board Chair to be held by an independent director who meets the independence requirements of the Nasdaq Stock Market. The Board believes having separate roles of Board Chair and CEO allows for a more balanced workload between the Board Chair and the CEO, especially in light of the current duties and responsibilities of the Board Chair, which include the following:</w:t>
      </w:r>
    </w:p>
    <w:p>
      <w:pPr>
        <w:spacing w:after="0" w:line="70" w:lineRule="exact"/>
        <w:rPr>
          <w:sz w:val="20"/>
          <w:szCs w:val="20"/>
          <w:color w:val="auto"/>
        </w:rPr>
      </w:pPr>
    </w:p>
    <w:p>
      <w:pPr>
        <w:ind w:left="226" w:hanging="226"/>
        <w:spacing w:after="0"/>
        <w:tabs>
          <w:tab w:leader="none" w:pos="226"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Preside over all meetings of the Board (including executive sessions of the Board) and meetings of the shareholders;</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the agendas of each Board and committee meeting;</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Prepare agendas as needed for executive sessions of the independent directors;</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9"/>
        </w:numPr>
        <w:rPr>
          <w:rFonts w:ascii="Arial" w:cs="Arial" w:eastAsia="Arial" w:hAnsi="Arial"/>
          <w:sz w:val="16"/>
          <w:szCs w:val="16"/>
          <w:color w:val="auto"/>
        </w:rPr>
      </w:pPr>
      <w:r>
        <w:rPr>
          <w:rFonts w:ascii="Arial" w:cs="Arial" w:eastAsia="Arial" w:hAnsi="Arial"/>
          <w:sz w:val="16"/>
          <w:szCs w:val="16"/>
          <w:color w:val="auto"/>
        </w:rPr>
        <w:t>Serve as a liaison between the independent directors and the CEO;</w:t>
      </w:r>
    </w:p>
    <w:p>
      <w:pPr>
        <w:spacing w:after="0" w:line="113" w:lineRule="exact"/>
        <w:rPr>
          <w:rFonts w:ascii="Arial" w:cs="Arial" w:eastAsia="Arial" w:hAnsi="Arial"/>
          <w:sz w:val="16"/>
          <w:szCs w:val="16"/>
          <w:color w:val="auto"/>
        </w:rPr>
      </w:pPr>
    </w:p>
    <w:p>
      <w:pPr>
        <w:ind w:left="226" w:right="540" w:hanging="226"/>
        <w:spacing w:after="0" w:line="286" w:lineRule="auto"/>
        <w:tabs>
          <w:tab w:leader="none" w:pos="22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consultation with the CEO, make recommendations to the Nominating and Corporate Governance Committee as to membership of Board committees and appointment of Board committee Chairs; and</w:t>
      </w:r>
    </w:p>
    <w:p>
      <w:pPr>
        <w:spacing w:after="0" w:line="47" w:lineRule="exact"/>
        <w:rPr>
          <w:rFonts w:ascii="Arial" w:cs="Arial" w:eastAsia="Arial" w:hAnsi="Arial"/>
          <w:sz w:val="16"/>
          <w:szCs w:val="16"/>
          <w:color w:val="auto"/>
        </w:rPr>
      </w:pPr>
    </w:p>
    <w:p>
      <w:pPr>
        <w:ind w:left="226" w:hanging="226"/>
        <w:spacing w:after="0"/>
        <w:tabs>
          <w:tab w:leader="none" w:pos="226"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Perform such other duties as the Board may require.</w:t>
      </w:r>
    </w:p>
    <w:p>
      <w:pPr>
        <w:spacing w:after="0" w:line="194" w:lineRule="exact"/>
        <w:rPr>
          <w:sz w:val="20"/>
          <w:szCs w:val="20"/>
          <w:color w:val="auto"/>
        </w:rPr>
      </w:pPr>
    </w:p>
    <w:p>
      <w:pPr>
        <w:ind w:left="6" w:right="20"/>
        <w:spacing w:after="0" w:line="254" w:lineRule="auto"/>
        <w:rPr>
          <w:sz w:val="20"/>
          <w:szCs w:val="20"/>
          <w:color w:val="auto"/>
        </w:rPr>
      </w:pPr>
      <w:r>
        <w:rPr>
          <w:rFonts w:ascii="Arial" w:cs="Arial" w:eastAsia="Arial" w:hAnsi="Arial"/>
          <w:sz w:val="16"/>
          <w:szCs w:val="16"/>
          <w:color w:val="auto"/>
        </w:rPr>
        <w:t>Pursuant to our Governance Principles, the Board Chair must be an independent director unless the Board determines that the best interests of shareholders would otherwise be better served. The Board Chair is elected by a majority of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 extended term. Our current Chair, Diana D. Tremblay, is serving her first term.</w:t>
      </w:r>
    </w:p>
    <w:p>
      <w:pPr>
        <w:spacing w:after="0" w:line="141" w:lineRule="exact"/>
        <w:rPr>
          <w:sz w:val="20"/>
          <w:szCs w:val="20"/>
          <w:color w:val="auto"/>
        </w:rPr>
      </w:pPr>
    </w:p>
    <w:p>
      <w:pPr>
        <w:ind w:left="6" w:right="380"/>
        <w:spacing w:after="0" w:line="286" w:lineRule="auto"/>
        <w:rPr>
          <w:sz w:val="20"/>
          <w:szCs w:val="20"/>
          <w:color w:val="auto"/>
        </w:rPr>
      </w:pPr>
      <w:r>
        <w:rPr>
          <w:rFonts w:ascii="Arial" w:cs="Arial" w:eastAsia="Arial" w:hAnsi="Arial"/>
          <w:sz w:val="16"/>
          <w:szCs w:val="16"/>
          <w:color w:val="auto"/>
        </w:rPr>
        <w:t>If the Board determines that it is in the best interests of the shareholders to combine the roles of CEO and Board Chair, the Board will appoint a Lead Independent Director with the duties set forth in our Governance Principles.</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Corporate Governance Guiding Principles</w:t>
      </w:r>
    </w:p>
    <w:p>
      <w:pPr>
        <w:spacing w:after="0" w:line="72" w:lineRule="exact"/>
        <w:rPr>
          <w:sz w:val="20"/>
          <w:szCs w:val="20"/>
          <w:color w:val="auto"/>
        </w:rPr>
      </w:pPr>
    </w:p>
    <w:p>
      <w:pPr>
        <w:ind w:left="6" w:right="680"/>
        <w:spacing w:after="0" w:line="286" w:lineRule="auto"/>
        <w:rPr>
          <w:sz w:val="20"/>
          <w:szCs w:val="20"/>
          <w:color w:val="auto"/>
        </w:rPr>
      </w:pPr>
      <w:r>
        <w:rPr>
          <w:rFonts w:ascii="Arial" w:cs="Arial" w:eastAsia="Arial" w:hAnsi="Arial"/>
          <w:sz w:val="16"/>
          <w:szCs w:val="16"/>
          <w:color w:val="auto"/>
        </w:rPr>
        <w:t xml:space="preserve">The Company’s Governance Principles are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“Sustainability and Governance” and then “Policies and Guidelines.”</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Board Matters – Meeting Attendance</w:t>
      </w:r>
    </w:p>
    <w:p>
      <w:pPr>
        <w:spacing w:after="0" w:line="85" w:lineRule="exact"/>
        <w:rPr>
          <w:sz w:val="20"/>
          <w:szCs w:val="20"/>
          <w:color w:val="auto"/>
        </w:rPr>
      </w:pPr>
    </w:p>
    <w:p>
      <w:pPr>
        <w:ind w:left="6" w:right="140"/>
        <w:spacing w:after="0" w:line="266" w:lineRule="auto"/>
        <w:rPr>
          <w:sz w:val="20"/>
          <w:szCs w:val="20"/>
          <w:color w:val="auto"/>
        </w:rPr>
      </w:pPr>
      <w:r>
        <w:rPr>
          <w:rFonts w:ascii="Arial" w:cs="Arial" w:eastAsia="Arial" w:hAnsi="Arial"/>
          <w:sz w:val="16"/>
          <w:szCs w:val="16"/>
          <w:color w:val="auto"/>
        </w:rPr>
        <w:t>Our business, property, and affairs are managed under the oversight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31"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In accordance with our Governance Principles, directors are expected to attend the Company’s annual meeting of shareholders. Seven of our directors serving at the time of the 2025 annual meeting of shareholders attended the meeting. During 2025, the Board met ten times. All the directors attended at least 75% of the meetings of the Board and committees on which he or she served. Also, in accordance with our Governance Principles, our independent directors meet in an executive session as often as necessary, but no less than two times annually.</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Director Independence</w:t>
      </w:r>
    </w:p>
    <w:p>
      <w:pPr>
        <w:spacing w:after="0" w:line="72" w:lineRule="exact"/>
        <w:rPr>
          <w:sz w:val="20"/>
          <w:szCs w:val="20"/>
          <w:color w:val="auto"/>
        </w:rPr>
      </w:pPr>
    </w:p>
    <w:p>
      <w:pPr>
        <w:ind w:left="6" w:right="60"/>
        <w:spacing w:after="0" w:line="254" w:lineRule="auto"/>
        <w:rPr>
          <w:sz w:val="20"/>
          <w:szCs w:val="20"/>
          <w:color w:val="auto"/>
        </w:rPr>
      </w:pPr>
      <w:r>
        <w:rPr>
          <w:rFonts w:ascii="Arial" w:cs="Arial" w:eastAsia="Arial" w:hAnsi="Arial"/>
          <w:sz w:val="16"/>
          <w:szCs w:val="16"/>
          <w:color w:val="auto"/>
        </w:rPr>
        <w:t>Our common stock is listed on the Nasdaq Global Select Market (Nasdaq). Under the Nasdaq listing rules, independent directors must comprise a majority of a listed company’s board of directors. In addition, the Nasdaq listing rules require that, subject to specified exceptions, each member of a listed company’s audit, compensation, and nominating and corporate governance committees be independent. Under the Nasdaq listing rules, a director will only qualify as an “independent director” if that company’s board of directors determines that the person does not have a relationship that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8293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recommended by the Nominating and Corporate Governance Committee, the Board has determined that a majority of our Board are independent directors as defined under the Nasdaq listing rules and the SEC rules, with Mr. Deitrich serving as the sole non-independent director. As Mr. Deitrich does not serve on any committees, and as recommended by the Nominating and Corporate Governance Committee, the Board has determined that all members of Itron’s committees are independent under SEC rules and Nasdaq listing rules. In addition, as recommended by the Nominating and Corporate Governance Committee, the Board has determined that all members of our Audit/Finance Committee are independent under Rule 10A-3 of the Securities Exchange Act of 1934, as amended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Committees of the Board</w:t>
      </w:r>
    </w:p>
    <w:p>
      <w:pPr>
        <w:spacing w:after="0" w:line="7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 xml:space="preserve">We have three committees to assist the Board in fulfilling its responsibilities: Nominating and Corporate Governance, Audit/Finance, and Compensation. Each of the three current committees operates under a written charter that has been approved by the Board. The committee charters are reviewed annually and are updated as necessary to reflect changes in regulatory requirements and evolving oversight practices. All of the current committee charters are available on the Company’s website, </w:t>
      </w:r>
      <w:r>
        <w:rPr>
          <w:rFonts w:ascii="Arial" w:cs="Arial" w:eastAsia="Arial" w:hAnsi="Arial"/>
          <w:sz w:val="16"/>
          <w:szCs w:val="16"/>
          <w:i w:val="1"/>
          <w:iCs w:val="1"/>
          <w:color w:val="auto"/>
        </w:rPr>
        <w:t>www.itron.com, by selecting “Investor Relations,” “Sustainability and Governance” and then “Committee Composition.”</w:t>
      </w:r>
      <w:r>
        <w:rPr>
          <w:rFonts w:ascii="Arial" w:cs="Arial" w:eastAsia="Arial" w:hAnsi="Arial"/>
          <w:sz w:val="16"/>
          <w:szCs w:val="16"/>
          <w:color w:val="auto"/>
        </w:rPr>
        <w:t xml:space="preserve"> The table below provides membership of each committee at the end of fiscal year 2025, followed by a description of each committee’s responsibilities.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00" w:type="dxa"/>
            <w:vAlign w:val="bottom"/>
            <w:shd w:val="clear" w:color="auto" w:fill="0063A6"/>
          </w:tcPr>
          <w:p>
            <w:pPr>
              <w:spacing w:after="0"/>
              <w:rPr>
                <w:sz w:val="21"/>
                <w:szCs w:val="21"/>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Nominating and</w:t>
            </w:r>
          </w:p>
        </w:tc>
        <w:tc>
          <w:tcPr>
            <w:tcW w:w="1880" w:type="dxa"/>
            <w:vAlign w:val="bottom"/>
            <w:shd w:val="clear" w:color="auto" w:fill="0063A6"/>
          </w:tcPr>
          <w:p>
            <w:pPr>
              <w:spacing w:after="0"/>
              <w:rPr>
                <w:sz w:val="21"/>
                <w:szCs w:val="21"/>
                <w:color w:val="auto"/>
              </w:rPr>
            </w:pPr>
          </w:p>
        </w:tc>
      </w:tr>
      <w:tr>
        <w:trPr>
          <w:trHeight w:val="189"/>
        </w:trPr>
        <w:tc>
          <w:tcPr>
            <w:tcW w:w="2480" w:type="dxa"/>
            <w:vAlign w:val="bottom"/>
          </w:tcPr>
          <w:p>
            <w:pPr>
              <w:ind w:left="80"/>
              <w:spacing w:after="0"/>
              <w:rPr>
                <w:sz w:val="20"/>
                <w:szCs w:val="20"/>
                <w:color w:val="auto"/>
              </w:rPr>
            </w:pPr>
            <w:r>
              <w:rPr>
                <w:rFonts w:ascii="Arial" w:cs="Arial" w:eastAsia="Arial" w:hAnsi="Arial"/>
                <w:sz w:val="16"/>
                <w:szCs w:val="16"/>
                <w:b w:val="1"/>
                <w:bCs w:val="1"/>
                <w:color w:val="auto"/>
              </w:rPr>
              <w:t>Director</w:t>
            </w:r>
          </w:p>
        </w:tc>
        <w:tc>
          <w:tcPr>
            <w:tcW w:w="920" w:type="dxa"/>
            <w:vAlign w:val="bottom"/>
          </w:tcPr>
          <w:p>
            <w:pPr>
              <w:spacing w:after="0"/>
              <w:rPr>
                <w:sz w:val="16"/>
                <w:szCs w:val="16"/>
                <w:color w:val="auto"/>
              </w:rPr>
            </w:pPr>
          </w:p>
        </w:tc>
        <w:tc>
          <w:tcPr>
            <w:tcW w:w="1900" w:type="dxa"/>
            <w:vAlign w:val="bottom"/>
            <w:shd w:val="clear" w:color="auto" w:fill="0063A6"/>
          </w:tcPr>
          <w:p>
            <w:pPr>
              <w:ind w:left="440"/>
              <w:spacing w:after="0"/>
              <w:rPr>
                <w:sz w:val="20"/>
                <w:szCs w:val="20"/>
                <w:color w:val="auto"/>
              </w:rPr>
            </w:pPr>
            <w:r>
              <w:rPr>
                <w:rFonts w:ascii="Arial" w:cs="Arial" w:eastAsia="Arial" w:hAnsi="Arial"/>
                <w:sz w:val="16"/>
                <w:szCs w:val="16"/>
                <w:b w:val="1"/>
                <w:bCs w:val="1"/>
                <w:color w:val="FFFFFF"/>
              </w:rPr>
              <w:t>Audit/Finance</w:t>
            </w:r>
          </w:p>
        </w:tc>
        <w:tc>
          <w:tcPr>
            <w:tcW w:w="200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Corporate</w:t>
            </w:r>
          </w:p>
        </w:tc>
        <w:tc>
          <w:tcPr>
            <w:tcW w:w="1880" w:type="dxa"/>
            <w:vAlign w:val="bottom"/>
            <w:shd w:val="clear" w:color="auto" w:fill="0063A6"/>
          </w:tcPr>
          <w:p>
            <w:pPr>
              <w:ind w:left="400"/>
              <w:spacing w:after="0"/>
              <w:rPr>
                <w:sz w:val="20"/>
                <w:szCs w:val="20"/>
                <w:color w:val="auto"/>
              </w:rPr>
            </w:pPr>
            <w:r>
              <w:rPr>
                <w:rFonts w:ascii="Arial" w:cs="Arial" w:eastAsia="Arial" w:hAnsi="Arial"/>
                <w:sz w:val="16"/>
                <w:szCs w:val="16"/>
                <w:b w:val="1"/>
                <w:bCs w:val="1"/>
                <w:color w:val="FFFFFF"/>
              </w:rPr>
              <w:t>Compensation</w:t>
            </w:r>
          </w:p>
        </w:tc>
      </w:tr>
      <w:tr>
        <w:trPr>
          <w:trHeight w:val="223"/>
        </w:trPr>
        <w:tc>
          <w:tcPr>
            <w:tcW w:w="2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00" w:type="dxa"/>
            <w:vAlign w:val="bottom"/>
            <w:shd w:val="clear" w:color="auto" w:fill="0063A6"/>
          </w:tcPr>
          <w:p>
            <w:pPr>
              <w:spacing w:after="0"/>
              <w:rPr>
                <w:sz w:val="19"/>
                <w:szCs w:val="19"/>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Governance</w:t>
            </w:r>
          </w:p>
        </w:tc>
        <w:tc>
          <w:tcPr>
            <w:tcW w:w="1880" w:type="dxa"/>
            <w:vAlign w:val="bottom"/>
            <w:shd w:val="clear" w:color="auto" w:fill="0063A6"/>
          </w:tcPr>
          <w:p>
            <w:pPr>
              <w:spacing w:after="0"/>
              <w:rPr>
                <w:sz w:val="19"/>
                <w:szCs w:val="19"/>
                <w:color w:val="auto"/>
              </w:rPr>
            </w:pPr>
          </w:p>
        </w:tc>
      </w:tr>
      <w:tr>
        <w:trPr>
          <w:trHeight w:val="48"/>
        </w:trPr>
        <w:tc>
          <w:tcPr>
            <w:tcW w:w="2480" w:type="dxa"/>
            <w:vAlign w:val="bottom"/>
            <w:tcBorders>
              <w:bottom w:val="single" w:sz="8" w:color="0063A6"/>
            </w:tcBorders>
          </w:tcPr>
          <w:p>
            <w:pPr>
              <w:spacing w:after="0"/>
              <w:rPr>
                <w:sz w:val="4"/>
                <w:szCs w:val="4"/>
                <w:color w:val="auto"/>
              </w:rPr>
            </w:pPr>
          </w:p>
        </w:tc>
        <w:tc>
          <w:tcPr>
            <w:tcW w:w="920" w:type="dxa"/>
            <w:vAlign w:val="bottom"/>
            <w:tcBorders>
              <w:bottom w:val="single" w:sz="8" w:color="0063A6"/>
            </w:tcBorders>
          </w:tcPr>
          <w:p>
            <w:pPr>
              <w:spacing w:after="0"/>
              <w:rPr>
                <w:sz w:val="4"/>
                <w:szCs w:val="4"/>
                <w:color w:val="auto"/>
              </w:rPr>
            </w:pPr>
          </w:p>
        </w:tc>
        <w:tc>
          <w:tcPr>
            <w:tcW w:w="1900" w:type="dxa"/>
            <w:vAlign w:val="bottom"/>
            <w:tcBorders>
              <w:bottom w:val="single" w:sz="8" w:color="0063A6"/>
            </w:tcBorders>
            <w:shd w:val="clear" w:color="auto" w:fill="0063A6"/>
          </w:tcPr>
          <w:p>
            <w:pPr>
              <w:spacing w:after="0"/>
              <w:rPr>
                <w:sz w:val="4"/>
                <w:szCs w:val="4"/>
                <w:color w:val="auto"/>
              </w:rPr>
            </w:pPr>
          </w:p>
        </w:tc>
        <w:tc>
          <w:tcPr>
            <w:tcW w:w="2000" w:type="dxa"/>
            <w:vAlign w:val="bottom"/>
            <w:tcBorders>
              <w:bottom w:val="single" w:sz="8" w:color="0063A6"/>
            </w:tcBorders>
            <w:shd w:val="clear" w:color="auto" w:fill="0063A6"/>
          </w:tcPr>
          <w:p>
            <w:pPr>
              <w:spacing w:after="0"/>
              <w:rPr>
                <w:sz w:val="4"/>
                <w:szCs w:val="4"/>
                <w:color w:val="auto"/>
              </w:rPr>
            </w:pPr>
          </w:p>
        </w:tc>
        <w:tc>
          <w:tcPr>
            <w:tcW w:w="1880" w:type="dxa"/>
            <w:vAlign w:val="bottom"/>
            <w:tcBorders>
              <w:bottom w:val="single" w:sz="8" w:color="0063A6"/>
            </w:tcBorders>
            <w:shd w:val="clear" w:color="auto" w:fill="0063A6"/>
          </w:tcPr>
          <w:p>
            <w:pPr>
              <w:spacing w:after="0"/>
              <w:rPr>
                <w:sz w:val="4"/>
                <w:szCs w:val="4"/>
                <w:color w:val="auto"/>
              </w:rPr>
            </w:pPr>
          </w:p>
        </w:tc>
      </w:tr>
      <w:tr>
        <w:trPr>
          <w:trHeight w:val="208"/>
        </w:trPr>
        <w:tc>
          <w:tcPr>
            <w:tcW w:w="2480" w:type="dxa"/>
            <w:vAlign w:val="bottom"/>
          </w:tcPr>
          <w:p>
            <w:pPr>
              <w:ind w:left="80"/>
              <w:spacing w:after="0"/>
              <w:rPr>
                <w:sz w:val="20"/>
                <w:szCs w:val="20"/>
                <w:color w:val="auto"/>
              </w:rPr>
            </w:pPr>
            <w:r>
              <w:rPr>
                <w:rFonts w:ascii="Arial" w:cs="Arial" w:eastAsia="Arial" w:hAnsi="Arial"/>
                <w:sz w:val="16"/>
                <w:szCs w:val="16"/>
                <w:color w:val="0063A6"/>
              </w:rPr>
              <w:t>Scott D. Drury</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69"/>
        </w:trPr>
        <w:tc>
          <w:tcPr>
            <w:tcW w:w="248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1900" w:type="dxa"/>
            <w:vAlign w:val="bottom"/>
            <w:tcBorders>
              <w:bottom w:val="single" w:sz="8" w:color="5D6673"/>
            </w:tcBorders>
          </w:tcPr>
          <w:p>
            <w:pPr>
              <w:spacing w:after="0"/>
              <w:rPr>
                <w:sz w:val="5"/>
                <w:szCs w:val="5"/>
                <w:color w:val="auto"/>
              </w:rPr>
            </w:pPr>
          </w:p>
        </w:tc>
        <w:tc>
          <w:tcPr>
            <w:tcW w:w="2000" w:type="dxa"/>
            <w:vAlign w:val="bottom"/>
            <w:tcBorders>
              <w:bottom w:val="single" w:sz="8" w:color="5D6673"/>
            </w:tcBorders>
          </w:tcPr>
          <w:p>
            <w:pPr>
              <w:spacing w:after="0"/>
              <w:rPr>
                <w:sz w:val="5"/>
                <w:szCs w:val="5"/>
                <w:color w:val="auto"/>
              </w:rPr>
            </w:pPr>
          </w:p>
        </w:tc>
        <w:tc>
          <w:tcPr>
            <w:tcW w:w="1880" w:type="dxa"/>
            <w:vAlign w:val="bottom"/>
            <w:tcBorders>
              <w:bottom w:val="single" w:sz="8" w:color="5D6673"/>
            </w:tcBorders>
          </w:tcPr>
          <w:p>
            <w:pPr>
              <w:spacing w:after="0"/>
              <w:rPr>
                <w:sz w:val="5"/>
                <w:szCs w:val="5"/>
                <w:color w:val="auto"/>
              </w:rPr>
            </w:pPr>
          </w:p>
        </w:tc>
      </w:tr>
      <w:tr>
        <w:trPr>
          <w:trHeight w:val="263"/>
        </w:trPr>
        <w:tc>
          <w:tcPr>
            <w:tcW w:w="2480" w:type="dxa"/>
            <w:vAlign w:val="bottom"/>
          </w:tcPr>
          <w:p>
            <w:pPr>
              <w:ind w:left="80"/>
              <w:spacing w:after="0"/>
              <w:rPr>
                <w:sz w:val="20"/>
                <w:szCs w:val="20"/>
                <w:color w:val="auto"/>
              </w:rPr>
            </w:pPr>
            <w:r>
              <w:rPr>
                <w:rFonts w:ascii="Arial" w:cs="Arial" w:eastAsia="Arial" w:hAnsi="Arial"/>
                <w:sz w:val="16"/>
                <w:szCs w:val="16"/>
                <w:color w:val="0063A6"/>
              </w:rPr>
              <w:t>Frank M. Jaehnert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880" w:type="dxa"/>
            <w:vAlign w:val="bottom"/>
          </w:tcPr>
          <w:p>
            <w:pPr>
              <w:ind w:left="840"/>
              <w:spacing w:after="0"/>
              <w:rPr>
                <w:sz w:val="20"/>
                <w:szCs w:val="20"/>
                <w:color w:val="auto"/>
              </w:rPr>
            </w:pPr>
            <w:r>
              <w:rPr>
                <w:rFonts w:ascii="Arial" w:cs="Arial" w:eastAsia="Arial" w:hAnsi="Arial"/>
                <w:sz w:val="17"/>
                <w:szCs w:val="17"/>
                <w:color w:val="auto"/>
              </w:rPr>
              <w:t> </w:t>
            </w:r>
          </w:p>
        </w:tc>
      </w:tr>
      <w:tr>
        <w:trPr>
          <w:trHeight w:val="27"/>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6"/>
                <w:szCs w:val="16"/>
                <w:color w:val="0063A6"/>
              </w:rPr>
              <w:t>Jerome J. Lande</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64"/>
        </w:trPr>
        <w:tc>
          <w:tcPr>
            <w:tcW w:w="2480" w:type="dxa"/>
            <w:vAlign w:val="bottom"/>
          </w:tcPr>
          <w:p>
            <w:pPr>
              <w:ind w:left="80"/>
              <w:spacing w:after="0"/>
              <w:rPr>
                <w:sz w:val="20"/>
                <w:szCs w:val="20"/>
                <w:color w:val="auto"/>
              </w:rPr>
            </w:pPr>
            <w:r>
              <w:rPr>
                <w:rFonts w:ascii="Arial" w:cs="Arial" w:eastAsia="Arial" w:hAnsi="Arial"/>
                <w:sz w:val="16"/>
                <w:szCs w:val="16"/>
                <w:color w:val="0063A6"/>
              </w:rPr>
              <w:t>Timothy M. Leyden</w:t>
            </w:r>
          </w:p>
        </w:tc>
        <w:tc>
          <w:tcPr>
            <w:tcW w:w="920" w:type="dxa"/>
            <w:vAlign w:val="bottom"/>
          </w:tcPr>
          <w:p>
            <w:pPr>
              <w:spacing w:after="0"/>
              <w:rPr>
                <w:sz w:val="22"/>
                <w:szCs w:val="22"/>
                <w:color w:val="auto"/>
              </w:rPr>
            </w:pPr>
          </w:p>
        </w:tc>
        <w:tc>
          <w:tcPr>
            <w:tcW w:w="1900" w:type="dxa"/>
            <w:vAlign w:val="bottom"/>
          </w:tcPr>
          <w:p>
            <w:pPr>
              <w:ind w:left="840"/>
              <w:spacing w:after="0"/>
              <w:rPr>
                <w:sz w:val="20"/>
                <w:szCs w:val="20"/>
                <w:color w:val="auto"/>
              </w:rPr>
            </w:pPr>
            <w:r>
              <w:rPr>
                <w:rFonts w:ascii="Arial" w:cs="Arial" w:eastAsia="Arial" w:hAnsi="Arial"/>
                <w:sz w:val="17"/>
                <w:szCs w:val="17"/>
                <w:color w:val="auto"/>
              </w:rPr>
              <w:t> </w:t>
            </w:r>
          </w:p>
        </w:tc>
        <w:tc>
          <w:tcPr>
            <w:tcW w:w="20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7"/>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6"/>
                <w:szCs w:val="16"/>
                <w:color w:val="0063A6"/>
              </w:rPr>
              <w:t>Sanjay Mirchandani</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64"/>
        </w:trPr>
        <w:tc>
          <w:tcPr>
            <w:tcW w:w="2480" w:type="dxa"/>
            <w:vAlign w:val="bottom"/>
          </w:tcPr>
          <w:p>
            <w:pPr>
              <w:ind w:left="80"/>
              <w:spacing w:after="0"/>
              <w:rPr>
                <w:sz w:val="20"/>
                <w:szCs w:val="20"/>
                <w:color w:val="auto"/>
              </w:rPr>
            </w:pPr>
            <w:r>
              <w:rPr>
                <w:rFonts w:ascii="Arial" w:cs="Arial" w:eastAsia="Arial" w:hAnsi="Arial"/>
                <w:sz w:val="16"/>
                <w:szCs w:val="16"/>
                <w:color w:val="0063A6"/>
              </w:rPr>
              <w:t>Santiago Perez</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00" w:type="dxa"/>
            <w:vAlign w:val="bottom"/>
          </w:tcPr>
          <w:p>
            <w:pPr>
              <w:ind w:left="880"/>
              <w:spacing w:after="0"/>
              <w:rPr>
                <w:sz w:val="20"/>
                <w:szCs w:val="20"/>
                <w:color w:val="auto"/>
              </w:rPr>
            </w:pPr>
            <w:r>
              <w:rPr>
                <w:rFonts w:ascii="Arial" w:cs="Arial" w:eastAsia="Arial" w:hAnsi="Arial"/>
                <w:sz w:val="17"/>
                <w:szCs w:val="17"/>
                <w:color w:val="auto"/>
              </w:rPr>
              <w:t> </w:t>
            </w:r>
          </w:p>
        </w:tc>
        <w:tc>
          <w:tcPr>
            <w:tcW w:w="1880" w:type="dxa"/>
            <w:vAlign w:val="bottom"/>
          </w:tcPr>
          <w:p>
            <w:pPr>
              <w:spacing w:after="0"/>
              <w:rPr>
                <w:sz w:val="22"/>
                <w:szCs w:val="22"/>
                <w:color w:val="auto"/>
              </w:rPr>
            </w:pPr>
          </w:p>
        </w:tc>
      </w:tr>
      <w:tr>
        <w:trPr>
          <w:trHeight w:val="27"/>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6"/>
                <w:szCs w:val="16"/>
                <w:color w:val="0063A6"/>
              </w:rPr>
              <w:t>Diana D. Tremblay</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5"/>
        </w:trPr>
        <w:tc>
          <w:tcPr>
            <w:tcW w:w="2480" w:type="dxa"/>
            <w:vAlign w:val="bottom"/>
          </w:tcPr>
          <w:p>
            <w:pPr>
              <w:ind w:left="80"/>
              <w:spacing w:after="0"/>
              <w:rPr>
                <w:sz w:val="20"/>
                <w:szCs w:val="20"/>
                <w:color w:val="auto"/>
              </w:rPr>
            </w:pPr>
            <w:r>
              <w:rPr>
                <w:rFonts w:ascii="Arial" w:cs="Arial" w:eastAsia="Arial" w:hAnsi="Arial"/>
                <w:sz w:val="16"/>
                <w:szCs w:val="16"/>
                <w:color w:val="0063A6"/>
              </w:rPr>
              <w:t>Sheri L. Savage</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6"/>
        </w:trPr>
        <w:tc>
          <w:tcPr>
            <w:tcW w:w="2480" w:type="dxa"/>
            <w:vAlign w:val="bottom"/>
            <w:tcBorders>
              <w:bottom w:val="single" w:sz="8" w:color="0063A6"/>
            </w:tcBorders>
          </w:tcPr>
          <w:p>
            <w:pPr>
              <w:ind w:left="80"/>
              <w:spacing w:after="0"/>
              <w:rPr>
                <w:sz w:val="20"/>
                <w:szCs w:val="20"/>
                <w:color w:val="auto"/>
              </w:rPr>
            </w:pPr>
            <w:r>
              <w:rPr>
                <w:rFonts w:ascii="Arial" w:cs="Arial" w:eastAsia="Arial" w:hAnsi="Arial"/>
                <w:sz w:val="16"/>
                <w:szCs w:val="16"/>
                <w:color w:val="0063A6"/>
              </w:rPr>
              <w:t>Thomas L. Deitrich</w:t>
            </w:r>
          </w:p>
        </w:tc>
        <w:tc>
          <w:tcPr>
            <w:tcW w:w="920" w:type="dxa"/>
            <w:vAlign w:val="bottom"/>
            <w:tcBorders>
              <w:bottom w:val="single" w:sz="8" w:color="0063A6"/>
            </w:tcBorders>
          </w:tcPr>
          <w:p>
            <w:pPr>
              <w:spacing w:after="0"/>
              <w:rPr>
                <w:sz w:val="20"/>
                <w:szCs w:val="20"/>
                <w:color w:val="auto"/>
              </w:rPr>
            </w:pPr>
          </w:p>
        </w:tc>
        <w:tc>
          <w:tcPr>
            <w:tcW w:w="1900" w:type="dxa"/>
            <w:vAlign w:val="bottom"/>
            <w:tcBorders>
              <w:bottom w:val="single" w:sz="8" w:color="0063A6"/>
            </w:tcBorders>
          </w:tcPr>
          <w:p>
            <w:pPr>
              <w:spacing w:after="0"/>
              <w:rPr>
                <w:sz w:val="20"/>
                <w:szCs w:val="20"/>
                <w:color w:val="auto"/>
              </w:rPr>
            </w:pPr>
          </w:p>
        </w:tc>
        <w:tc>
          <w:tcPr>
            <w:tcW w:w="2000" w:type="dxa"/>
            <w:vAlign w:val="bottom"/>
            <w:tcBorders>
              <w:bottom w:val="single" w:sz="8" w:color="0063A6"/>
            </w:tcBorders>
          </w:tcPr>
          <w:p>
            <w:pPr>
              <w:spacing w:after="0"/>
              <w:rPr>
                <w:sz w:val="20"/>
                <w:szCs w:val="20"/>
                <w:color w:val="auto"/>
              </w:rPr>
            </w:pPr>
          </w:p>
        </w:tc>
        <w:tc>
          <w:tcPr>
            <w:tcW w:w="1880" w:type="dxa"/>
            <w:vAlign w:val="bottom"/>
            <w:tcBorders>
              <w:bottom w:val="single" w:sz="8" w:color="0063A6"/>
            </w:tcBorders>
          </w:tcPr>
          <w:p>
            <w:pPr>
              <w:spacing w:after="0"/>
              <w:rPr>
                <w:sz w:val="20"/>
                <w:szCs w:val="20"/>
                <w:color w:val="auto"/>
              </w:rPr>
            </w:pPr>
          </w:p>
        </w:tc>
      </w:tr>
      <w:tr>
        <w:trPr>
          <w:trHeight w:val="405"/>
        </w:trPr>
        <w:tc>
          <w:tcPr>
            <w:tcW w:w="2480" w:type="dxa"/>
            <w:vAlign w:val="bottom"/>
          </w:tcPr>
          <w:p>
            <w:pPr>
              <w:ind w:left="460"/>
              <w:spacing w:after="0"/>
              <w:rPr>
                <w:sz w:val="20"/>
                <w:szCs w:val="20"/>
                <w:color w:val="auto"/>
              </w:rPr>
            </w:pPr>
            <w:r>
              <w:rPr>
                <w:rFonts w:ascii="Arial" w:cs="Arial" w:eastAsia="Arial" w:hAnsi="Arial"/>
                <w:sz w:val="14"/>
                <w:szCs w:val="14"/>
                <w:color w:val="auto"/>
              </w:rPr>
              <w:t>Committee Member</w:t>
            </w:r>
          </w:p>
        </w:tc>
        <w:tc>
          <w:tcPr>
            <w:tcW w:w="2820" w:type="dxa"/>
            <w:vAlign w:val="bottom"/>
            <w:gridSpan w:val="2"/>
          </w:tcPr>
          <w:p>
            <w:pPr>
              <w:ind w:left="760"/>
              <w:spacing w:after="0"/>
              <w:rPr>
                <w:sz w:val="20"/>
                <w:szCs w:val="20"/>
                <w:color w:val="auto"/>
              </w:rPr>
            </w:pPr>
            <w:r>
              <w:rPr>
                <w:rFonts w:ascii="Arial" w:cs="Arial" w:eastAsia="Arial" w:hAnsi="Arial"/>
                <w:sz w:val="14"/>
                <w:szCs w:val="14"/>
                <w:color w:val="auto"/>
              </w:rPr>
              <w:t>Committee Chair</w:t>
            </w:r>
          </w:p>
        </w:tc>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-1931670</wp:posOffset>
            </wp:positionV>
            <wp:extent cx="163195"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-1708785</wp:posOffset>
            </wp:positionV>
            <wp:extent cx="163195" cy="1111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-1708785</wp:posOffset>
            </wp:positionV>
            <wp:extent cx="102870" cy="111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-1511935</wp:posOffset>
            </wp:positionV>
            <wp:extent cx="162560"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-1511935</wp:posOffset>
            </wp:positionV>
            <wp:extent cx="162560" cy="111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-1331595</wp:posOffset>
            </wp:positionV>
            <wp:extent cx="102870" cy="1111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-1134745</wp:posOffset>
            </wp:positionV>
            <wp:extent cx="162560"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-954405</wp:posOffset>
            </wp:positionV>
            <wp:extent cx="102870" cy="111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111760"/>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-954405</wp:posOffset>
            </wp:positionV>
            <wp:extent cx="162560" cy="111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-577215</wp:posOffset>
            </wp:positionV>
            <wp:extent cx="162560" cy="111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wp:posOffset>
            </wp:positionV>
            <wp:extent cx="163195" cy="111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-123190</wp:posOffset>
            </wp:positionV>
            <wp:extent cx="102870" cy="111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Nominating and Corporate Governance Committee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 (NCGC) is primarily responsible for:</w:t>
      </w:r>
    </w:p>
    <w:p>
      <w:pPr>
        <w:spacing w:after="0" w:line="113" w:lineRule="exact"/>
        <w:rPr>
          <w:sz w:val="20"/>
          <w:szCs w:val="20"/>
          <w:color w:val="auto"/>
        </w:rPr>
      </w:pPr>
    </w:p>
    <w:p>
      <w:pPr>
        <w:ind w:left="560" w:hanging="20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developing and implementing our Governance Principles;</w:t>
      </w:r>
    </w:p>
    <w:p>
      <w:pPr>
        <w:spacing w:after="0" w:line="113" w:lineRule="exact"/>
        <w:rPr>
          <w:rFonts w:ascii="Arial" w:cs="Arial" w:eastAsia="Arial" w:hAnsi="Arial"/>
          <w:sz w:val="16"/>
          <w:szCs w:val="16"/>
          <w:color w:val="auto"/>
        </w:rPr>
      </w:pPr>
    </w:p>
    <w:p>
      <w:pPr>
        <w:ind w:left="560" w:right="200" w:hanging="206"/>
        <w:spacing w:after="0" w:line="286" w:lineRule="auto"/>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overseeing the process for evaluating the performance of our Board Chair and the CEO, as well as the other directors and the Board as a whole;</w:t>
      </w:r>
    </w:p>
    <w:p>
      <w:pPr>
        <w:spacing w:after="0" w:line="47" w:lineRule="exact"/>
        <w:rPr>
          <w:rFonts w:ascii="Arial" w:cs="Arial" w:eastAsia="Arial" w:hAnsi="Arial"/>
          <w:sz w:val="16"/>
          <w:szCs w:val="16"/>
          <w:color w:val="auto"/>
        </w:rPr>
      </w:pPr>
    </w:p>
    <w:p>
      <w:pPr>
        <w:ind w:left="560" w:hanging="20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determining the qualifications of the directors serving on the Board, including their independence;</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recommending candidates to serve on the Board; and</w:t>
      </w:r>
    </w:p>
    <w:p>
      <w:pPr>
        <w:spacing w:after="0" w:line="113" w:lineRule="exact"/>
        <w:rPr>
          <w:rFonts w:ascii="Arial" w:cs="Arial" w:eastAsia="Arial" w:hAnsi="Arial"/>
          <w:sz w:val="16"/>
          <w:szCs w:val="16"/>
          <w:color w:val="auto"/>
        </w:rPr>
      </w:pPr>
    </w:p>
    <w:p>
      <w:pPr>
        <w:ind w:left="560" w:right="1020" w:hanging="206"/>
        <w:spacing w:after="0" w:line="286" w:lineRule="auto"/>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with respect to candidates for directors proposed by shareholders.</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To assist the NCGC in its identification of qualified director candidates, it might engage an outside search firm. The NCGC also reviews the compensation paid to our directors and makes recommendations to the Board on director fees and other compensation payable to the Board members.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All of the members of the NCGC are independent under SEC rules and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180"/>
        <w:spacing w:after="0"/>
        <w:rPr>
          <w:sz w:val="20"/>
          <w:szCs w:val="20"/>
          <w:color w:val="auto"/>
        </w:rPr>
      </w:pPr>
      <w:r>
        <w:rPr>
          <w:rFonts w:ascii="Arial" w:cs="Arial" w:eastAsia="Arial" w:hAnsi="Arial"/>
          <w:sz w:val="14"/>
          <w:szCs w:val="14"/>
          <w:color w:val="5D6673"/>
        </w:rPr>
        <w:t>CORPORATE GOVERNANCE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Audit/Finance Committee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Audit/Finance Committee (AFC) is primarily responsible for:</w:t>
      </w:r>
    </w:p>
    <w:p>
      <w:pPr>
        <w:spacing w:after="0" w:line="113" w:lineRule="exact"/>
        <w:rPr>
          <w:sz w:val="20"/>
          <w:szCs w:val="20"/>
          <w:color w:val="auto"/>
        </w:rPr>
      </w:pPr>
    </w:p>
    <w:p>
      <w:pPr>
        <w:ind w:left="560" w:hanging="20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overseeing our accounting and financial reporting processes and the audit of our financial statements;</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approving the compensation of our independent auditors;</w:t>
      </w:r>
    </w:p>
    <w:p>
      <w:pPr>
        <w:spacing w:after="0" w:line="113" w:lineRule="exact"/>
        <w:rPr>
          <w:rFonts w:ascii="Arial" w:cs="Arial" w:eastAsia="Arial" w:hAnsi="Arial"/>
          <w:sz w:val="16"/>
          <w:szCs w:val="16"/>
          <w:color w:val="auto"/>
        </w:rPr>
      </w:pPr>
    </w:p>
    <w:p>
      <w:pPr>
        <w:ind w:left="560" w:hanging="206"/>
        <w:spacing w:after="0" w:line="286"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with management our business financial risks and the process by which management assesses and manages such financial risks;</w:t>
      </w:r>
    </w:p>
    <w:p>
      <w:pPr>
        <w:spacing w:after="0" w:line="47" w:lineRule="exact"/>
        <w:rPr>
          <w:rFonts w:ascii="Arial" w:cs="Arial" w:eastAsia="Arial" w:hAnsi="Arial"/>
          <w:sz w:val="16"/>
          <w:szCs w:val="16"/>
          <w:color w:val="auto"/>
        </w:rPr>
      </w:pPr>
    </w:p>
    <w:p>
      <w:pPr>
        <w:ind w:left="560" w:hanging="20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selecting, retaining, or terminating our independent auditors; and</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monitoring compliance with our code of conduct.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Board has determined that all members of the AFC are independent under SEC rules and Nasdaq listing rules, including Rule 10A-3 of the Exchange Act. The NCGC has determined that all of the current members of the AFC are financially literate in accordance with the Standards of Nasdaq Rule 5605(c)(2)(A)(iv), and “audit committee financial experts” as defined in Item 407(d)(5) of Regulation S-K.</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(CC) is primarily responsible for:</w:t>
      </w:r>
    </w:p>
    <w:p>
      <w:pPr>
        <w:spacing w:after="0" w:line="113" w:lineRule="exact"/>
        <w:rPr>
          <w:sz w:val="20"/>
          <w:szCs w:val="20"/>
          <w:color w:val="auto"/>
        </w:rPr>
      </w:pPr>
    </w:p>
    <w:p>
      <w:pPr>
        <w:ind w:left="560" w:hanging="206"/>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recommending to the Board our CEO’s total annual and long-term incentive compensation;</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setting compensation levels for our other executive officers; and</w:t>
      </w:r>
    </w:p>
    <w:p>
      <w:pPr>
        <w:spacing w:after="0" w:line="113" w:lineRule="exact"/>
        <w:rPr>
          <w:rFonts w:ascii="Arial" w:cs="Arial" w:eastAsia="Arial" w:hAnsi="Arial"/>
          <w:sz w:val="16"/>
          <w:szCs w:val="16"/>
          <w:color w:val="auto"/>
        </w:rPr>
      </w:pPr>
    </w:p>
    <w:p>
      <w:pPr>
        <w:ind w:left="560" w:right="20" w:hanging="206"/>
        <w:spacing w:after="0" w:line="286"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overseeing the administration of various incentive compensation and benefit plans, which includes an annual evaluation of our compensation plans and policies.</w:t>
      </w:r>
    </w:p>
    <w:p>
      <w:pPr>
        <w:spacing w:after="0" w:line="115"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 xml:space="preserve">The CC, when appropriate, may form and delegate authority to subcommittees and may delegate authority to one or more designated members of the Board or to Company officers. The Board has determined that all members of the CC are independent under SEC rules and Nasdaq listing rules. In addition, all CC members are “non-employee directors” under Section 16b-3 of the Exchange Act.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this proxy statement for more information on the CC’s responsibilities regarding the compensation of our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Compensation Committee Interlocks and Insider Participation</w:t>
      </w:r>
    </w:p>
    <w:p>
      <w:pPr>
        <w:spacing w:after="0" w:line="72"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Transactions with Related Persons</w:t>
      </w:r>
    </w:p>
    <w:p>
      <w:pPr>
        <w:spacing w:after="0" w:line="7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There were no related person transactions required to be disclosed pursuant to Item 404(a) of Regulation S-K in fiscal year 2025. In order to determine this, the Board requires our executive officers, directors and director nominees to disclose certain information regarding related person transactions. Generally, a “related person transaction”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 material interest. The current threshold required to be disclosed under SEC regulations is $120,000. Under its charter, the Audit/Finance Committee of the Board has been delegated with the responsibility of reviewing and approving any related person transactions and the Nominating and Corporate Governance Committee also provides input in that regard.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Our Board’s Role in Risk Oversight</w:t>
      </w:r>
    </w:p>
    <w:p>
      <w:pPr>
        <w:spacing w:after="0" w:line="72"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The Board has overall responsibility for risk oversight, including, as part of regular Board and committee meetings, general oversight of our executives’ management of risks relevant to the Company. The Board determines, directly or through Board committees, whether: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58293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7"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280" w:type="dxa"/>
            <w:vAlign w:val="bottom"/>
            <w:shd w:val="clear" w:color="auto" w:fill="0063A6"/>
          </w:tcPr>
          <w:p>
            <w:pPr>
              <w:spacing w:after="0"/>
              <w:rPr>
                <w:sz w:val="21"/>
                <w:szCs w:val="21"/>
                <w:color w:val="auto"/>
              </w:rPr>
            </w:pPr>
          </w:p>
        </w:tc>
        <w:tc>
          <w:tcPr>
            <w:tcW w:w="1760" w:type="dxa"/>
            <w:vAlign w:val="bottom"/>
            <w:shd w:val="clear" w:color="auto" w:fill="0063A6"/>
          </w:tcPr>
          <w:p>
            <w:pPr>
              <w:spacing w:after="0"/>
              <w:rPr>
                <w:sz w:val="21"/>
                <w:szCs w:val="21"/>
                <w:color w:val="auto"/>
              </w:rPr>
            </w:pPr>
          </w:p>
        </w:tc>
        <w:tc>
          <w:tcPr>
            <w:tcW w:w="2580" w:type="dxa"/>
            <w:vAlign w:val="bottom"/>
            <w:shd w:val="clear" w:color="auto" w:fill="0063A6"/>
          </w:tcPr>
          <w:p>
            <w:pPr>
              <w:ind w:left="580"/>
              <w:spacing w:after="0"/>
              <w:rPr>
                <w:sz w:val="20"/>
                <w:szCs w:val="20"/>
                <w:color w:val="auto"/>
              </w:rPr>
            </w:pPr>
            <w:r>
              <w:rPr>
                <w:rFonts w:ascii="Arial" w:cs="Arial" w:eastAsia="Arial" w:hAnsi="Arial"/>
                <w:sz w:val="16"/>
                <w:szCs w:val="16"/>
                <w:b w:val="1"/>
                <w:bCs w:val="1"/>
                <w:color w:val="FFFFFF"/>
              </w:rPr>
              <w:t>Nominating and</w:t>
            </w:r>
          </w:p>
        </w:tc>
        <w:tc>
          <w:tcPr>
            <w:tcW w:w="2560" w:type="dxa"/>
            <w:vAlign w:val="bottom"/>
            <w:shd w:val="clear" w:color="auto" w:fill="0063A6"/>
          </w:tcPr>
          <w:p>
            <w:pPr>
              <w:spacing w:after="0"/>
              <w:rPr>
                <w:sz w:val="21"/>
                <w:szCs w:val="21"/>
                <w:color w:val="auto"/>
              </w:rPr>
            </w:pPr>
          </w:p>
        </w:tc>
      </w:tr>
      <w:tr>
        <w:trPr>
          <w:trHeight w:val="223"/>
        </w:trPr>
        <w:tc>
          <w:tcPr>
            <w:tcW w:w="2280" w:type="dxa"/>
            <w:vAlign w:val="bottom"/>
            <w:shd w:val="clear" w:color="auto" w:fill="0063A6"/>
          </w:tcPr>
          <w:p>
            <w:pPr>
              <w:ind w:left="100"/>
              <w:spacing w:after="0"/>
              <w:rPr>
                <w:sz w:val="20"/>
                <w:szCs w:val="20"/>
                <w:color w:val="auto"/>
              </w:rPr>
            </w:pPr>
            <w:r>
              <w:rPr>
                <w:rFonts w:ascii="Arial" w:cs="Arial" w:eastAsia="Arial" w:hAnsi="Arial"/>
                <w:sz w:val="16"/>
                <w:szCs w:val="16"/>
                <w:b w:val="1"/>
                <w:bCs w:val="1"/>
                <w:color w:val="FFFFFF"/>
              </w:rPr>
              <w:t>Board</w:t>
            </w:r>
          </w:p>
        </w:tc>
        <w:tc>
          <w:tcPr>
            <w:tcW w:w="1760" w:type="dxa"/>
            <w:vAlign w:val="bottom"/>
            <w:shd w:val="clear" w:color="auto" w:fill="0063A6"/>
          </w:tcPr>
          <w:p>
            <w:pPr>
              <w:ind w:left="40"/>
              <w:spacing w:after="0"/>
              <w:rPr>
                <w:sz w:val="20"/>
                <w:szCs w:val="20"/>
                <w:color w:val="auto"/>
              </w:rPr>
            </w:pPr>
            <w:r>
              <w:rPr>
                <w:rFonts w:ascii="Arial" w:cs="Arial" w:eastAsia="Arial" w:hAnsi="Arial"/>
                <w:sz w:val="16"/>
                <w:szCs w:val="16"/>
                <w:b w:val="1"/>
                <w:bCs w:val="1"/>
                <w:color w:val="FFFFFF"/>
              </w:rPr>
              <w:t>Compensation</w:t>
            </w:r>
          </w:p>
        </w:tc>
        <w:tc>
          <w:tcPr>
            <w:tcW w:w="2580" w:type="dxa"/>
            <w:vAlign w:val="bottom"/>
            <w:shd w:val="clear" w:color="auto" w:fill="0063A6"/>
          </w:tcPr>
          <w:p>
            <w:pPr>
              <w:ind w:left="580"/>
              <w:spacing w:after="0"/>
              <w:rPr>
                <w:sz w:val="20"/>
                <w:szCs w:val="20"/>
                <w:color w:val="auto"/>
              </w:rPr>
            </w:pPr>
            <w:r>
              <w:rPr>
                <w:rFonts w:ascii="Arial" w:cs="Arial" w:eastAsia="Arial" w:hAnsi="Arial"/>
                <w:sz w:val="16"/>
                <w:szCs w:val="16"/>
                <w:b w:val="1"/>
                <w:bCs w:val="1"/>
                <w:color w:val="FFFFFF"/>
              </w:rPr>
              <w:t>Corporate Governance</w:t>
            </w:r>
          </w:p>
        </w:tc>
        <w:tc>
          <w:tcPr>
            <w:tcW w:w="2560" w:type="dxa"/>
            <w:vAlign w:val="bottom"/>
            <w:shd w:val="clear" w:color="auto" w:fill="0063A6"/>
          </w:tcPr>
          <w:p>
            <w:pPr>
              <w:ind w:left="240"/>
              <w:spacing w:after="0"/>
              <w:rPr>
                <w:sz w:val="20"/>
                <w:szCs w:val="20"/>
                <w:color w:val="auto"/>
              </w:rPr>
            </w:pPr>
            <w:r>
              <w:rPr>
                <w:rFonts w:ascii="Arial" w:cs="Arial" w:eastAsia="Arial" w:hAnsi="Arial"/>
                <w:sz w:val="16"/>
                <w:szCs w:val="16"/>
                <w:b w:val="1"/>
                <w:bCs w:val="1"/>
                <w:color w:val="FFFFFF"/>
              </w:rPr>
              <w:t>Audit/Finance</w:t>
            </w:r>
          </w:p>
        </w:tc>
      </w:tr>
      <w:tr>
        <w:trPr>
          <w:trHeight w:val="34"/>
        </w:trPr>
        <w:tc>
          <w:tcPr>
            <w:tcW w:w="2280" w:type="dxa"/>
            <w:vAlign w:val="bottom"/>
            <w:shd w:val="clear" w:color="auto" w:fill="0063A6"/>
          </w:tcPr>
          <w:p>
            <w:pPr>
              <w:spacing w:after="0"/>
              <w:rPr>
                <w:sz w:val="3"/>
                <w:szCs w:val="3"/>
                <w:color w:val="auto"/>
              </w:rPr>
            </w:pPr>
          </w:p>
        </w:tc>
        <w:tc>
          <w:tcPr>
            <w:tcW w:w="1760" w:type="dxa"/>
            <w:vAlign w:val="bottom"/>
            <w:shd w:val="clear" w:color="auto" w:fill="0063A6"/>
          </w:tcPr>
          <w:p>
            <w:pPr>
              <w:spacing w:after="0"/>
              <w:rPr>
                <w:sz w:val="3"/>
                <w:szCs w:val="3"/>
                <w:color w:val="auto"/>
              </w:rPr>
            </w:pPr>
          </w:p>
        </w:tc>
        <w:tc>
          <w:tcPr>
            <w:tcW w:w="2580" w:type="dxa"/>
            <w:vAlign w:val="bottom"/>
            <w:shd w:val="clear" w:color="auto" w:fill="0063A6"/>
          </w:tcPr>
          <w:p>
            <w:pPr>
              <w:spacing w:after="0"/>
              <w:rPr>
                <w:sz w:val="3"/>
                <w:szCs w:val="3"/>
                <w:color w:val="auto"/>
              </w:rPr>
            </w:pPr>
          </w:p>
        </w:tc>
        <w:tc>
          <w:tcPr>
            <w:tcW w:w="2560" w:type="dxa"/>
            <w:vAlign w:val="bottom"/>
            <w:shd w:val="clear" w:color="auto" w:fill="0063A6"/>
          </w:tcPr>
          <w:p>
            <w:pPr>
              <w:spacing w:after="0"/>
              <w:rPr>
                <w:sz w:val="3"/>
                <w:szCs w:val="3"/>
                <w:color w:val="auto"/>
              </w:rPr>
            </w:pPr>
          </w:p>
        </w:tc>
      </w:tr>
    </w:tbl>
    <w:p>
      <w:pPr>
        <w:spacing w:after="0" w:line="13" w:lineRule="exact"/>
        <w:rPr>
          <w:sz w:val="20"/>
          <w:szCs w:val="20"/>
          <w:color w:val="auto"/>
        </w:rPr>
      </w:pPr>
    </w:p>
    <w:p>
      <w:pPr>
        <w:sectPr>
          <w:pgSz w:w="11900" w:h="16838" w:orient="portrait"/>
          <w:cols w:equalWidth="0" w:num="1">
            <w:col w:w="9180"/>
          </w:cols>
          <w:pgMar w:left="1360" w:top="114" w:right="1359" w:bottom="1440" w:gutter="0" w:footer="0" w:header="0"/>
        </w:sectPr>
      </w:pPr>
    </w:p>
    <w:tbl>
      <w:tblPr>
        <w:tblLayout w:type="fixed"/>
        <w:tblInd w:w="100" w:type="dxa"/>
        <w:tblCellMar>
          <w:top w:w="0" w:type="dxa"/>
          <w:left w:w="0" w:type="dxa"/>
          <w:bottom w:w="0" w:type="dxa"/>
          <w:right w:w="0" w:type="dxa"/>
        </w:tblCellMar>
      </w:tblPr>
      <w:tr>
        <w:trPr>
          <w:trHeight w:val="189"/>
        </w:trPr>
        <w:tc>
          <w:tcPr>
            <w:tcW w:w="2340" w:type="dxa"/>
            <w:vAlign w:val="bottom"/>
          </w:tcPr>
          <w:p>
            <w:pPr>
              <w:spacing w:after="0"/>
              <w:rPr>
                <w:sz w:val="20"/>
                <w:szCs w:val="20"/>
                <w:color w:val="auto"/>
              </w:rPr>
            </w:pPr>
            <w:r>
              <w:rPr>
                <w:rFonts w:ascii="Arial" w:cs="Arial" w:eastAsia="Arial" w:hAnsi="Arial"/>
                <w:sz w:val="16"/>
                <w:szCs w:val="16"/>
                <w:color w:val="auto"/>
              </w:rPr>
              <w:t>• Overall responsibility for risk •</w:t>
            </w:r>
          </w:p>
        </w:tc>
        <w:tc>
          <w:tcPr>
            <w:tcW w:w="2120" w:type="dxa"/>
            <w:vAlign w:val="bottom"/>
          </w:tcPr>
          <w:p>
            <w:pPr>
              <w:ind w:left="60"/>
              <w:spacing w:after="0"/>
              <w:rPr>
                <w:sz w:val="20"/>
                <w:szCs w:val="20"/>
                <w:color w:val="auto"/>
              </w:rPr>
            </w:pPr>
            <w:r>
              <w:rPr>
                <w:rFonts w:ascii="Arial" w:cs="Arial" w:eastAsia="Arial" w:hAnsi="Arial"/>
                <w:sz w:val="16"/>
                <w:szCs w:val="16"/>
                <w:color w:val="auto"/>
              </w:rPr>
              <w:t>Responsible for overseeing</w:t>
            </w:r>
          </w:p>
        </w:tc>
        <w:tc>
          <w:tcPr>
            <w:tcW w:w="0" w:type="dxa"/>
            <w:vAlign w:val="bottom"/>
          </w:tcPr>
          <w:p>
            <w:pPr>
              <w:spacing w:after="0"/>
              <w:rPr>
                <w:sz w:val="1"/>
                <w:szCs w:val="1"/>
                <w:color w:val="auto"/>
              </w:rPr>
            </w:pPr>
          </w:p>
        </w:tc>
      </w:tr>
      <w:tr>
        <w:trPr>
          <w:trHeight w:val="189"/>
        </w:trPr>
        <w:tc>
          <w:tcPr>
            <w:tcW w:w="2340" w:type="dxa"/>
            <w:vAlign w:val="bottom"/>
          </w:tcPr>
          <w:p>
            <w:pPr>
              <w:ind w:left="120"/>
              <w:spacing w:after="0"/>
              <w:rPr>
                <w:sz w:val="20"/>
                <w:szCs w:val="20"/>
                <w:color w:val="auto"/>
              </w:rPr>
            </w:pPr>
            <w:r>
              <w:rPr>
                <w:rFonts w:ascii="Arial" w:cs="Arial" w:eastAsia="Arial" w:hAnsi="Arial"/>
                <w:sz w:val="16"/>
                <w:szCs w:val="16"/>
                <w:color w:val="auto"/>
              </w:rPr>
              <w:t>oversight, including</w:t>
            </w:r>
          </w:p>
        </w:tc>
        <w:tc>
          <w:tcPr>
            <w:tcW w:w="2120" w:type="dxa"/>
            <w:vAlign w:val="bottom"/>
          </w:tcPr>
          <w:p>
            <w:pPr>
              <w:ind w:left="60"/>
              <w:spacing w:after="0"/>
              <w:rPr>
                <w:sz w:val="20"/>
                <w:szCs w:val="20"/>
                <w:color w:val="auto"/>
              </w:rPr>
            </w:pPr>
            <w:r>
              <w:rPr>
                <w:rFonts w:ascii="Arial" w:cs="Arial" w:eastAsia="Arial" w:hAnsi="Arial"/>
                <w:sz w:val="16"/>
                <w:szCs w:val="16"/>
                <w:color w:val="auto"/>
              </w:rPr>
              <w:t>compensation risks,</w:t>
            </w:r>
          </w:p>
        </w:tc>
        <w:tc>
          <w:tcPr>
            <w:tcW w:w="0" w:type="dxa"/>
            <w:vAlign w:val="bottom"/>
          </w:tcPr>
          <w:p>
            <w:pPr>
              <w:spacing w:after="0"/>
              <w:rPr>
                <w:sz w:val="1"/>
                <w:szCs w:val="1"/>
                <w:color w:val="auto"/>
              </w:rPr>
            </w:pPr>
          </w:p>
        </w:tc>
      </w:tr>
      <w:tr>
        <w:trPr>
          <w:trHeight w:val="189"/>
        </w:trPr>
        <w:tc>
          <w:tcPr>
            <w:tcW w:w="2340" w:type="dxa"/>
            <w:vAlign w:val="bottom"/>
          </w:tcPr>
          <w:p>
            <w:pPr>
              <w:ind w:left="120"/>
              <w:spacing w:after="0"/>
              <w:rPr>
                <w:sz w:val="20"/>
                <w:szCs w:val="20"/>
                <w:color w:val="auto"/>
              </w:rPr>
            </w:pPr>
            <w:r>
              <w:rPr>
                <w:rFonts w:ascii="Arial" w:cs="Arial" w:eastAsia="Arial" w:hAnsi="Arial"/>
                <w:sz w:val="16"/>
                <w:szCs w:val="16"/>
                <w:color w:val="auto"/>
              </w:rPr>
              <w:t>cybersecurity risks</w:t>
            </w:r>
          </w:p>
        </w:tc>
        <w:tc>
          <w:tcPr>
            <w:tcW w:w="2120" w:type="dxa"/>
            <w:vAlign w:val="bottom"/>
          </w:tcPr>
          <w:p>
            <w:pPr>
              <w:ind w:left="60"/>
              <w:spacing w:after="0"/>
              <w:rPr>
                <w:sz w:val="20"/>
                <w:szCs w:val="20"/>
                <w:color w:val="auto"/>
              </w:rPr>
            </w:pPr>
            <w:r>
              <w:rPr>
                <w:rFonts w:ascii="Arial" w:cs="Arial" w:eastAsia="Arial" w:hAnsi="Arial"/>
                <w:sz w:val="16"/>
                <w:szCs w:val="16"/>
                <w:color w:val="auto"/>
              </w:rPr>
              <w:t>including assessing possible</w:t>
            </w:r>
          </w:p>
        </w:tc>
        <w:tc>
          <w:tcPr>
            <w:tcW w:w="0" w:type="dxa"/>
            <w:vAlign w:val="bottom"/>
          </w:tcPr>
          <w:p>
            <w:pPr>
              <w:spacing w:after="0"/>
              <w:rPr>
                <w:sz w:val="1"/>
                <w:szCs w:val="1"/>
                <w:color w:val="auto"/>
              </w:rPr>
            </w:pPr>
          </w:p>
        </w:tc>
      </w:tr>
      <w:tr>
        <w:trPr>
          <w:trHeight w:val="189"/>
        </w:trPr>
        <w:tc>
          <w:tcPr>
            <w:tcW w:w="2340" w:type="dxa"/>
            <w:vAlign w:val="bottom"/>
            <w:vMerge w:val="restart"/>
          </w:tcPr>
          <w:p>
            <w:pPr>
              <w:spacing w:after="0"/>
              <w:rPr>
                <w:sz w:val="20"/>
                <w:szCs w:val="20"/>
                <w:color w:val="auto"/>
              </w:rPr>
            </w:pPr>
            <w:r>
              <w:rPr>
                <w:rFonts w:ascii="Arial" w:cs="Arial" w:eastAsia="Arial" w:hAnsi="Arial"/>
                <w:sz w:val="16"/>
                <w:szCs w:val="16"/>
                <w:color w:val="auto"/>
              </w:rPr>
              <w:t>• Assesses directly, through</w:t>
            </w:r>
          </w:p>
        </w:tc>
        <w:tc>
          <w:tcPr>
            <w:tcW w:w="2120" w:type="dxa"/>
            <w:vAlign w:val="bottom"/>
          </w:tcPr>
          <w:p>
            <w:pPr>
              <w:ind w:left="60"/>
              <w:spacing w:after="0"/>
              <w:rPr>
                <w:sz w:val="20"/>
                <w:szCs w:val="20"/>
                <w:color w:val="auto"/>
              </w:rPr>
            </w:pPr>
            <w:r>
              <w:rPr>
                <w:rFonts w:ascii="Arial" w:cs="Arial" w:eastAsia="Arial" w:hAnsi="Arial"/>
                <w:sz w:val="16"/>
                <w:szCs w:val="16"/>
                <w:color w:val="auto"/>
              </w:rPr>
              <w:t>risks from our compensation</w:t>
            </w: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plans and policies for our</w:t>
            </w:r>
          </w:p>
        </w:tc>
        <w:tc>
          <w:tcPr>
            <w:tcW w:w="0" w:type="dxa"/>
            <w:vAlign w:val="bottom"/>
          </w:tcPr>
          <w:p>
            <w:pPr>
              <w:spacing w:after="0"/>
              <w:rPr>
                <w:sz w:val="1"/>
                <w:szCs w:val="1"/>
                <w:color w:val="auto"/>
              </w:rPr>
            </w:pPr>
          </w:p>
        </w:tc>
      </w:tr>
      <w:tr>
        <w:trPr>
          <w:trHeight w:val="94"/>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Board committees or</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executives and ensuring that</w:t>
            </w:r>
          </w:p>
        </w:tc>
        <w:tc>
          <w:tcPr>
            <w:tcW w:w="0" w:type="dxa"/>
            <w:vAlign w:val="bottom"/>
          </w:tcPr>
          <w:p>
            <w:pPr>
              <w:spacing w:after="0"/>
              <w:rPr>
                <w:sz w:val="1"/>
                <w:szCs w:val="1"/>
                <w:color w:val="auto"/>
              </w:rPr>
            </w:pPr>
          </w:p>
        </w:tc>
      </w:tr>
      <w:tr>
        <w:trPr>
          <w:trHeight w:val="95"/>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through established</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our executive compensation</w:t>
            </w:r>
          </w:p>
        </w:tc>
        <w:tc>
          <w:tcPr>
            <w:tcW w:w="0" w:type="dxa"/>
            <w:vAlign w:val="bottom"/>
          </w:tcPr>
          <w:p>
            <w:pPr>
              <w:spacing w:after="0"/>
              <w:rPr>
                <w:sz w:val="1"/>
                <w:szCs w:val="1"/>
                <w:color w:val="auto"/>
              </w:rPr>
            </w:pPr>
          </w:p>
        </w:tc>
      </w:tr>
      <w:tr>
        <w:trPr>
          <w:trHeight w:val="95"/>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processes and procedures,</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is aligned with Company</w:t>
            </w:r>
          </w:p>
        </w:tc>
        <w:tc>
          <w:tcPr>
            <w:tcW w:w="0" w:type="dxa"/>
            <w:vAlign w:val="bottom"/>
          </w:tcPr>
          <w:p>
            <w:pPr>
              <w:spacing w:after="0"/>
              <w:rPr>
                <w:sz w:val="1"/>
                <w:szCs w:val="1"/>
                <w:color w:val="auto"/>
              </w:rPr>
            </w:pPr>
          </w:p>
        </w:tc>
      </w:tr>
      <w:tr>
        <w:trPr>
          <w:trHeight w:val="94"/>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risks relevant to the</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20"/>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Company</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3"/>
        </w:trPr>
        <w:tc>
          <w:tcPr>
            <w:tcW w:w="2340" w:type="dxa"/>
            <w:vAlign w:val="bottom"/>
          </w:tcPr>
          <w:p>
            <w:pPr>
              <w:ind w:left="222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Reviews a summary and</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assessment of such risks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annually and in connection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with discussions of various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compensation elements and</w:t>
            </w:r>
          </w:p>
        </w:tc>
        <w:tc>
          <w:tcPr>
            <w:tcW w:w="0" w:type="dxa"/>
            <w:vAlign w:val="bottom"/>
          </w:tcPr>
          <w:p>
            <w:pPr>
              <w:spacing w:after="0"/>
              <w:rPr>
                <w:sz w:val="1"/>
                <w:szCs w:val="1"/>
                <w:color w:val="auto"/>
              </w:rPr>
            </w:pPr>
          </w:p>
        </w:tc>
      </w:tr>
      <w:tr>
        <w:trPr>
          <w:trHeight w:val="215"/>
        </w:trPr>
        <w:tc>
          <w:tcPr>
            <w:tcW w:w="234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benefits throughout the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582930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9" w:right="240" w:hanging="129"/>
        <w:spacing w:after="0" w:line="253" w:lineRule="auto"/>
        <w:tabs>
          <w:tab w:leader="none" w:pos="1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Oversees our overall corporate governance, including Board and committee composition, Board size and structure, and our director independence</w:t>
      </w:r>
    </w:p>
    <w:p>
      <w:pPr>
        <w:spacing w:after="0" w:line="32" w:lineRule="exact"/>
        <w:rPr>
          <w:rFonts w:ascii="Arial" w:cs="Arial" w:eastAsia="Arial" w:hAnsi="Arial"/>
          <w:sz w:val="16"/>
          <w:szCs w:val="16"/>
          <w:color w:val="auto"/>
        </w:rPr>
      </w:pPr>
    </w:p>
    <w:p>
      <w:pPr>
        <w:ind w:left="129" w:hanging="129"/>
        <w:spacing w:after="0" w:line="266" w:lineRule="auto"/>
        <w:tabs>
          <w:tab w:leader="none" w:pos="1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Reviews our Governance Principles annually pursuant to its charter</w:t>
      </w:r>
    </w:p>
    <w:p>
      <w:pPr>
        <w:spacing w:after="0" w:line="20" w:lineRule="exact"/>
        <w:rPr>
          <w:sz w:val="20"/>
          <w:szCs w:val="20"/>
          <w:color w:val="auto"/>
        </w:rPr>
      </w:pPr>
      <w:r>
        <w:rPr>
          <w:sz w:val="20"/>
          <w:szCs w:val="20"/>
          <w:color w:val="auto"/>
        </w:rPr>
        <w:br w:type="column"/>
      </w:r>
    </w:p>
    <w:p>
      <w:pPr>
        <w:ind w:left="155" w:right="240" w:hanging="155"/>
        <w:spacing w:after="0" w:line="254" w:lineRule="auto"/>
        <w:tabs>
          <w:tab w:leader="none" w:pos="1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Responsible for reviewing our major financial risk exposures, financial reporting, and monitoring our credit and liquidity risk, and compliance risk</w:t>
      </w:r>
    </w:p>
    <w:p>
      <w:pPr>
        <w:spacing w:after="0" w:line="343" w:lineRule="exact"/>
        <w:rPr>
          <w:rFonts w:ascii="Arial" w:cs="Arial" w:eastAsia="Arial" w:hAnsi="Arial"/>
          <w:sz w:val="16"/>
          <w:szCs w:val="16"/>
          <w:color w:val="auto"/>
        </w:rPr>
      </w:pPr>
    </w:p>
    <w:p>
      <w:pPr>
        <w:ind w:left="155" w:right="160" w:hanging="155"/>
        <w:spacing w:after="0" w:line="254" w:lineRule="auto"/>
        <w:tabs>
          <w:tab w:leader="none" w:pos="1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Meets regularly with our independent auditors and in executive session to facilitate a full and candid discussion of risk and other issues</w:t>
      </w:r>
    </w:p>
    <w:p>
      <w:pPr>
        <w:spacing w:after="0" w:line="704" w:lineRule="exact"/>
        <w:rPr>
          <w:sz w:val="20"/>
          <w:szCs w:val="20"/>
          <w:color w:val="auto"/>
        </w:rPr>
      </w:pPr>
    </w:p>
    <w:p>
      <w:pPr>
        <w:sectPr>
          <w:pgSz w:w="11900" w:h="16838" w:orient="portrait"/>
          <w:cols w:equalWidth="0" w:num="3">
            <w:col w:w="4560" w:space="51"/>
            <w:col w:w="2169" w:space="85"/>
            <w:col w:w="2315"/>
          </w:cols>
          <w:pgMar w:left="1360" w:top="114" w:right="1359" w:bottom="1440" w:gutter="0" w:footer="0" w:header="0"/>
          <w:type w:val="continuous"/>
        </w:sectPr>
      </w:pPr>
    </w:p>
    <w:p>
      <w:pPr>
        <w:spacing w:after="0" w:line="35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Code of Conduct</w:t>
      </w:r>
    </w:p>
    <w:p>
      <w:pPr>
        <w:spacing w:after="0" w:line="7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 xml:space="preserve">The Company has adopted a Code of Conduct that applies to all directors, officers, and employees of the Company and any subsidiary of the Company and is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“Investor Relations,” “Sustainability and Governance” and then “Policies and Guidelines.” In addition, we have adopted policies and procedures for reporting and investigating suspected violations of the Code of Conduct. The Company intends to satisfy any future disclosure requirement under Item 5.05 of Form 8-K regarding an amendment to or waiver from application of or provisions of the Code of Conduct, that applies to the CEO or the CFO, by posting such information on our website, </w:t>
      </w:r>
      <w:r>
        <w:rPr>
          <w:rFonts w:ascii="Arial" w:cs="Arial" w:eastAsia="Arial" w:hAnsi="Arial"/>
          <w:sz w:val="16"/>
          <w:szCs w:val="16"/>
          <w:i w:val="1"/>
          <w:iCs w:val="1"/>
          <w:color w:val="auto"/>
        </w:rPr>
        <w:t>www.itron.com</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Insider Trading Policies and Procedures</w:t>
      </w:r>
    </w:p>
    <w:p>
      <w:pPr>
        <w:spacing w:after="0" w:line="85"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color w:val="auto"/>
        </w:rPr>
        <w:t>The Company has an insider trading policy governing the purchase, sale and other dispositions of our securities by directors, officers and employees. The Company believes its insider trading policy is reasonably designed to promote compliance with insider trading laws, rules and regulations, and listing standards. A copy of the Company’s insider trading policy was filed as Exhibit 19.1 to its Annual Report on Form 10-K for the fiscal year ended December 31, 2025.</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Anti-Hedging Policy</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6"/>
          <w:szCs w:val="16"/>
          <w:i w:val="1"/>
          <w:iCs w:val="1"/>
          <w:color w:val="auto"/>
        </w:rPr>
        <w:t xml:space="preserve">See </w:t>
      </w:r>
      <w:r>
        <w:rPr>
          <w:rFonts w:ascii="Arial" w:cs="Arial" w:eastAsia="Arial" w:hAnsi="Arial"/>
          <w:sz w:val="16"/>
          <w:szCs w:val="16"/>
          <w:color w:val="auto"/>
        </w:rPr>
        <w:t>“</w:t>
      </w:r>
      <w:r>
        <w:rPr>
          <w:rFonts w:ascii="Arial" w:cs="Arial" w:eastAsia="Arial" w:hAnsi="Arial"/>
          <w:sz w:val="16"/>
          <w:szCs w:val="16"/>
          <w:i w:val="1"/>
          <w:iCs w:val="1"/>
          <w:color w:val="auto"/>
        </w:rPr>
        <w:t>EXECUTIVE COMPENSATION – Compensation Discussion and Analysis – Anti-Hedging Policy</w:t>
      </w:r>
      <w:r>
        <w:rPr>
          <w:rFonts w:ascii="Arial" w:cs="Arial" w:eastAsia="Arial" w:hAnsi="Arial"/>
          <w:sz w:val="16"/>
          <w:szCs w:val="16"/>
          <w:color w:val="auto"/>
        </w:rPr>
        <w:t>” in this proxy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for more information on this policy.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Director Term Limit and Retirement Guidelines</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Governance Principles include a term limit provision to encourage Board refreshment. Non-executive directors are not eligible to stand for re-election after serving as a director for five full terms on the Board, with limited exceptions. Additionally, directors may not be nominated or appointed after age 75, unless the Board determines that it would be in the best interests of the Company’s shareholders to extend the director’s period of eligible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58293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3"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180"/>
        <w:spacing w:after="0"/>
        <w:rPr>
          <w:sz w:val="20"/>
          <w:szCs w:val="20"/>
          <w:color w:val="auto"/>
        </w:rPr>
      </w:pPr>
      <w:r>
        <w:rPr>
          <w:rFonts w:ascii="Arial" w:cs="Arial" w:eastAsia="Arial" w:hAnsi="Arial"/>
          <w:sz w:val="14"/>
          <w:szCs w:val="14"/>
          <w:color w:val="5D6673"/>
        </w:rPr>
        <w:t>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Director Nominations by Shareholders</w:t>
      </w:r>
    </w:p>
    <w:p>
      <w:pPr>
        <w:spacing w:after="0" w:line="7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90 days nor more than 120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60" w:lineRule="exact"/>
        <w:rPr>
          <w:sz w:val="20"/>
          <w:szCs w:val="20"/>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name and address of the shareholder;</w:t>
      </w:r>
    </w:p>
    <w:p>
      <w:pPr>
        <w:spacing w:after="0" w:line="86" w:lineRule="exact"/>
        <w:rPr>
          <w:rFonts w:ascii="Arial" w:cs="Arial" w:eastAsia="Arial" w:hAnsi="Arial"/>
          <w:sz w:val="16"/>
          <w:szCs w:val="16"/>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representation that the shareholder is entitled to vote at the meeting at which directors will be elected;</w:t>
      </w:r>
    </w:p>
    <w:p>
      <w:pPr>
        <w:spacing w:after="0" w:line="99" w:lineRule="exact"/>
        <w:rPr>
          <w:rFonts w:ascii="Arial" w:cs="Arial" w:eastAsia="Arial" w:hAnsi="Arial"/>
          <w:sz w:val="16"/>
          <w:szCs w:val="16"/>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statement of the number of shares of the Company that are beneficially owned by the shareholder; and</w:t>
      </w:r>
    </w:p>
    <w:p>
      <w:pPr>
        <w:spacing w:after="0" w:line="99" w:lineRule="exact"/>
        <w:rPr>
          <w:rFonts w:ascii="Arial" w:cs="Arial" w:eastAsia="Arial" w:hAnsi="Arial"/>
          <w:sz w:val="16"/>
          <w:szCs w:val="16"/>
          <w:color w:val="auto"/>
        </w:rPr>
      </w:pPr>
    </w:p>
    <w:p>
      <w:pPr>
        <w:ind w:left="560" w:right="120" w:hanging="206"/>
        <w:spacing w:after="0" w:line="286"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representation that the shareholder intends to appear in person or by proxy at the meeting to nominate the person or persons specified in the notice;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and the following information with respect to the person nominated by the shareholder:</w:t>
      </w:r>
    </w:p>
    <w:p>
      <w:pPr>
        <w:spacing w:after="0" w:line="100" w:lineRule="exact"/>
        <w:rPr>
          <w:sz w:val="20"/>
          <w:szCs w:val="20"/>
          <w:color w:val="auto"/>
        </w:rPr>
      </w:pPr>
    </w:p>
    <w:p>
      <w:pPr>
        <w:ind w:left="560" w:hanging="206"/>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and address;</w:t>
      </w:r>
    </w:p>
    <w:p>
      <w:pPr>
        <w:spacing w:after="0" w:line="99" w:lineRule="exact"/>
        <w:rPr>
          <w:rFonts w:ascii="Arial" w:cs="Arial" w:eastAsia="Arial" w:hAnsi="Arial"/>
          <w:sz w:val="16"/>
          <w:szCs w:val="16"/>
          <w:color w:val="auto"/>
        </w:rPr>
      </w:pPr>
    </w:p>
    <w:p>
      <w:pPr>
        <w:ind w:left="560" w:right="180" w:hanging="206"/>
        <w:spacing w:after="0" w:line="286"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information regarding such nominee as would be required in a proxy statement filed pursuant to applicable SEC rules;</w:t>
      </w:r>
    </w:p>
    <w:p>
      <w:pPr>
        <w:spacing w:after="0" w:line="20" w:lineRule="exact"/>
        <w:rPr>
          <w:rFonts w:ascii="Arial" w:cs="Arial" w:eastAsia="Arial" w:hAnsi="Arial"/>
          <w:sz w:val="16"/>
          <w:szCs w:val="16"/>
          <w:color w:val="auto"/>
        </w:rPr>
      </w:pPr>
    </w:p>
    <w:p>
      <w:pPr>
        <w:ind w:left="560" w:right="60" w:hanging="206"/>
        <w:spacing w:after="0" w:line="286"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description of any arrangements or understandings between the shareholder and the nominee and any other persons (including their names), pursuant to which the nomination is made; and</w:t>
      </w:r>
    </w:p>
    <w:p>
      <w:pPr>
        <w:spacing w:after="0" w:line="34" w:lineRule="exact"/>
        <w:rPr>
          <w:rFonts w:ascii="Arial" w:cs="Arial" w:eastAsia="Arial" w:hAnsi="Arial"/>
          <w:sz w:val="16"/>
          <w:szCs w:val="16"/>
          <w:color w:val="auto"/>
        </w:rPr>
      </w:pPr>
    </w:p>
    <w:p>
      <w:pPr>
        <w:ind w:left="560" w:hanging="206"/>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consent of such nominee to serve as a director, if elected.</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Any notice of director nomination submitted to Itron must include the additional information required by Rule 14a-19(b) under the Exchange Act.</w:t>
      </w:r>
    </w:p>
    <w:p>
      <w:pPr>
        <w:spacing w:after="0" w:line="12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Other directors and senior management of the Company may also recommend director nominees for consideration by the Nominating and Corporate Governance Committee. The Nominating and Corporate Governance Committee evaluates director nominees, including nominees that are submitted to the Company by a shareholder, taking into consideration the qualification criteria set forth under “</w:t>
      </w:r>
      <w:r>
        <w:rPr>
          <w:rFonts w:ascii="Arial" w:cs="Arial" w:eastAsia="Arial" w:hAnsi="Arial"/>
          <w:sz w:val="16"/>
          <w:szCs w:val="16"/>
          <w:i w:val="1"/>
          <w:iCs w:val="1"/>
          <w:color w:val="auto"/>
        </w:rPr>
        <w:t>ELECTION OF DIRECTORS – Director and Director Nominee Qualifications</w:t>
      </w:r>
      <w:r>
        <w:rPr>
          <w:rFonts w:ascii="Arial" w:cs="Arial" w:eastAsia="Arial" w:hAnsi="Arial"/>
          <w:sz w:val="16"/>
          <w:szCs w:val="16"/>
          <w:color w:val="auto"/>
        </w:rPr>
        <w:t>” in this proxy statement. In the event of a shareholder recommendation, the Nominating and Corporate Governance Committee screens and evaluates the person recommended in the same manner as other candidates. In addition, the Nominating and Corporate Governance Committee determines if the proposed director nominee will have sufficient time available to effectively carry out his or her Board duties and responsibilities. The Nominating and Corporate Governance Committee may then recommend the director candidate to the Board for its consideration, if deemed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Shareholder Communications with the Board</w:t>
      </w:r>
    </w:p>
    <w:p>
      <w:pPr>
        <w:spacing w:after="0" w:line="8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6"/>
          <w:szCs w:val="16"/>
          <w:i w:val="1"/>
          <w:iCs w:val="1"/>
          <w:color w:val="auto"/>
        </w:rPr>
        <w:t>boardofdirectors@itron.com</w:t>
      </w:r>
      <w:r>
        <w:rPr>
          <w:rFonts w:ascii="Arial" w:cs="Arial" w:eastAsia="Arial" w:hAnsi="Arial"/>
          <w:sz w:val="16"/>
          <w:szCs w:val="16"/>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“Sustainability and Governance” and then “Contact the Board.”</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“Sustainability and Governance” and then “Contact the Board.”</w:t>
      </w:r>
    </w:p>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Shareholders wishing to submit proposals for inclusion in the proxy statement relating to the 2027 annual shareholders meeting should follow the procedures specified under “</w:t>
      </w:r>
      <w:r>
        <w:rPr>
          <w:rFonts w:ascii="Arial" w:cs="Arial" w:eastAsia="Arial" w:hAnsi="Arial"/>
          <w:sz w:val="16"/>
          <w:szCs w:val="16"/>
          <w:i w:val="1"/>
          <w:iCs w:val="1"/>
          <w:color w:val="auto"/>
        </w:rPr>
        <w:t>SHAREHOLDER PROPOSALS FOR THE 2027 ANNUAL MEETING</w:t>
      </w:r>
      <w:r>
        <w:rPr>
          <w:rFonts w:ascii="Arial" w:cs="Arial" w:eastAsia="Arial" w:hAnsi="Arial"/>
          <w:sz w:val="16"/>
          <w:szCs w:val="16"/>
          <w:color w:val="auto"/>
        </w:rPr>
        <w:t>” in this proxy statement. Shareholders wishing to nominate directors should follow the procedures specified under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w:t>
      </w:r>
      <w:r>
        <w:rPr>
          <w:rFonts w:ascii="Arial" w:cs="Arial" w:eastAsia="Arial" w:hAnsi="Arial"/>
          <w:sz w:val="16"/>
          <w:szCs w:val="16"/>
          <w:color w:val="auto"/>
        </w:rPr>
        <w:t>–</w:t>
      </w:r>
      <w:r>
        <w:rPr>
          <w:rFonts w:ascii="Arial" w:cs="Arial" w:eastAsia="Arial" w:hAnsi="Arial"/>
          <w:sz w:val="16"/>
          <w:szCs w:val="16"/>
          <w:i w:val="1"/>
          <w:iCs w:val="1"/>
          <w:color w:val="auto"/>
        </w:rPr>
        <w:t xml:space="preserve"> Director Nominations by Shareholders</w:t>
      </w:r>
      <w:r>
        <w:rPr>
          <w:rFonts w:ascii="Arial" w:cs="Arial" w:eastAsia="Arial" w:hAnsi="Arial"/>
          <w:sz w:val="16"/>
          <w:szCs w:val="16"/>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5829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3"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Corporate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891540" cy="28803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91540" cy="288036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Our</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Purpose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Our</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Approach</w:t>
      </w:r>
    </w:p>
    <w:p>
      <w:pPr>
        <w:ind w:left="160"/>
        <w:spacing w:after="0"/>
        <w:rPr>
          <w:sz w:val="20"/>
          <w:szCs w:val="20"/>
          <w:color w:val="auto"/>
        </w:rPr>
      </w:pPr>
      <w:r>
        <w:rPr>
          <w:rFonts w:ascii="Arial" w:cs="Arial" w:eastAsia="Arial" w:hAnsi="Arial"/>
          <w:sz w:val="20"/>
          <w:szCs w:val="20"/>
          <w:b w:val="1"/>
          <w:bCs w:val="1"/>
          <w:color w:val="FFFFFF"/>
        </w:rPr>
        <w:t>to ESG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ESG</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Itron is transforming how the world manages energy, water and city services. Our trusted intelligent infrastructure solutions help utilities and cities improve efficiency, build resilience and deliver safe, reliable and affordable service. With edge intelligence, we connect people, data insights and devices so communities can better manage the essential resources they rely on to live and thrive. Join us as we create a more resourceful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140335</wp:posOffset>
            </wp:positionV>
            <wp:extent cx="49377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At Itron, our people are our most vital resource. We foster a culture of engagement and inclusivity where all employees can contribute to the success of the Company and our impact on global communities. We encourage curiosity and invest in the professional and personal growth of our workforce. With diverse perspectives, we work together—and with our stakeholders—to problem solve, innovate and succeed.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139065</wp:posOffset>
            </wp:positionV>
            <wp:extent cx="49377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377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Itron’s sustainability governance starts at the top, with oversight of our efforts from our Board of Directors. The Board is comprised of individuals with wide-ranging experience in governance, operations, supply chain, cybersecurity and risk management topics. The Board and its committees receive regular updates from management on environmental and social topics. Each strategic pillar is sponsored by a member of Itron’s executive leadership team, and our Vice President of Global Marketing, ESG and Public Affairs oversees our sustainability strategy and disclosures. Ultimately, responsibility and accountability extend down to the grass-roots level, where sustainability is embedded into our operations, our employees’ day-to-day activities and our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210820</wp:posOffset>
            </wp:positionV>
            <wp:extent cx="5812155" cy="32404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12155" cy="32404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460"/>
            <w:col w:w="7600"/>
          </w:cols>
          <w:pgMar w:left="1360" w:top="114"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180"/>
        <w:spacing w:after="0"/>
        <w:rPr>
          <w:sz w:val="20"/>
          <w:szCs w:val="20"/>
          <w:color w:val="auto"/>
        </w:rPr>
      </w:pPr>
      <w:r>
        <w:rPr>
          <w:rFonts w:ascii="Arial" w:cs="Arial" w:eastAsia="Arial" w:hAnsi="Arial"/>
          <w:sz w:val="14"/>
          <w:szCs w:val="14"/>
          <w:color w:val="5D6673"/>
        </w:rPr>
        <w:t>CORPORATE GOVERNANCE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Topic Prioritization &amp; Stakeholder Engagement</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part of our ongoing process to enhance Itron’s sustainability strategy, we continue to evaluate risks, opportunities and impacts that inform our priorities. In 2024, facilitated by a third party, we completed Itron’s first enterprise-wide double materiality assessment, an exercise that evaluates a wide variety of sustainability topics through financial and impact lenses. We engaged with customers, investors, regulators and community organizations to inform the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1903095" cy="4294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03095" cy="42945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173355</wp:posOffset>
            </wp:positionV>
            <wp:extent cx="8890" cy="59061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590613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180" w:right="680"/>
        <w:spacing w:after="0" w:line="312" w:lineRule="auto"/>
        <w:rPr>
          <w:sz w:val="20"/>
          <w:szCs w:val="20"/>
          <w:color w:val="auto"/>
        </w:rPr>
      </w:pPr>
      <w:r>
        <w:rPr>
          <w:rFonts w:ascii="Arial" w:cs="Arial" w:eastAsia="Arial" w:hAnsi="Arial"/>
          <w:sz w:val="19"/>
          <w:szCs w:val="19"/>
          <w:b w:val="1"/>
          <w:bCs w:val="1"/>
          <w:color w:val="0063A6"/>
        </w:rPr>
        <w:t>Our Strategic Pillars and Highlights</w:t>
      </w:r>
    </w:p>
    <w:p>
      <w:pPr>
        <w:spacing w:after="0" w:line="59" w:lineRule="exact"/>
        <w:rPr>
          <w:sz w:val="20"/>
          <w:szCs w:val="20"/>
          <w:color w:val="auto"/>
        </w:rPr>
      </w:pPr>
    </w:p>
    <w:p>
      <w:pPr>
        <w:ind w:left="180" w:right="20"/>
        <w:spacing w:after="0" w:line="272" w:lineRule="auto"/>
        <w:rPr>
          <w:sz w:val="20"/>
          <w:szCs w:val="20"/>
          <w:color w:val="auto"/>
        </w:rPr>
      </w:pPr>
      <w:r>
        <w:rPr>
          <w:rFonts w:ascii="Arial" w:cs="Arial" w:eastAsia="Arial" w:hAnsi="Arial"/>
          <w:sz w:val="15"/>
          <w:szCs w:val="15"/>
          <w:color w:val="auto"/>
        </w:rPr>
        <w:t>Our ESG strategy is centered around four key pillars, which encompass the topics our leadership has identified as strategic priorities for the long-term success of our Company:</w:t>
      </w:r>
    </w:p>
    <w:p>
      <w:pPr>
        <w:spacing w:after="0" w:line="89" w:lineRule="exact"/>
        <w:rPr>
          <w:sz w:val="20"/>
          <w:szCs w:val="20"/>
          <w:color w:val="auto"/>
        </w:rPr>
      </w:pPr>
    </w:p>
    <w:p>
      <w:pPr>
        <w:jc w:val="both"/>
        <w:ind w:left="400" w:right="40" w:hanging="219"/>
        <w:spacing w:after="0" w:line="301" w:lineRule="auto"/>
        <w:tabs>
          <w:tab w:leader="none" w:pos="380" w:val="left"/>
        </w:tabs>
        <w:rPr>
          <w:sz w:val="20"/>
          <w:szCs w:val="20"/>
          <w:color w:val="auto"/>
        </w:rPr>
      </w:pPr>
      <w:r>
        <w:rPr>
          <w:rFonts w:ascii="Arial" w:cs="Arial" w:eastAsia="Arial" w:hAnsi="Arial"/>
          <w:sz w:val="15"/>
          <w:szCs w:val="15"/>
          <w:color w:val="auto"/>
        </w:rPr>
        <w:t>• </w:t>
        <w:tab/>
        <w:t>Operating with Integrity – How we strive to do the right thing. Always.</w:t>
      </w:r>
    </w:p>
    <w:p>
      <w:pPr>
        <w:spacing w:after="0" w:line="67" w:lineRule="exact"/>
        <w:rPr>
          <w:sz w:val="20"/>
          <w:szCs w:val="20"/>
          <w:color w:val="auto"/>
        </w:rPr>
      </w:pPr>
    </w:p>
    <w:p>
      <w:pPr>
        <w:ind w:left="400" w:hanging="219"/>
        <w:spacing w:after="0" w:line="275" w:lineRule="auto"/>
        <w:tabs>
          <w:tab w:leader="none" w:pos="380" w:val="left"/>
        </w:tabs>
        <w:rPr>
          <w:sz w:val="20"/>
          <w:szCs w:val="20"/>
          <w:color w:val="auto"/>
        </w:rPr>
      </w:pPr>
      <w:r>
        <w:rPr>
          <w:rFonts w:ascii="Arial" w:cs="Arial" w:eastAsia="Arial" w:hAnsi="Arial"/>
          <w:sz w:val="15"/>
          <w:szCs w:val="15"/>
          <w:color w:val="auto"/>
        </w:rPr>
        <w:t>• </w:t>
        <w:tab/>
        <w:t>Supporting Our People &amp; Communities – How we uphold our commitment to employees and communities across the globe.</w:t>
      </w:r>
    </w:p>
    <w:p>
      <w:pPr>
        <w:spacing w:after="0" w:line="100" w:lineRule="exact"/>
        <w:rPr>
          <w:sz w:val="20"/>
          <w:szCs w:val="20"/>
          <w:color w:val="auto"/>
        </w:rPr>
      </w:pPr>
    </w:p>
    <w:p>
      <w:pPr>
        <w:ind w:left="400" w:right="380" w:hanging="219"/>
        <w:spacing w:after="0" w:line="275" w:lineRule="auto"/>
        <w:tabs>
          <w:tab w:leader="none" w:pos="380" w:val="left"/>
        </w:tabs>
        <w:rPr>
          <w:sz w:val="20"/>
          <w:szCs w:val="20"/>
          <w:color w:val="auto"/>
        </w:rPr>
      </w:pPr>
      <w:r>
        <w:rPr>
          <w:rFonts w:ascii="Arial" w:cs="Arial" w:eastAsia="Arial" w:hAnsi="Arial"/>
          <w:sz w:val="15"/>
          <w:szCs w:val="15"/>
          <w:color w:val="auto"/>
        </w:rPr>
        <w:t>• </w:t>
        <w:tab/>
        <w:t>Improving Our Environmental Impact – How we run our Company with an eye toward sustainability.</w:t>
      </w:r>
    </w:p>
    <w:p>
      <w:pPr>
        <w:spacing w:after="0" w:line="87" w:lineRule="exact"/>
        <w:rPr>
          <w:sz w:val="20"/>
          <w:szCs w:val="20"/>
          <w:color w:val="auto"/>
        </w:rPr>
      </w:pPr>
    </w:p>
    <w:p>
      <w:pPr>
        <w:ind w:left="400" w:right="80" w:hanging="219"/>
        <w:spacing w:after="0" w:line="253" w:lineRule="auto"/>
        <w:tabs>
          <w:tab w:leader="none" w:pos="380" w:val="left"/>
        </w:tabs>
        <w:rPr>
          <w:sz w:val="20"/>
          <w:szCs w:val="20"/>
          <w:color w:val="auto"/>
        </w:rPr>
      </w:pPr>
      <w:r>
        <w:rPr>
          <w:rFonts w:ascii="Arial" w:cs="Arial" w:eastAsia="Arial" w:hAnsi="Arial"/>
          <w:sz w:val="15"/>
          <w:szCs w:val="15"/>
          <w:color w:val="auto"/>
        </w:rPr>
        <w:t>• </w:t>
        <w:tab/>
        <w:t>Providing Sustainable Solutions – How we help our customers succeed, including helping them achieve their environmental goals</w:t>
      </w:r>
    </w:p>
    <w:p>
      <w:pPr>
        <w:ind w:left="400"/>
        <w:spacing w:after="0" w:line="222" w:lineRule="auto"/>
        <w:rPr>
          <w:sz w:val="20"/>
          <w:szCs w:val="20"/>
          <w:color w:val="auto"/>
        </w:rPr>
      </w:pPr>
      <w:r>
        <w:rPr>
          <w:rFonts w:ascii="Arial" w:cs="Arial" w:eastAsia="Arial" w:hAnsi="Arial"/>
          <w:sz w:val="4"/>
          <w:szCs w:val="4"/>
          <w:color w:val="auto"/>
        </w:rPr>
        <w:t> </w:t>
      </w:r>
    </w:p>
    <w:p>
      <w:pPr>
        <w:ind w:left="400"/>
        <w:spacing w:after="0"/>
        <w:rPr>
          <w:sz w:val="20"/>
          <w:szCs w:val="20"/>
          <w:color w:val="auto"/>
        </w:rPr>
      </w:pPr>
      <w:r>
        <w:rPr>
          <w:rFonts w:ascii="Arial" w:cs="Arial" w:eastAsia="Arial" w:hAnsi="Arial"/>
          <w:sz w:val="15"/>
          <w:szCs w:val="15"/>
          <w:color w:val="auto"/>
        </w:rPr>
        <w:t>and business objectives.</w:t>
      </w:r>
    </w:p>
    <w:p>
      <w:pPr>
        <w:spacing w:after="0" w:line="70" w:lineRule="exact"/>
        <w:rPr>
          <w:sz w:val="20"/>
          <w:szCs w:val="20"/>
          <w:color w:val="auto"/>
        </w:rPr>
      </w:pPr>
    </w:p>
    <w:p>
      <w:pPr>
        <w:ind w:left="180"/>
        <w:spacing w:after="0" w:line="269" w:lineRule="auto"/>
        <w:rPr>
          <w:sz w:val="20"/>
          <w:szCs w:val="20"/>
          <w:color w:val="auto"/>
        </w:rPr>
      </w:pPr>
      <w:r>
        <w:rPr>
          <w:rFonts w:ascii="Arial" w:cs="Arial" w:eastAsia="Arial" w:hAnsi="Arial"/>
          <w:sz w:val="15"/>
          <w:szCs w:val="15"/>
          <w:color w:val="auto"/>
        </w:rPr>
        <w:t>These pillars allow us to focus on and execute Itron’s ESG strategy across a diverse and ever-changing landscape of opportunities, both internally and externally. Collectively, they help us achieve our goals and commitments to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1903095" cy="1834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03095" cy="183451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063A6"/>
        </w:rPr>
        <w:t>More Information</w:t>
      </w:r>
    </w:p>
    <w:p>
      <w:pPr>
        <w:spacing w:after="0" w:line="87" w:lineRule="exact"/>
        <w:rPr>
          <w:sz w:val="20"/>
          <w:szCs w:val="20"/>
          <w:color w:val="auto"/>
        </w:rPr>
      </w:pPr>
    </w:p>
    <w:p>
      <w:pPr>
        <w:ind w:left="180"/>
        <w:spacing w:after="0" w:line="244" w:lineRule="auto"/>
        <w:rPr>
          <w:sz w:val="20"/>
          <w:szCs w:val="20"/>
          <w:color w:val="auto"/>
        </w:rPr>
      </w:pPr>
      <w:r>
        <w:rPr>
          <w:rFonts w:ascii="Arial" w:cs="Arial" w:eastAsia="Arial" w:hAnsi="Arial"/>
          <w:sz w:val="15"/>
          <w:szCs w:val="15"/>
          <w:color w:val="FFFFFF"/>
        </w:rPr>
        <w:t>For more information we encourage you to read our 2024 Corporate Sustainability Report at itron.com/esg.</w:t>
      </w:r>
    </w:p>
    <w:p>
      <w:pPr>
        <w:spacing w:after="0" w:line="41" w:lineRule="exact"/>
        <w:rPr>
          <w:sz w:val="20"/>
          <w:szCs w:val="20"/>
          <w:color w:val="auto"/>
        </w:rPr>
      </w:pPr>
    </w:p>
    <w:p>
      <w:pPr>
        <w:ind w:left="180" w:right="60"/>
        <w:spacing w:after="0" w:line="236" w:lineRule="auto"/>
        <w:rPr>
          <w:sz w:val="20"/>
          <w:szCs w:val="20"/>
          <w:color w:val="auto"/>
        </w:rPr>
      </w:pPr>
      <w:r>
        <w:rPr>
          <w:rFonts w:ascii="Arial" w:cs="Arial" w:eastAsia="Arial" w:hAnsi="Arial"/>
          <w:sz w:val="15"/>
          <w:szCs w:val="15"/>
          <w:color w:val="FFFFFF"/>
        </w:rPr>
        <w:t>Content on our Company website is not, and shall not be deemed to be, part of this proxy statement or incorporated herein or into any of our other filings with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0063A6"/>
        </w:rPr>
        <w:t>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-147320</wp:posOffset>
            </wp:positionV>
            <wp:extent cx="471805" cy="4540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1805" cy="454025"/>
                    </a:xfrm>
                    <a:prstGeom prst="rect">
                      <a:avLst/>
                    </a:prstGeom>
                    <a:noFill/>
                  </pic:spPr>
                </pic:pic>
              </a:graphicData>
            </a:graphic>
          </wp:anchor>
        </w:drawing>
      </w:r>
    </w:p>
    <w:p>
      <w:pPr>
        <w:ind w:left="1080"/>
        <w:spacing w:after="0" w:line="231" w:lineRule="auto"/>
        <w:rPr>
          <w:sz w:val="20"/>
          <w:szCs w:val="20"/>
          <w:color w:val="auto"/>
        </w:rPr>
      </w:pPr>
      <w:r>
        <w:rPr>
          <w:rFonts w:ascii="Arial" w:cs="Arial" w:eastAsia="Arial" w:hAnsi="Arial"/>
          <w:sz w:val="20"/>
          <w:szCs w:val="20"/>
          <w:b w:val="1"/>
          <w:bCs w:val="1"/>
          <w:color w:val="0063A6"/>
        </w:rPr>
        <w:t>with</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0063A6"/>
        </w:rPr>
        <w:t>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17741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12"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0063A6"/>
        </w:rPr>
        <w:t>89% independent board of directors  </w:t>
      </w:r>
    </w:p>
    <w:p>
      <w:pPr>
        <w:spacing w:after="0" w:line="1" w:lineRule="exact"/>
        <w:rPr>
          <w:sz w:val="20"/>
          <w:szCs w:val="20"/>
          <w:color w:val="auto"/>
        </w:rPr>
      </w:pPr>
    </w:p>
    <w:p>
      <w:pPr>
        <w:ind w:right="620"/>
        <w:spacing w:after="0" w:line="264" w:lineRule="auto"/>
        <w:rPr>
          <w:sz w:val="20"/>
          <w:szCs w:val="20"/>
          <w:color w:val="auto"/>
        </w:rPr>
      </w:pPr>
      <w:r>
        <w:rPr>
          <w:rFonts w:ascii="Arial" w:cs="Arial" w:eastAsia="Arial" w:hAnsi="Arial"/>
          <w:sz w:val="16"/>
          <w:szCs w:val="16"/>
          <w:color w:val="0063A6"/>
        </w:rPr>
        <w:t>22% female board of directors  </w:t>
      </w:r>
    </w:p>
    <w:p>
      <w:pPr>
        <w:ind w:right="20"/>
        <w:spacing w:after="0" w:line="248" w:lineRule="auto"/>
        <w:rPr>
          <w:sz w:val="20"/>
          <w:szCs w:val="20"/>
          <w:color w:val="auto"/>
        </w:rPr>
      </w:pPr>
      <w:r>
        <w:rPr>
          <w:rFonts w:ascii="Arial" w:cs="Arial" w:eastAsia="Arial" w:hAnsi="Arial"/>
          <w:sz w:val="16"/>
          <w:szCs w:val="16"/>
          <w:color w:val="0063A6"/>
        </w:rPr>
        <w:t>Signatory to the United Nations Global Compact</w:t>
      </w:r>
    </w:p>
    <w:p>
      <w:pPr>
        <w:spacing w:after="0"/>
        <w:rPr>
          <w:sz w:val="20"/>
          <w:szCs w:val="20"/>
          <w:color w:val="auto"/>
        </w:rPr>
      </w:pPr>
      <w:r>
        <w:rPr>
          <w:rFonts w:ascii="Arial" w:cs="Arial" w:eastAsia="Arial" w:hAnsi="Arial"/>
          <w:sz w:val="16"/>
          <w:szCs w:val="16"/>
          <w:color w:val="0063A6"/>
        </w:rPr>
        <w:t> </w:t>
      </w:r>
    </w:p>
    <w:p>
      <w:pPr>
        <w:spacing w:after="0" w:line="1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0063A6"/>
        </w:rPr>
        <w:t>Target 100% code of conduct training completion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20"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0063A6"/>
        </w:rPr>
        <w:t>Follows International Organization for Standardization (ISO) and National Institute of Standards and Technology (NIST) cybersecurity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90170</wp:posOffset>
            </wp:positionV>
            <wp:extent cx="522605" cy="522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0063A6"/>
        </w:rPr>
        <w:t>Improving Our</w:t>
      </w:r>
    </w:p>
    <w:p>
      <w:pPr>
        <w:ind w:left="1080"/>
        <w:spacing w:after="0" w:line="231" w:lineRule="auto"/>
        <w:rPr>
          <w:sz w:val="20"/>
          <w:szCs w:val="20"/>
          <w:color w:val="auto"/>
        </w:rPr>
      </w:pPr>
      <w:r>
        <w:rPr>
          <w:rFonts w:ascii="Arial" w:cs="Arial" w:eastAsia="Arial" w:hAnsi="Arial"/>
          <w:sz w:val="20"/>
          <w:szCs w:val="20"/>
          <w:b w:val="1"/>
          <w:bCs w:val="1"/>
          <w:color w:val="0063A6"/>
        </w:rPr>
        <w:t>Environmental</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0063A6"/>
        </w:rPr>
        <w:t>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17741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0063A6"/>
        </w:rPr>
        <w:t>Environmental policy formalizes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63A6"/>
        </w:rPr>
        <w:t>commitment to environmental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0063A6"/>
        </w:rPr>
        <w:t>stewardship</w:t>
      </w:r>
    </w:p>
    <w:p>
      <w:pPr>
        <w:spacing w:after="0" w:line="205" w:lineRule="auto"/>
        <w:rPr>
          <w:sz w:val="20"/>
          <w:szCs w:val="20"/>
          <w:color w:val="auto"/>
        </w:rPr>
      </w:pPr>
      <w:r>
        <w:rPr>
          <w:rFonts w:ascii="Arial" w:cs="Arial" w:eastAsia="Arial" w:hAnsi="Arial"/>
          <w:sz w:val="16"/>
          <w:szCs w:val="16"/>
          <w:color w:val="0063A6"/>
        </w:rPr>
        <w:t> </w:t>
      </w:r>
    </w:p>
    <w:p>
      <w:pPr>
        <w:spacing w:after="0" w:line="188" w:lineRule="auto"/>
        <w:rPr>
          <w:sz w:val="20"/>
          <w:szCs w:val="20"/>
          <w:color w:val="auto"/>
        </w:rPr>
      </w:pPr>
      <w:r>
        <w:rPr>
          <w:rFonts w:ascii="Arial" w:cs="Arial" w:eastAsia="Arial" w:hAnsi="Arial"/>
          <w:sz w:val="6"/>
          <w:szCs w:val="6"/>
          <w:color w:val="0063A6"/>
        </w:rPr>
        <w:t>100% of manufacturing facilities</w:t>
      </w:r>
    </w:p>
    <w:p>
      <w:pPr>
        <w:spacing w:after="0" w:line="193" w:lineRule="auto"/>
        <w:rPr>
          <w:sz w:val="20"/>
          <w:szCs w:val="20"/>
          <w:color w:val="auto"/>
        </w:rPr>
      </w:pPr>
      <w:r>
        <w:rPr>
          <w:rFonts w:ascii="Arial" w:cs="Arial" w:eastAsia="Arial" w:hAnsi="Arial"/>
          <w:sz w:val="16"/>
          <w:szCs w:val="16"/>
          <w:color w:val="0063A6"/>
        </w:rPr>
        <w:t> </w:t>
      </w:r>
    </w:p>
    <w:p>
      <w:pPr>
        <w:spacing w:after="0" w:line="1" w:lineRule="exact"/>
        <w:rPr>
          <w:sz w:val="20"/>
          <w:szCs w:val="20"/>
          <w:color w:val="auto"/>
        </w:rPr>
      </w:pPr>
    </w:p>
    <w:p>
      <w:pPr>
        <w:ind w:right="720"/>
        <w:spacing w:after="0" w:line="271" w:lineRule="auto"/>
        <w:rPr>
          <w:sz w:val="20"/>
          <w:szCs w:val="20"/>
          <w:color w:val="auto"/>
        </w:rPr>
      </w:pPr>
      <w:r>
        <w:rPr>
          <w:rFonts w:ascii="Arial" w:cs="Arial" w:eastAsia="Arial" w:hAnsi="Arial"/>
          <w:sz w:val="16"/>
          <w:szCs w:val="16"/>
          <w:color w:val="0063A6"/>
        </w:rPr>
        <w:t>aligned ISO 14001 operating standards</w:t>
      </w:r>
    </w:p>
    <w:p>
      <w:pPr>
        <w:ind w:right="240"/>
        <w:spacing w:after="0" w:line="290" w:lineRule="auto"/>
        <w:rPr>
          <w:sz w:val="20"/>
          <w:szCs w:val="20"/>
          <w:color w:val="auto"/>
        </w:rPr>
      </w:pPr>
      <w:r>
        <w:rPr>
          <w:rFonts w:ascii="Arial" w:cs="Arial" w:eastAsia="Arial" w:hAnsi="Arial"/>
          <w:sz w:val="16"/>
          <w:szCs w:val="16"/>
          <w:color w:val="0063A6"/>
        </w:rPr>
        <w:t>Achieved 50% reduction in scope 1 and 2 emissions since 2019  </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0063A6"/>
        </w:rPr>
        <w:t>Future climate-related targets in place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63A6"/>
        </w:rPr>
        <w:t>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16" w:lineRule="exact"/>
        <w:rPr>
          <w:sz w:val="20"/>
          <w:szCs w:val="20"/>
          <w:color w:val="auto"/>
        </w:rPr>
      </w:pPr>
    </w:p>
    <w:p>
      <w:pPr>
        <w:ind w:left="180" w:right="100" w:hanging="170"/>
        <w:spacing w:after="0" w:line="272"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Make operations carbon neutral by</w:t>
      </w:r>
      <w:r>
        <w:rPr>
          <w:rFonts w:ascii="Arial" w:cs="Arial" w:eastAsia="Arial" w:hAnsi="Arial"/>
          <w:sz w:val="16"/>
          <w:szCs w:val="16"/>
          <w:color w:val="D02A2E"/>
        </w:rPr>
        <w:t xml:space="preserve"> </w:t>
      </w:r>
      <w:r>
        <w:rPr>
          <w:rFonts w:ascii="Arial" w:cs="Arial" w:eastAsia="Arial" w:hAnsi="Arial"/>
          <w:sz w:val="16"/>
          <w:szCs w:val="16"/>
          <w:color w:val="0063A6"/>
        </w:rPr>
        <w:t>2035</w:t>
      </w:r>
    </w:p>
    <w:p>
      <w:pPr>
        <w:spacing w:after="0"/>
        <w:rPr>
          <w:sz w:val="20"/>
          <w:szCs w:val="20"/>
          <w:color w:val="auto"/>
        </w:rPr>
      </w:pPr>
      <w:r>
        <w:rPr>
          <w:rFonts w:ascii="Arial" w:cs="Arial" w:eastAsia="Arial" w:hAnsi="Arial"/>
          <w:sz w:val="16"/>
          <w:szCs w:val="16"/>
          <w:color w:val="0063A6"/>
        </w:rPr>
        <w:t> </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Achieve net zero emissions by 2050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5" w:lineRule="exact"/>
        <w:rPr>
          <w:sz w:val="20"/>
          <w:szCs w:val="20"/>
          <w:color w:val="auto"/>
        </w:rPr>
      </w:pPr>
    </w:p>
    <w:p>
      <w:pPr>
        <w:ind w:right="360"/>
        <w:spacing w:after="0" w:line="284" w:lineRule="auto"/>
        <w:rPr>
          <w:sz w:val="20"/>
          <w:szCs w:val="20"/>
          <w:color w:val="auto"/>
        </w:rPr>
      </w:pPr>
      <w:r>
        <w:rPr>
          <w:rFonts w:ascii="Arial" w:cs="Arial" w:eastAsia="Arial" w:hAnsi="Arial"/>
          <w:sz w:val="16"/>
          <w:szCs w:val="16"/>
          <w:color w:val="0063A6"/>
        </w:rPr>
        <w:t>Supplier code of conduct includes ESG expectations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459740</wp:posOffset>
            </wp:positionV>
            <wp:extent cx="58293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040" w:right="240"/>
        <w:spacing w:after="0" w:line="255" w:lineRule="auto"/>
        <w:rPr>
          <w:sz w:val="20"/>
          <w:szCs w:val="20"/>
          <w:color w:val="auto"/>
        </w:rPr>
      </w:pPr>
      <w:r>
        <w:rPr>
          <w:rFonts w:ascii="Arial" w:cs="Arial" w:eastAsia="Arial" w:hAnsi="Arial"/>
          <w:sz w:val="19"/>
          <w:szCs w:val="19"/>
          <w:b w:val="1"/>
          <w:bCs w:val="1"/>
          <w:color w:val="0063A6"/>
        </w:rPr>
        <w:t>Supporting Our People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-287655</wp:posOffset>
            </wp:positionV>
            <wp:extent cx="471805" cy="4540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1805" cy="45402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20"/>
          <w:szCs w:val="20"/>
          <w:b w:val="1"/>
          <w:bCs w:val="1"/>
          <w:color w:val="0063A6"/>
        </w:rPr>
        <w:t>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1671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0063A6"/>
        </w:rPr>
        <w:t>Comprehensive health &amp; safety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0063A6"/>
        </w:rPr>
        <w:t>program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9"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0063A6"/>
        </w:rPr>
        <w:t>Continuously monitoring the health, perspectives and concerns of our global employee population through ongoing initiatives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5"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color w:val="0063A6"/>
        </w:rPr>
        <w:t>Competitive compensation packages and comprehensive benefits to all employees in every region where we operate</w:t>
      </w:r>
    </w:p>
    <w:p>
      <w:pPr>
        <w:spacing w:after="0" w:line="26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0063A6"/>
        </w:rPr>
        <w:t>Corporate social responsibility focuses on corporate philanthropy, employee giving and volunteerism and educational outreach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355600</wp:posOffset>
            </wp:positionV>
            <wp:extent cx="402590" cy="4540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2590" cy="45402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1040" w:right="580"/>
        <w:spacing w:after="0" w:line="267" w:lineRule="auto"/>
        <w:rPr>
          <w:sz w:val="20"/>
          <w:szCs w:val="20"/>
          <w:color w:val="auto"/>
        </w:rPr>
      </w:pPr>
      <w:r>
        <w:rPr>
          <w:rFonts w:ascii="Arial" w:cs="Arial" w:eastAsia="Arial" w:hAnsi="Arial"/>
          <w:sz w:val="19"/>
          <w:szCs w:val="19"/>
          <w:b w:val="1"/>
          <w:bCs w:val="1"/>
          <w:color w:val="0063A6"/>
        </w:rPr>
        <w:t>Providing Sustainable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671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9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0063A6"/>
        </w:rPr>
        <w:t>Itron solutions enable customers to avoid greenhouse gas emissions</w:t>
      </w:r>
    </w:p>
    <w:p>
      <w:pPr>
        <w:spacing w:after="0" w:line="14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0063A6"/>
        </w:rPr>
        <w:t>Working with customers to address sustainability related challenges  </w:t>
      </w:r>
    </w:p>
    <w:p>
      <w:pPr>
        <w:spacing w:after="0" w:line="175"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0063A6"/>
        </w:rPr>
        <w:t>Solutions enable energy savings driven by operational efficiencies and increased consumer engagement</w:t>
      </w:r>
    </w:p>
    <w:p>
      <w:pPr>
        <w:spacing w:after="0" w:line="1239" w:lineRule="exact"/>
        <w:rPr>
          <w:sz w:val="20"/>
          <w:szCs w:val="20"/>
          <w:color w:val="auto"/>
        </w:rPr>
      </w:pPr>
    </w:p>
    <w:p>
      <w:pPr>
        <w:sectPr>
          <w:pgSz w:w="11900" w:h="16838" w:orient="portrait"/>
          <w:cols w:equalWidth="0" w:num="3">
            <w:col w:w="2760" w:space="440"/>
            <w:col w:w="2780" w:space="440"/>
            <w:col w:w="2740"/>
          </w:cols>
          <w:pgMar w:left="1360" w:top="114"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line="309" w:lineRule="auto"/>
        <w:rPr>
          <w:sz w:val="20"/>
          <w:szCs w:val="20"/>
          <w:color w:val="auto"/>
        </w:rPr>
      </w:pPr>
      <w:r>
        <w:rPr>
          <w:rFonts w:ascii="Arial" w:cs="Arial" w:eastAsia="Arial" w:hAnsi="Arial"/>
          <w:sz w:val="23"/>
          <w:szCs w:val="23"/>
          <w:b w:val="1"/>
          <w:bCs w:val="1"/>
          <w:color w:val="0063A6"/>
        </w:rPr>
        <w:t>PROPOSAL 2 – ADVISORY APPROVAL OF EXECUTIVE COMPENSATION (SAY-ON-PAY)</w:t>
      </w:r>
    </w:p>
    <w:p>
      <w:pPr>
        <w:spacing w:after="0" w:line="6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asking our shareholders to approve a non-binding advisory resolution on the Company’s executive compensation program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As discussed in the Compensation Discussion and Analysis (CD&amp;A) section of this proxy statement, we believe our executive compensation program is reasonable, competitive and strongly focused on pay-for-performance principles that will result in the creation of long-term shareholder value. Some of the features of our executive compensation program that illustrate our philosophy are:</w:t>
      </w:r>
    </w:p>
    <w:p>
      <w:pPr>
        <w:spacing w:after="0" w:line="73" w:lineRule="exact"/>
        <w:rPr>
          <w:sz w:val="20"/>
          <w:szCs w:val="20"/>
          <w:color w:val="auto"/>
        </w:rPr>
      </w:pPr>
    </w:p>
    <w:p>
      <w:pPr>
        <w:ind w:left="560" w:right="20" w:hanging="206"/>
        <w:spacing w:after="0" w:line="254"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significant portion of an NEO’s compensation is at-risk or performance-based and subject to the Company’s operating and financial performance. In fiscal year 2025, the executive compensation package (base salary and short- and long-term incentives at target) included 90% of at-risk compensation for the CEO and an average of 78% of at-risk compensation for the other NEOs. Our long-term incentive plan (LTIP) for equity award grants has three-year performance periods, with one-year averages determined each year for measurement purposes, to encourage NEOs to make decisions that align our long-term goals with shareholder interests and to discourage excessive risk taking.</w:t>
      </w:r>
    </w:p>
    <w:p>
      <w:pPr>
        <w:spacing w:after="0" w:line="73" w:lineRule="exact"/>
        <w:rPr>
          <w:rFonts w:ascii="Arial" w:cs="Arial" w:eastAsia="Arial" w:hAnsi="Arial"/>
          <w:sz w:val="16"/>
          <w:szCs w:val="16"/>
          <w:color w:val="auto"/>
        </w:rPr>
      </w:pPr>
    </w:p>
    <w:p>
      <w:pPr>
        <w:ind w:left="560" w:right="100" w:hanging="206"/>
        <w:spacing w:after="0" w:line="286"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Stock ownership guidelines require executive officers who are NEOs to acquire and hold certain amounts of Itron stock to further strengthen alignment of management’s interest with those of our shareholders.</w:t>
      </w:r>
    </w:p>
    <w:p>
      <w:pPr>
        <w:spacing w:after="0" w:line="47" w:lineRule="exact"/>
        <w:rPr>
          <w:rFonts w:ascii="Arial" w:cs="Arial" w:eastAsia="Arial" w:hAnsi="Arial"/>
          <w:sz w:val="16"/>
          <w:szCs w:val="16"/>
          <w:color w:val="auto"/>
        </w:rPr>
      </w:pPr>
    </w:p>
    <w:p>
      <w:pPr>
        <w:ind w:left="560" w:right="40" w:hanging="206"/>
        <w:spacing w:after="0" w:line="249"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has adopted the 2023 Incentive Compensation Recovery Policy in accordance with Rule 10D-1 under Section 10D of the Securities Exchange Act of 1934, as amended and the corresponding Nasdaq Listing Rule 5608. This policy applies to our current and former executive officers as defined in Rule 10D-1, including the NEOs. In the event we are required to prepare an accounting restatement to correct a material noncompliance with any financial reporting requirement under the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the policy provides for the recovery of erroneously awarded incentive-based compensation received by its executive officers on or after the policy’s effective date. In addition, we have established an Incentive Compensation Recovery (Clawback) Policy, which will continue to apply to incentive-based compensation received prior to December 1, 2024. Under that policy, in the event of a restatement of the Company’s financial results, the Compensation Committee, as designated by the Board, may review all cash or equity incentive awards that were based in whole or in part on the achievement of certain financial results. If the Compensation Committee, as designated by the Board, determines that fraud has resulted in a material financial restatement, the Board is required to demand repayment of the full award, net of taxes.</w:t>
      </w:r>
    </w:p>
    <w:p>
      <w:pPr>
        <w:spacing w:after="0" w:line="81" w:lineRule="exact"/>
        <w:rPr>
          <w:rFonts w:ascii="Arial" w:cs="Arial" w:eastAsia="Arial" w:hAnsi="Arial"/>
          <w:sz w:val="16"/>
          <w:szCs w:val="16"/>
          <w:color w:val="auto"/>
        </w:rPr>
      </w:pPr>
    </w:p>
    <w:p>
      <w:pPr>
        <w:ind w:left="560" w:right="60" w:hanging="206"/>
        <w:spacing w:after="0" w:line="259"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maintain our long-standing commitment to strong corporate governance by continuing our policies of (i) separate Board Chair and CEO roles, (ii) majority voting for directors, (iii) all independent Board members (except our CEO) and all independent committee members, (iv) executive sessions of independent directors, and (v) prohibition on hedging or pledging of Itron stock by our executive officers.</w:t>
      </w:r>
    </w:p>
    <w:p>
      <w:pPr>
        <w:spacing w:after="0" w:line="13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believe our executive compensation policies have enabled us to retain and attract exceptional senior executives whose talent and experience have helped Itron become a leader in our industry. Our Compensation Committee (which provides overall direction for our executive compensation program for our NEOs other than our CEO) and the independent members of the Board (who determine the executive compensation program for our CEO) believe the fiscal year 2025 compensation paid to our NEOs is reasonable and appropriate and adequately reflects the Company’s overall performance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3240"/>
        <w:spacing w:after="0"/>
        <w:rPr>
          <w:sz w:val="20"/>
          <w:szCs w:val="20"/>
          <w:color w:val="auto"/>
        </w:rPr>
      </w:pPr>
      <w:r>
        <w:rPr>
          <w:rFonts w:ascii="Arial" w:cs="Arial" w:eastAsia="Arial" w:hAnsi="Arial"/>
          <w:sz w:val="14"/>
          <w:szCs w:val="14"/>
          <w:color w:val="5D6673"/>
        </w:rPr>
        <w:t>PROPOSAL 2 – ADVISORY APPROVAL OF EXECUTIVE COMPENSATION (SAY-ON-PAY)</w:t>
      </w:r>
    </w:p>
    <w:p>
      <w:pPr>
        <w:spacing w:after="0" w:line="10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Shareholders are encouraged to read the full details of our executive compensation program as described in the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section of this proxy statement.</w:t>
      </w:r>
    </w:p>
    <w:p>
      <w:pPr>
        <w:spacing w:after="0" w:line="11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Our shareholders approved a proposal by the Board at the May 2023 annual meeting of shareholders to hold our advisory vote on executive compensation annually, and the Board has adopted a policy consistent with this determination. Unless the Board modifies this policy, the next say-on-pay vote will be held at our 2027 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the reasons provided above, we recommend that the shareholders vote in favor of the following resolution:</w:t>
      </w:r>
    </w:p>
    <w:p>
      <w:pPr>
        <w:spacing w:after="0" w:line="194" w:lineRule="exact"/>
        <w:rPr>
          <w:sz w:val="20"/>
          <w:szCs w:val="20"/>
          <w:color w:val="auto"/>
        </w:rPr>
      </w:pPr>
    </w:p>
    <w:p>
      <w:pPr>
        <w:ind w:left="360" w:right="80"/>
        <w:spacing w:after="0" w:line="25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shareholders approve, on a non-binding advisory basis, the compensation of the Company’s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as disclosed in the Compensation Discussion and Analysis section of the Company’s proxy statement for the Annual Meeting, which disclosure includes the Executive Compensation Tables, and the accompanying footnotes and narrative disclosures within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27305</wp:posOffset>
            </wp:positionV>
            <wp:extent cx="248285" cy="6000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8285" cy="600075"/>
                    </a:xfrm>
                    <a:prstGeom prst="rect">
                      <a:avLst/>
                    </a:prstGeom>
                    <a:noFill/>
                  </pic:spPr>
                </pic:pic>
              </a:graphicData>
            </a:graphic>
          </wp:anchor>
        </w:drawing>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recommends that shareholders vote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“FOR” the approval of the compensation paid to</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our named executive officers in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29" w:name="page30"/>
    <w:bookmarkEnd w:id="2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EXECUTIVE COMPENSATION</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23"/>
          <w:szCs w:val="23"/>
          <w:b w:val="1"/>
          <w:bCs w:val="1"/>
          <w:u w:val="single" w:color="auto"/>
          <w:color w:val="0063A6"/>
        </w:rPr>
        <w:t>Compensation Discussion and Analysis</w:t>
      </w:r>
    </w:p>
    <w:p>
      <w:pPr>
        <w:spacing w:after="0" w:line="106"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This Compensation Discussion and Analysis (CD&amp;A) explains our executive compensation program for our NEOs listed below. The CD&amp;A also describes the process followed by the Compensation Committee of the Board (referred to as the Compensation Committee or the Committee in this CD&amp;A) for making pay decisions, as well as its rationale for specific decisions related to 2025.</w:t>
      </w:r>
    </w:p>
    <w:p>
      <w:pPr>
        <w:spacing w:after="0" w:line="183"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460" w:type="dxa"/>
            <w:vAlign w:val="bottom"/>
            <w:tcBorders>
              <w:bottom w:val="single" w:sz="8" w:color="0063A6"/>
            </w:tcBorders>
          </w:tcPr>
          <w:p>
            <w:pPr>
              <w:spacing w:after="0"/>
              <w:rPr>
                <w:sz w:val="20"/>
                <w:szCs w:val="20"/>
                <w:color w:val="auto"/>
              </w:rPr>
            </w:pPr>
            <w:r>
              <w:rPr>
                <w:rFonts w:ascii="Arial" w:cs="Arial" w:eastAsia="Arial" w:hAnsi="Arial"/>
                <w:sz w:val="14"/>
                <w:szCs w:val="14"/>
                <w:b w:val="1"/>
                <w:bCs w:val="1"/>
                <w:color w:val="auto"/>
              </w:rPr>
              <w:t>Name</w:t>
            </w:r>
          </w:p>
        </w:tc>
        <w:tc>
          <w:tcPr>
            <w:tcW w:w="6720" w:type="dxa"/>
            <w:vAlign w:val="bottom"/>
            <w:tcBorders>
              <w:bottom w:val="single" w:sz="8" w:color="0063A6"/>
            </w:tcBorders>
          </w:tcPr>
          <w:p>
            <w:pPr>
              <w:ind w:left="1000"/>
              <w:spacing w:after="0"/>
              <w:rPr>
                <w:sz w:val="20"/>
                <w:szCs w:val="20"/>
                <w:color w:val="auto"/>
              </w:rPr>
            </w:pPr>
            <w:r>
              <w:rPr>
                <w:rFonts w:ascii="Arial" w:cs="Arial" w:eastAsia="Arial" w:hAnsi="Arial"/>
                <w:sz w:val="14"/>
                <w:szCs w:val="14"/>
                <w:b w:val="1"/>
                <w:bCs w:val="1"/>
                <w:color w:val="auto"/>
              </w:rPr>
              <w:t>Title</w:t>
            </w:r>
          </w:p>
        </w:tc>
      </w:tr>
      <w:tr>
        <w:trPr>
          <w:trHeight w:val="239"/>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Thomas L. Deitrich</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President and CEO</w:t>
            </w:r>
          </w:p>
        </w:tc>
      </w:tr>
      <w:tr>
        <w:trPr>
          <w:trHeight w:val="237"/>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Joan S. Hooper</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Senior Vice President and CFO</w:t>
            </w:r>
          </w:p>
        </w:tc>
      </w:tr>
      <w:tr>
        <w:trPr>
          <w:trHeight w:val="237"/>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Donald L. Reeves</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Senior Vice President, Outcomes</w:t>
            </w:r>
          </w:p>
        </w:tc>
      </w:tr>
      <w:tr>
        <w:trPr>
          <w:trHeight w:val="236"/>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John F. Marcolini</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Senior Vice President, Networked Solutions</w:t>
            </w:r>
          </w:p>
        </w:tc>
      </w:tr>
      <w:tr>
        <w:trPr>
          <w:trHeight w:val="227"/>
        </w:trPr>
        <w:tc>
          <w:tcPr>
            <w:tcW w:w="2460" w:type="dxa"/>
            <w:vAlign w:val="bottom"/>
            <w:tcBorders>
              <w:bottom w:val="single" w:sz="8" w:color="0063A6"/>
            </w:tcBorders>
          </w:tcPr>
          <w:p>
            <w:pPr>
              <w:spacing w:after="0"/>
              <w:rPr>
                <w:sz w:val="20"/>
                <w:szCs w:val="20"/>
                <w:color w:val="auto"/>
              </w:rPr>
            </w:pPr>
            <w:r>
              <w:rPr>
                <w:rFonts w:ascii="Arial" w:cs="Arial" w:eastAsia="Arial" w:hAnsi="Arial"/>
                <w:sz w:val="16"/>
                <w:szCs w:val="16"/>
                <w:b w:val="1"/>
                <w:bCs w:val="1"/>
                <w:color w:val="0063A6"/>
              </w:rPr>
              <w:t>Justin K. Patrick</w:t>
            </w:r>
          </w:p>
        </w:tc>
        <w:tc>
          <w:tcPr>
            <w:tcW w:w="6720" w:type="dxa"/>
            <w:vAlign w:val="bottom"/>
            <w:tcBorders>
              <w:bottom w:val="single" w:sz="8" w:color="0063A6"/>
            </w:tcBorders>
          </w:tcPr>
          <w:p>
            <w:pPr>
              <w:ind w:left="1000"/>
              <w:spacing w:after="0"/>
              <w:rPr>
                <w:sz w:val="20"/>
                <w:szCs w:val="20"/>
                <w:color w:val="auto"/>
              </w:rPr>
            </w:pPr>
            <w:r>
              <w:rPr>
                <w:rFonts w:ascii="Arial" w:cs="Arial" w:eastAsia="Arial" w:hAnsi="Arial"/>
                <w:sz w:val="16"/>
                <w:szCs w:val="16"/>
                <w:color w:val="auto"/>
              </w:rPr>
              <w:t>Senior Vice President, Device Solutions</w:t>
            </w:r>
          </w:p>
        </w:tc>
      </w:tr>
    </w:tbl>
    <w:p>
      <w:pPr>
        <w:spacing w:after="0" w:line="26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Executive Summary</w:t>
      </w:r>
    </w:p>
    <w:p>
      <w:pPr>
        <w:spacing w:after="0" w:line="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Business Performance</w:t>
      </w:r>
    </w:p>
    <w:p>
      <w:pPr>
        <w:spacing w:after="0" w:line="77" w:lineRule="exact"/>
        <w:rPr>
          <w:sz w:val="20"/>
          <w:szCs w:val="20"/>
          <w:color w:val="auto"/>
        </w:rPr>
      </w:pPr>
    </w:p>
    <w:p>
      <w:pPr>
        <w:ind w:left="6" w:right="120"/>
        <w:spacing w:after="0" w:line="251" w:lineRule="auto"/>
        <w:rPr>
          <w:sz w:val="20"/>
          <w:szCs w:val="20"/>
          <w:color w:val="auto"/>
        </w:rPr>
      </w:pPr>
      <w:r>
        <w:rPr>
          <w:rFonts w:ascii="Arial" w:cs="Arial" w:eastAsia="Arial" w:hAnsi="Arial"/>
          <w:sz w:val="16"/>
          <w:szCs w:val="16"/>
          <w:color w:val="auto"/>
        </w:rPr>
        <w:t>Itron’s operational and financial performance in 2025 continued to improve and support confidence in the Company’s long-term strategic objectives. Record financial achievements include gross margin, non-GAAP earnings per share, Adjusted EBITDA, and free cash flow as a percentage of revenue. Other indicators of strategic progress and customer adoption of grid edge intelligence technology include: a ~25% increase in distributed intelligence endpoints to 16.7 million at year-end, a</w:t>
      </w:r>
    </w:p>
    <w:p>
      <w:pPr>
        <w:spacing w:after="0" w:line="2" w:lineRule="exact"/>
        <w:rPr>
          <w:sz w:val="20"/>
          <w:szCs w:val="20"/>
          <w:color w:val="auto"/>
        </w:rPr>
      </w:pPr>
    </w:p>
    <w:p>
      <w:pPr>
        <w:ind w:left="6" w:right="80"/>
        <w:spacing w:after="0" w:line="265" w:lineRule="auto"/>
        <w:rPr>
          <w:sz w:val="20"/>
          <w:szCs w:val="20"/>
          <w:color w:val="auto"/>
        </w:rPr>
      </w:pPr>
      <w:r>
        <w:rPr>
          <w:rFonts w:ascii="Arial" w:cs="Arial" w:eastAsia="Arial" w:hAnsi="Arial"/>
          <w:sz w:val="16"/>
          <w:szCs w:val="16"/>
          <w:color w:val="auto"/>
        </w:rPr>
        <w:t>~68% increase in distributed intelligence applications to 25.7 million at year-end, and growth of our Outcomes segment backlog which is now greater than one billion dollars.</w:t>
      </w:r>
    </w:p>
    <w:p>
      <w:pPr>
        <w:spacing w:after="0" w:line="145" w:lineRule="exact"/>
        <w:rPr>
          <w:sz w:val="20"/>
          <w:szCs w:val="20"/>
          <w:color w:val="auto"/>
        </w:rPr>
      </w:pPr>
    </w:p>
    <w:p>
      <w:pPr>
        <w:ind w:left="6" w:right="160"/>
        <w:spacing w:after="0" w:line="252" w:lineRule="auto"/>
        <w:rPr>
          <w:sz w:val="20"/>
          <w:szCs w:val="20"/>
          <w:color w:val="auto"/>
        </w:rPr>
      </w:pPr>
      <w:r>
        <w:rPr>
          <w:rFonts w:ascii="Arial" w:cs="Arial" w:eastAsia="Arial" w:hAnsi="Arial"/>
          <w:sz w:val="16"/>
          <w:szCs w:val="16"/>
          <w:color w:val="auto"/>
        </w:rPr>
        <w:t>We also deployed a substantial proportion of our cash on hand during the fourth quarter of 2025 towards our top two capital allocation objectives. We took advantage of equity market volatility and purchased $100 million of Itron shares at an attractive price and increased our capacity for future buybacks to $250 million. Lastly, in the 4th quarter we successfully acquired Urbint, Inc., a provider of AI-enhanced solutions for emergency preparedness and response, damage prevention, and worker safety. We also entered into a definitive agreement to acquire Locusview Ltd, a provider of solutions for digital construction management, which automates processes from planning to close-out. Both acquisitions diversify our portfolio of offerings and enhance our position as the intelligent infrastructure for energy and water systems across all phases of our customers’ asset lifecycles.</w:t>
      </w:r>
    </w:p>
    <w:p>
      <w:pPr>
        <w:spacing w:after="0" w:line="142" w:lineRule="exact"/>
        <w:rPr>
          <w:sz w:val="20"/>
          <w:szCs w:val="20"/>
          <w:color w:val="auto"/>
        </w:rPr>
      </w:pPr>
    </w:p>
    <w:p>
      <w:pPr>
        <w:ind w:left="6" w:right="160"/>
        <w:spacing w:after="0" w:line="259" w:lineRule="auto"/>
        <w:rPr>
          <w:sz w:val="20"/>
          <w:szCs w:val="20"/>
          <w:color w:val="auto"/>
        </w:rPr>
      </w:pPr>
      <w:r>
        <w:rPr>
          <w:rFonts w:ascii="Arial" w:cs="Arial" w:eastAsia="Arial" w:hAnsi="Arial"/>
          <w:sz w:val="16"/>
          <w:szCs w:val="16"/>
          <w:color w:val="auto"/>
        </w:rPr>
        <w:t>We continually refine our business to tailor our offerings to align with how our customers envision their investment patterns will evolve over the coming years. As a result, we have developed a range of solutions for energy and water utilities that are agile and address a variety of critical challenges that are becoming more frequent and acute as infrastructure ages, environmental challenges increase, and the need for engagement with rate payers has become more important than ever before.</w:t>
      </w:r>
    </w:p>
    <w:p>
      <w:pPr>
        <w:spacing w:after="0" w:line="137" w:lineRule="exact"/>
        <w:rPr>
          <w:sz w:val="20"/>
          <w:szCs w:val="20"/>
          <w:color w:val="auto"/>
        </w:rPr>
      </w:pPr>
    </w:p>
    <w:p>
      <w:pPr>
        <w:ind w:left="6" w:right="120"/>
        <w:spacing w:after="0" w:line="259" w:lineRule="auto"/>
        <w:rPr>
          <w:sz w:val="20"/>
          <w:szCs w:val="20"/>
          <w:color w:val="auto"/>
        </w:rPr>
      </w:pPr>
      <w:r>
        <w:rPr>
          <w:rFonts w:ascii="Arial" w:cs="Arial" w:eastAsia="Arial" w:hAnsi="Arial"/>
          <w:sz w:val="16"/>
          <w:szCs w:val="16"/>
          <w:color w:val="auto"/>
        </w:rPr>
        <w:t>Our customers are operating in an environment of heightened infrastructure demands, driven by growth in electricity usage, reliability expectations, affordability concerns, and the need to modernize aging systems. These conditions require sustained, long-term investment by utilities and shape the operating and spending priorities of our end markets. Against this backdrop, we believe our strategy can deliver durable earnings growth and compound shareholder value over time.</w:t>
      </w:r>
    </w:p>
    <w:p>
      <w:pPr>
        <w:spacing w:after="0" w:line="152" w:lineRule="exact"/>
        <w:rPr>
          <w:sz w:val="20"/>
          <w:szCs w:val="20"/>
          <w:color w:val="auto"/>
        </w:rPr>
      </w:pPr>
    </w:p>
    <w:p>
      <w:pPr>
        <w:ind w:left="6" w:right="600"/>
        <w:spacing w:after="0" w:line="233" w:lineRule="auto"/>
        <w:rPr>
          <w:sz w:val="20"/>
          <w:szCs w:val="20"/>
          <w:color w:val="auto"/>
        </w:rPr>
      </w:pPr>
      <w:r>
        <w:rPr>
          <w:rFonts w:ascii="Arial" w:cs="Arial" w:eastAsia="Arial" w:hAnsi="Arial"/>
          <w:sz w:val="16"/>
          <w:szCs w:val="16"/>
          <w:color w:val="auto"/>
        </w:rPr>
        <w:t>Itron’s 2025 revenue, non-GAAP earnings per diluted share</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(non-GAAP diluted EPS), and adjusted earnings before interest, tax, depreciation and amortization (Adjusted EBITDA)</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are as follows (compared with 2024):</w:t>
      </w:r>
    </w:p>
    <w:p>
      <w:pPr>
        <w:spacing w:after="0" w:line="1" w:lineRule="exact"/>
        <w:rPr>
          <w:sz w:val="20"/>
          <w:szCs w:val="20"/>
          <w:color w:val="auto"/>
        </w:rPr>
      </w:pPr>
    </w:p>
    <w:p>
      <w:pPr>
        <w:ind w:left="566" w:hanging="206"/>
        <w:spacing w:after="0"/>
        <w:tabs>
          <w:tab w:leader="none" w:pos="566"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Revenue of approximately $2.4 billion;</w:t>
      </w:r>
    </w:p>
    <w:p>
      <w:pPr>
        <w:spacing w:after="0" w:line="97" w:lineRule="exact"/>
        <w:rPr>
          <w:rFonts w:ascii="Arial" w:cs="Arial" w:eastAsia="Arial" w:hAnsi="Arial"/>
          <w:sz w:val="16"/>
          <w:szCs w:val="16"/>
          <w:color w:val="auto"/>
        </w:rPr>
      </w:pPr>
    </w:p>
    <w:p>
      <w:pPr>
        <w:ind w:left="566" w:hanging="206"/>
        <w:spacing w:after="0"/>
        <w:tabs>
          <w:tab w:leader="none" w:pos="566"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Non-GAAP diluted EPS of $7.13 increased approximately 27%; and</w:t>
      </w:r>
    </w:p>
    <w:p>
      <w:pPr>
        <w:spacing w:after="0" w:line="113" w:lineRule="exact"/>
        <w:rPr>
          <w:rFonts w:ascii="Arial" w:cs="Arial" w:eastAsia="Arial" w:hAnsi="Arial"/>
          <w:sz w:val="16"/>
          <w:szCs w:val="16"/>
          <w:color w:val="auto"/>
        </w:rPr>
      </w:pPr>
    </w:p>
    <w:p>
      <w:pPr>
        <w:ind w:left="566" w:hanging="206"/>
        <w:spacing w:after="0"/>
        <w:tabs>
          <w:tab w:leader="none" w:pos="566"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of approximately $373.8 million increased approximately 16%.</w:t>
      </w:r>
    </w:p>
    <w:p>
      <w:pPr>
        <w:spacing w:after="0" w:line="320" w:lineRule="exact"/>
        <w:rPr>
          <w:rFonts w:ascii="Arial" w:cs="Arial" w:eastAsia="Arial" w:hAnsi="Arial"/>
          <w:sz w:val="16"/>
          <w:szCs w:val="16"/>
          <w:color w:val="auto"/>
        </w:rPr>
      </w:pPr>
    </w:p>
    <w:p>
      <w:pPr>
        <w:ind w:left="346" w:right="40" w:hanging="346"/>
        <w:spacing w:after="0" w:line="285" w:lineRule="auto"/>
        <w:tabs>
          <w:tab w:leader="none" w:pos="346"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schedule reconciling non-GAAP diluted EPS to net income attributable to Itron, Inc. and Adjusted EBITDA to net income attributable to Itron, Inc. is available on pages 43-46 of our 2025 Annual Report on Form 10-K and is also provided in Appendix A of this proxy statement.</w:t>
      </w:r>
    </w:p>
    <w:p>
      <w:pPr>
        <w:spacing w:after="0" w:line="9" w:lineRule="exact"/>
        <w:rPr>
          <w:rFonts w:ascii="Arial" w:cs="Arial" w:eastAsia="Arial" w:hAnsi="Arial"/>
          <w:sz w:val="14"/>
          <w:szCs w:val="14"/>
          <w:color w:val="auto"/>
        </w:rPr>
      </w:pPr>
    </w:p>
    <w:p>
      <w:pPr>
        <w:ind w:left="346" w:right="400" w:hanging="346"/>
        <w:spacing w:after="0" w:line="285" w:lineRule="auto"/>
        <w:tabs>
          <w:tab w:leader="none" w:pos="346"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define non-GAAP diluted EPS as non-GAAP net income divided by the weighted average shares, on a diluted basis, outstanding during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822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26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30" w:name="page31"/>
    <w:bookmarkEnd w:id="3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Compensation Discussion and Analysis</w:t>
      </w:r>
    </w:p>
    <w:p>
      <w:pPr>
        <w:spacing w:after="0" w:line="82" w:lineRule="exact"/>
        <w:rPr>
          <w:sz w:val="20"/>
          <w:szCs w:val="20"/>
          <w:color w:val="auto"/>
        </w:rPr>
      </w:pPr>
    </w:p>
    <w:p>
      <w:pPr>
        <w:ind w:left="346" w:right="20" w:hanging="346"/>
        <w:spacing w:after="0" w:line="263" w:lineRule="auto"/>
        <w:tabs>
          <w:tab w:leader="none" w:pos="346"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define Adjusted EBITDA as net income (a) minus interest income, (b) plus interest expense, depreciation and amortization, restructuring, loss on sale of business, strategic initiative expenses, acquisition and integration related expenses, and (c) excluding income tax provision or benefit.</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Compensation Highlights</w:t>
      </w:r>
    </w:p>
    <w:p>
      <w:pPr>
        <w:spacing w:after="0" w:line="77" w:lineRule="exact"/>
        <w:rPr>
          <w:sz w:val="20"/>
          <w:szCs w:val="20"/>
          <w:color w:val="auto"/>
        </w:rPr>
      </w:pPr>
    </w:p>
    <w:p>
      <w:pPr>
        <w:ind w:left="6" w:right="140"/>
        <w:spacing w:after="0" w:line="256" w:lineRule="auto"/>
        <w:rPr>
          <w:sz w:val="20"/>
          <w:szCs w:val="20"/>
          <w:color w:val="auto"/>
        </w:rPr>
      </w:pPr>
      <w:r>
        <w:rPr>
          <w:rFonts w:ascii="Arial" w:cs="Arial" w:eastAsia="Arial" w:hAnsi="Arial"/>
          <w:sz w:val="16"/>
          <w:szCs w:val="16"/>
          <w:color w:val="auto"/>
        </w:rPr>
        <w:t>Our executive compensation program has three primary elements: base salary, annual cash incentives (as part of our Itron Incentive Plan (IIP)), and long-term equity incentives (as part of our Long-Term Incentive Plan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shareholder value creation.</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Below are key highlights of the executive compensation decisions the Compensation Committee made for fiscal year 2025:</w:t>
      </w:r>
    </w:p>
    <w:p>
      <w:pPr>
        <w:spacing w:after="0" w:line="113" w:lineRule="exact"/>
        <w:rPr>
          <w:sz w:val="20"/>
          <w:szCs w:val="20"/>
          <w:color w:val="auto"/>
        </w:rPr>
      </w:pPr>
    </w:p>
    <w:p>
      <w:pPr>
        <w:ind w:left="226" w:right="240" w:hanging="226"/>
        <w:spacing w:after="0" w:line="286" w:lineRule="auto"/>
        <w:tabs>
          <w:tab w:leader="none" w:pos="22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Salary: Approved base salary increases for all the NEOs, ranging from 4.0% to 11.1%. </w:t>
      </w:r>
      <w:r>
        <w:rPr>
          <w:rFonts w:ascii="Arial" w:cs="Arial" w:eastAsia="Arial" w:hAnsi="Arial"/>
          <w:sz w:val="16"/>
          <w:szCs w:val="16"/>
          <w:i w:val="1"/>
          <w:iCs w:val="1"/>
          <w:color w:val="auto"/>
        </w:rPr>
        <w:t>See “Base Salary” in this CD&amp;A for</w:t>
      </w:r>
      <w:r>
        <w:rPr>
          <w:rFonts w:ascii="Arial" w:cs="Arial" w:eastAsia="Arial" w:hAnsi="Arial"/>
          <w:sz w:val="16"/>
          <w:szCs w:val="16"/>
          <w:color w:val="auto"/>
        </w:rPr>
        <w:t xml:space="preserve"> </w:t>
      </w:r>
      <w:r>
        <w:rPr>
          <w:rFonts w:ascii="Arial" w:cs="Arial" w:eastAsia="Arial" w:hAnsi="Arial"/>
          <w:sz w:val="16"/>
          <w:szCs w:val="16"/>
          <w:i w:val="1"/>
          <w:iCs w:val="1"/>
          <w:color w:val="auto"/>
        </w:rPr>
        <w:t>details.</w:t>
      </w:r>
    </w:p>
    <w:p>
      <w:pPr>
        <w:sectPr>
          <w:pgSz w:w="11900" w:h="16838" w:orient="portrait"/>
          <w:cols w:equalWidth="0" w:num="1">
            <w:col w:w="9186"/>
          </w:cols>
          <w:pgMar w:left="1354" w:top="114" w:right="1359" w:bottom="1440" w:gutter="0" w:footer="0" w:header="0"/>
        </w:sectPr>
      </w:pPr>
    </w:p>
    <w:p>
      <w:pPr>
        <w:spacing w:after="0" w:line="48" w:lineRule="exact"/>
        <w:rPr>
          <w:sz w:val="20"/>
          <w:szCs w:val="20"/>
          <w:color w:val="auto"/>
        </w:rPr>
      </w:pPr>
    </w:p>
    <w:p>
      <w:pPr>
        <w:ind w:left="6"/>
        <w:spacing w:after="0"/>
        <w:tabs>
          <w:tab w:leader="none" w:pos="206"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IIP:</w:t>
      </w:r>
    </w:p>
    <w:p>
      <w:pPr>
        <w:spacing w:after="0" w:line="73" w:lineRule="exact"/>
        <w:rPr>
          <w:sz w:val="20"/>
          <w:szCs w:val="20"/>
          <w:color w:val="auto"/>
        </w:rPr>
      </w:pPr>
    </w:p>
    <w:p>
      <w:pPr>
        <w:ind w:left="226"/>
        <w:spacing w:after="0"/>
        <w:rPr>
          <w:sz w:val="20"/>
          <w:szCs w:val="20"/>
          <w:color w:val="auto"/>
        </w:rPr>
      </w:pPr>
      <w:r>
        <w:rPr>
          <w:rFonts w:ascii="Arial" w:cs="Arial" w:eastAsia="Arial" w:hAnsi="Arial"/>
          <w:sz w:val="11"/>
          <w:szCs w:val="11"/>
          <w:color w:val="auto"/>
        </w:rPr>
        <w:t>○</w:t>
      </w:r>
    </w:p>
    <w:p>
      <w:pPr>
        <w:spacing w:after="0" w:line="144" w:lineRule="exact"/>
        <w:rPr>
          <w:sz w:val="20"/>
          <w:szCs w:val="20"/>
          <w:color w:val="auto"/>
        </w:rPr>
      </w:pPr>
    </w:p>
    <w:p>
      <w:pPr>
        <w:ind w:left="226"/>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Approved IIP financial targets based on 2025 budget;</w:t>
      </w:r>
    </w:p>
    <w:p>
      <w:pPr>
        <w:spacing w:after="0" w:line="8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Continued to prioritize financial performance focused on profitability and revenue growth, as well as holding NEOs accountable for driving non-financial results linked to the Company’s strategic goals. For 2025, the Committee included annual global growth initiative (GGI) bookings and annual software and services revenue as equally-weighted non-financial metrics. The Compensation Committee believes that together these measures will accelerate high-growth opportunities in targeted regions, supporting our strategic priority of driving revenue at scale; and</w:t>
      </w:r>
    </w:p>
    <w:p>
      <w:pPr>
        <w:spacing w:after="0" w:line="72" w:lineRule="exact"/>
        <w:rPr>
          <w:sz w:val="20"/>
          <w:szCs w:val="20"/>
          <w:color w:val="auto"/>
        </w:rPr>
      </w:pPr>
    </w:p>
    <w:p>
      <w:pPr>
        <w:sectPr>
          <w:pgSz w:w="11900" w:h="16838" w:orient="portrait"/>
          <w:cols w:equalWidth="0" w:num="2">
            <w:col w:w="466" w:space="100"/>
            <w:col w:w="8620"/>
          </w:cols>
          <w:pgMar w:left="1354" w:top="114" w:right="1359" w:bottom="1440" w:gutter="0" w:footer="0" w:header="0"/>
          <w:type w:val="continuous"/>
        </w:sectPr>
      </w:pPr>
    </w:p>
    <w:p>
      <w:pPr>
        <w:ind w:left="566" w:right="400" w:hanging="350"/>
        <w:spacing w:after="0" w:line="221" w:lineRule="auto"/>
        <w:tabs>
          <w:tab w:leader="none" w:pos="566" w:val="left"/>
        </w:tabs>
        <w:numPr>
          <w:ilvl w:val="1"/>
          <w:numId w:val="21"/>
        </w:numPr>
        <w:rPr>
          <w:rFonts w:ascii="Arial" w:cs="Arial" w:eastAsia="Arial" w:hAnsi="Arial"/>
          <w:sz w:val="22"/>
          <w:szCs w:val="22"/>
          <w:color w:val="auto"/>
          <w:vertAlign w:val="superscript"/>
        </w:rPr>
      </w:pPr>
      <w:r>
        <w:rPr>
          <w:rFonts w:ascii="Arial" w:cs="Arial" w:eastAsia="Arial" w:hAnsi="Arial"/>
          <w:sz w:val="16"/>
          <w:szCs w:val="16"/>
          <w:color w:val="auto"/>
        </w:rPr>
        <w:t xml:space="preserve">Approved actual IIP payouts to the NEOs of 105.9% of target based on our strong performance. </w:t>
      </w:r>
      <w:r>
        <w:rPr>
          <w:rFonts w:ascii="Arial" w:cs="Arial" w:eastAsia="Arial" w:hAnsi="Arial"/>
          <w:sz w:val="16"/>
          <w:szCs w:val="16"/>
          <w:i w:val="1"/>
          <w:iCs w:val="1"/>
          <w:color w:val="auto"/>
        </w:rPr>
        <w:t>See “Annual Cash</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Incentives: The Itron Incentive Plan (IIP)” in this CD&amp;A for details.</w:t>
      </w:r>
    </w:p>
    <w:p>
      <w:pPr>
        <w:spacing w:after="0" w:line="83" w:lineRule="exact"/>
        <w:rPr>
          <w:rFonts w:ascii="Arial" w:cs="Arial" w:eastAsia="Arial" w:hAnsi="Arial"/>
          <w:sz w:val="22"/>
          <w:szCs w:val="22"/>
          <w:color w:val="auto"/>
          <w:vertAlign w:val="superscript"/>
        </w:rPr>
      </w:pPr>
    </w:p>
    <w:p>
      <w:pPr>
        <w:ind w:left="226" w:hanging="226"/>
        <w:spacing w:after="0"/>
        <w:tabs>
          <w:tab w:leader="none" w:pos="226" w:val="left"/>
        </w:tabs>
        <w:numPr>
          <w:ilvl w:val="0"/>
          <w:numId w:val="21"/>
        </w:numPr>
        <w:rPr>
          <w:rFonts w:ascii="Arial" w:cs="Arial" w:eastAsia="Arial" w:hAnsi="Arial"/>
          <w:sz w:val="16"/>
          <w:szCs w:val="16"/>
          <w:color w:val="auto"/>
        </w:rPr>
      </w:pPr>
      <w:r>
        <w:rPr>
          <w:rFonts w:ascii="Arial" w:cs="Arial" w:eastAsia="Arial" w:hAnsi="Arial"/>
          <w:sz w:val="16"/>
          <w:szCs w:val="16"/>
          <w:color w:val="auto"/>
        </w:rPr>
        <w:t>LTIP:</w:t>
      </w:r>
    </w:p>
    <w:p>
      <w:pPr>
        <w:spacing w:after="0" w:line="74" w:lineRule="exact"/>
        <w:rPr>
          <w:rFonts w:ascii="Arial" w:cs="Arial" w:eastAsia="Arial" w:hAnsi="Arial"/>
          <w:sz w:val="16"/>
          <w:szCs w:val="16"/>
          <w:color w:val="auto"/>
        </w:rPr>
      </w:pPr>
    </w:p>
    <w:p>
      <w:pPr>
        <w:ind w:left="566" w:hanging="350"/>
        <w:spacing w:after="0"/>
        <w:tabs>
          <w:tab w:leader="none" w:pos="566" w:val="left"/>
        </w:tabs>
        <w:numPr>
          <w:ilvl w:val="1"/>
          <w:numId w:val="21"/>
        </w:numPr>
        <w:rPr>
          <w:rFonts w:ascii="Arial" w:cs="Arial" w:eastAsia="Arial" w:hAnsi="Arial"/>
          <w:sz w:val="22"/>
          <w:szCs w:val="22"/>
          <w:color w:val="auto"/>
          <w:vertAlign w:val="superscript"/>
        </w:rPr>
      </w:pPr>
      <w:r>
        <w:rPr>
          <w:rFonts w:ascii="Arial" w:cs="Arial" w:eastAsia="Arial" w:hAnsi="Arial"/>
          <w:sz w:val="16"/>
          <w:szCs w:val="16"/>
          <w:color w:val="auto"/>
        </w:rPr>
        <w:t>Adjusted target award opportunities for competitive positioning relative to market;</w:t>
      </w:r>
    </w:p>
    <w:p>
      <w:pPr>
        <w:spacing w:after="0" w:line="82" w:lineRule="exact"/>
        <w:rPr>
          <w:rFonts w:ascii="Arial" w:cs="Arial" w:eastAsia="Arial" w:hAnsi="Arial"/>
          <w:sz w:val="22"/>
          <w:szCs w:val="22"/>
          <w:color w:val="auto"/>
          <w:vertAlign w:val="superscript"/>
        </w:rPr>
      </w:pPr>
    </w:p>
    <w:p>
      <w:pPr>
        <w:ind w:left="566" w:right="140" w:hanging="350"/>
        <w:spacing w:after="0" w:line="233" w:lineRule="auto"/>
        <w:tabs>
          <w:tab w:leader="none" w:pos="566" w:val="left"/>
        </w:tabs>
        <w:numPr>
          <w:ilvl w:val="1"/>
          <w:numId w:val="21"/>
        </w:numPr>
        <w:rPr>
          <w:rFonts w:ascii="Arial" w:cs="Arial" w:eastAsia="Arial" w:hAnsi="Arial"/>
          <w:sz w:val="22"/>
          <w:szCs w:val="22"/>
          <w:color w:val="auto"/>
          <w:vertAlign w:val="superscript"/>
        </w:rPr>
      </w:pPr>
      <w:r>
        <w:rPr>
          <w:rFonts w:ascii="Arial" w:cs="Arial" w:eastAsia="Arial" w:hAnsi="Arial"/>
          <w:sz w:val="16"/>
          <w:szCs w:val="16"/>
          <w:color w:val="auto"/>
        </w:rPr>
        <w:t>Continued strong alignment with shareholders by keeping an emphasis on performance-based equity for the CEO with an annual target LTIP award mix of 67% performance-based restricted stock units (PRSUs) and 33% time-vested restricted stock units (RSUs). The annual target LTIP awards for all other NEOs continue to be comprised of 50% PRSUs and 50% RSUs; and</w:t>
      </w:r>
    </w:p>
    <w:p>
      <w:pPr>
        <w:spacing w:after="0" w:line="82" w:lineRule="exact"/>
        <w:rPr>
          <w:rFonts w:ascii="Arial" w:cs="Arial" w:eastAsia="Arial" w:hAnsi="Arial"/>
          <w:sz w:val="22"/>
          <w:szCs w:val="22"/>
          <w:color w:val="auto"/>
          <w:vertAlign w:val="superscript"/>
        </w:rPr>
      </w:pPr>
    </w:p>
    <w:p>
      <w:pPr>
        <w:ind w:left="566" w:right="100" w:hanging="350"/>
        <w:spacing w:after="0" w:line="229" w:lineRule="auto"/>
        <w:tabs>
          <w:tab w:leader="none" w:pos="566" w:val="left"/>
        </w:tabs>
        <w:numPr>
          <w:ilvl w:val="1"/>
          <w:numId w:val="21"/>
        </w:numPr>
        <w:rPr>
          <w:rFonts w:ascii="Arial" w:cs="Arial" w:eastAsia="Arial" w:hAnsi="Arial"/>
          <w:sz w:val="22"/>
          <w:szCs w:val="22"/>
          <w:color w:val="auto"/>
          <w:vertAlign w:val="superscript"/>
        </w:rPr>
      </w:pPr>
      <w:r>
        <w:rPr>
          <w:rFonts w:ascii="Arial" w:cs="Arial" w:eastAsia="Arial" w:hAnsi="Arial"/>
          <w:sz w:val="16"/>
          <w:szCs w:val="16"/>
          <w:color w:val="auto"/>
        </w:rPr>
        <w:t xml:space="preserve">Certified that the NEOs earned 250.00% of their target PRSUs for the 2023-2025 performance cycle. This attainment is the combination of an average non-GAAP diluted EPS target attainment of 200.00% and a total shareholder return (TSR) multiplier of 1.25. </w:t>
      </w:r>
      <w:r>
        <w:rPr>
          <w:rFonts w:ascii="Arial" w:cs="Arial" w:eastAsia="Arial" w:hAnsi="Arial"/>
          <w:sz w:val="16"/>
          <w:szCs w:val="16"/>
          <w:i w:val="1"/>
          <w:iCs w:val="1"/>
          <w:color w:val="auto"/>
        </w:rPr>
        <w:t>See “Long-Term Incentives — The Long-Term Incentive Plan (LTIP)” in this CD&amp;A for details.</w:t>
      </w:r>
    </w:p>
    <w:p>
      <w:pPr>
        <w:spacing w:after="0" w:line="2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Best Compensation Practices &amp; Policies</w:t>
      </w:r>
    </w:p>
    <w:p>
      <w:pPr>
        <w:spacing w:after="0" w:line="77" w:lineRule="exact"/>
        <w:rPr>
          <w:sz w:val="20"/>
          <w:szCs w:val="20"/>
          <w:color w:val="auto"/>
        </w:rPr>
      </w:pPr>
    </w:p>
    <w:p>
      <w:pPr>
        <w:ind w:left="6" w:right="100"/>
        <w:spacing w:after="0" w:line="286" w:lineRule="auto"/>
        <w:rPr>
          <w:sz w:val="20"/>
          <w:szCs w:val="20"/>
          <w:color w:val="auto"/>
        </w:rPr>
      </w:pPr>
      <w:r>
        <w:rPr>
          <w:rFonts w:ascii="Arial" w:cs="Arial" w:eastAsia="Arial" w:hAnsi="Arial"/>
          <w:sz w:val="16"/>
          <w:szCs w:val="16"/>
          <w:color w:val="auto"/>
        </w:rPr>
        <w:t>We believe the Company’s practices and policies promote sound compensation governance and are in the best interests of our shareholders and executives:</w:t>
      </w:r>
    </w:p>
    <w:p>
      <w:pPr>
        <w:sectPr>
          <w:pgSz w:w="11900" w:h="16838" w:orient="portrait"/>
          <w:cols w:equalWidth="0" w:num="1">
            <w:col w:w="9186"/>
          </w:cols>
          <w:pgMar w:left="1354" w:top="114" w:right="1359" w:bottom="1440" w:gutter="0" w:footer="0" w:header="0"/>
          <w:type w:val="continuous"/>
        </w:sectPr>
      </w:pPr>
    </w:p>
    <w:p>
      <w:pPr>
        <w:spacing w:after="0" w:line="102" w:lineRule="exact"/>
        <w:rPr>
          <w:sz w:val="20"/>
          <w:szCs w:val="20"/>
          <w:color w:val="auto"/>
        </w:rPr>
      </w:pPr>
    </w:p>
    <w:p>
      <w:pPr>
        <w:ind w:left="106"/>
        <w:spacing w:after="0"/>
        <w:rPr>
          <w:sz w:val="20"/>
          <w:szCs w:val="20"/>
          <w:color w:val="auto"/>
        </w:rPr>
      </w:pPr>
      <w:r>
        <w:rPr>
          <w:rFonts w:ascii="Arial" w:cs="Arial" w:eastAsia="Arial" w:hAnsi="Arial"/>
          <w:sz w:val="16"/>
          <w:szCs w:val="16"/>
          <w:b w:val="1"/>
          <w:bCs w:val="1"/>
          <w:color w:val="0063A6"/>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28460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0" w:lineRule="exact"/>
        <w:rPr>
          <w:sz w:val="20"/>
          <w:szCs w:val="20"/>
          <w:color w:val="auto"/>
        </w:rPr>
      </w:pPr>
    </w:p>
    <w:p>
      <w:pPr>
        <w:ind w:left="406"/>
        <w:spacing w:after="0"/>
        <w:rPr>
          <w:sz w:val="20"/>
          <w:szCs w:val="20"/>
          <w:color w:val="auto"/>
        </w:rPr>
      </w:pPr>
      <w:r>
        <w:rPr>
          <w:rFonts w:ascii="Arial" w:cs="Arial" w:eastAsia="Arial" w:hAnsi="Arial"/>
          <w:sz w:val="16"/>
          <w:szCs w:val="16"/>
          <w:color w:val="auto"/>
        </w:rPr>
        <w:t>Heavy emphasis on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28460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-90170</wp:posOffset>
            </wp:positionV>
            <wp:extent cx="102870" cy="774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120" w:lineRule="exact"/>
        <w:rPr>
          <w:sz w:val="20"/>
          <w:szCs w:val="20"/>
          <w:color w:val="auto"/>
        </w:rPr>
      </w:pPr>
    </w:p>
    <w:p>
      <w:pPr>
        <w:ind w:left="406"/>
        <w:spacing w:after="0" w:line="286" w:lineRule="auto"/>
        <w:rPr>
          <w:sz w:val="20"/>
          <w:szCs w:val="20"/>
          <w:color w:val="auto"/>
        </w:rPr>
      </w:pPr>
      <w:r>
        <w:rPr>
          <w:rFonts w:ascii="Arial" w:cs="Arial" w:eastAsia="Arial" w:hAnsi="Arial"/>
          <w:sz w:val="16"/>
          <w:szCs w:val="16"/>
          <w:color w:val="auto"/>
        </w:rPr>
        <w:t>Significant portion of annual long-term incentives are performance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8460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-191770</wp:posOffset>
            </wp:positionV>
            <wp:extent cx="102870" cy="768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76835"/>
                    </a:xfrm>
                    <a:prstGeom prst="rect">
                      <a:avLst/>
                    </a:prstGeom>
                    <a:noFill/>
                  </pic:spPr>
                </pic:pic>
              </a:graphicData>
            </a:graphic>
          </wp:anchor>
        </w:drawing>
      </w:r>
    </w:p>
    <w:p>
      <w:pPr>
        <w:spacing w:after="0" w:line="55" w:lineRule="exact"/>
        <w:rPr>
          <w:sz w:val="20"/>
          <w:szCs w:val="20"/>
          <w:color w:val="auto"/>
        </w:rPr>
      </w:pPr>
    </w:p>
    <w:p>
      <w:pPr>
        <w:ind w:left="406" w:right="920"/>
        <w:spacing w:after="0" w:line="435" w:lineRule="auto"/>
        <w:rPr>
          <w:sz w:val="20"/>
          <w:szCs w:val="20"/>
          <w:color w:val="auto"/>
        </w:rPr>
      </w:pPr>
      <w:r>
        <w:rPr>
          <w:rFonts w:ascii="Arial" w:cs="Arial" w:eastAsia="Arial" w:hAnsi="Arial"/>
          <w:sz w:val="16"/>
          <w:szCs w:val="16"/>
          <w:color w:val="auto"/>
        </w:rPr>
        <w:t>Rigorous stock ownership guidelines Incentive Repayment (Clawback) Policy Independent compensation consultant Annual risk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-674370</wp:posOffset>
            </wp:positionV>
            <wp:extent cx="28460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-468630</wp:posOffset>
            </wp:positionV>
            <wp:extent cx="28460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-262890</wp:posOffset>
            </wp:positionV>
            <wp:extent cx="28460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28460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-820420</wp:posOffset>
            </wp:positionV>
            <wp:extent cx="102870" cy="77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7747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-614680</wp:posOffset>
            </wp:positionV>
            <wp:extent cx="102870" cy="768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7683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-408940</wp:posOffset>
            </wp:positionV>
            <wp:extent cx="102870" cy="77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7747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-203200</wp:posOffset>
            </wp:positionV>
            <wp:extent cx="102870" cy="768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5D6673"/>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“single trigger” change-in-control 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114935</wp:posOffset>
            </wp:positionV>
            <wp:extent cx="28117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tax gross-ups in our change-in-control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option backdating or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hedging or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special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20955</wp:posOffset>
            </wp:positionV>
            <wp:extent cx="28117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166370</wp:posOffset>
            </wp:positionV>
            <wp:extent cx="58293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46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4186" w:space="640"/>
            <w:col w:w="4360"/>
          </w:cols>
          <w:pgMar w:left="1354" w:top="114" w:right="1359" w:bottom="1440" w:gutter="0" w:footer="0" w:header="0"/>
          <w:type w:val="continuous"/>
        </w:sectPr>
      </w:pPr>
    </w:p>
    <w:p>
      <w:pPr>
        <w:spacing w:after="0" w:line="5"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31" w:name="page32"/>
    <w:bookmarkEnd w:id="3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2025 Say-On-Pay &amp; Shareholder Engagement</w:t>
      </w:r>
    </w:p>
    <w:p>
      <w:pPr>
        <w:spacing w:after="0" w:line="77" w:lineRule="exact"/>
        <w:rPr>
          <w:sz w:val="20"/>
          <w:szCs w:val="20"/>
          <w:color w:val="auto"/>
        </w:rPr>
      </w:pPr>
    </w:p>
    <w:p>
      <w:pPr>
        <w:ind w:left="920" w:right="1080"/>
        <w:spacing w:after="0" w:line="266" w:lineRule="auto"/>
        <w:rPr>
          <w:sz w:val="20"/>
          <w:szCs w:val="20"/>
          <w:color w:val="auto"/>
        </w:rPr>
      </w:pPr>
      <w:r>
        <w:rPr>
          <w:rFonts w:ascii="Arial" w:cs="Arial" w:eastAsia="Arial" w:hAnsi="Arial"/>
          <w:sz w:val="16"/>
          <w:szCs w:val="16"/>
          <w:color w:val="auto"/>
        </w:rPr>
        <w:t>Each year, we carefully consider the results of our shareholder say-on-pay vote from the preceding year. We also consider the feedback we receive from our major shareholders, which is solicited by the Board Chair and the Chair of the Compensation Committee, either in person or via telephone.</w:t>
      </w:r>
    </w:p>
    <w:p>
      <w:pPr>
        <w:spacing w:after="0" w:line="144" w:lineRule="exact"/>
        <w:rPr>
          <w:sz w:val="20"/>
          <w:szCs w:val="20"/>
          <w:color w:val="auto"/>
        </w:rPr>
      </w:pPr>
    </w:p>
    <w:p>
      <w:pPr>
        <w:ind w:left="920" w:right="1040"/>
        <w:spacing w:after="0" w:line="251" w:lineRule="auto"/>
        <w:rPr>
          <w:sz w:val="20"/>
          <w:szCs w:val="20"/>
          <w:color w:val="auto"/>
        </w:rPr>
      </w:pPr>
      <w:r>
        <w:rPr>
          <w:rFonts w:ascii="Arial" w:cs="Arial" w:eastAsia="Arial" w:hAnsi="Arial"/>
          <w:sz w:val="16"/>
          <w:szCs w:val="16"/>
          <w:color w:val="auto"/>
        </w:rPr>
        <w:t>In 2025, approximately 97% of the votes cast supported our executive compensation decisions. The Board regularly conducts proactive outreach meetings with the Company’s largest shareholders. During 2025, the Company offered meetings to shareholders representing in excess of 69% of the shares outstanding to invite them to have discussions with our directors on topics including Company strategy and performance, governance, and executive compensation. Of those to whom we reached out, investors representing about a quarter of shares outstanding accepted our offer to meet. During these meetings, our shareholders continued to be supportive of our approach to executive compensation, and we are committed to keeping our program aligned with our business strategy and investor expectations. Specifically, our shareholders believe performance measures should primarily focus on profitability and revenue growth, as our IIP does, and were supportive of the non-financial goals component to add accountability for driving results linked to the Company’s strategic goals.</w:t>
      </w:r>
    </w:p>
    <w:p>
      <w:pPr>
        <w:spacing w:after="0" w:line="145" w:lineRule="exact"/>
        <w:rPr>
          <w:sz w:val="20"/>
          <w:szCs w:val="20"/>
          <w:color w:val="auto"/>
        </w:rPr>
      </w:pPr>
    </w:p>
    <w:p>
      <w:pPr>
        <w:ind w:left="920" w:right="1500"/>
        <w:spacing w:after="0" w:line="286" w:lineRule="auto"/>
        <w:rPr>
          <w:sz w:val="20"/>
          <w:szCs w:val="20"/>
          <w:color w:val="auto"/>
        </w:rPr>
      </w:pPr>
      <w:r>
        <w:rPr>
          <w:rFonts w:ascii="Arial" w:cs="Arial" w:eastAsia="Arial" w:hAnsi="Arial"/>
          <w:sz w:val="16"/>
          <w:szCs w:val="16"/>
          <w:color w:val="auto"/>
        </w:rPr>
        <w:t>We will continue to keep an open dialogue with our shareholders to help ensure that we have a regular pulse on investor perspectives.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063A6"/>
        </w:rPr>
        <w:t>What Guides Our Program</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Our Compensation Philosophy &amp; Objectives</w:t>
      </w:r>
    </w:p>
    <w:p>
      <w:pPr>
        <w:spacing w:after="0" w:line="90" w:lineRule="exact"/>
        <w:rPr>
          <w:sz w:val="20"/>
          <w:szCs w:val="20"/>
          <w:color w:val="auto"/>
        </w:rPr>
      </w:pPr>
    </w:p>
    <w:p>
      <w:pPr>
        <w:jc w:val="both"/>
        <w:ind w:left="920" w:right="1360"/>
        <w:spacing w:after="0" w:line="266" w:lineRule="auto"/>
        <w:rPr>
          <w:sz w:val="20"/>
          <w:szCs w:val="20"/>
          <w:color w:val="auto"/>
        </w:rPr>
      </w:pPr>
      <w:r>
        <w:rPr>
          <w:rFonts w:ascii="Arial" w:cs="Arial" w:eastAsia="Arial" w:hAnsi="Arial"/>
          <w:sz w:val="16"/>
          <w:szCs w:val="16"/>
          <w:color w:val="auto"/>
        </w:rPr>
        <w:t>The philosophy underlying our executive compensation program is to employ the best leaders in our industry to ensure we execute on our business goals, promote both short-and long-term profitable growth of the Company, and create long-term sustainable shareholder value, all grounded in the following guiding principles: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Pay for Performance</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A significant portion of an executive’s total compensation should be variable (“at-risk”) and</w:t>
            </w:r>
          </w:p>
        </w:tc>
        <w:tc>
          <w:tcPr>
            <w:tcW w:w="920" w:type="dxa"/>
            <w:vAlign w:val="bottom"/>
          </w:tcPr>
          <w:p>
            <w:pPr>
              <w:spacing w:after="0"/>
              <w:rPr>
                <w:sz w:val="19"/>
                <w:szCs w:val="19"/>
                <w:color w:val="auto"/>
              </w:rPr>
            </w:pPr>
          </w:p>
        </w:tc>
      </w:tr>
      <w:tr>
        <w:trPr>
          <w:trHeight w:val="243"/>
        </w:trPr>
        <w:tc>
          <w:tcPr>
            <w:tcW w:w="9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dependent upon the attainment of certain specific and measurable annual and long-term</w:t>
            </w:r>
          </w:p>
        </w:tc>
        <w:tc>
          <w:tcPr>
            <w:tcW w:w="920" w:type="dxa"/>
            <w:vAlign w:val="bottom"/>
          </w:tcPr>
          <w:p>
            <w:pPr>
              <w:spacing w:after="0"/>
              <w:rPr>
                <w:sz w:val="21"/>
                <w:szCs w:val="21"/>
                <w:color w:val="auto"/>
              </w:rPr>
            </w:pPr>
          </w:p>
        </w:tc>
      </w:tr>
      <w:tr>
        <w:trPr>
          <w:trHeight w:val="230"/>
        </w:trPr>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financial and strategic performance objectives.</w:t>
            </w:r>
          </w:p>
        </w:tc>
        <w:tc>
          <w:tcPr>
            <w:tcW w:w="27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79"/>
        </w:trPr>
        <w:tc>
          <w:tcPr>
            <w:tcW w:w="92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Shareholder Alignment</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Executives should be compensated through pay elements (annual and long-term incentives)</w:t>
            </w:r>
          </w:p>
        </w:tc>
        <w:tc>
          <w:tcPr>
            <w:tcW w:w="920" w:type="dxa"/>
            <w:vAlign w:val="bottom"/>
          </w:tcPr>
          <w:p>
            <w:pPr>
              <w:spacing w:after="0"/>
              <w:rPr>
                <w:sz w:val="24"/>
                <w:szCs w:val="24"/>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designed to align executive compensation to the creation of long-term value for our</w:t>
            </w:r>
          </w:p>
        </w:tc>
        <w:tc>
          <w:tcPr>
            <w:tcW w:w="920" w:type="dxa"/>
            <w:vAlign w:val="bottom"/>
          </w:tcPr>
          <w:p>
            <w:pPr>
              <w:spacing w:after="0"/>
              <w:rPr>
                <w:sz w:val="16"/>
                <w:szCs w:val="16"/>
                <w:color w:val="auto"/>
              </w:rPr>
            </w:pPr>
          </w:p>
        </w:tc>
      </w:tr>
      <w:tr>
        <w:trPr>
          <w:trHeight w:val="215"/>
        </w:trPr>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shareholders.</w:t>
            </w: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52"/>
        </w:trPr>
        <w:tc>
          <w:tcPr>
            <w:tcW w:w="92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Competitiveness</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Target compensation should be set at the median to ensure that compensation is at a level</w:t>
            </w:r>
          </w:p>
        </w:tc>
        <w:tc>
          <w:tcPr>
            <w:tcW w:w="920" w:type="dxa"/>
            <w:vAlign w:val="bottom"/>
          </w:tcPr>
          <w:p>
            <w:pPr>
              <w:spacing w:after="0"/>
              <w:rPr>
                <w:sz w:val="24"/>
                <w:szCs w:val="24"/>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that is competitive with that being offered to individuals holding comparable positions at other</w:t>
            </w:r>
          </w:p>
        </w:tc>
        <w:tc>
          <w:tcPr>
            <w:tcW w:w="920" w:type="dxa"/>
            <w:vAlign w:val="bottom"/>
          </w:tcPr>
          <w:p>
            <w:pPr>
              <w:spacing w:after="0"/>
              <w:rPr>
                <w:sz w:val="16"/>
                <w:szCs w:val="16"/>
                <w:color w:val="auto"/>
              </w:rPr>
            </w:pPr>
          </w:p>
        </w:tc>
      </w:tr>
      <w:tr>
        <w:trPr>
          <w:trHeight w:val="215"/>
        </w:trPr>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companies with which we compete for business and leadership talent.</w:t>
            </w:r>
          </w:p>
        </w:tc>
        <w:tc>
          <w:tcPr>
            <w:tcW w:w="920" w:type="dxa"/>
            <w:vAlign w:val="bottom"/>
          </w:tcPr>
          <w:p>
            <w:pPr>
              <w:spacing w:after="0"/>
              <w:rPr>
                <w:sz w:val="18"/>
                <w:szCs w:val="18"/>
                <w:color w:val="auto"/>
              </w:rPr>
            </w:pPr>
          </w:p>
        </w:tc>
      </w:tr>
      <w:tr>
        <w:trPr>
          <w:trHeight w:val="352"/>
        </w:trPr>
        <w:tc>
          <w:tcPr>
            <w:tcW w:w="92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Attraction and Retention</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The executive compensation program should enable the Company to attract highly talented</w:t>
            </w:r>
          </w:p>
        </w:tc>
        <w:tc>
          <w:tcPr>
            <w:tcW w:w="920" w:type="dxa"/>
            <w:vAlign w:val="bottom"/>
          </w:tcPr>
          <w:p>
            <w:pPr>
              <w:spacing w:after="0"/>
              <w:rPr>
                <w:sz w:val="24"/>
                <w:szCs w:val="24"/>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people with exceptional leadership capabilities and to retain high-caliber talent. When</w:t>
            </w: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required, the Company may adjust individual elements of compensation to accomplish this</w:t>
            </w:r>
          </w:p>
        </w:tc>
        <w:tc>
          <w:tcPr>
            <w:tcW w:w="920" w:type="dxa"/>
            <w:vAlign w:val="bottom"/>
          </w:tcPr>
          <w:p>
            <w:pPr>
              <w:spacing w:after="0"/>
              <w:rPr>
                <w:sz w:val="16"/>
                <w:szCs w:val="16"/>
                <w:color w:val="auto"/>
              </w:rPr>
            </w:pPr>
          </w:p>
        </w:tc>
      </w:tr>
      <w:tr>
        <w:trPr>
          <w:trHeight w:val="215"/>
        </w:trPr>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goal.</w:t>
            </w: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920" w:type="dxa"/>
            <w:vAlign w:val="bottom"/>
          </w:tcPr>
          <w:p>
            <w:pPr>
              <w:spacing w:after="0"/>
              <w:rPr>
                <w:sz w:val="18"/>
                <w:szCs w:val="18"/>
                <w:color w:val="auto"/>
              </w:rPr>
            </w:pPr>
          </w:p>
        </w:tc>
        <w:tc>
          <w:tcPr>
            <w:tcW w:w="2220" w:type="dxa"/>
            <w:vAlign w:val="bottom"/>
            <w:tcBorders>
              <w:bottom w:val="single" w:sz="8" w:color="D02A2E"/>
            </w:tcBorders>
          </w:tcPr>
          <w:p>
            <w:pPr>
              <w:spacing w:after="0"/>
              <w:rPr>
                <w:sz w:val="18"/>
                <w:szCs w:val="18"/>
                <w:color w:val="auto"/>
              </w:rPr>
            </w:pPr>
          </w:p>
        </w:tc>
        <w:tc>
          <w:tcPr>
            <w:tcW w:w="4240" w:type="dxa"/>
            <w:vAlign w:val="bottom"/>
            <w:tcBorders>
              <w:bottom w:val="single" w:sz="8" w:color="D02A2E"/>
            </w:tcBorders>
          </w:tcPr>
          <w:p>
            <w:pPr>
              <w:spacing w:after="0"/>
              <w:rPr>
                <w:sz w:val="18"/>
                <w:szCs w:val="18"/>
                <w:color w:val="auto"/>
              </w:rPr>
            </w:pPr>
          </w:p>
        </w:tc>
        <w:tc>
          <w:tcPr>
            <w:tcW w:w="2720" w:type="dxa"/>
            <w:vAlign w:val="bottom"/>
            <w:tcBorders>
              <w:bottom w:val="single" w:sz="8" w:color="D02A2E"/>
            </w:tcBorders>
          </w:tcPr>
          <w:p>
            <w:pPr>
              <w:spacing w:after="0"/>
              <w:rPr>
                <w:sz w:val="18"/>
                <w:szCs w:val="18"/>
                <w:color w:val="auto"/>
              </w:rPr>
            </w:pPr>
          </w:p>
        </w:tc>
        <w:tc>
          <w:tcPr>
            <w:tcW w:w="920" w:type="dxa"/>
            <w:vAlign w:val="bottom"/>
          </w:tcPr>
          <w:p>
            <w:pPr>
              <w:spacing w:after="0"/>
              <w:rPr>
                <w:sz w:val="18"/>
                <w:szCs w:val="18"/>
                <w:color w:val="auto"/>
              </w:rPr>
            </w:pPr>
          </w:p>
        </w:tc>
      </w:tr>
      <w:tr>
        <w:trPr>
          <w:trHeight w:val="316"/>
        </w:trPr>
        <w:tc>
          <w:tcPr>
            <w:tcW w:w="92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Arial" w:cs="Arial" w:eastAsia="Arial" w:hAnsi="Arial"/>
                <w:sz w:val="16"/>
                <w:szCs w:val="16"/>
                <w:color w:val="5D6673"/>
              </w:rPr>
              <w:t>28</w:t>
            </w:r>
          </w:p>
        </w:tc>
        <w:tc>
          <w:tcPr>
            <w:tcW w:w="4240" w:type="dxa"/>
            <w:vAlign w:val="bottom"/>
          </w:tcPr>
          <w:p>
            <w:pPr>
              <w:ind w:left="840"/>
              <w:spacing w:after="0"/>
              <w:rPr>
                <w:sz w:val="20"/>
                <w:szCs w:val="20"/>
                <w:color w:val="auto"/>
              </w:rPr>
            </w:pPr>
            <w:r>
              <w:rPr>
                <w:rFonts w:ascii="Arial" w:cs="Arial" w:eastAsia="Arial" w:hAnsi="Arial"/>
                <w:sz w:val="16"/>
                <w:szCs w:val="16"/>
                <w:color w:val="5D6673"/>
              </w:rPr>
              <w:t>                     ITRON, INC.</w:t>
            </w:r>
          </w:p>
        </w:tc>
        <w:tc>
          <w:tcPr>
            <w:tcW w:w="2720" w:type="dxa"/>
            <w:vAlign w:val="bottom"/>
          </w:tcPr>
          <w:p>
            <w:pPr>
              <w:ind w:left="700"/>
              <w:spacing w:after="0"/>
              <w:rPr>
                <w:sz w:val="20"/>
                <w:szCs w:val="20"/>
                <w:color w:val="auto"/>
              </w:rPr>
            </w:pPr>
            <w:r>
              <w:rPr>
                <w:rFonts w:ascii="Arial" w:cs="Arial" w:eastAsia="Arial" w:hAnsi="Arial"/>
                <w:sz w:val="16"/>
                <w:szCs w:val="16"/>
                <w:color w:val="5D6673"/>
              </w:rPr>
              <w:t>2026 PROXY STATEMENT</w:t>
            </w:r>
          </w:p>
        </w:tc>
        <w:tc>
          <w:tcPr>
            <w:tcW w:w="920" w:type="dxa"/>
            <w:vAlign w:val="bottom"/>
          </w:tcPr>
          <w:p>
            <w:pPr>
              <w:spacing w:after="0"/>
              <w:rPr>
                <w:sz w:val="24"/>
                <w:szCs w:val="24"/>
                <w:color w:val="auto"/>
              </w:rPr>
            </w:pPr>
          </w:p>
        </w:tc>
      </w:tr>
      <w:tr>
        <w:trPr>
          <w:trHeight w:val="238"/>
        </w:trPr>
        <w:tc>
          <w:tcPr>
            <w:tcW w:w="9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32" w:name="page33"/>
    <w:bookmarkEnd w:id="3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0063A6"/>
              </w:rPr>
              <w:t>Compensation Discussion and Analysis</w:t>
            </w:r>
          </w:p>
        </w:tc>
        <w:tc>
          <w:tcPr>
            <w:tcW w:w="0" w:type="dxa"/>
            <w:vAlign w:val="bottom"/>
          </w:tcPr>
          <w:p>
            <w:pPr>
              <w:spacing w:after="0"/>
              <w:rPr>
                <w:sz w:val="1"/>
                <w:szCs w:val="1"/>
                <w:color w:val="auto"/>
              </w:rPr>
            </w:pPr>
          </w:p>
        </w:tc>
      </w:tr>
      <w:tr>
        <w:trPr>
          <w:trHeight w:val="366"/>
        </w:trPr>
        <w:tc>
          <w:tcPr>
            <w:tcW w:w="6380" w:type="dxa"/>
            <w:vAlign w:val="bottom"/>
            <w:gridSpan w:val="4"/>
          </w:tcPr>
          <w:p>
            <w:pPr>
              <w:spacing w:after="0"/>
              <w:rPr>
                <w:sz w:val="20"/>
                <w:szCs w:val="20"/>
                <w:color w:val="auto"/>
              </w:rPr>
            </w:pPr>
            <w:r>
              <w:rPr>
                <w:rFonts w:ascii="Arial" w:cs="Arial" w:eastAsia="Arial" w:hAnsi="Arial"/>
                <w:sz w:val="20"/>
                <w:szCs w:val="20"/>
                <w:b w:val="1"/>
                <w:bCs w:val="1"/>
                <w:color w:val="auto"/>
              </w:rPr>
              <w:t>The Principal Elements of Pay: Total Direct Compensation (TDC)</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380" w:type="dxa"/>
            <w:vAlign w:val="bottom"/>
            <w:gridSpan w:val="4"/>
          </w:tcPr>
          <w:p>
            <w:pPr>
              <w:spacing w:after="0"/>
              <w:rPr>
                <w:sz w:val="20"/>
                <w:szCs w:val="20"/>
                <w:color w:val="auto"/>
              </w:rPr>
            </w:pPr>
            <w:r>
              <w:rPr>
                <w:rFonts w:ascii="Arial" w:cs="Arial" w:eastAsia="Arial" w:hAnsi="Arial"/>
                <w:sz w:val="16"/>
                <w:szCs w:val="16"/>
                <w:color w:val="auto"/>
              </w:rPr>
              <w:t>Our compensation philosophy is supported by the following principal pay elements:</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3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Pay Element</w:t>
            </w:r>
          </w:p>
        </w:tc>
        <w:tc>
          <w:tcPr>
            <w:tcW w:w="1480" w:type="dxa"/>
            <w:vAlign w:val="bottom"/>
            <w:tcBorders>
              <w:bottom w:val="single" w:sz="8" w:color="0063A6"/>
            </w:tcBorders>
          </w:tcPr>
          <w:p>
            <w:pPr>
              <w:ind w:left="280"/>
              <w:spacing w:after="0"/>
              <w:rPr>
                <w:sz w:val="20"/>
                <w:szCs w:val="20"/>
                <w:color w:val="auto"/>
              </w:rPr>
            </w:pPr>
            <w:r>
              <w:rPr>
                <w:rFonts w:ascii="Arial" w:cs="Arial" w:eastAsia="Arial" w:hAnsi="Arial"/>
                <w:sz w:val="14"/>
                <w:szCs w:val="14"/>
                <w:b w:val="1"/>
                <w:bCs w:val="1"/>
                <w:color w:val="auto"/>
              </w:rPr>
              <w:t>How It’s Paid</w:t>
            </w:r>
          </w:p>
        </w:tc>
        <w:tc>
          <w:tcPr>
            <w:tcW w:w="2760" w:type="dxa"/>
            <w:vAlign w:val="bottom"/>
            <w:tcBorders>
              <w:bottom w:val="single" w:sz="8" w:color="0063A6"/>
            </w:tcBorders>
            <w:shd w:val="clear" w:color="auto" w:fill="0063A6"/>
          </w:tcPr>
          <w:p>
            <w:pPr>
              <w:ind w:left="100"/>
              <w:spacing w:after="0"/>
              <w:rPr>
                <w:sz w:val="20"/>
                <w:szCs w:val="20"/>
                <w:color w:val="auto"/>
              </w:rPr>
            </w:pPr>
            <w:r>
              <w:rPr>
                <w:rFonts w:ascii="Arial" w:cs="Arial" w:eastAsia="Arial" w:hAnsi="Arial"/>
                <w:sz w:val="14"/>
                <w:szCs w:val="14"/>
                <w:b w:val="1"/>
                <w:bCs w:val="1"/>
                <w:color w:val="FFFFFF"/>
              </w:rPr>
              <w:t>What It Does</w:t>
            </w:r>
          </w:p>
        </w:tc>
        <w:tc>
          <w:tcPr>
            <w:tcW w:w="3440" w:type="dxa"/>
            <w:vAlign w:val="bottom"/>
            <w:tcBorders>
              <w:bottom w:val="single" w:sz="8" w:color="0063A6"/>
            </w:tcBorders>
            <w:gridSpan w:val="2"/>
            <w:shd w:val="clear" w:color="auto" w:fill="0063A6"/>
          </w:tcPr>
          <w:p>
            <w:pPr>
              <w:ind w:left="120"/>
              <w:spacing w:after="0"/>
              <w:rPr>
                <w:sz w:val="20"/>
                <w:szCs w:val="20"/>
                <w:color w:val="auto"/>
              </w:rPr>
            </w:pPr>
            <w:r>
              <w:rPr>
                <w:rFonts w:ascii="Arial" w:cs="Arial" w:eastAsia="Arial" w:hAnsi="Arial"/>
                <w:sz w:val="14"/>
                <w:szCs w:val="14"/>
                <w:b w:val="1"/>
                <w:bCs w:val="1"/>
                <w:color w:val="FFFFFF"/>
              </w:rPr>
              <w:t>How It Links to Performance</w:t>
            </w:r>
          </w:p>
        </w:tc>
        <w:tc>
          <w:tcPr>
            <w:tcW w:w="0" w:type="dxa"/>
            <w:vAlign w:val="bottom"/>
          </w:tcPr>
          <w:p>
            <w:pPr>
              <w:spacing w:after="0"/>
              <w:rPr>
                <w:sz w:val="1"/>
                <w:szCs w:val="1"/>
                <w:color w:val="auto"/>
              </w:rPr>
            </w:pPr>
          </w:p>
        </w:tc>
      </w:tr>
      <w:tr>
        <w:trPr>
          <w:trHeight w:val="202"/>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Base Salary</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Cash</w:t>
            </w:r>
          </w:p>
        </w:tc>
        <w:tc>
          <w:tcPr>
            <w:tcW w:w="2760" w:type="dxa"/>
            <w:vAlign w:val="bottom"/>
          </w:tcPr>
          <w:p>
            <w:pPr>
              <w:ind w:left="100"/>
              <w:spacing w:after="0"/>
              <w:rPr>
                <w:sz w:val="20"/>
                <w:szCs w:val="20"/>
                <w:color w:val="auto"/>
              </w:rPr>
            </w:pPr>
            <w:r>
              <w:rPr>
                <w:rFonts w:ascii="Arial" w:cs="Arial" w:eastAsia="Arial" w:hAnsi="Arial"/>
                <w:sz w:val="16"/>
                <w:szCs w:val="16"/>
                <w:color w:val="auto"/>
              </w:rPr>
              <w:t>Provides a competitive fixed rate of</w:t>
            </w: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Based on job scope, level of responsibilities,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(Fixed)</w:t>
            </w:r>
          </w:p>
        </w:tc>
        <w:tc>
          <w:tcPr>
            <w:tcW w:w="2760" w:type="dxa"/>
            <w:vAlign w:val="bottom"/>
          </w:tcPr>
          <w:p>
            <w:pPr>
              <w:ind w:left="100"/>
              <w:spacing w:after="0"/>
              <w:rPr>
                <w:sz w:val="20"/>
                <w:szCs w:val="20"/>
                <w:color w:val="auto"/>
              </w:rPr>
            </w:pPr>
            <w:r>
              <w:rPr>
                <w:rFonts w:ascii="Arial" w:cs="Arial" w:eastAsia="Arial" w:hAnsi="Arial"/>
                <w:sz w:val="16"/>
                <w:szCs w:val="16"/>
                <w:color w:val="auto"/>
              </w:rPr>
              <w:t>pay relative to similar positions in</w:t>
            </w: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individual performance, experience, and</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the market for performing core job</w:t>
            </w: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market levels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duties, and enables the Company</w:t>
            </w:r>
          </w:p>
        </w:tc>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to attract and retain critical</w:t>
            </w:r>
          </w:p>
        </w:tc>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00" w:type="dxa"/>
            <w:vAlign w:val="bottom"/>
            <w:tcBorders>
              <w:bottom w:val="single" w:sz="8" w:color="5D6673"/>
            </w:tcBorders>
          </w:tcPr>
          <w:p>
            <w:pPr>
              <w:spacing w:after="0"/>
              <w:rPr>
                <w:sz w:val="19"/>
                <w:szCs w:val="19"/>
                <w:color w:val="auto"/>
              </w:rPr>
            </w:pPr>
          </w:p>
        </w:tc>
        <w:tc>
          <w:tcPr>
            <w:tcW w:w="1480" w:type="dxa"/>
            <w:vAlign w:val="bottom"/>
            <w:tcBorders>
              <w:bottom w:val="single" w:sz="8" w:color="5D6673"/>
            </w:tcBorders>
          </w:tcPr>
          <w:p>
            <w:pPr>
              <w:spacing w:after="0"/>
              <w:rPr>
                <w:sz w:val="19"/>
                <w:szCs w:val="19"/>
                <w:color w:val="auto"/>
              </w:rPr>
            </w:pPr>
          </w:p>
        </w:tc>
        <w:tc>
          <w:tcPr>
            <w:tcW w:w="276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executive talent</w:t>
            </w:r>
          </w:p>
        </w:tc>
        <w:tc>
          <w:tcPr>
            <w:tcW w:w="640" w:type="dxa"/>
            <w:vAlign w:val="bottom"/>
            <w:tcBorders>
              <w:bottom w:val="single" w:sz="8" w:color="5D6673"/>
            </w:tcBorders>
          </w:tcPr>
          <w:p>
            <w:pPr>
              <w:spacing w:after="0"/>
              <w:rPr>
                <w:sz w:val="19"/>
                <w:szCs w:val="19"/>
                <w:color w:val="auto"/>
              </w:rPr>
            </w:pPr>
          </w:p>
        </w:tc>
        <w:tc>
          <w:tcPr>
            <w:tcW w:w="2800" w:type="dxa"/>
            <w:vAlign w:val="bottom"/>
            <w:tcBorders>
              <w:bottom w:val="single" w:sz="8" w:color="5D6673"/>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Itron Incentive</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Cash</w:t>
            </w:r>
          </w:p>
        </w:tc>
        <w:tc>
          <w:tcPr>
            <w:tcW w:w="2760" w:type="dxa"/>
            <w:vAlign w:val="bottom"/>
          </w:tcPr>
          <w:p>
            <w:pPr>
              <w:ind w:left="100"/>
              <w:spacing w:after="0"/>
              <w:rPr>
                <w:sz w:val="20"/>
                <w:szCs w:val="20"/>
                <w:color w:val="auto"/>
              </w:rPr>
            </w:pPr>
            <w:r>
              <w:rPr>
                <w:rFonts w:ascii="Arial" w:cs="Arial" w:eastAsia="Arial" w:hAnsi="Arial"/>
                <w:sz w:val="16"/>
                <w:szCs w:val="16"/>
                <w:color w:val="auto"/>
              </w:rPr>
              <w:t>Focuses executives on achieving</w:t>
            </w:r>
          </w:p>
        </w:tc>
        <w:tc>
          <w:tcPr>
            <w:tcW w:w="3440" w:type="dxa"/>
            <w:vAlign w:val="bottom"/>
            <w:gridSpan w:val="2"/>
          </w:tcPr>
          <w:p>
            <w:pPr>
              <w:ind w:left="12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Financial metrics: Adjusted EBITDA and</w:t>
            </w: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Plan</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(Variable)</w:t>
            </w:r>
          </w:p>
        </w:tc>
        <w:tc>
          <w:tcPr>
            <w:tcW w:w="2760" w:type="dxa"/>
            <w:vAlign w:val="bottom"/>
          </w:tcPr>
          <w:p>
            <w:pPr>
              <w:ind w:left="100"/>
              <w:spacing w:after="0"/>
              <w:rPr>
                <w:sz w:val="20"/>
                <w:szCs w:val="20"/>
                <w:color w:val="auto"/>
              </w:rPr>
            </w:pPr>
            <w:r>
              <w:rPr>
                <w:rFonts w:ascii="Arial" w:cs="Arial" w:eastAsia="Arial" w:hAnsi="Arial"/>
                <w:sz w:val="16"/>
                <w:szCs w:val="16"/>
                <w:color w:val="auto"/>
              </w:rPr>
              <w:t>annual financial and strategic goals</w:t>
            </w:r>
          </w:p>
        </w:tc>
        <w:tc>
          <w:tcPr>
            <w:tcW w:w="3440" w:type="dxa"/>
            <w:vAlign w:val="bottom"/>
            <w:gridSpan w:val="2"/>
          </w:tcPr>
          <w:p>
            <w:pPr>
              <w:ind w:left="46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(IIP)</w:t>
            </w: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that drive long-term shareholder</w:t>
            </w:r>
          </w:p>
        </w:tc>
        <w:tc>
          <w:tcPr>
            <w:tcW w:w="640" w:type="dxa"/>
            <w:vAlign w:val="bottom"/>
          </w:tcPr>
          <w:p>
            <w:pPr>
              <w:ind w:left="460"/>
              <w:spacing w:after="0"/>
              <w:rPr>
                <w:sz w:val="20"/>
                <w:szCs w:val="20"/>
                <w:color w:val="auto"/>
              </w:rPr>
            </w:pPr>
            <w:r>
              <w:rPr>
                <w:rFonts w:ascii="Arial" w:cs="Arial" w:eastAsia="Arial" w:hAnsi="Arial"/>
                <w:sz w:val="11"/>
                <w:szCs w:val="11"/>
                <w:color w:val="auto"/>
              </w:rPr>
              <w:t>○</w:t>
            </w:r>
          </w:p>
        </w:tc>
        <w:tc>
          <w:tcPr>
            <w:tcW w:w="2800" w:type="dxa"/>
            <w:vAlign w:val="bottom"/>
            <w:vMerge w:val="restart"/>
          </w:tcPr>
          <w:p>
            <w:pPr>
              <w:ind w:left="140"/>
              <w:spacing w:after="0"/>
              <w:rPr>
                <w:sz w:val="20"/>
                <w:szCs w:val="20"/>
                <w:color w:val="auto"/>
              </w:rPr>
            </w:pPr>
            <w:r>
              <w:rPr>
                <w:rFonts w:ascii="Arial" w:cs="Arial" w:eastAsia="Arial" w:hAnsi="Arial"/>
                <w:sz w:val="16"/>
                <w:szCs w:val="16"/>
                <w:color w:val="auto"/>
              </w:rPr>
              <w:t>Payouts: 0% to 150% of target</w:t>
            </w: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760" w:type="dxa"/>
            <w:vAlign w:val="bottom"/>
            <w:vMerge w:val="restart"/>
          </w:tcPr>
          <w:p>
            <w:pPr>
              <w:ind w:left="100"/>
              <w:spacing w:after="0"/>
              <w:rPr>
                <w:sz w:val="20"/>
                <w:szCs w:val="20"/>
                <w:color w:val="auto"/>
              </w:rPr>
            </w:pPr>
            <w:r>
              <w:rPr>
                <w:rFonts w:ascii="Arial" w:cs="Arial" w:eastAsia="Arial" w:hAnsi="Arial"/>
                <w:sz w:val="16"/>
                <w:szCs w:val="16"/>
                <w:color w:val="auto"/>
              </w:rPr>
              <w:t>value</w:t>
            </w:r>
          </w:p>
        </w:tc>
        <w:tc>
          <w:tcPr>
            <w:tcW w:w="64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5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800" w:type="dxa"/>
            <w:vAlign w:val="bottom"/>
            <w:vMerge w:val="restart"/>
          </w:tcPr>
          <w:p>
            <w:pPr>
              <w:ind w:left="140"/>
              <w:spacing w:after="0"/>
              <w:rPr>
                <w:sz w:val="20"/>
                <w:szCs w:val="20"/>
                <w:color w:val="auto"/>
              </w:rPr>
            </w:pPr>
            <w:r>
              <w:rPr>
                <w:rFonts w:ascii="Arial" w:cs="Arial" w:eastAsia="Arial" w:hAnsi="Arial"/>
                <w:sz w:val="16"/>
                <w:szCs w:val="16"/>
                <w:color w:val="auto"/>
              </w:rPr>
              <w:t>based on financial performance</w:t>
            </w:r>
          </w:p>
        </w:tc>
        <w:tc>
          <w:tcPr>
            <w:tcW w:w="0" w:type="dxa"/>
            <w:vAlign w:val="bottom"/>
          </w:tcPr>
          <w:p>
            <w:pPr>
              <w:spacing w:after="0"/>
              <w:rPr>
                <w:sz w:val="1"/>
                <w:szCs w:val="1"/>
                <w:color w:val="auto"/>
              </w:rPr>
            </w:pPr>
          </w:p>
        </w:tc>
      </w:tr>
      <w:tr>
        <w:trPr>
          <w:trHeight w:val="55"/>
        </w:trPr>
        <w:tc>
          <w:tcPr>
            <w:tcW w:w="15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attainment against pre-determined</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goals, subject to the achievement</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of a threshold Adjusted EBITDA</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goal</w:t>
            </w:r>
          </w:p>
        </w:tc>
        <w:tc>
          <w:tcPr>
            <w:tcW w:w="0" w:type="dxa"/>
            <w:vAlign w:val="bottom"/>
          </w:tcPr>
          <w:p>
            <w:pPr>
              <w:spacing w:after="0"/>
              <w:rPr>
                <w:sz w:val="1"/>
                <w:szCs w:val="1"/>
                <w:color w:val="auto"/>
              </w:rPr>
            </w:pPr>
          </w:p>
        </w:tc>
      </w:tr>
      <w:tr>
        <w:trPr>
          <w:trHeight w:val="244"/>
        </w:trPr>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440" w:type="dxa"/>
            <w:vAlign w:val="bottom"/>
            <w:gridSpan w:val="2"/>
          </w:tcPr>
          <w:p>
            <w:pPr>
              <w:ind w:left="12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Non-financial metrics: Quantitative</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gridSpan w:val="2"/>
          </w:tcPr>
          <w:p>
            <w:pPr>
              <w:ind w:left="460"/>
              <w:spacing w:after="0"/>
              <w:rPr>
                <w:sz w:val="20"/>
                <w:szCs w:val="20"/>
                <w:color w:val="auto"/>
              </w:rPr>
            </w:pPr>
            <w:r>
              <w:rPr>
                <w:rFonts w:ascii="Arial" w:cs="Arial" w:eastAsia="Arial" w:hAnsi="Arial"/>
                <w:sz w:val="16"/>
                <w:szCs w:val="16"/>
                <w:color w:val="auto"/>
              </w:rPr>
              <w:t>Strategic Goals, including GGI bookings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gridSpan w:val="2"/>
          </w:tcPr>
          <w:p>
            <w:pPr>
              <w:ind w:left="460"/>
              <w:spacing w:after="0"/>
              <w:rPr>
                <w:sz w:val="20"/>
                <w:szCs w:val="20"/>
                <w:color w:val="auto"/>
              </w:rPr>
            </w:pPr>
            <w:r>
              <w:rPr>
                <w:rFonts w:ascii="Arial" w:cs="Arial" w:eastAsia="Arial" w:hAnsi="Arial"/>
                <w:sz w:val="16"/>
                <w:szCs w:val="16"/>
                <w:color w:val="auto"/>
              </w:rPr>
              <w:t>and Annual Software / Services</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40" w:type="dxa"/>
            <w:vAlign w:val="bottom"/>
            <w:gridSpan w:val="2"/>
          </w:tcPr>
          <w:p>
            <w:pPr>
              <w:ind w:left="46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Arial" w:cs="Arial" w:eastAsia="Arial" w:hAnsi="Arial"/>
                <w:sz w:val="11"/>
                <w:szCs w:val="11"/>
                <w:color w:val="auto"/>
              </w:rPr>
              <w:t>○</w:t>
            </w:r>
          </w:p>
        </w:tc>
        <w:tc>
          <w:tcPr>
            <w:tcW w:w="2800" w:type="dxa"/>
            <w:vAlign w:val="bottom"/>
            <w:vMerge w:val="restart"/>
          </w:tcPr>
          <w:p>
            <w:pPr>
              <w:ind w:left="140"/>
              <w:spacing w:after="0"/>
              <w:rPr>
                <w:sz w:val="20"/>
                <w:szCs w:val="20"/>
                <w:color w:val="auto"/>
              </w:rPr>
            </w:pPr>
            <w:r>
              <w:rPr>
                <w:rFonts w:ascii="Arial" w:cs="Arial" w:eastAsia="Arial" w:hAnsi="Arial"/>
                <w:sz w:val="16"/>
                <w:szCs w:val="16"/>
                <w:color w:val="auto"/>
              </w:rPr>
              <w:t>Payouts: 0% to 100% of target</w:t>
            </w:r>
          </w:p>
        </w:tc>
        <w:tc>
          <w:tcPr>
            <w:tcW w:w="0" w:type="dxa"/>
            <w:vAlign w:val="bottom"/>
          </w:tcPr>
          <w:p>
            <w:pPr>
              <w:spacing w:after="0"/>
              <w:rPr>
                <w:sz w:val="1"/>
                <w:szCs w:val="1"/>
                <w:color w:val="auto"/>
              </w:rPr>
            </w:pPr>
          </w:p>
        </w:tc>
      </w:tr>
      <w:tr>
        <w:trPr>
          <w:trHeight w:val="72"/>
        </w:trPr>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440" w:type="dxa"/>
            <w:vAlign w:val="bottom"/>
            <w:gridSpan w:val="2"/>
          </w:tcPr>
          <w:p>
            <w:pPr>
              <w:ind w:left="12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The Committee retains discretion to</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gridSpan w:val="2"/>
          </w:tcPr>
          <w:p>
            <w:pPr>
              <w:ind w:left="460"/>
              <w:spacing w:after="0"/>
              <w:rPr>
                <w:sz w:val="20"/>
                <w:szCs w:val="20"/>
                <w:color w:val="auto"/>
              </w:rPr>
            </w:pPr>
            <w:r>
              <w:rPr>
                <w:rFonts w:ascii="Arial" w:cs="Arial" w:eastAsia="Arial" w:hAnsi="Arial"/>
                <w:sz w:val="16"/>
                <w:szCs w:val="16"/>
                <w:color w:val="auto"/>
              </w:rPr>
              <w:t>further adjust the award based on its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gridSpan w:val="2"/>
          </w:tcPr>
          <w:p>
            <w:pPr>
              <w:ind w:left="460"/>
              <w:spacing w:after="0"/>
              <w:rPr>
                <w:sz w:val="20"/>
                <w:szCs w:val="20"/>
                <w:color w:val="auto"/>
              </w:rPr>
            </w:pPr>
            <w:r>
              <w:rPr>
                <w:rFonts w:ascii="Arial" w:cs="Arial" w:eastAsia="Arial" w:hAnsi="Arial"/>
                <w:sz w:val="16"/>
                <w:szCs w:val="16"/>
                <w:color w:val="auto"/>
              </w:rPr>
              <w:t>assessment of individual and/or</w:t>
            </w:r>
          </w:p>
        </w:tc>
        <w:tc>
          <w:tcPr>
            <w:tcW w:w="0" w:type="dxa"/>
            <w:vAlign w:val="bottom"/>
          </w:tcPr>
          <w:p>
            <w:pPr>
              <w:spacing w:after="0"/>
              <w:rPr>
                <w:sz w:val="1"/>
                <w:szCs w:val="1"/>
                <w:color w:val="auto"/>
              </w:rPr>
            </w:pPr>
          </w:p>
        </w:tc>
      </w:tr>
      <w:tr>
        <w:trPr>
          <w:trHeight w:val="224"/>
        </w:trPr>
        <w:tc>
          <w:tcPr>
            <w:tcW w:w="1500" w:type="dxa"/>
            <w:vAlign w:val="bottom"/>
            <w:tcBorders>
              <w:bottom w:val="single" w:sz="8" w:color="5D6673"/>
            </w:tcBorders>
          </w:tcPr>
          <w:p>
            <w:pPr>
              <w:spacing w:after="0"/>
              <w:rPr>
                <w:sz w:val="19"/>
                <w:szCs w:val="19"/>
                <w:color w:val="auto"/>
              </w:rPr>
            </w:pPr>
          </w:p>
        </w:tc>
        <w:tc>
          <w:tcPr>
            <w:tcW w:w="1480" w:type="dxa"/>
            <w:vAlign w:val="bottom"/>
            <w:tcBorders>
              <w:bottom w:val="single" w:sz="8" w:color="5D6673"/>
            </w:tcBorders>
          </w:tcPr>
          <w:p>
            <w:pPr>
              <w:spacing w:after="0"/>
              <w:rPr>
                <w:sz w:val="19"/>
                <w:szCs w:val="19"/>
                <w:color w:val="auto"/>
              </w:rPr>
            </w:pPr>
          </w:p>
        </w:tc>
        <w:tc>
          <w:tcPr>
            <w:tcW w:w="2760" w:type="dxa"/>
            <w:vAlign w:val="bottom"/>
            <w:tcBorders>
              <w:bottom w:val="single" w:sz="8" w:color="5D6673"/>
            </w:tcBorders>
          </w:tcPr>
          <w:p>
            <w:pPr>
              <w:spacing w:after="0"/>
              <w:rPr>
                <w:sz w:val="19"/>
                <w:szCs w:val="19"/>
                <w:color w:val="auto"/>
              </w:rPr>
            </w:pPr>
          </w:p>
        </w:tc>
        <w:tc>
          <w:tcPr>
            <w:tcW w:w="3440" w:type="dxa"/>
            <w:vAlign w:val="bottom"/>
            <w:tcBorders>
              <w:bottom w:val="single" w:sz="8" w:color="5D6673"/>
            </w:tcBorders>
            <w:gridSpan w:val="2"/>
          </w:tcPr>
          <w:p>
            <w:pPr>
              <w:ind w:left="460"/>
              <w:spacing w:after="0"/>
              <w:rPr>
                <w:sz w:val="20"/>
                <w:szCs w:val="20"/>
                <w:color w:val="auto"/>
              </w:rPr>
            </w:pPr>
            <w:r>
              <w:rPr>
                <w:rFonts w:ascii="Arial" w:cs="Arial" w:eastAsia="Arial" w:hAnsi="Arial"/>
                <w:sz w:val="16"/>
                <w:szCs w:val="16"/>
                <w:color w:val="auto"/>
              </w:rPr>
              <w:t>business unit performance</w:t>
            </w:r>
          </w:p>
        </w:tc>
        <w:tc>
          <w:tcPr>
            <w:tcW w:w="0" w:type="dxa"/>
            <w:vAlign w:val="bottom"/>
          </w:tcPr>
          <w:p>
            <w:pPr>
              <w:spacing w:after="0"/>
              <w:rPr>
                <w:sz w:val="1"/>
                <w:szCs w:val="1"/>
                <w:color w:val="auto"/>
              </w:rPr>
            </w:pPr>
          </w:p>
        </w:tc>
      </w:tr>
      <w:tr>
        <w:trPr>
          <w:trHeight w:val="202"/>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Long-Term</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Equity</w:t>
            </w:r>
          </w:p>
        </w:tc>
        <w:tc>
          <w:tcPr>
            <w:tcW w:w="2760" w:type="dxa"/>
            <w:vAlign w:val="bottom"/>
          </w:tcPr>
          <w:p>
            <w:pPr>
              <w:ind w:left="100"/>
              <w:spacing w:after="0"/>
              <w:rPr>
                <w:sz w:val="20"/>
                <w:szCs w:val="20"/>
                <w:color w:val="auto"/>
              </w:rPr>
            </w:pPr>
            <w:r>
              <w:rPr>
                <w:rFonts w:ascii="Arial" w:cs="Arial" w:eastAsia="Arial" w:hAnsi="Arial"/>
                <w:sz w:val="16"/>
                <w:szCs w:val="16"/>
                <w:color w:val="auto"/>
              </w:rPr>
              <w:t>Provides incentives for executives</w:t>
            </w:r>
          </w:p>
        </w:tc>
        <w:tc>
          <w:tcPr>
            <w:tcW w:w="3440" w:type="dxa"/>
            <w:vAlign w:val="bottom"/>
            <w:gridSpan w:val="2"/>
          </w:tcPr>
          <w:p>
            <w:pPr>
              <w:ind w:left="120"/>
              <w:spacing w:after="0"/>
              <w:rPr>
                <w:sz w:val="20"/>
                <w:szCs w:val="20"/>
                <w:color w:val="auto"/>
              </w:rPr>
            </w:pPr>
            <w:r>
              <w:rPr>
                <w:rFonts w:ascii="Arial" w:cs="Arial" w:eastAsia="Arial" w:hAnsi="Arial"/>
                <w:sz w:val="16"/>
                <w:szCs w:val="16"/>
                <w:i w:val="1"/>
                <w:iCs w:val="1"/>
                <w:color w:val="auto"/>
              </w:rPr>
              <w:t>See below</w:t>
            </w: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Incentive Plan</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(Variable)</w:t>
            </w:r>
          </w:p>
        </w:tc>
        <w:tc>
          <w:tcPr>
            <w:tcW w:w="2760" w:type="dxa"/>
            <w:vAlign w:val="bottom"/>
          </w:tcPr>
          <w:p>
            <w:pPr>
              <w:ind w:left="100"/>
              <w:spacing w:after="0"/>
              <w:rPr>
                <w:sz w:val="20"/>
                <w:szCs w:val="20"/>
                <w:color w:val="auto"/>
              </w:rPr>
            </w:pPr>
            <w:r>
              <w:rPr>
                <w:rFonts w:ascii="Arial" w:cs="Arial" w:eastAsia="Arial" w:hAnsi="Arial"/>
                <w:sz w:val="16"/>
                <w:szCs w:val="16"/>
                <w:color w:val="auto"/>
              </w:rPr>
              <w:t>to execute on longer-term</w:t>
            </w:r>
          </w:p>
        </w:tc>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(LTIP)</w:t>
            </w: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financial/strategic growth goals that</w:t>
            </w:r>
          </w:p>
        </w:tc>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drive shareholder value creation</w:t>
            </w:r>
          </w:p>
        </w:tc>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and support the Company’s</w:t>
            </w:r>
          </w:p>
        </w:tc>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retention strategy</w:t>
            </w:r>
          </w:p>
        </w:tc>
        <w:tc>
          <w:tcPr>
            <w:tcW w:w="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-3795395</wp:posOffset>
            </wp:positionV>
            <wp:extent cx="5829300" cy="5349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534924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42"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2820" w:type="dxa"/>
            <w:vAlign w:val="bottom"/>
          </w:tcPr>
          <w:p>
            <w:pPr>
              <w:spacing w:after="0"/>
              <w:rPr>
                <w:sz w:val="20"/>
                <w:szCs w:val="20"/>
                <w:color w:val="auto"/>
              </w:rPr>
            </w:pPr>
            <w:r>
              <w:rPr>
                <w:rFonts w:ascii="Arial" w:cs="Arial" w:eastAsia="Arial" w:hAnsi="Arial"/>
                <w:sz w:val="16"/>
                <w:szCs w:val="16"/>
                <w:i w:val="1"/>
                <w:iCs w:val="1"/>
                <w:color w:val="auto"/>
              </w:rPr>
              <w:t>Performance-Based Restricted Stock</w:t>
            </w:r>
          </w:p>
        </w:tc>
        <w:tc>
          <w:tcPr>
            <w:tcW w:w="2600" w:type="dxa"/>
            <w:vAlign w:val="bottom"/>
          </w:tcPr>
          <w:p>
            <w:pPr>
              <w:ind w:left="160"/>
              <w:spacing w:after="0"/>
              <w:rPr>
                <w:sz w:val="20"/>
                <w:szCs w:val="20"/>
                <w:color w:val="auto"/>
              </w:rPr>
            </w:pPr>
            <w:r>
              <w:rPr>
                <w:rFonts w:ascii="Arial" w:cs="Arial" w:eastAsia="Arial" w:hAnsi="Arial"/>
                <w:sz w:val="16"/>
                <w:szCs w:val="16"/>
                <w:color w:val="auto"/>
              </w:rPr>
              <w:t>Rewards achievement of financial</w:t>
            </w:r>
          </w:p>
        </w:tc>
      </w:tr>
      <w:tr>
        <w:trPr>
          <w:trHeight w:val="189"/>
        </w:trPr>
        <w:tc>
          <w:tcPr>
            <w:tcW w:w="2820" w:type="dxa"/>
            <w:vAlign w:val="bottom"/>
          </w:tcPr>
          <w:p>
            <w:pPr>
              <w:spacing w:after="0"/>
              <w:rPr>
                <w:sz w:val="20"/>
                <w:szCs w:val="20"/>
                <w:color w:val="auto"/>
              </w:rPr>
            </w:pPr>
            <w:r>
              <w:rPr>
                <w:rFonts w:ascii="Arial" w:cs="Arial" w:eastAsia="Arial" w:hAnsi="Arial"/>
                <w:sz w:val="16"/>
                <w:szCs w:val="16"/>
                <w:i w:val="1"/>
                <w:iCs w:val="1"/>
                <w:color w:val="auto"/>
              </w:rPr>
              <w:t>Units (PRSUs)</w:t>
            </w:r>
          </w:p>
        </w:tc>
        <w:tc>
          <w:tcPr>
            <w:tcW w:w="2600" w:type="dxa"/>
            <w:vAlign w:val="bottom"/>
          </w:tcPr>
          <w:p>
            <w:pPr>
              <w:ind w:left="160"/>
              <w:spacing w:after="0"/>
              <w:rPr>
                <w:sz w:val="20"/>
                <w:szCs w:val="20"/>
                <w:color w:val="auto"/>
              </w:rPr>
            </w:pPr>
            <w:r>
              <w:rPr>
                <w:rFonts w:ascii="Arial" w:cs="Arial" w:eastAsia="Arial" w:hAnsi="Arial"/>
                <w:sz w:val="16"/>
                <w:szCs w:val="16"/>
                <w:color w:val="auto"/>
              </w:rPr>
              <w:t>goals measured over a three-year</w:t>
            </w:r>
          </w:p>
        </w:tc>
      </w:tr>
      <w:tr>
        <w:trPr>
          <w:trHeight w:val="215"/>
        </w:trPr>
        <w:tc>
          <w:tcPr>
            <w:tcW w:w="28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6"/>
                <w:szCs w:val="16"/>
                <w:color w:val="auto"/>
              </w:rPr>
              <w:t>performance period</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334" w:right="1280" w:hanging="334"/>
        <w:spacing w:after="0" w:line="286" w:lineRule="auto"/>
        <w:tabs>
          <w:tab w:leader="none" w:pos="334" w:val="left"/>
        </w:tabs>
        <w:numPr>
          <w:ilvl w:val="0"/>
          <w:numId w:val="22"/>
        </w:numPr>
        <w:rPr>
          <w:rFonts w:ascii="Arial" w:cs="Arial" w:eastAsia="Arial" w:hAnsi="Arial"/>
          <w:sz w:val="16"/>
          <w:szCs w:val="16"/>
          <w:color w:val="5D6673"/>
        </w:rPr>
      </w:pPr>
      <w:r>
        <w:rPr>
          <w:rFonts w:ascii="Arial" w:cs="Arial" w:eastAsia="Arial" w:hAnsi="Arial"/>
          <w:sz w:val="16"/>
          <w:szCs w:val="16"/>
          <w:color w:val="auto"/>
        </w:rPr>
        <w:t>Financial metrics: Non-GAAP diluted EPS and relative TSR</w:t>
      </w:r>
    </w:p>
    <w:p>
      <w:pPr>
        <w:spacing w:after="0" w:line="20" w:lineRule="exact"/>
        <w:rPr>
          <w:rFonts w:ascii="Arial" w:cs="Arial" w:eastAsia="Arial" w:hAnsi="Arial"/>
          <w:sz w:val="16"/>
          <w:szCs w:val="16"/>
          <w:color w:val="5D6673"/>
        </w:rPr>
      </w:pPr>
    </w:p>
    <w:p>
      <w:pPr>
        <w:ind w:left="334" w:right="1080" w:hanging="334"/>
        <w:spacing w:after="0" w:line="259" w:lineRule="auto"/>
        <w:tabs>
          <w:tab w:leader="none" w:pos="334" w:val="left"/>
        </w:tabs>
        <w:numPr>
          <w:ilvl w:val="0"/>
          <w:numId w:val="22"/>
        </w:numPr>
        <w:rPr>
          <w:rFonts w:ascii="Arial" w:cs="Arial" w:eastAsia="Arial" w:hAnsi="Arial"/>
          <w:sz w:val="16"/>
          <w:szCs w:val="16"/>
          <w:color w:val="5D6673"/>
        </w:rPr>
      </w:pPr>
      <w:r>
        <w:rPr>
          <w:rFonts w:ascii="Arial" w:cs="Arial" w:eastAsia="Arial" w:hAnsi="Arial"/>
          <w:sz w:val="16"/>
          <w:szCs w:val="16"/>
          <w:color w:val="auto"/>
        </w:rPr>
        <w:t>Payouts: 0% to 200% of a target based on results against pre-determined financial goals, modified +/- 25% based on relative TSR performance</w:t>
      </w:r>
    </w:p>
    <w:p>
      <w:pPr>
        <w:spacing w:after="0" w:line="43" w:lineRule="exact"/>
        <w:rPr>
          <w:sz w:val="20"/>
          <w:szCs w:val="20"/>
          <w:color w:val="auto"/>
        </w:rPr>
      </w:pPr>
    </w:p>
    <w:p>
      <w:pPr>
        <w:sectPr>
          <w:pgSz w:w="11900" w:h="16838" w:orient="portrait"/>
          <w:cols w:equalWidth="0" w:num="2">
            <w:col w:w="6440" w:space="346"/>
            <w:col w:w="4234"/>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980" w:type="dxa"/>
            <w:vAlign w:val="bottom"/>
          </w:tcPr>
          <w:p>
            <w:pPr>
              <w:spacing w:after="0"/>
              <w:rPr>
                <w:sz w:val="19"/>
                <w:szCs w:val="19"/>
                <w:color w:val="auto"/>
              </w:rPr>
            </w:pPr>
          </w:p>
        </w:tc>
        <w:tc>
          <w:tcPr>
            <w:tcW w:w="2920" w:type="dxa"/>
            <w:vAlign w:val="bottom"/>
            <w:tcBorders>
              <w:bottom w:val="single" w:sz="8" w:color="5D6673"/>
            </w:tcBorders>
          </w:tcPr>
          <w:p>
            <w:pPr>
              <w:spacing w:after="0"/>
              <w:rPr>
                <w:sz w:val="19"/>
                <w:szCs w:val="19"/>
                <w:color w:val="auto"/>
              </w:rPr>
            </w:pPr>
          </w:p>
        </w:tc>
        <w:tc>
          <w:tcPr>
            <w:tcW w:w="2780" w:type="dxa"/>
            <w:vAlign w:val="bottom"/>
            <w:tcBorders>
              <w:bottom w:val="single" w:sz="8" w:color="5D6673"/>
            </w:tcBorders>
          </w:tcPr>
          <w:p>
            <w:pPr>
              <w:spacing w:after="0"/>
              <w:rPr>
                <w:sz w:val="19"/>
                <w:szCs w:val="19"/>
                <w:color w:val="auto"/>
              </w:rPr>
            </w:pPr>
          </w:p>
        </w:tc>
        <w:tc>
          <w:tcPr>
            <w:tcW w:w="3420" w:type="dxa"/>
            <w:vAlign w:val="bottom"/>
            <w:tcBorders>
              <w:bottom w:val="single" w:sz="8" w:color="5D6673"/>
            </w:tcBorders>
            <w:gridSpan w:val="2"/>
          </w:tcPr>
          <w:p>
            <w:pPr>
              <w:ind w:left="10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Paid in Itron shares once earned</w:t>
            </w:r>
          </w:p>
        </w:tc>
        <w:tc>
          <w:tcPr>
            <w:tcW w:w="920" w:type="dxa"/>
            <w:vAlign w:val="bottom"/>
          </w:tcPr>
          <w:p>
            <w:pPr>
              <w:spacing w:after="0"/>
              <w:rPr>
                <w:sz w:val="19"/>
                <w:szCs w:val="19"/>
                <w:color w:val="auto"/>
              </w:rPr>
            </w:pPr>
          </w:p>
        </w:tc>
      </w:tr>
      <w:tr>
        <w:trPr>
          <w:trHeight w:val="202"/>
        </w:trPr>
        <w:tc>
          <w:tcPr>
            <w:tcW w:w="980" w:type="dxa"/>
            <w:vAlign w:val="bottom"/>
            <w:tcBorders>
              <w:right w:val="single" w:sz="8" w:color="D9D9D9"/>
            </w:tcBorders>
          </w:tcPr>
          <w:p>
            <w:pPr>
              <w:spacing w:after="0"/>
              <w:rPr>
                <w:sz w:val="17"/>
                <w:szCs w:val="17"/>
                <w:color w:val="auto"/>
              </w:rPr>
            </w:pPr>
          </w:p>
        </w:tc>
        <w:tc>
          <w:tcPr>
            <w:tcW w:w="2920" w:type="dxa"/>
            <w:vAlign w:val="bottom"/>
          </w:tcPr>
          <w:p>
            <w:pPr>
              <w:ind w:left="40"/>
              <w:spacing w:after="0"/>
              <w:rPr>
                <w:sz w:val="20"/>
                <w:szCs w:val="20"/>
                <w:color w:val="auto"/>
              </w:rPr>
            </w:pPr>
            <w:r>
              <w:rPr>
                <w:rFonts w:ascii="Arial" w:cs="Arial" w:eastAsia="Arial" w:hAnsi="Arial"/>
                <w:sz w:val="16"/>
                <w:szCs w:val="16"/>
                <w:i w:val="1"/>
                <w:iCs w:val="1"/>
                <w:color w:val="auto"/>
              </w:rPr>
              <w:t>Time-Vested Restricted Stock Units</w:t>
            </w:r>
          </w:p>
        </w:tc>
        <w:tc>
          <w:tcPr>
            <w:tcW w:w="2780" w:type="dxa"/>
            <w:vAlign w:val="bottom"/>
          </w:tcPr>
          <w:p>
            <w:pPr>
              <w:ind w:left="100"/>
              <w:spacing w:after="0"/>
              <w:rPr>
                <w:sz w:val="20"/>
                <w:szCs w:val="20"/>
                <w:color w:val="auto"/>
              </w:rPr>
            </w:pPr>
            <w:r>
              <w:rPr>
                <w:rFonts w:ascii="Arial" w:cs="Arial" w:eastAsia="Arial" w:hAnsi="Arial"/>
                <w:sz w:val="16"/>
                <w:szCs w:val="16"/>
                <w:color w:val="auto"/>
              </w:rPr>
              <w:t>Supports retention</w:t>
            </w:r>
          </w:p>
        </w:tc>
        <w:tc>
          <w:tcPr>
            <w:tcW w:w="3420" w:type="dxa"/>
            <w:vAlign w:val="bottom"/>
            <w:gridSpan w:val="2"/>
          </w:tcPr>
          <w:p>
            <w:pPr>
              <w:ind w:left="10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Vesting: 1/3 on the first anniversary of</w:t>
            </w:r>
          </w:p>
        </w:tc>
        <w:tc>
          <w:tcPr>
            <w:tcW w:w="920" w:type="dxa"/>
            <w:vAlign w:val="bottom"/>
          </w:tcPr>
          <w:p>
            <w:pPr>
              <w:spacing w:after="0"/>
              <w:rPr>
                <w:sz w:val="17"/>
                <w:szCs w:val="17"/>
                <w:color w:val="auto"/>
              </w:rPr>
            </w:pPr>
          </w:p>
        </w:tc>
      </w:tr>
      <w:tr>
        <w:trPr>
          <w:trHeight w:val="189"/>
        </w:trPr>
        <w:tc>
          <w:tcPr>
            <w:tcW w:w="980" w:type="dxa"/>
            <w:vAlign w:val="bottom"/>
            <w:tcBorders>
              <w:right w:val="single" w:sz="8" w:color="D9D9D9"/>
            </w:tcBorders>
          </w:tcPr>
          <w:p>
            <w:pPr>
              <w:spacing w:after="0"/>
              <w:rPr>
                <w:sz w:val="16"/>
                <w:szCs w:val="16"/>
                <w:color w:val="auto"/>
              </w:rPr>
            </w:pPr>
          </w:p>
        </w:tc>
        <w:tc>
          <w:tcPr>
            <w:tcW w:w="2920" w:type="dxa"/>
            <w:vAlign w:val="bottom"/>
          </w:tcPr>
          <w:p>
            <w:pPr>
              <w:ind w:left="40"/>
              <w:spacing w:after="0"/>
              <w:rPr>
                <w:sz w:val="20"/>
                <w:szCs w:val="20"/>
                <w:color w:val="auto"/>
              </w:rPr>
            </w:pPr>
            <w:r>
              <w:rPr>
                <w:rFonts w:ascii="Arial" w:cs="Arial" w:eastAsia="Arial" w:hAnsi="Arial"/>
                <w:sz w:val="16"/>
                <w:szCs w:val="16"/>
                <w:i w:val="1"/>
                <w:iCs w:val="1"/>
                <w:color w:val="auto"/>
              </w:rPr>
              <w:t>(RSUs)</w:t>
            </w:r>
          </w:p>
        </w:tc>
        <w:tc>
          <w:tcPr>
            <w:tcW w:w="2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tcPr>
          <w:p>
            <w:pPr>
              <w:ind w:left="120"/>
              <w:spacing w:after="0"/>
              <w:rPr>
                <w:sz w:val="20"/>
                <w:szCs w:val="20"/>
                <w:color w:val="auto"/>
              </w:rPr>
            </w:pPr>
            <w:r>
              <w:rPr>
                <w:rFonts w:ascii="Arial" w:cs="Arial" w:eastAsia="Arial" w:hAnsi="Arial"/>
                <w:sz w:val="16"/>
                <w:szCs w:val="16"/>
                <w:color w:val="auto"/>
              </w:rPr>
              <w:t>the grant date and quarterly thereafter</w:t>
            </w:r>
          </w:p>
        </w:tc>
        <w:tc>
          <w:tcPr>
            <w:tcW w:w="920" w:type="dxa"/>
            <w:vAlign w:val="bottom"/>
          </w:tcPr>
          <w:p>
            <w:pPr>
              <w:spacing w:after="0"/>
              <w:rPr>
                <w:sz w:val="16"/>
                <w:szCs w:val="16"/>
                <w:color w:val="auto"/>
              </w:rPr>
            </w:pPr>
          </w:p>
        </w:tc>
      </w:tr>
      <w:tr>
        <w:trPr>
          <w:trHeight w:val="215"/>
        </w:trPr>
        <w:tc>
          <w:tcPr>
            <w:tcW w:w="980" w:type="dxa"/>
            <w:vAlign w:val="bottom"/>
            <w:tcBorders>
              <w:right w:val="single" w:sz="8" w:color="D9D9D9"/>
            </w:tcBorders>
          </w:tcPr>
          <w:p>
            <w:pPr>
              <w:spacing w:after="0"/>
              <w:rPr>
                <w:sz w:val="18"/>
                <w:szCs w:val="18"/>
                <w:color w:val="auto"/>
              </w:rPr>
            </w:pPr>
          </w:p>
        </w:tc>
        <w:tc>
          <w:tcPr>
            <w:tcW w:w="2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Arial" w:cs="Arial" w:eastAsia="Arial" w:hAnsi="Arial"/>
                <w:sz w:val="16"/>
                <w:szCs w:val="16"/>
                <w:color w:val="auto"/>
              </w:rPr>
              <w:t>for two years</w:t>
            </w:r>
          </w:p>
        </w:tc>
        <w:tc>
          <w:tcPr>
            <w:tcW w:w="920" w:type="dxa"/>
            <w:vAlign w:val="bottom"/>
          </w:tcPr>
          <w:p>
            <w:pPr>
              <w:spacing w:after="0"/>
              <w:rPr>
                <w:sz w:val="18"/>
                <w:szCs w:val="18"/>
                <w:color w:val="auto"/>
              </w:rPr>
            </w:pPr>
          </w:p>
        </w:tc>
      </w:tr>
      <w:tr>
        <w:trPr>
          <w:trHeight w:val="265"/>
        </w:trPr>
        <w:tc>
          <w:tcPr>
            <w:tcW w:w="980" w:type="dxa"/>
            <w:vAlign w:val="bottom"/>
            <w:tcBorders>
              <w:right w:val="single" w:sz="8" w:color="D9D9D9"/>
            </w:tcBorders>
          </w:tcPr>
          <w:p>
            <w:pPr>
              <w:spacing w:after="0"/>
              <w:rPr>
                <w:sz w:val="23"/>
                <w:szCs w:val="23"/>
                <w:color w:val="auto"/>
              </w:rPr>
            </w:pPr>
          </w:p>
        </w:tc>
        <w:tc>
          <w:tcPr>
            <w:tcW w:w="29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420" w:type="dxa"/>
            <w:vAlign w:val="bottom"/>
            <w:gridSpan w:val="2"/>
          </w:tcPr>
          <w:p>
            <w:pPr>
              <w:ind w:left="10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Paid in Itron shares at vesting</w:t>
            </w:r>
          </w:p>
        </w:tc>
        <w:tc>
          <w:tcPr>
            <w:tcW w:w="920" w:type="dxa"/>
            <w:vAlign w:val="bottom"/>
          </w:tcPr>
          <w:p>
            <w:pPr>
              <w:spacing w:after="0"/>
              <w:rPr>
                <w:sz w:val="23"/>
                <w:szCs w:val="23"/>
                <w:color w:val="auto"/>
              </w:rPr>
            </w:pPr>
          </w:p>
        </w:tc>
      </w:tr>
      <w:tr>
        <w:trPr>
          <w:trHeight w:val="216"/>
        </w:trPr>
        <w:tc>
          <w:tcPr>
            <w:tcW w:w="980" w:type="dxa"/>
            <w:vAlign w:val="bottom"/>
          </w:tcPr>
          <w:p>
            <w:pPr>
              <w:spacing w:after="0"/>
              <w:rPr>
                <w:sz w:val="18"/>
                <w:szCs w:val="18"/>
                <w:color w:val="auto"/>
              </w:rPr>
            </w:pPr>
          </w:p>
        </w:tc>
        <w:tc>
          <w:tcPr>
            <w:tcW w:w="2920" w:type="dxa"/>
            <w:vAlign w:val="bottom"/>
            <w:tcBorders>
              <w:top w:val="single" w:sz="8" w:color="0063A6"/>
              <w:bottom w:val="single" w:sz="8" w:color="D02A2E"/>
            </w:tcBorders>
          </w:tcPr>
          <w:p>
            <w:pPr>
              <w:spacing w:after="0"/>
              <w:rPr>
                <w:sz w:val="18"/>
                <w:szCs w:val="18"/>
                <w:color w:val="auto"/>
              </w:rPr>
            </w:pPr>
          </w:p>
        </w:tc>
        <w:tc>
          <w:tcPr>
            <w:tcW w:w="2780" w:type="dxa"/>
            <w:vAlign w:val="bottom"/>
            <w:tcBorders>
              <w:top w:val="single" w:sz="8" w:color="0063A6"/>
              <w:bottom w:val="single" w:sz="8" w:color="D02A2E"/>
            </w:tcBorders>
          </w:tcPr>
          <w:p>
            <w:pPr>
              <w:spacing w:after="0"/>
              <w:rPr>
                <w:sz w:val="18"/>
                <w:szCs w:val="18"/>
                <w:color w:val="auto"/>
              </w:rPr>
            </w:pPr>
          </w:p>
        </w:tc>
        <w:tc>
          <w:tcPr>
            <w:tcW w:w="320" w:type="dxa"/>
            <w:vAlign w:val="bottom"/>
            <w:tcBorders>
              <w:top w:val="single" w:sz="8" w:color="5D6673"/>
              <w:bottom w:val="single" w:sz="8" w:color="D02A2E"/>
            </w:tcBorders>
          </w:tcPr>
          <w:p>
            <w:pPr>
              <w:spacing w:after="0"/>
              <w:rPr>
                <w:sz w:val="18"/>
                <w:szCs w:val="18"/>
                <w:color w:val="auto"/>
              </w:rPr>
            </w:pPr>
          </w:p>
        </w:tc>
        <w:tc>
          <w:tcPr>
            <w:tcW w:w="3100" w:type="dxa"/>
            <w:vAlign w:val="bottom"/>
            <w:tcBorders>
              <w:top w:val="single" w:sz="8" w:color="0063A6"/>
              <w:bottom w:val="single" w:sz="8" w:color="D02A2E"/>
            </w:tcBorders>
          </w:tcPr>
          <w:p>
            <w:pPr>
              <w:spacing w:after="0"/>
              <w:rPr>
                <w:sz w:val="18"/>
                <w:szCs w:val="18"/>
                <w:color w:val="auto"/>
              </w:rPr>
            </w:pPr>
          </w:p>
        </w:tc>
        <w:tc>
          <w:tcPr>
            <w:tcW w:w="920" w:type="dxa"/>
            <w:vAlign w:val="bottom"/>
          </w:tcPr>
          <w:p>
            <w:pPr>
              <w:spacing w:after="0"/>
              <w:rPr>
                <w:sz w:val="18"/>
                <w:szCs w:val="18"/>
                <w:color w:val="auto"/>
              </w:rPr>
            </w:pPr>
          </w:p>
        </w:tc>
      </w:tr>
      <w:tr>
        <w:trPr>
          <w:trHeight w:val="315"/>
        </w:trPr>
        <w:tc>
          <w:tcPr>
            <w:tcW w:w="98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5D6673"/>
              </w:rPr>
              <w:t>2026 PROXY STATEMENT</w:t>
            </w:r>
          </w:p>
        </w:tc>
        <w:tc>
          <w:tcPr>
            <w:tcW w:w="2780" w:type="dxa"/>
            <w:vAlign w:val="bottom"/>
          </w:tcPr>
          <w:p>
            <w:pPr>
              <w:ind w:left="80"/>
              <w:spacing w:after="0"/>
              <w:rPr>
                <w:sz w:val="20"/>
                <w:szCs w:val="20"/>
                <w:color w:val="auto"/>
              </w:rPr>
            </w:pPr>
            <w:r>
              <w:rPr>
                <w:rFonts w:ascii="Arial" w:cs="Arial" w:eastAsia="Arial" w:hAnsi="Arial"/>
                <w:sz w:val="16"/>
                <w:szCs w:val="16"/>
                <w:color w:val="5D6673"/>
              </w:rPr>
              <w:t>                     ITRON, INC.</w:t>
            </w:r>
          </w:p>
        </w:tc>
        <w:tc>
          <w:tcPr>
            <w:tcW w:w="3420" w:type="dxa"/>
            <w:vAlign w:val="bottom"/>
            <w:gridSpan w:val="2"/>
          </w:tcPr>
          <w:p>
            <w:pPr>
              <w:jc w:val="right"/>
              <w:spacing w:after="0"/>
              <w:rPr>
                <w:sz w:val="20"/>
                <w:szCs w:val="20"/>
                <w:color w:val="auto"/>
              </w:rPr>
            </w:pPr>
            <w:r>
              <w:rPr>
                <w:rFonts w:ascii="Arial" w:cs="Arial" w:eastAsia="Arial" w:hAnsi="Arial"/>
                <w:sz w:val="16"/>
                <w:szCs w:val="16"/>
                <w:color w:val="5D6673"/>
              </w:rPr>
              <w:t>29</w:t>
            </w:r>
          </w:p>
        </w:tc>
        <w:tc>
          <w:tcPr>
            <w:tcW w:w="920" w:type="dxa"/>
            <w:vAlign w:val="bottom"/>
          </w:tcPr>
          <w:p>
            <w:pPr>
              <w:spacing w:after="0"/>
              <w:rPr>
                <w:sz w:val="24"/>
                <w:szCs w:val="24"/>
                <w:color w:val="auto"/>
              </w:rPr>
            </w:pPr>
          </w:p>
        </w:tc>
      </w:tr>
      <w:tr>
        <w:trPr>
          <w:trHeight w:val="225"/>
        </w:trPr>
        <w:tc>
          <w:tcPr>
            <w:tcW w:w="9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Linking Pay and Performance</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key component of our executive compensation philosophy is the link between compensation and overall business results and shareholder value creation.</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As shown in the charts below, 90% of our CEO Mr. Deitrich’s target TDC for 2025 was variable, with 65% tied to measurable performance goals (PRSUs and short-term incentives) and 76% linked to the value of our stock price (PRSUs and RSUs). For our other NEOs, an average of 78% of their 2025 target TDC was variable. These charts do not include any one-time equity grants or awards outside of target annual TDC,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70485</wp:posOffset>
            </wp:positionV>
            <wp:extent cx="5408930" cy="17487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0893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tabs>
          <w:tab w:leader="none" w:pos="45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color w:val="auto"/>
        </w:rPr>
        <w:t> </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Note: Figures may not add up to 100% due to rounding.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Our Decision-Making Process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the Compensation Committee</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 xml:space="preserve">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 program throughout the year. Details of the Committee’s authority and responsibilities are specified in the Compensation Committee’s charter, which may be accessed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Relations,” “Sustainability and Governance,” and then “Committee Composition.”</w:t>
      </w:r>
    </w:p>
    <w:p>
      <w:pPr>
        <w:spacing w:after="0" w:line="155"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The Committee makes all final compensation and equity award decisions regarding our NEOs, except for the CEO, whose compensation is determined by the independent members of the full Board, based upon the recommendations of the Committee.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Management</w:t>
      </w:r>
    </w:p>
    <w:p>
      <w:pPr>
        <w:spacing w:after="0" w:line="9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Members of our management team attend regular Compensation Committee meetings where executive compensation, Company and individual performance, and competitive compensation levels and practices are discussed and evaluated. Only the Committee members can vote on decisions regarding NEO compensation.</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CEO reviews his recommendations pertaining to the compensation of the other NEOs with the Committee providing management input, transparency, and oversight. Approval of NEO compensation other than CEO compensation is made by the Committee. The CEO does not participate in the deliberations of the Committee regarding his own compensation. Independent members of the Board make all final determinations regarding CEO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the Independent Consultant</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Committee engages an independent compensation consultant to provide expertise on competitive pay practices, program design, and an objective assessment of any inherent risks of any programs. Pursuant to the authority granted to it under its charter, the Committee has hired FW Cook as its independent consultant. FW Cook reports directly to the Committee and does not provide any additional services to management. The Committee has conducted an independence assessment of FW Cook in accordance with SEC rules and concluded that FW Cook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30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Peer Companies</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For some of our direct competitors who are not publicly held, or are smaller business units within a conglomerate, there is limited compensation information available. As a result, our peer companies for purposes of informing executive compensation (Peer Companies) generally consist of direct competitors for which public information is available or companies that compete for our talent,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5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For the purpose of setting 2025 compensation, the Committee conducted an in-depth assessment of potential comparators to evaluate the degree to which the current Peer Companies are consistent with Itron’s growth and evolution. The Committee also took into consideration the broader marketplace to identify appropriate and relevant additions and removals from the current Peer Companies. As a result of this review, and in consultation with FW Cook, there were no changes to the Peer Companies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54610</wp:posOffset>
            </wp:positionV>
            <wp:extent cx="2846070" cy="1482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46070" cy="148272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144"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28460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Advanced Energy Industries</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PTC Inc.</w:t>
            </w:r>
          </w:p>
        </w:tc>
      </w:tr>
      <w:tr>
        <w:trPr>
          <w:trHeight w:val="213"/>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Array Technologies</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SolarWinds Corporation</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Bloom Energy Corporation</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Teradata Corporation</w:t>
            </w:r>
          </w:p>
        </w:tc>
      </w:tr>
      <w:tr>
        <w:trPr>
          <w:trHeight w:val="210"/>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EnerSys</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Teradyne Inc.</w:t>
            </w:r>
          </w:p>
        </w:tc>
      </w:tr>
      <w:tr>
        <w:trPr>
          <w:trHeight w:val="210"/>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F5 Networks, Inc.</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Trimble Inc.</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ITT Inc.</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Unisys Corporation</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Mueller Water Products, Inc.</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Vontier Corporation</w:t>
            </w:r>
          </w:p>
        </w:tc>
      </w:tr>
      <w:tr>
        <w:trPr>
          <w:trHeight w:val="199"/>
        </w:trPr>
        <w:tc>
          <w:tcPr>
            <w:tcW w:w="2120" w:type="dxa"/>
            <w:vAlign w:val="bottom"/>
            <w:tcBorders>
              <w:bottom w:val="single" w:sz="8" w:color="0063A6"/>
            </w:tcBorders>
          </w:tcPr>
          <w:p>
            <w:pPr>
              <w:ind w:left="100"/>
              <w:spacing w:after="0"/>
              <w:rPr>
                <w:sz w:val="20"/>
                <w:szCs w:val="20"/>
                <w:color w:val="auto"/>
              </w:rPr>
            </w:pPr>
            <w:r>
              <w:rPr>
                <w:rFonts w:ascii="Arial" w:cs="Arial" w:eastAsia="Arial" w:hAnsi="Arial"/>
                <w:sz w:val="15"/>
                <w:szCs w:val="15"/>
                <w:color w:val="auto"/>
              </w:rPr>
              <w:t>NetScout Systems, Inc.</w:t>
            </w:r>
          </w:p>
        </w:tc>
        <w:tc>
          <w:tcPr>
            <w:tcW w:w="2360" w:type="dxa"/>
            <w:vAlign w:val="bottom"/>
            <w:tcBorders>
              <w:bottom w:val="single" w:sz="8" w:color="0063A6"/>
            </w:tcBorders>
          </w:tcPr>
          <w:p>
            <w:pPr>
              <w:ind w:left="120"/>
              <w:spacing w:after="0"/>
              <w:rPr>
                <w:sz w:val="20"/>
                <w:szCs w:val="20"/>
                <w:color w:val="auto"/>
              </w:rPr>
            </w:pPr>
            <w:r>
              <w:rPr>
                <w:rFonts w:ascii="Arial" w:cs="Arial" w:eastAsia="Arial" w:hAnsi="Arial"/>
                <w:sz w:val="15"/>
                <w:szCs w:val="15"/>
                <w:color w:val="auto"/>
              </w:rPr>
              <w:t>Watts Water Technologies, Inc</w:t>
            </w: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FFFFFF"/>
        </w:rPr>
        <w:t>Peer Data as of 12-31-2024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420" w:type="dxa"/>
            <w:vAlign w:val="bottom"/>
            <w:shd w:val="clear" w:color="auto" w:fill="0063A6"/>
          </w:tcPr>
          <w:p>
            <w:pPr>
              <w:spacing w:after="0"/>
              <w:rPr>
                <w:sz w:val="18"/>
                <w:szCs w:val="18"/>
                <w:color w:val="auto"/>
              </w:rPr>
            </w:pPr>
          </w:p>
        </w:tc>
        <w:tc>
          <w:tcPr>
            <w:tcW w:w="1140" w:type="dxa"/>
            <w:vAlign w:val="bottom"/>
            <w:shd w:val="clear" w:color="auto" w:fill="0063A6"/>
          </w:tcPr>
          <w:p>
            <w:pPr>
              <w:spacing w:after="0"/>
              <w:rPr>
                <w:sz w:val="18"/>
                <w:szCs w:val="18"/>
                <w:color w:val="auto"/>
              </w:rPr>
            </w:pPr>
          </w:p>
        </w:tc>
        <w:tc>
          <w:tcPr>
            <w:tcW w:w="1780" w:type="dxa"/>
            <w:vAlign w:val="bottom"/>
            <w:shd w:val="clear" w:color="auto" w:fill="0063A6"/>
          </w:tcPr>
          <w:p>
            <w:pPr>
              <w:jc w:val="right"/>
              <w:ind w:right="1064"/>
              <w:spacing w:after="0"/>
              <w:rPr>
                <w:sz w:val="20"/>
                <w:szCs w:val="20"/>
                <w:color w:val="auto"/>
              </w:rPr>
            </w:pPr>
            <w:r>
              <w:rPr>
                <w:rFonts w:ascii="Arial" w:cs="Arial" w:eastAsia="Arial" w:hAnsi="Arial"/>
                <w:sz w:val="14"/>
                <w:szCs w:val="14"/>
                <w:b w:val="1"/>
                <w:bCs w:val="1"/>
                <w:color w:val="FFFFFF"/>
              </w:rPr>
              <w:t>$Millions</w:t>
            </w:r>
          </w:p>
        </w:tc>
        <w:tc>
          <w:tcPr>
            <w:tcW w:w="60" w:type="dxa"/>
            <w:vAlign w:val="bottom"/>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1420" w:type="dxa"/>
            <w:vAlign w:val="bottom"/>
            <w:tcBorders>
              <w:bottom w:val="single" w:sz="8" w:color="0063A6"/>
            </w:tcBorders>
            <w:shd w:val="clear" w:color="auto" w:fill="0063A6"/>
          </w:tcPr>
          <w:p>
            <w:pPr>
              <w:ind w:left="360"/>
              <w:spacing w:after="0"/>
              <w:rPr>
                <w:sz w:val="20"/>
                <w:szCs w:val="20"/>
                <w:color w:val="auto"/>
              </w:rPr>
            </w:pPr>
            <w:r>
              <w:rPr>
                <w:rFonts w:ascii="Arial" w:cs="Arial" w:eastAsia="Arial" w:hAnsi="Arial"/>
                <w:sz w:val="15"/>
                <w:szCs w:val="15"/>
                <w:i w:val="1"/>
                <w:iCs w:val="1"/>
                <w:color w:val="FFFFFF"/>
              </w:rPr>
              <w:t>Percentile</w:t>
            </w:r>
          </w:p>
        </w:tc>
        <w:tc>
          <w:tcPr>
            <w:tcW w:w="1140" w:type="dxa"/>
            <w:vAlign w:val="bottom"/>
            <w:tcBorders>
              <w:bottom w:val="single" w:sz="8" w:color="0063A6"/>
            </w:tcBorders>
            <w:shd w:val="clear" w:color="auto" w:fill="0063A6"/>
          </w:tcPr>
          <w:p>
            <w:pPr>
              <w:jc w:val="right"/>
              <w:ind w:right="24"/>
              <w:spacing w:after="0"/>
              <w:rPr>
                <w:sz w:val="20"/>
                <w:szCs w:val="20"/>
                <w:color w:val="auto"/>
              </w:rPr>
            </w:pPr>
            <w:r>
              <w:rPr>
                <w:rFonts w:ascii="Arial" w:cs="Arial" w:eastAsia="Arial" w:hAnsi="Arial"/>
                <w:sz w:val="15"/>
                <w:szCs w:val="15"/>
                <w:i w:val="1"/>
                <w:iCs w:val="1"/>
                <w:color w:val="FFFFFF"/>
              </w:rPr>
              <w:t>Revenue</w:t>
            </w:r>
          </w:p>
        </w:tc>
        <w:tc>
          <w:tcPr>
            <w:tcW w:w="1780" w:type="dxa"/>
            <w:vAlign w:val="bottom"/>
            <w:tcBorders>
              <w:bottom w:val="single" w:sz="8" w:color="0063A6"/>
            </w:tcBorders>
            <w:shd w:val="clear" w:color="auto" w:fill="0063A6"/>
          </w:tcPr>
          <w:p>
            <w:pPr>
              <w:jc w:val="right"/>
              <w:ind w:right="244"/>
              <w:spacing w:after="0"/>
              <w:rPr>
                <w:sz w:val="20"/>
                <w:szCs w:val="20"/>
                <w:color w:val="auto"/>
              </w:rPr>
            </w:pPr>
            <w:r>
              <w:rPr>
                <w:rFonts w:ascii="Arial" w:cs="Arial" w:eastAsia="Arial" w:hAnsi="Arial"/>
                <w:sz w:val="15"/>
                <w:szCs w:val="15"/>
                <w:i w:val="1"/>
                <w:iCs w:val="1"/>
                <w:color w:val="FFFFFF"/>
              </w:rPr>
              <w:t>Market Cap</w:t>
            </w:r>
          </w:p>
        </w:tc>
        <w:tc>
          <w:tcPr>
            <w:tcW w:w="60" w:type="dxa"/>
            <w:vAlign w:val="bottom"/>
            <w:tcBorders>
              <w:bottom w:val="single" w:sz="8" w:color="0063A6"/>
            </w:tcBorders>
          </w:tcPr>
          <w:p>
            <w:pPr>
              <w:spacing w:after="0"/>
              <w:rPr>
                <w:sz w:val="21"/>
                <w:szCs w:val="21"/>
                <w:color w:val="auto"/>
              </w:rPr>
            </w:pPr>
          </w:p>
        </w:tc>
      </w:tr>
      <w:tr>
        <w:trPr>
          <w:trHeight w:val="270"/>
        </w:trPr>
        <w:tc>
          <w:tcPr>
            <w:tcW w:w="60" w:type="dxa"/>
            <w:vAlign w:val="bottom"/>
            <w:tcBorders>
              <w:bottom w:val="single" w:sz="8" w:color="0063A6"/>
            </w:tcBorders>
          </w:tcPr>
          <w:p>
            <w:pPr>
              <w:spacing w:after="0"/>
              <w:rPr>
                <w:sz w:val="23"/>
                <w:szCs w:val="23"/>
                <w:color w:val="auto"/>
              </w:rPr>
            </w:pPr>
          </w:p>
        </w:tc>
        <w:tc>
          <w:tcPr>
            <w:tcW w:w="1420" w:type="dxa"/>
            <w:vAlign w:val="bottom"/>
            <w:tcBorders>
              <w:bottom w:val="single" w:sz="8" w:color="0063A6"/>
            </w:tcBorders>
          </w:tcPr>
          <w:p>
            <w:pPr>
              <w:ind w:left="40"/>
              <w:spacing w:after="0" w:line="269" w:lineRule="exact"/>
              <w:rPr>
                <w:sz w:val="20"/>
                <w:szCs w:val="20"/>
                <w:color w:val="auto"/>
              </w:rPr>
            </w:pPr>
            <w:r>
              <w:rPr>
                <w:rFonts w:ascii="Arial" w:cs="Arial" w:eastAsia="Arial" w:hAnsi="Arial"/>
                <w:sz w:val="30"/>
                <w:szCs w:val="30"/>
                <w:i w:val="1"/>
                <w:iCs w:val="1"/>
                <w:color w:val="auto"/>
                <w:vertAlign w:val="subscript"/>
              </w:rPr>
              <w:t>25</w:t>
            </w:r>
            <w:r>
              <w:rPr>
                <w:rFonts w:ascii="Arial" w:cs="Arial" w:eastAsia="Arial" w:hAnsi="Arial"/>
                <w:sz w:val="13"/>
                <w:szCs w:val="13"/>
                <w:i w:val="1"/>
                <w:iCs w:val="1"/>
                <w:color w:val="auto"/>
              </w:rPr>
              <w:t>th</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$1,434</w:t>
            </w:r>
          </w:p>
        </w:tc>
        <w:tc>
          <w:tcPr>
            <w:tcW w:w="1780" w:type="dxa"/>
            <w:vAlign w:val="bottom"/>
            <w:tcBorders>
              <w:bottom w:val="single" w:sz="8" w:color="0063A6"/>
            </w:tcBorders>
          </w:tcPr>
          <w:p>
            <w:pPr>
              <w:jc w:val="right"/>
              <w:ind w:right="384"/>
              <w:spacing w:after="0"/>
              <w:rPr>
                <w:sz w:val="20"/>
                <w:szCs w:val="20"/>
                <w:color w:val="auto"/>
              </w:rPr>
            </w:pPr>
            <w:r>
              <w:rPr>
                <w:rFonts w:ascii="Arial" w:cs="Arial" w:eastAsia="Arial" w:hAnsi="Arial"/>
                <w:sz w:val="15"/>
                <w:szCs w:val="15"/>
                <w:color w:val="auto"/>
              </w:rPr>
              <w:t>$ 2,843</w:t>
            </w:r>
          </w:p>
        </w:tc>
        <w:tc>
          <w:tcPr>
            <w:tcW w:w="60" w:type="dxa"/>
            <w:vAlign w:val="bottom"/>
            <w:tcBorders>
              <w:bottom w:val="single" w:sz="8" w:color="0063A6"/>
            </w:tcBorders>
          </w:tcPr>
          <w:p>
            <w:pPr>
              <w:spacing w:after="0"/>
              <w:rPr>
                <w:sz w:val="23"/>
                <w:szCs w:val="23"/>
                <w:color w:val="auto"/>
              </w:rPr>
            </w:pPr>
          </w:p>
        </w:tc>
      </w:tr>
      <w:tr>
        <w:trPr>
          <w:trHeight w:val="263"/>
        </w:trPr>
        <w:tc>
          <w:tcPr>
            <w:tcW w:w="60" w:type="dxa"/>
            <w:vAlign w:val="bottom"/>
            <w:tcBorders>
              <w:bottom w:val="single" w:sz="8" w:color="0063A6"/>
            </w:tcBorders>
          </w:tcPr>
          <w:p>
            <w:pPr>
              <w:spacing w:after="0"/>
              <w:rPr>
                <w:sz w:val="22"/>
                <w:szCs w:val="22"/>
                <w:color w:val="auto"/>
              </w:rPr>
            </w:pPr>
          </w:p>
        </w:tc>
        <w:tc>
          <w:tcPr>
            <w:tcW w:w="1420" w:type="dxa"/>
            <w:vAlign w:val="bottom"/>
            <w:tcBorders>
              <w:bottom w:val="single" w:sz="8" w:color="0063A6"/>
            </w:tcBorders>
          </w:tcPr>
          <w:p>
            <w:pPr>
              <w:ind w:left="40"/>
              <w:spacing w:after="0" w:line="263" w:lineRule="exact"/>
              <w:rPr>
                <w:sz w:val="20"/>
                <w:szCs w:val="20"/>
                <w:color w:val="auto"/>
              </w:rPr>
            </w:pPr>
            <w:r>
              <w:rPr>
                <w:rFonts w:ascii="Arial" w:cs="Arial" w:eastAsia="Arial" w:hAnsi="Arial"/>
                <w:sz w:val="15"/>
                <w:szCs w:val="15"/>
                <w:i w:val="1"/>
                <w:iCs w:val="1"/>
                <w:color w:val="auto"/>
              </w:rPr>
              <w:t>50</w:t>
            </w:r>
            <w:r>
              <w:rPr>
                <w:rFonts w:ascii="Arial" w:cs="Arial" w:eastAsia="Arial" w:hAnsi="Arial"/>
                <w:sz w:val="25"/>
                <w:szCs w:val="25"/>
                <w:i w:val="1"/>
                <w:iCs w:val="1"/>
                <w:color w:val="auto"/>
                <w:vertAlign w:val="superscript"/>
              </w:rPr>
              <w:t>th</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$2,130</w:t>
            </w:r>
          </w:p>
        </w:tc>
        <w:tc>
          <w:tcPr>
            <w:tcW w:w="1780" w:type="dxa"/>
            <w:vAlign w:val="bottom"/>
            <w:tcBorders>
              <w:bottom w:val="single" w:sz="8" w:color="0063A6"/>
            </w:tcBorders>
          </w:tcPr>
          <w:p>
            <w:pPr>
              <w:jc w:val="right"/>
              <w:ind w:right="384"/>
              <w:spacing w:after="0"/>
              <w:rPr>
                <w:sz w:val="20"/>
                <w:szCs w:val="20"/>
                <w:color w:val="auto"/>
              </w:rPr>
            </w:pPr>
            <w:r>
              <w:rPr>
                <w:rFonts w:ascii="Arial" w:cs="Arial" w:eastAsia="Arial" w:hAnsi="Arial"/>
                <w:sz w:val="15"/>
                <w:szCs w:val="15"/>
                <w:color w:val="auto"/>
              </w:rPr>
              <w:t>$ 4,716</w:t>
            </w:r>
          </w:p>
        </w:tc>
        <w:tc>
          <w:tcPr>
            <w:tcW w:w="60" w:type="dxa"/>
            <w:vAlign w:val="bottom"/>
            <w:tcBorders>
              <w:bottom w:val="single" w:sz="8" w:color="0063A6"/>
            </w:tcBorders>
          </w:tcPr>
          <w:p>
            <w:pPr>
              <w:spacing w:after="0"/>
              <w:rPr>
                <w:sz w:val="22"/>
                <w:szCs w:val="22"/>
                <w:color w:val="auto"/>
              </w:rPr>
            </w:pPr>
          </w:p>
        </w:tc>
      </w:tr>
      <w:tr>
        <w:trPr>
          <w:trHeight w:val="264"/>
        </w:trPr>
        <w:tc>
          <w:tcPr>
            <w:tcW w:w="60" w:type="dxa"/>
            <w:vAlign w:val="bottom"/>
            <w:tcBorders>
              <w:bottom w:val="single" w:sz="8" w:color="0063A6"/>
            </w:tcBorders>
          </w:tcPr>
          <w:p>
            <w:pPr>
              <w:spacing w:after="0"/>
              <w:rPr>
                <w:sz w:val="22"/>
                <w:szCs w:val="22"/>
                <w:color w:val="auto"/>
              </w:rPr>
            </w:pPr>
          </w:p>
        </w:tc>
        <w:tc>
          <w:tcPr>
            <w:tcW w:w="1420" w:type="dxa"/>
            <w:vAlign w:val="bottom"/>
            <w:tcBorders>
              <w:bottom w:val="single" w:sz="8" w:color="0063A6"/>
            </w:tcBorders>
          </w:tcPr>
          <w:p>
            <w:pPr>
              <w:ind w:left="40"/>
              <w:spacing w:after="0" w:line="263" w:lineRule="exact"/>
              <w:rPr>
                <w:sz w:val="20"/>
                <w:szCs w:val="20"/>
                <w:color w:val="auto"/>
              </w:rPr>
            </w:pPr>
            <w:r>
              <w:rPr>
                <w:rFonts w:ascii="Arial" w:cs="Arial" w:eastAsia="Arial" w:hAnsi="Arial"/>
                <w:sz w:val="15"/>
                <w:szCs w:val="15"/>
                <w:i w:val="1"/>
                <w:iCs w:val="1"/>
                <w:color w:val="auto"/>
              </w:rPr>
              <w:t>75</w:t>
            </w:r>
            <w:r>
              <w:rPr>
                <w:rFonts w:ascii="Arial" w:cs="Arial" w:eastAsia="Arial" w:hAnsi="Arial"/>
                <w:sz w:val="25"/>
                <w:szCs w:val="25"/>
                <w:i w:val="1"/>
                <w:iCs w:val="1"/>
                <w:color w:val="auto"/>
                <w:vertAlign w:val="superscript"/>
              </w:rPr>
              <w:t>th</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$2,860</w:t>
            </w:r>
          </w:p>
        </w:tc>
        <w:tc>
          <w:tcPr>
            <w:tcW w:w="1780" w:type="dxa"/>
            <w:vAlign w:val="bottom"/>
            <w:tcBorders>
              <w:bottom w:val="single" w:sz="8" w:color="0063A6"/>
            </w:tcBorders>
          </w:tcPr>
          <w:p>
            <w:pPr>
              <w:jc w:val="right"/>
              <w:ind w:right="364"/>
              <w:spacing w:after="0"/>
              <w:rPr>
                <w:sz w:val="20"/>
                <w:szCs w:val="20"/>
                <w:color w:val="auto"/>
              </w:rPr>
            </w:pPr>
            <w:r>
              <w:rPr>
                <w:rFonts w:ascii="Arial" w:cs="Arial" w:eastAsia="Arial" w:hAnsi="Arial"/>
                <w:sz w:val="15"/>
                <w:szCs w:val="15"/>
                <w:color w:val="auto"/>
              </w:rPr>
              <w:t>$12,419</w:t>
            </w:r>
          </w:p>
        </w:tc>
        <w:tc>
          <w:tcPr>
            <w:tcW w:w="60" w:type="dxa"/>
            <w:vAlign w:val="bottom"/>
            <w:tcBorders>
              <w:bottom w:val="single" w:sz="8" w:color="0063A6"/>
            </w:tcBorders>
          </w:tcPr>
          <w:p>
            <w:pPr>
              <w:spacing w:after="0"/>
              <w:rPr>
                <w:sz w:val="22"/>
                <w:szCs w:val="22"/>
                <w:color w:val="auto"/>
              </w:rPr>
            </w:pPr>
          </w:p>
        </w:tc>
      </w:tr>
      <w:tr>
        <w:trPr>
          <w:trHeight w:val="217"/>
        </w:trPr>
        <w:tc>
          <w:tcPr>
            <w:tcW w:w="60" w:type="dxa"/>
            <w:vAlign w:val="bottom"/>
            <w:tcBorders>
              <w:bottom w:val="single" w:sz="8" w:color="0063A6"/>
            </w:tcBorders>
          </w:tcPr>
          <w:p>
            <w:pPr>
              <w:spacing w:after="0"/>
              <w:rPr>
                <w:sz w:val="18"/>
                <w:szCs w:val="18"/>
                <w:color w:val="auto"/>
              </w:rPr>
            </w:pPr>
          </w:p>
        </w:tc>
        <w:tc>
          <w:tcPr>
            <w:tcW w:w="1420" w:type="dxa"/>
            <w:vAlign w:val="bottom"/>
            <w:tcBorders>
              <w:bottom w:val="single" w:sz="8" w:color="0063A6"/>
            </w:tcBorders>
          </w:tcPr>
          <w:p>
            <w:pPr>
              <w:ind w:left="40"/>
              <w:spacing w:after="0"/>
              <w:rPr>
                <w:sz w:val="20"/>
                <w:szCs w:val="20"/>
                <w:color w:val="auto"/>
              </w:rPr>
            </w:pPr>
            <w:r>
              <w:rPr>
                <w:rFonts w:ascii="Arial" w:cs="Arial" w:eastAsia="Arial" w:hAnsi="Arial"/>
                <w:sz w:val="15"/>
                <w:szCs w:val="15"/>
                <w:b w:val="1"/>
                <w:bCs w:val="1"/>
                <w:color w:val="auto"/>
              </w:rPr>
              <w:t> </w:t>
            </w:r>
          </w:p>
        </w:tc>
        <w:tc>
          <w:tcPr>
            <w:tcW w:w="1140" w:type="dxa"/>
            <w:vAlign w:val="bottom"/>
            <w:tcBorders>
              <w:bottom w:val="single" w:sz="8" w:color="0063A6"/>
            </w:tcBorders>
          </w:tcPr>
          <w:p>
            <w:pPr>
              <w:spacing w:after="0"/>
              <w:rPr>
                <w:sz w:val="18"/>
                <w:szCs w:val="18"/>
                <w:color w:val="auto"/>
              </w:rPr>
            </w:pPr>
          </w:p>
        </w:tc>
        <w:tc>
          <w:tcPr>
            <w:tcW w:w="1780" w:type="dxa"/>
            <w:vAlign w:val="bottom"/>
            <w:tcBorders>
              <w:bottom w:val="single" w:sz="8" w:color="0063A6"/>
            </w:tcBorders>
          </w:tcPr>
          <w:p>
            <w:pPr>
              <w:spacing w:after="0"/>
              <w:rPr>
                <w:sz w:val="18"/>
                <w:szCs w:val="18"/>
                <w:color w:val="auto"/>
              </w:rPr>
            </w:pPr>
          </w:p>
        </w:tc>
        <w:tc>
          <w:tcPr>
            <w:tcW w:w="60" w:type="dxa"/>
            <w:vAlign w:val="bottom"/>
            <w:tcBorders>
              <w:bottom w:val="single" w:sz="8" w:color="0063A6"/>
            </w:tcBorders>
          </w:tcPr>
          <w:p>
            <w:pPr>
              <w:spacing w:after="0"/>
              <w:rPr>
                <w:sz w:val="18"/>
                <w:szCs w:val="18"/>
                <w:color w:val="auto"/>
              </w:rPr>
            </w:pPr>
          </w:p>
        </w:tc>
      </w:tr>
      <w:tr>
        <w:trPr>
          <w:trHeight w:val="222"/>
        </w:trPr>
        <w:tc>
          <w:tcPr>
            <w:tcW w:w="60" w:type="dxa"/>
            <w:vAlign w:val="bottom"/>
            <w:tcBorders>
              <w:bottom w:val="single" w:sz="8" w:color="0063A6"/>
            </w:tcBorders>
          </w:tcPr>
          <w:p>
            <w:pPr>
              <w:spacing w:after="0"/>
              <w:rPr>
                <w:sz w:val="19"/>
                <w:szCs w:val="19"/>
                <w:color w:val="auto"/>
              </w:rPr>
            </w:pPr>
          </w:p>
        </w:tc>
        <w:tc>
          <w:tcPr>
            <w:tcW w:w="1420" w:type="dxa"/>
            <w:vAlign w:val="bottom"/>
            <w:tcBorders>
              <w:bottom w:val="single" w:sz="8" w:color="0063A6"/>
            </w:tcBorders>
          </w:tcPr>
          <w:p>
            <w:pPr>
              <w:ind w:left="40"/>
              <w:spacing w:after="0"/>
              <w:rPr>
                <w:sz w:val="20"/>
                <w:szCs w:val="20"/>
                <w:color w:val="auto"/>
              </w:rPr>
            </w:pPr>
            <w:r>
              <w:rPr>
                <w:rFonts w:ascii="Arial" w:cs="Arial" w:eastAsia="Arial" w:hAnsi="Arial"/>
                <w:sz w:val="15"/>
                <w:szCs w:val="15"/>
                <w:color w:val="auto"/>
              </w:rPr>
              <w:t>Itron</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$2,441</w:t>
            </w:r>
          </w:p>
        </w:tc>
        <w:tc>
          <w:tcPr>
            <w:tcW w:w="1780" w:type="dxa"/>
            <w:vAlign w:val="bottom"/>
            <w:tcBorders>
              <w:bottom w:val="single" w:sz="8" w:color="0063A6"/>
            </w:tcBorders>
          </w:tcPr>
          <w:p>
            <w:pPr>
              <w:jc w:val="right"/>
              <w:ind w:right="384"/>
              <w:spacing w:after="0"/>
              <w:rPr>
                <w:sz w:val="20"/>
                <w:szCs w:val="20"/>
                <w:color w:val="auto"/>
              </w:rPr>
            </w:pPr>
            <w:r>
              <w:rPr>
                <w:rFonts w:ascii="Arial" w:cs="Arial" w:eastAsia="Arial" w:hAnsi="Arial"/>
                <w:sz w:val="15"/>
                <w:szCs w:val="15"/>
                <w:color w:val="auto"/>
              </w:rPr>
              <w:t>$ 4,900</w:t>
            </w:r>
          </w:p>
        </w:tc>
        <w:tc>
          <w:tcPr>
            <w:tcW w:w="60" w:type="dxa"/>
            <w:vAlign w:val="bottom"/>
            <w:tcBorders>
              <w:bottom w:val="single" w:sz="8" w:color="0063A6"/>
            </w:tcBorders>
          </w:tcPr>
          <w:p>
            <w:pPr>
              <w:spacing w:after="0"/>
              <w:rPr>
                <w:sz w:val="19"/>
                <w:szCs w:val="19"/>
                <w:color w:val="auto"/>
              </w:rPr>
            </w:pPr>
          </w:p>
        </w:tc>
      </w:tr>
      <w:tr>
        <w:trPr>
          <w:trHeight w:val="203"/>
        </w:trPr>
        <w:tc>
          <w:tcPr>
            <w:tcW w:w="60" w:type="dxa"/>
            <w:vAlign w:val="bottom"/>
            <w:tcBorders>
              <w:bottom w:val="single" w:sz="8" w:color="0063A6"/>
            </w:tcBorders>
          </w:tcPr>
          <w:p>
            <w:pPr>
              <w:spacing w:after="0"/>
              <w:rPr>
                <w:sz w:val="17"/>
                <w:szCs w:val="17"/>
                <w:color w:val="auto"/>
              </w:rPr>
            </w:pPr>
          </w:p>
        </w:tc>
        <w:tc>
          <w:tcPr>
            <w:tcW w:w="1420" w:type="dxa"/>
            <w:vAlign w:val="bottom"/>
            <w:tcBorders>
              <w:bottom w:val="single" w:sz="8" w:color="0063A6"/>
            </w:tcBorders>
          </w:tcPr>
          <w:p>
            <w:pPr>
              <w:ind w:left="40"/>
              <w:spacing w:after="0"/>
              <w:rPr>
                <w:sz w:val="20"/>
                <w:szCs w:val="20"/>
                <w:color w:val="auto"/>
              </w:rPr>
            </w:pPr>
            <w:r>
              <w:rPr>
                <w:rFonts w:ascii="Arial" w:cs="Arial" w:eastAsia="Arial" w:hAnsi="Arial"/>
                <w:sz w:val="15"/>
                <w:szCs w:val="15"/>
                <w:color w:val="auto"/>
              </w:rPr>
              <w:t>Percentile Rank</w:t>
            </w:r>
          </w:p>
        </w:tc>
        <w:tc>
          <w:tcPr>
            <w:tcW w:w="1140" w:type="dxa"/>
            <w:vAlign w:val="bottom"/>
            <w:tcBorders>
              <w:bottom w:val="single" w:sz="8" w:color="0063A6"/>
            </w:tcBorders>
          </w:tcPr>
          <w:p>
            <w:pPr>
              <w:jc w:val="right"/>
              <w:spacing w:after="0"/>
              <w:rPr>
                <w:sz w:val="20"/>
                <w:szCs w:val="20"/>
                <w:color w:val="auto"/>
              </w:rPr>
            </w:pPr>
            <w:r>
              <w:rPr>
                <w:rFonts w:ascii="Arial" w:cs="Arial" w:eastAsia="Arial" w:hAnsi="Arial"/>
                <w:sz w:val="15"/>
                <w:szCs w:val="15"/>
                <w:color w:val="auto"/>
              </w:rPr>
              <w:t>62%</w:t>
            </w:r>
          </w:p>
        </w:tc>
        <w:tc>
          <w:tcPr>
            <w:tcW w:w="1780" w:type="dxa"/>
            <w:vAlign w:val="bottom"/>
            <w:tcBorders>
              <w:bottom w:val="single" w:sz="8" w:color="0063A6"/>
            </w:tcBorders>
          </w:tcPr>
          <w:p>
            <w:pPr>
              <w:jc w:val="right"/>
              <w:ind w:right="244"/>
              <w:spacing w:after="0"/>
              <w:rPr>
                <w:sz w:val="20"/>
                <w:szCs w:val="20"/>
                <w:color w:val="auto"/>
              </w:rPr>
            </w:pPr>
            <w:r>
              <w:rPr>
                <w:rFonts w:ascii="Arial" w:cs="Arial" w:eastAsia="Arial" w:hAnsi="Arial"/>
                <w:sz w:val="15"/>
                <w:szCs w:val="15"/>
                <w:color w:val="auto"/>
              </w:rPr>
              <w:t>52%</w:t>
            </w:r>
          </w:p>
        </w:tc>
        <w:tc>
          <w:tcPr>
            <w:tcW w:w="60" w:type="dxa"/>
            <w:vAlign w:val="bottom"/>
            <w:tcBorders>
              <w:bottom w:val="single" w:sz="8" w:color="0063A6"/>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4480" w:space="220"/>
            <w:col w:w="4480"/>
          </w:cols>
          <w:pgMar w:left="1360" w:top="114" w:right="1359" w:bottom="1440" w:gutter="0" w:footer="0" w:header="0"/>
          <w:type w:val="continuous"/>
        </w:sectPr>
      </w:pPr>
    </w:p>
    <w:p>
      <w:pPr>
        <w:spacing w:after="0" w:line="6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For each of the Peer Companies, data regarding base salaries, annual incentives, and long-term incentives was obtained from their annual proxy statements and other public filings with the Securities and Exchange Commission. This data was supplemented with survey data from the Radford McLagan Compensation Database, which provides compensation market information on more than 2,400 technology companies, aggregated, and presented anonymously. The Radford Survey data was narrowed to those technology companies with revenues between $1 billion and $3 billion, similar to Itron.</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With the support of FW Cook, the Committee evaluates this data for informational purposes when establishing a range of competitive compensation for our NEOs. For each NEO, the Committee determines the salary range, annual incentive target, and long-term incentive taking into consideration market data for the position being evaluated. However, market data is not the sole determinant of the Company’s practices or executive compensation levels. The Committee also considers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35" w:name="page36"/>
    <w:bookmarkEnd w:id="3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0063A6"/>
        </w:rPr>
        <w:t>Compensation Discussion and Analysis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063A6"/>
        </w:rPr>
        <w:t>The 2025 Executive Compensation Program in Detail</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Base Salary</w:t>
      </w:r>
    </w:p>
    <w:p>
      <w:pPr>
        <w:spacing w:after="0" w:line="90" w:lineRule="exact"/>
        <w:rPr>
          <w:sz w:val="20"/>
          <w:szCs w:val="20"/>
          <w:color w:val="auto"/>
        </w:rPr>
      </w:pPr>
    </w:p>
    <w:p>
      <w:pPr>
        <w:ind w:left="920" w:right="1040"/>
        <w:spacing w:after="0" w:line="251" w:lineRule="auto"/>
        <w:rPr>
          <w:sz w:val="20"/>
          <w:szCs w:val="20"/>
          <w:color w:val="auto"/>
        </w:rPr>
      </w:pPr>
      <w:r>
        <w:rPr>
          <w:rFonts w:ascii="Arial" w:cs="Arial" w:eastAsia="Arial" w:hAnsi="Arial"/>
          <w:sz w:val="16"/>
          <w:szCs w:val="16"/>
          <w:color w:val="auto"/>
        </w:rPr>
        <w:t>Base salary represents annual fixed compensation and is a standard element of compensation necessary to attract and retain executive leadership talent. In making base salary decisions, the Committee considers the CEO’s recommendations for NEO compensation (other than the CEO), as well as each NEO’s position and level of responsibility within the Company. The Committee considers factors such as relevant market data as well as individual performance and contributions. After its annual review, the Committee approved merit-based base salary increases for all the NEOs, consistent with the timing and budget for Company-wide merit adjustments and informed by competitive market data. In approving the CEO’s increase, the Committee considered Mr. Deitrich’s strong performance, the scope and complexity of the role, and year-over-year increases in market compensation levels, and determined that an adjustment was appropriate to maintain alignment with the market. The annual base salary rates for 2025 were as follows:</w:t>
      </w:r>
    </w:p>
    <w:p>
      <w:pPr>
        <w:spacing w:after="0" w:line="132"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548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NEO</w:t>
            </w:r>
          </w:p>
        </w:tc>
        <w:tc>
          <w:tcPr>
            <w:tcW w:w="1240" w:type="dxa"/>
            <w:vAlign w:val="bottom"/>
            <w:tcBorders>
              <w:bottom w:val="single" w:sz="8" w:color="0063A6"/>
            </w:tcBorders>
            <w:shd w:val="clear" w:color="auto" w:fill="0063A6"/>
          </w:tcPr>
          <w:p>
            <w:pPr>
              <w:jc w:val="right"/>
              <w:ind w:right="201"/>
              <w:spacing w:after="0"/>
              <w:rPr>
                <w:sz w:val="20"/>
                <w:szCs w:val="20"/>
                <w:color w:val="auto"/>
              </w:rPr>
            </w:pPr>
            <w:r>
              <w:rPr>
                <w:rFonts w:ascii="Arial" w:cs="Arial" w:eastAsia="Arial" w:hAnsi="Arial"/>
                <w:sz w:val="14"/>
                <w:szCs w:val="14"/>
                <w:b w:val="1"/>
                <w:bCs w:val="1"/>
                <w:color w:val="FFFFFF"/>
              </w:rPr>
              <w:t>2024</w:t>
            </w:r>
          </w:p>
        </w:tc>
        <w:tc>
          <w:tcPr>
            <w:tcW w:w="360" w:type="dxa"/>
            <w:vAlign w:val="bottom"/>
            <w:tcBorders>
              <w:bottom w:val="single" w:sz="8" w:color="0063A6"/>
            </w:tcBorders>
            <w:shd w:val="clear" w:color="auto" w:fill="0063A6"/>
          </w:tcPr>
          <w:p>
            <w:pPr>
              <w:spacing w:after="0"/>
              <w:rPr>
                <w:sz w:val="22"/>
                <w:szCs w:val="22"/>
                <w:color w:val="auto"/>
              </w:rPr>
            </w:pPr>
          </w:p>
        </w:tc>
        <w:tc>
          <w:tcPr>
            <w:tcW w:w="1000" w:type="dxa"/>
            <w:vAlign w:val="bottom"/>
            <w:tcBorders>
              <w:bottom w:val="single" w:sz="8" w:color="0063A6"/>
            </w:tcBorders>
            <w:shd w:val="clear" w:color="auto" w:fill="0063A6"/>
          </w:tcPr>
          <w:p>
            <w:pPr>
              <w:jc w:val="right"/>
              <w:ind w:right="181"/>
              <w:spacing w:after="0"/>
              <w:rPr>
                <w:sz w:val="20"/>
                <w:szCs w:val="20"/>
                <w:color w:val="auto"/>
              </w:rPr>
            </w:pPr>
            <w:r>
              <w:rPr>
                <w:rFonts w:ascii="Arial" w:cs="Arial" w:eastAsia="Arial" w:hAnsi="Arial"/>
                <w:sz w:val="14"/>
                <w:szCs w:val="14"/>
                <w:b w:val="1"/>
                <w:bCs w:val="1"/>
                <w:color w:val="FFFFFF"/>
              </w:rPr>
              <w:t>2025</w:t>
            </w:r>
          </w:p>
        </w:tc>
        <w:tc>
          <w:tcPr>
            <w:tcW w:w="11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 Increase</w:t>
            </w:r>
          </w:p>
        </w:tc>
      </w:tr>
      <w:tr>
        <w:trPr>
          <w:trHeight w:val="249"/>
        </w:trPr>
        <w:tc>
          <w:tcPr>
            <w:tcW w:w="548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1240" w:type="dxa"/>
            <w:vAlign w:val="bottom"/>
          </w:tcPr>
          <w:p>
            <w:pPr>
              <w:jc w:val="right"/>
              <w:ind w:right="201"/>
              <w:spacing w:after="0"/>
              <w:rPr>
                <w:sz w:val="20"/>
                <w:szCs w:val="20"/>
                <w:color w:val="auto"/>
              </w:rPr>
            </w:pPr>
            <w:r>
              <w:rPr>
                <w:rFonts w:ascii="Arial" w:cs="Arial" w:eastAsia="Arial" w:hAnsi="Arial"/>
                <w:sz w:val="16"/>
                <w:szCs w:val="16"/>
                <w:color w:val="auto"/>
              </w:rPr>
              <w:t>$900,000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w w:val="98"/>
              </w:rPr>
              <w:t>1,000,000</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11.1%</w:t>
            </w:r>
          </w:p>
        </w:tc>
      </w:tr>
      <w:tr>
        <w:trPr>
          <w:trHeight w:val="21"/>
        </w:trPr>
        <w:tc>
          <w:tcPr>
            <w:tcW w:w="548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360" w:type="dxa"/>
            <w:vAlign w:val="bottom"/>
            <w:tcBorders>
              <w:bottom w:val="single" w:sz="8" w:color="5D6673"/>
            </w:tcBorders>
          </w:tcPr>
          <w:p>
            <w:pPr>
              <w:spacing w:after="0" w:line="20" w:lineRule="exact"/>
              <w:rPr>
                <w:sz w:val="1"/>
                <w:szCs w:val="1"/>
                <w:color w:val="auto"/>
              </w:rPr>
            </w:pPr>
          </w:p>
        </w:tc>
        <w:tc>
          <w:tcPr>
            <w:tcW w:w="1000" w:type="dxa"/>
            <w:vAlign w:val="bottom"/>
            <w:tcBorders>
              <w:bottom w:val="single" w:sz="8" w:color="5D6673"/>
            </w:tcBorders>
          </w:tcPr>
          <w:p>
            <w:pPr>
              <w:spacing w:after="0" w:line="20" w:lineRule="exact"/>
              <w:rPr>
                <w:sz w:val="1"/>
                <w:szCs w:val="1"/>
                <w:color w:val="auto"/>
              </w:rPr>
            </w:pPr>
          </w:p>
        </w:tc>
        <w:tc>
          <w:tcPr>
            <w:tcW w:w="1100" w:type="dxa"/>
            <w:vAlign w:val="bottom"/>
            <w:tcBorders>
              <w:bottom w:val="single" w:sz="8" w:color="5D6673"/>
            </w:tcBorders>
          </w:tcPr>
          <w:p>
            <w:pPr>
              <w:spacing w:after="0" w:line="20" w:lineRule="exact"/>
              <w:rPr>
                <w:sz w:val="1"/>
                <w:szCs w:val="1"/>
                <w:color w:val="auto"/>
              </w:rPr>
            </w:pPr>
          </w:p>
        </w:tc>
      </w:tr>
      <w:tr>
        <w:trPr>
          <w:trHeight w:val="243"/>
        </w:trPr>
        <w:tc>
          <w:tcPr>
            <w:tcW w:w="548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1240" w:type="dxa"/>
            <w:vAlign w:val="bottom"/>
          </w:tcPr>
          <w:p>
            <w:pPr>
              <w:jc w:val="right"/>
              <w:ind w:right="201"/>
              <w:spacing w:after="0"/>
              <w:rPr>
                <w:sz w:val="20"/>
                <w:szCs w:val="20"/>
                <w:color w:val="auto"/>
              </w:rPr>
            </w:pPr>
            <w:r>
              <w:rPr>
                <w:rFonts w:ascii="Arial" w:cs="Arial" w:eastAsia="Arial" w:hAnsi="Arial"/>
                <w:sz w:val="16"/>
                <w:szCs w:val="16"/>
                <w:color w:val="auto"/>
              </w:rPr>
              <w:t>$550,000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572,000</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4.0%</w:t>
            </w:r>
          </w:p>
        </w:tc>
      </w:tr>
      <w:tr>
        <w:trPr>
          <w:trHeight w:val="21"/>
        </w:trPr>
        <w:tc>
          <w:tcPr>
            <w:tcW w:w="548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360" w:type="dxa"/>
            <w:vAlign w:val="bottom"/>
            <w:tcBorders>
              <w:bottom w:val="single" w:sz="8" w:color="5D6673"/>
            </w:tcBorders>
          </w:tcPr>
          <w:p>
            <w:pPr>
              <w:spacing w:after="0" w:line="20" w:lineRule="exact"/>
              <w:rPr>
                <w:sz w:val="1"/>
                <w:szCs w:val="1"/>
                <w:color w:val="auto"/>
              </w:rPr>
            </w:pPr>
          </w:p>
        </w:tc>
        <w:tc>
          <w:tcPr>
            <w:tcW w:w="1000" w:type="dxa"/>
            <w:vAlign w:val="bottom"/>
            <w:tcBorders>
              <w:bottom w:val="single" w:sz="8" w:color="5D6673"/>
            </w:tcBorders>
          </w:tcPr>
          <w:p>
            <w:pPr>
              <w:spacing w:after="0" w:line="20" w:lineRule="exact"/>
              <w:rPr>
                <w:sz w:val="1"/>
                <w:szCs w:val="1"/>
                <w:color w:val="auto"/>
              </w:rPr>
            </w:pPr>
          </w:p>
        </w:tc>
        <w:tc>
          <w:tcPr>
            <w:tcW w:w="1100" w:type="dxa"/>
            <w:vAlign w:val="bottom"/>
            <w:tcBorders>
              <w:bottom w:val="single" w:sz="8" w:color="5D6673"/>
            </w:tcBorders>
          </w:tcPr>
          <w:p>
            <w:pPr>
              <w:spacing w:after="0" w:line="20" w:lineRule="exact"/>
              <w:rPr>
                <w:sz w:val="1"/>
                <w:szCs w:val="1"/>
                <w:color w:val="auto"/>
              </w:rPr>
            </w:pPr>
          </w:p>
        </w:tc>
      </w:tr>
      <w:tr>
        <w:trPr>
          <w:trHeight w:val="243"/>
        </w:trPr>
        <w:tc>
          <w:tcPr>
            <w:tcW w:w="548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1240" w:type="dxa"/>
            <w:vAlign w:val="bottom"/>
          </w:tcPr>
          <w:p>
            <w:pPr>
              <w:jc w:val="right"/>
              <w:ind w:right="201"/>
              <w:spacing w:after="0"/>
              <w:rPr>
                <w:sz w:val="20"/>
                <w:szCs w:val="20"/>
                <w:color w:val="auto"/>
              </w:rPr>
            </w:pPr>
            <w:r>
              <w:rPr>
                <w:rFonts w:ascii="Arial" w:cs="Arial" w:eastAsia="Arial" w:hAnsi="Arial"/>
                <w:sz w:val="16"/>
                <w:szCs w:val="16"/>
                <w:color w:val="auto"/>
              </w:rPr>
              <w:t>$470,000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489,000</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4.0%</w:t>
            </w:r>
          </w:p>
        </w:tc>
      </w:tr>
      <w:tr>
        <w:trPr>
          <w:trHeight w:val="21"/>
        </w:trPr>
        <w:tc>
          <w:tcPr>
            <w:tcW w:w="548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360" w:type="dxa"/>
            <w:vAlign w:val="bottom"/>
            <w:tcBorders>
              <w:bottom w:val="single" w:sz="8" w:color="5D6673"/>
            </w:tcBorders>
          </w:tcPr>
          <w:p>
            <w:pPr>
              <w:spacing w:after="0" w:line="20" w:lineRule="exact"/>
              <w:rPr>
                <w:sz w:val="1"/>
                <w:szCs w:val="1"/>
                <w:color w:val="auto"/>
              </w:rPr>
            </w:pPr>
          </w:p>
        </w:tc>
        <w:tc>
          <w:tcPr>
            <w:tcW w:w="1000" w:type="dxa"/>
            <w:vAlign w:val="bottom"/>
            <w:tcBorders>
              <w:bottom w:val="single" w:sz="8" w:color="5D6673"/>
            </w:tcBorders>
          </w:tcPr>
          <w:p>
            <w:pPr>
              <w:spacing w:after="0" w:line="20" w:lineRule="exact"/>
              <w:rPr>
                <w:sz w:val="1"/>
                <w:szCs w:val="1"/>
                <w:color w:val="auto"/>
              </w:rPr>
            </w:pPr>
          </w:p>
        </w:tc>
        <w:tc>
          <w:tcPr>
            <w:tcW w:w="1100" w:type="dxa"/>
            <w:vAlign w:val="bottom"/>
            <w:tcBorders>
              <w:bottom w:val="single" w:sz="8" w:color="5D6673"/>
            </w:tcBorders>
          </w:tcPr>
          <w:p>
            <w:pPr>
              <w:spacing w:after="0" w:line="20" w:lineRule="exact"/>
              <w:rPr>
                <w:sz w:val="1"/>
                <w:szCs w:val="1"/>
                <w:color w:val="auto"/>
              </w:rPr>
            </w:pPr>
          </w:p>
        </w:tc>
      </w:tr>
      <w:tr>
        <w:trPr>
          <w:trHeight w:val="243"/>
        </w:trPr>
        <w:tc>
          <w:tcPr>
            <w:tcW w:w="548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1240" w:type="dxa"/>
            <w:vAlign w:val="bottom"/>
          </w:tcPr>
          <w:p>
            <w:pPr>
              <w:jc w:val="right"/>
              <w:ind w:right="201"/>
              <w:spacing w:after="0"/>
              <w:rPr>
                <w:sz w:val="20"/>
                <w:szCs w:val="20"/>
                <w:color w:val="auto"/>
              </w:rPr>
            </w:pPr>
            <w:r>
              <w:rPr>
                <w:rFonts w:ascii="Arial" w:cs="Arial" w:eastAsia="Arial" w:hAnsi="Arial"/>
                <w:sz w:val="16"/>
                <w:szCs w:val="16"/>
                <w:color w:val="auto"/>
              </w:rPr>
              <w:t>$460,000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478,000</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3.9%</w:t>
            </w:r>
          </w:p>
        </w:tc>
      </w:tr>
      <w:tr>
        <w:trPr>
          <w:trHeight w:val="21"/>
        </w:trPr>
        <w:tc>
          <w:tcPr>
            <w:tcW w:w="548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360" w:type="dxa"/>
            <w:vAlign w:val="bottom"/>
            <w:tcBorders>
              <w:bottom w:val="single" w:sz="8" w:color="5D6673"/>
            </w:tcBorders>
          </w:tcPr>
          <w:p>
            <w:pPr>
              <w:spacing w:after="0" w:line="20" w:lineRule="exact"/>
              <w:rPr>
                <w:sz w:val="1"/>
                <w:szCs w:val="1"/>
                <w:color w:val="auto"/>
              </w:rPr>
            </w:pPr>
          </w:p>
        </w:tc>
        <w:tc>
          <w:tcPr>
            <w:tcW w:w="1000" w:type="dxa"/>
            <w:vAlign w:val="bottom"/>
            <w:tcBorders>
              <w:bottom w:val="single" w:sz="8" w:color="5D6673"/>
            </w:tcBorders>
          </w:tcPr>
          <w:p>
            <w:pPr>
              <w:spacing w:after="0" w:line="20" w:lineRule="exact"/>
              <w:rPr>
                <w:sz w:val="1"/>
                <w:szCs w:val="1"/>
                <w:color w:val="auto"/>
              </w:rPr>
            </w:pPr>
          </w:p>
        </w:tc>
        <w:tc>
          <w:tcPr>
            <w:tcW w:w="1100" w:type="dxa"/>
            <w:vAlign w:val="bottom"/>
            <w:tcBorders>
              <w:bottom w:val="single" w:sz="8" w:color="5D6673"/>
            </w:tcBorders>
          </w:tcPr>
          <w:p>
            <w:pPr>
              <w:spacing w:after="0" w:line="20" w:lineRule="exact"/>
              <w:rPr>
                <w:sz w:val="1"/>
                <w:szCs w:val="1"/>
                <w:color w:val="auto"/>
              </w:rPr>
            </w:pPr>
          </w:p>
        </w:tc>
      </w:tr>
      <w:tr>
        <w:trPr>
          <w:trHeight w:val="237"/>
        </w:trPr>
        <w:tc>
          <w:tcPr>
            <w:tcW w:w="548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1240" w:type="dxa"/>
            <w:vAlign w:val="bottom"/>
            <w:tcBorders>
              <w:bottom w:val="single" w:sz="8" w:color="0063A6"/>
            </w:tcBorders>
          </w:tcPr>
          <w:p>
            <w:pPr>
              <w:jc w:val="right"/>
              <w:ind w:right="201"/>
              <w:spacing w:after="0"/>
              <w:rPr>
                <w:sz w:val="20"/>
                <w:szCs w:val="20"/>
                <w:color w:val="auto"/>
              </w:rPr>
            </w:pPr>
            <w:r>
              <w:rPr>
                <w:rFonts w:ascii="Arial" w:cs="Arial" w:eastAsia="Arial" w:hAnsi="Arial"/>
                <w:sz w:val="16"/>
                <w:szCs w:val="16"/>
                <w:color w:val="auto"/>
              </w:rPr>
              <w:t>$415,000</w:t>
            </w:r>
          </w:p>
        </w:tc>
        <w:tc>
          <w:tcPr>
            <w:tcW w:w="3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63A6"/>
            </w:tcBorders>
          </w:tcPr>
          <w:p>
            <w:pPr>
              <w:jc w:val="right"/>
              <w:ind w:right="201"/>
              <w:spacing w:after="0"/>
              <w:rPr>
                <w:sz w:val="20"/>
                <w:szCs w:val="20"/>
                <w:color w:val="auto"/>
              </w:rPr>
            </w:pPr>
            <w:r>
              <w:rPr>
                <w:rFonts w:ascii="Arial" w:cs="Arial" w:eastAsia="Arial" w:hAnsi="Arial"/>
                <w:sz w:val="16"/>
                <w:szCs w:val="16"/>
                <w:color w:val="auto"/>
              </w:rPr>
              <w:t>440,000</w:t>
            </w:r>
          </w:p>
        </w:tc>
        <w:tc>
          <w:tcPr>
            <w:tcW w:w="110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6.0%</w:t>
            </w:r>
          </w:p>
        </w:tc>
      </w:tr>
    </w:tbl>
    <w:p>
      <w:pPr>
        <w:spacing w:after="0" w:line="233"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Annual Cash Incentives: The Itron Incentive Plan (IIP)</w:t>
      </w:r>
    </w:p>
    <w:p>
      <w:pPr>
        <w:spacing w:after="0" w:line="90" w:lineRule="exact"/>
        <w:rPr>
          <w:sz w:val="20"/>
          <w:szCs w:val="20"/>
          <w:color w:val="auto"/>
        </w:rPr>
      </w:pPr>
    </w:p>
    <w:p>
      <w:pPr>
        <w:ind w:left="920" w:right="1040"/>
        <w:spacing w:after="0" w:line="253" w:lineRule="auto"/>
        <w:rPr>
          <w:sz w:val="20"/>
          <w:szCs w:val="20"/>
          <w:color w:val="auto"/>
        </w:rPr>
      </w:pPr>
      <w:r>
        <w:rPr>
          <w:rFonts w:ascii="Arial" w:cs="Arial" w:eastAsia="Arial" w:hAnsi="Arial"/>
          <w:sz w:val="16"/>
          <w:szCs w:val="16"/>
          <w:color w:val="auto"/>
        </w:rPr>
        <w:t>The 2025 IIP provided our NEOs the opportunity to earn a performance-based annual cash bonus. Actual bonus payouts depend on the achievement of pre-determined financial and non-financial performance objectives. Financial objectives are subject to the achievement of a threshold Adjusted EBITDA goal and payouts can range from 0% to 150% of target award amounts. Non-financial objectives are based on Quantitative Strategic Goals and payouts can range between 0% and 100% of target award amounts. The Committee also retains discretion to apply a modifier to payouts under the IIP to either reduce or increase the payout based on its assessment of individual and/or business unit performance. As discussed below under “2025 Individual Performance,” the Committee did not apply an individual modifier to 2025 payouts for any of the NEOs.</w:t>
      </w:r>
    </w:p>
    <w:p>
      <w:pPr>
        <w:spacing w:after="0" w:line="141" w:lineRule="exact"/>
        <w:rPr>
          <w:sz w:val="20"/>
          <w:szCs w:val="20"/>
          <w:color w:val="auto"/>
        </w:rPr>
      </w:pPr>
    </w:p>
    <w:p>
      <w:pPr>
        <w:ind w:left="920" w:right="1000"/>
        <w:spacing w:after="0" w:line="259" w:lineRule="auto"/>
        <w:rPr>
          <w:sz w:val="20"/>
          <w:szCs w:val="20"/>
          <w:color w:val="auto"/>
        </w:rPr>
      </w:pPr>
      <w:r>
        <w:rPr>
          <w:rFonts w:ascii="Arial" w:cs="Arial" w:eastAsia="Arial" w:hAnsi="Arial"/>
          <w:sz w:val="16"/>
          <w:szCs w:val="16"/>
          <w:i w:val="1"/>
          <w:iCs w:val="1"/>
          <w:color w:val="auto"/>
        </w:rPr>
        <w:t xml:space="preserve">2025 Target Annual Bonus Opportunities. </w:t>
      </w:r>
      <w:r>
        <w:rPr>
          <w:rFonts w:ascii="Arial" w:cs="Arial" w:eastAsia="Arial" w:hAnsi="Arial"/>
          <w:sz w:val="16"/>
          <w:szCs w:val="16"/>
          <w:color w:val="auto"/>
        </w:rPr>
        <w:t>Target annual bonus opportunities are expressed as a percentage of base salary and</w:t>
      </w:r>
      <w:r>
        <w:rPr>
          <w:rFonts w:ascii="Arial" w:cs="Arial" w:eastAsia="Arial" w:hAnsi="Arial"/>
          <w:sz w:val="16"/>
          <w:szCs w:val="16"/>
          <w:i w:val="1"/>
          <w:iCs w:val="1"/>
          <w:color w:val="auto"/>
        </w:rPr>
        <w:t xml:space="preserve"> </w:t>
      </w:r>
      <w:r>
        <w:rPr>
          <w:rFonts w:ascii="Arial" w:cs="Arial" w:eastAsia="Arial" w:hAnsi="Arial"/>
          <w:sz w:val="16"/>
          <w:szCs w:val="16"/>
          <w:color w:val="auto"/>
        </w:rPr>
        <w:t>were established by the NEO’s level of responsibility and his or her ability to impact overall results. The Committee also considers market data in setting target award amounts. NEO target annual bonus opportunities for 2025 remained unchanged from 2024. As a result, target annual bonus opportunities for 2025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4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2025 Target IIP</w:t>
            </w:r>
          </w:p>
        </w:tc>
        <w:tc>
          <w:tcPr>
            <w:tcW w:w="920" w:type="dxa"/>
            <w:vAlign w:val="bottom"/>
          </w:tcPr>
          <w:p>
            <w:pPr>
              <w:spacing w:after="0"/>
              <w:rPr>
                <w:sz w:val="19"/>
                <w:szCs w:val="19"/>
                <w:color w:val="auto"/>
              </w:rPr>
            </w:pPr>
          </w:p>
        </w:tc>
      </w:tr>
      <w:tr>
        <w:trPr>
          <w:trHeight w:val="205"/>
        </w:trPr>
        <w:tc>
          <w:tcPr>
            <w:tcW w:w="920" w:type="dxa"/>
            <w:vAlign w:val="bottom"/>
          </w:tcPr>
          <w:p>
            <w:pPr>
              <w:spacing w:after="0"/>
              <w:rPr>
                <w:sz w:val="17"/>
                <w:szCs w:val="17"/>
                <w:color w:val="auto"/>
              </w:rPr>
            </w:pPr>
          </w:p>
        </w:tc>
        <w:tc>
          <w:tcPr>
            <w:tcW w:w="230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3840" w:type="dxa"/>
            <w:vAlign w:val="bottom"/>
            <w:tcBorders>
              <w:bottom w:val="single" w:sz="8" w:color="0063A6"/>
            </w:tcBorders>
          </w:tcPr>
          <w:p>
            <w:pPr>
              <w:spacing w:after="0"/>
              <w:rPr>
                <w:sz w:val="17"/>
                <w:szCs w:val="17"/>
                <w:color w:val="auto"/>
              </w:rPr>
            </w:pPr>
          </w:p>
        </w:tc>
        <w:tc>
          <w:tcPr>
            <w:tcW w:w="1300" w:type="dxa"/>
            <w:vAlign w:val="bottom"/>
            <w:tcBorders>
              <w:bottom w:val="single" w:sz="8" w:color="0063A6"/>
            </w:tcBorders>
          </w:tcPr>
          <w:p>
            <w:pPr>
              <w:spacing w:after="0"/>
              <w:rPr>
                <w:sz w:val="17"/>
                <w:szCs w:val="17"/>
                <w:color w:val="auto"/>
              </w:rPr>
            </w:pPr>
          </w:p>
        </w:tc>
        <w:tc>
          <w:tcPr>
            <w:tcW w:w="17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(as a % of Base Salary)</w:t>
            </w:r>
          </w:p>
        </w:tc>
        <w:tc>
          <w:tcPr>
            <w:tcW w:w="920" w:type="dxa"/>
            <w:vAlign w:val="bottom"/>
          </w:tcPr>
          <w:p>
            <w:pPr>
              <w:spacing w:after="0"/>
              <w:rPr>
                <w:sz w:val="17"/>
                <w:szCs w:val="17"/>
                <w:color w:val="auto"/>
              </w:rPr>
            </w:pPr>
          </w:p>
        </w:tc>
      </w:tr>
      <w:tr>
        <w:trPr>
          <w:trHeight w:val="249"/>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125%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Joan S. Hooper</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Donald L. Reeves</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John F. Marcolini</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2300" w:type="dxa"/>
            <w:vAlign w:val="bottom"/>
            <w:tcBorders>
              <w:bottom w:val="single" w:sz="8" w:color="0063A6"/>
            </w:tcBorders>
          </w:tcPr>
          <w:p>
            <w:pPr>
              <w:ind w:left="80"/>
              <w:spacing w:after="0"/>
              <w:rPr>
                <w:sz w:val="20"/>
                <w:szCs w:val="20"/>
                <w:color w:val="auto"/>
              </w:rPr>
            </w:pPr>
            <w:r>
              <w:rPr>
                <w:rFonts w:ascii="Arial" w:cs="Arial" w:eastAsia="Arial" w:hAnsi="Arial"/>
                <w:sz w:val="16"/>
                <w:szCs w:val="16"/>
                <w:b w:val="1"/>
                <w:bCs w:val="1"/>
                <w:color w:val="0063A6"/>
              </w:rPr>
              <w:t>Justin K. Patrick</w:t>
            </w:r>
          </w:p>
        </w:tc>
        <w:tc>
          <w:tcPr>
            <w:tcW w:w="3840" w:type="dxa"/>
            <w:vAlign w:val="bottom"/>
            <w:tcBorders>
              <w:bottom w:val="single" w:sz="8" w:color="0063A6"/>
            </w:tcBorders>
          </w:tcPr>
          <w:p>
            <w:pPr>
              <w:spacing w:after="0"/>
              <w:rPr>
                <w:sz w:val="20"/>
                <w:szCs w:val="20"/>
                <w:color w:val="auto"/>
              </w:rPr>
            </w:pPr>
          </w:p>
        </w:tc>
        <w:tc>
          <w:tcPr>
            <w:tcW w:w="3040" w:type="dxa"/>
            <w:vAlign w:val="bottom"/>
            <w:tcBorders>
              <w:bottom w:val="single" w:sz="8" w:color="0063A6"/>
            </w:tcBorders>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0"/>
                <w:szCs w:val="20"/>
                <w:color w:val="auto"/>
              </w:rPr>
            </w:pPr>
          </w:p>
        </w:tc>
      </w:tr>
      <w:tr>
        <w:trPr>
          <w:trHeight w:val="210"/>
        </w:trPr>
        <w:tc>
          <w:tcPr>
            <w:tcW w:w="920" w:type="dxa"/>
            <w:vAlign w:val="bottom"/>
          </w:tcPr>
          <w:p>
            <w:pPr>
              <w:spacing w:after="0"/>
              <w:rPr>
                <w:sz w:val="18"/>
                <w:szCs w:val="18"/>
                <w:color w:val="auto"/>
              </w:rPr>
            </w:pPr>
          </w:p>
        </w:tc>
        <w:tc>
          <w:tcPr>
            <w:tcW w:w="2300" w:type="dxa"/>
            <w:vAlign w:val="bottom"/>
            <w:tcBorders>
              <w:bottom w:val="single" w:sz="8" w:color="D02A2E"/>
            </w:tcBorders>
          </w:tcPr>
          <w:p>
            <w:pPr>
              <w:spacing w:after="0"/>
              <w:rPr>
                <w:sz w:val="18"/>
                <w:szCs w:val="18"/>
                <w:color w:val="auto"/>
              </w:rPr>
            </w:pPr>
          </w:p>
        </w:tc>
        <w:tc>
          <w:tcPr>
            <w:tcW w:w="3840" w:type="dxa"/>
            <w:vAlign w:val="bottom"/>
            <w:tcBorders>
              <w:bottom w:val="single" w:sz="8" w:color="D02A2E"/>
            </w:tcBorders>
          </w:tcPr>
          <w:p>
            <w:pPr>
              <w:spacing w:after="0"/>
              <w:rPr>
                <w:sz w:val="18"/>
                <w:szCs w:val="18"/>
                <w:color w:val="auto"/>
              </w:rPr>
            </w:pPr>
          </w:p>
        </w:tc>
        <w:tc>
          <w:tcPr>
            <w:tcW w:w="3040" w:type="dxa"/>
            <w:vAlign w:val="bottom"/>
            <w:tcBorders>
              <w:bottom w:val="single" w:sz="8" w:color="D02A2E"/>
            </w:tcBorders>
            <w:gridSpan w:val="2"/>
          </w:tcPr>
          <w:p>
            <w:pPr>
              <w:spacing w:after="0"/>
              <w:rPr>
                <w:sz w:val="18"/>
                <w:szCs w:val="18"/>
                <w:color w:val="auto"/>
              </w:rPr>
            </w:pPr>
          </w:p>
        </w:tc>
        <w:tc>
          <w:tcPr>
            <w:tcW w:w="920" w:type="dxa"/>
            <w:vAlign w:val="bottom"/>
          </w:tcPr>
          <w:p>
            <w:pPr>
              <w:spacing w:after="0"/>
              <w:rPr>
                <w:sz w:val="18"/>
                <w:szCs w:val="18"/>
                <w:color w:val="auto"/>
              </w:rPr>
            </w:pPr>
          </w:p>
        </w:tc>
      </w:tr>
      <w:tr>
        <w:trPr>
          <w:trHeight w:val="315"/>
        </w:trPr>
        <w:tc>
          <w:tcPr>
            <w:tcW w:w="92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6"/>
                <w:szCs w:val="16"/>
                <w:color w:val="5D6673"/>
              </w:rPr>
              <w:t>32</w:t>
            </w:r>
          </w:p>
        </w:tc>
        <w:tc>
          <w:tcPr>
            <w:tcW w:w="3840" w:type="dxa"/>
            <w:vAlign w:val="bottom"/>
          </w:tcPr>
          <w:p>
            <w:pPr>
              <w:ind w:left="760"/>
              <w:spacing w:after="0"/>
              <w:rPr>
                <w:sz w:val="20"/>
                <w:szCs w:val="20"/>
                <w:color w:val="auto"/>
              </w:rPr>
            </w:pPr>
            <w:r>
              <w:rPr>
                <w:rFonts w:ascii="Arial" w:cs="Arial" w:eastAsia="Arial" w:hAnsi="Arial"/>
                <w:sz w:val="16"/>
                <w:szCs w:val="16"/>
                <w:color w:val="5D6673"/>
              </w:rPr>
              <w:t>                     ITRON, INC.</w:t>
            </w:r>
          </w:p>
        </w:tc>
        <w:tc>
          <w:tcPr>
            <w:tcW w:w="3040" w:type="dxa"/>
            <w:vAlign w:val="bottom"/>
            <w:gridSpan w:val="2"/>
          </w:tcPr>
          <w:p>
            <w:pPr>
              <w:jc w:val="right"/>
              <w:spacing w:after="0"/>
              <w:rPr>
                <w:sz w:val="20"/>
                <w:szCs w:val="20"/>
                <w:color w:val="auto"/>
              </w:rPr>
            </w:pPr>
            <w:r>
              <w:rPr>
                <w:rFonts w:ascii="Arial" w:cs="Arial" w:eastAsia="Arial" w:hAnsi="Arial"/>
                <w:sz w:val="16"/>
                <w:szCs w:val="16"/>
                <w:color w:val="5D6673"/>
              </w:rPr>
              <w:t>2026 PROXY STATEMENT</w:t>
            </w: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36" w:name="page37"/>
    <w:bookmarkEnd w:id="3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666"/>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6" w:right="580"/>
        <w:spacing w:after="0" w:line="286" w:lineRule="auto"/>
        <w:rPr>
          <w:sz w:val="20"/>
          <w:szCs w:val="20"/>
          <w:color w:val="auto"/>
        </w:rPr>
      </w:pPr>
      <w:r>
        <w:rPr>
          <w:rFonts w:ascii="Arial" w:cs="Arial" w:eastAsia="Arial" w:hAnsi="Arial"/>
          <w:sz w:val="16"/>
          <w:szCs w:val="16"/>
          <w:i w:val="1"/>
          <w:iCs w:val="1"/>
          <w:color w:val="auto"/>
        </w:rPr>
        <w:t xml:space="preserve">2025 Performance Objectives. </w:t>
      </w:r>
      <w:r>
        <w:rPr>
          <w:rFonts w:ascii="Arial" w:cs="Arial" w:eastAsia="Arial" w:hAnsi="Arial"/>
          <w:sz w:val="16"/>
          <w:szCs w:val="16"/>
          <w:color w:val="auto"/>
        </w:rPr>
        <w:t>An individual NEO’s IIP award is based on the following mix of financial and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w:t>
      </w:r>
    </w:p>
    <w:p>
      <w:pPr>
        <w:spacing w:after="0" w:line="102"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60" w:type="dxa"/>
            <w:vAlign w:val="bottom"/>
            <w:tcBorders>
              <w:bottom w:val="single" w:sz="8" w:color="0063A6"/>
            </w:tcBorders>
          </w:tcPr>
          <w:p>
            <w:pPr>
              <w:spacing w:after="0"/>
              <w:rPr>
                <w:sz w:val="22"/>
                <w:szCs w:val="22"/>
                <w:color w:val="auto"/>
              </w:rPr>
            </w:pPr>
          </w:p>
        </w:tc>
        <w:tc>
          <w:tcPr>
            <w:tcW w:w="1840" w:type="dxa"/>
            <w:vAlign w:val="bottom"/>
            <w:tcBorders>
              <w:bottom w:val="single" w:sz="8" w:color="0063A6"/>
            </w:tcBorders>
          </w:tcPr>
          <w:p>
            <w:pPr>
              <w:ind w:left="40"/>
              <w:spacing w:after="0"/>
              <w:rPr>
                <w:sz w:val="20"/>
                <w:szCs w:val="20"/>
                <w:color w:val="auto"/>
              </w:rPr>
            </w:pPr>
            <w:r>
              <w:rPr>
                <w:rFonts w:ascii="Arial" w:cs="Arial" w:eastAsia="Arial" w:hAnsi="Arial"/>
                <w:sz w:val="14"/>
                <w:szCs w:val="14"/>
                <w:b w:val="1"/>
                <w:bCs w:val="1"/>
                <w:color w:val="auto"/>
              </w:rPr>
              <w:t>Performance Objectives</w:t>
            </w:r>
          </w:p>
        </w:tc>
        <w:tc>
          <w:tcPr>
            <w:tcW w:w="100" w:type="dxa"/>
            <w:vAlign w:val="bottom"/>
            <w:tcBorders>
              <w:bottom w:val="single" w:sz="8" w:color="0063A6"/>
            </w:tcBorders>
            <w:shd w:val="clear" w:color="auto" w:fill="0063A6"/>
          </w:tcPr>
          <w:p>
            <w:pPr>
              <w:spacing w:after="0"/>
              <w:rPr>
                <w:sz w:val="22"/>
                <w:szCs w:val="22"/>
                <w:color w:val="auto"/>
              </w:rPr>
            </w:pPr>
          </w:p>
        </w:tc>
        <w:tc>
          <w:tcPr>
            <w:tcW w:w="164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Performance Metrics</w:t>
            </w:r>
          </w:p>
        </w:tc>
        <w:tc>
          <w:tcPr>
            <w:tcW w:w="1840" w:type="dxa"/>
            <w:vAlign w:val="bottom"/>
            <w:tcBorders>
              <w:bottom w:val="single" w:sz="8" w:color="0063A6"/>
            </w:tcBorders>
            <w:shd w:val="clear" w:color="auto" w:fill="0063A6"/>
          </w:tcPr>
          <w:p>
            <w:pPr>
              <w:jc w:val="center"/>
              <w:ind w:left="101"/>
              <w:spacing w:after="0"/>
              <w:rPr>
                <w:sz w:val="20"/>
                <w:szCs w:val="20"/>
                <w:color w:val="auto"/>
              </w:rPr>
            </w:pPr>
            <w:r>
              <w:rPr>
                <w:rFonts w:ascii="Arial" w:cs="Arial" w:eastAsia="Arial" w:hAnsi="Arial"/>
                <w:sz w:val="14"/>
                <w:szCs w:val="14"/>
                <w:b w:val="1"/>
                <w:bCs w:val="1"/>
                <w:color w:val="FFFFFF"/>
              </w:rPr>
              <w:t>2025 IIP Weighting</w:t>
            </w:r>
          </w:p>
        </w:tc>
        <w:tc>
          <w:tcPr>
            <w:tcW w:w="3700" w:type="dxa"/>
            <w:vAlign w:val="bottom"/>
            <w:tcBorders>
              <w:bottom w:val="single" w:sz="8" w:color="0063A6"/>
            </w:tcBorders>
            <w:shd w:val="clear" w:color="auto" w:fill="0063A6"/>
          </w:tcPr>
          <w:p>
            <w:pPr>
              <w:ind w:left="200"/>
              <w:spacing w:after="0"/>
              <w:rPr>
                <w:sz w:val="20"/>
                <w:szCs w:val="20"/>
                <w:color w:val="auto"/>
              </w:rPr>
            </w:pPr>
            <w:r>
              <w:rPr>
                <w:rFonts w:ascii="Arial" w:cs="Arial" w:eastAsia="Arial" w:hAnsi="Arial"/>
                <w:sz w:val="14"/>
                <w:szCs w:val="14"/>
                <w:b w:val="1"/>
                <w:bCs w:val="1"/>
                <w:color w:val="FFFFFF"/>
              </w:rPr>
              <w:t>Rationale</w:t>
            </w:r>
          </w:p>
        </w:tc>
        <w:tc>
          <w:tcPr>
            <w:tcW w:w="0" w:type="dxa"/>
            <w:vAlign w:val="bottom"/>
          </w:tcPr>
          <w:p>
            <w:pPr>
              <w:spacing w:after="0"/>
              <w:rPr>
                <w:sz w:val="1"/>
                <w:szCs w:val="1"/>
                <w:color w:val="auto"/>
              </w:rPr>
            </w:pPr>
          </w:p>
        </w:tc>
      </w:tr>
      <w:tr>
        <w:trPr>
          <w:trHeight w:val="288"/>
        </w:trPr>
        <w:tc>
          <w:tcPr>
            <w:tcW w:w="60" w:type="dxa"/>
            <w:vAlign w:val="bottom"/>
            <w:shd w:val="clear" w:color="auto" w:fill="DCDEE4"/>
          </w:tcPr>
          <w:p>
            <w:pPr>
              <w:spacing w:after="0"/>
              <w:rPr>
                <w:sz w:val="24"/>
                <w:szCs w:val="24"/>
                <w:color w:val="auto"/>
              </w:rPr>
            </w:pPr>
          </w:p>
        </w:tc>
        <w:tc>
          <w:tcPr>
            <w:tcW w:w="18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Focuses on profitable growth, while continuing to</w:t>
            </w:r>
          </w:p>
        </w:tc>
        <w:tc>
          <w:tcPr>
            <w:tcW w:w="0" w:type="dxa"/>
            <w:vAlign w:val="bottom"/>
          </w:tcPr>
          <w:p>
            <w:pPr>
              <w:spacing w:after="0"/>
              <w:rPr>
                <w:sz w:val="1"/>
                <w:szCs w:val="1"/>
                <w:color w:val="auto"/>
              </w:rPr>
            </w:pPr>
          </w:p>
        </w:tc>
      </w:tr>
      <w:tr>
        <w:trPr>
          <w:trHeight w:val="162"/>
        </w:trPr>
        <w:tc>
          <w:tcPr>
            <w:tcW w:w="60" w:type="dxa"/>
            <w:vAlign w:val="bottom"/>
            <w:shd w:val="clear" w:color="auto" w:fill="DCDEE4"/>
          </w:tcPr>
          <w:p>
            <w:pPr>
              <w:spacing w:after="0"/>
              <w:rPr>
                <w:sz w:val="14"/>
                <w:szCs w:val="14"/>
                <w:color w:val="auto"/>
              </w:rPr>
            </w:pPr>
          </w:p>
        </w:tc>
        <w:tc>
          <w:tcPr>
            <w:tcW w:w="1840" w:type="dxa"/>
            <w:vAlign w:val="bottom"/>
            <w:shd w:val="clear" w:color="auto" w:fill="DCDEE4"/>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provide strong accountability for returns.</w:t>
            </w:r>
          </w:p>
        </w:tc>
        <w:tc>
          <w:tcPr>
            <w:tcW w:w="0" w:type="dxa"/>
            <w:vAlign w:val="bottom"/>
          </w:tcPr>
          <w:p>
            <w:pPr>
              <w:spacing w:after="0"/>
              <w:rPr>
                <w:sz w:val="1"/>
                <w:szCs w:val="1"/>
                <w:color w:val="auto"/>
              </w:rPr>
            </w:pPr>
          </w:p>
        </w:tc>
      </w:tr>
      <w:tr>
        <w:trPr>
          <w:trHeight w:val="162"/>
        </w:trPr>
        <w:tc>
          <w:tcPr>
            <w:tcW w:w="60" w:type="dxa"/>
            <w:vAlign w:val="bottom"/>
            <w:shd w:val="clear" w:color="auto" w:fill="DCDEE4"/>
          </w:tcPr>
          <w:p>
            <w:pPr>
              <w:spacing w:after="0"/>
              <w:rPr>
                <w:sz w:val="14"/>
                <w:szCs w:val="14"/>
                <w:color w:val="auto"/>
              </w:rPr>
            </w:pPr>
          </w:p>
        </w:tc>
        <w:tc>
          <w:tcPr>
            <w:tcW w:w="1840" w:type="dxa"/>
            <w:vAlign w:val="bottom"/>
            <w:shd w:val="clear" w:color="auto" w:fill="DCDEE4"/>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60" w:type="dxa"/>
            <w:vAlign w:val="bottom"/>
            <w:shd w:val="clear" w:color="auto" w:fill="DCDEE4"/>
          </w:tcPr>
          <w:p>
            <w:pPr>
              <w:spacing w:after="0"/>
              <w:rPr>
                <w:sz w:val="14"/>
                <w:szCs w:val="14"/>
                <w:color w:val="auto"/>
              </w:rPr>
            </w:pPr>
          </w:p>
        </w:tc>
        <w:tc>
          <w:tcPr>
            <w:tcW w:w="1840" w:type="dxa"/>
            <w:vAlign w:val="bottom"/>
            <w:shd w:val="clear" w:color="auto" w:fill="DCDEE4"/>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restart"/>
          </w:tcPr>
          <w:p>
            <w:pPr>
              <w:spacing w:after="0"/>
              <w:rPr>
                <w:sz w:val="20"/>
                <w:szCs w:val="20"/>
                <w:color w:val="auto"/>
              </w:rPr>
            </w:pPr>
            <w:r>
              <w:rPr>
                <w:rFonts w:ascii="Arial" w:cs="Arial" w:eastAsia="Arial" w:hAnsi="Arial"/>
                <w:sz w:val="16"/>
                <w:szCs w:val="16"/>
                <w:b w:val="1"/>
                <w:bCs w:val="1"/>
                <w:color w:val="0063A6"/>
              </w:rPr>
              <w:t>Adjusted</w:t>
            </w: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Adjusted EBITDA provides a more useful illustration</w:t>
            </w:r>
          </w:p>
        </w:tc>
        <w:tc>
          <w:tcPr>
            <w:tcW w:w="0" w:type="dxa"/>
            <w:vAlign w:val="bottom"/>
          </w:tcPr>
          <w:p>
            <w:pPr>
              <w:spacing w:after="0"/>
              <w:rPr>
                <w:sz w:val="1"/>
                <w:szCs w:val="1"/>
                <w:color w:val="auto"/>
              </w:rPr>
            </w:pPr>
          </w:p>
        </w:tc>
      </w:tr>
      <w:tr>
        <w:trPr>
          <w:trHeight w:val="157"/>
        </w:trPr>
        <w:tc>
          <w:tcPr>
            <w:tcW w:w="60" w:type="dxa"/>
            <w:vAlign w:val="bottom"/>
            <w:shd w:val="clear" w:color="auto" w:fill="DCDEE4"/>
          </w:tcPr>
          <w:p>
            <w:pPr>
              <w:spacing w:after="0"/>
              <w:rPr>
                <w:sz w:val="13"/>
                <w:szCs w:val="13"/>
                <w:color w:val="auto"/>
              </w:rPr>
            </w:pPr>
          </w:p>
        </w:tc>
        <w:tc>
          <w:tcPr>
            <w:tcW w:w="1840" w:type="dxa"/>
            <w:vAlign w:val="bottom"/>
            <w:shd w:val="clear" w:color="auto" w:fill="DCDEE4"/>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3700" w:type="dxa"/>
            <w:vAlign w:val="bottom"/>
          </w:tcPr>
          <w:p>
            <w:pPr>
              <w:ind w:left="200"/>
              <w:spacing w:after="0" w:line="157" w:lineRule="exact"/>
              <w:rPr>
                <w:sz w:val="20"/>
                <w:szCs w:val="20"/>
                <w:color w:val="auto"/>
              </w:rPr>
            </w:pPr>
            <w:r>
              <w:rPr>
                <w:rFonts w:ascii="Arial" w:cs="Arial" w:eastAsia="Arial" w:hAnsi="Arial"/>
                <w:sz w:val="14"/>
                <w:szCs w:val="14"/>
                <w:color w:val="auto"/>
              </w:rPr>
              <w:t>of our financial performance and the ongoing</w:t>
            </w:r>
          </w:p>
        </w:tc>
        <w:tc>
          <w:tcPr>
            <w:tcW w:w="0" w:type="dxa"/>
            <w:vAlign w:val="bottom"/>
          </w:tcPr>
          <w:p>
            <w:pPr>
              <w:spacing w:after="0"/>
              <w:rPr>
                <w:sz w:val="1"/>
                <w:szCs w:val="1"/>
                <w:color w:val="auto"/>
              </w:rPr>
            </w:pPr>
          </w:p>
        </w:tc>
      </w:tr>
      <w:tr>
        <w:trPr>
          <w:trHeight w:val="167"/>
        </w:trPr>
        <w:tc>
          <w:tcPr>
            <w:tcW w:w="60" w:type="dxa"/>
            <w:vAlign w:val="bottom"/>
            <w:shd w:val="clear" w:color="auto" w:fill="DCDEE4"/>
          </w:tcPr>
          <w:p>
            <w:pPr>
              <w:spacing w:after="0"/>
              <w:rPr>
                <w:sz w:val="14"/>
                <w:szCs w:val="14"/>
                <w:color w:val="auto"/>
              </w:rPr>
            </w:pPr>
          </w:p>
        </w:tc>
        <w:tc>
          <w:tcPr>
            <w:tcW w:w="1840" w:type="dxa"/>
            <w:vAlign w:val="bottom"/>
            <w:shd w:val="clear" w:color="auto" w:fill="DCDEE4"/>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line="167" w:lineRule="exact"/>
              <w:rPr>
                <w:sz w:val="20"/>
                <w:szCs w:val="20"/>
                <w:color w:val="auto"/>
              </w:rPr>
            </w:pPr>
            <w:r>
              <w:rPr>
                <w:rFonts w:ascii="Arial" w:cs="Arial" w:eastAsia="Arial" w:hAnsi="Arial"/>
                <w:sz w:val="16"/>
                <w:szCs w:val="16"/>
                <w:b w:val="1"/>
                <w:bCs w:val="1"/>
                <w:color w:val="0063A6"/>
              </w:rPr>
              <w:t>EBITDA</w:t>
            </w: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operations of our business, since the adjustments</w:t>
            </w:r>
          </w:p>
        </w:tc>
        <w:tc>
          <w:tcPr>
            <w:tcW w:w="0" w:type="dxa"/>
            <w:vAlign w:val="bottom"/>
          </w:tcPr>
          <w:p>
            <w:pPr>
              <w:spacing w:after="0"/>
              <w:rPr>
                <w:sz w:val="1"/>
                <w:szCs w:val="1"/>
                <w:color w:val="auto"/>
              </w:rPr>
            </w:pPr>
          </w:p>
        </w:tc>
      </w:tr>
      <w:tr>
        <w:trPr>
          <w:trHeight w:val="198"/>
        </w:trPr>
        <w:tc>
          <w:tcPr>
            <w:tcW w:w="60" w:type="dxa"/>
            <w:vAlign w:val="bottom"/>
            <w:shd w:val="clear" w:color="auto" w:fill="DCDEE4"/>
          </w:tcPr>
          <w:p>
            <w:pPr>
              <w:spacing w:after="0"/>
              <w:rPr>
                <w:sz w:val="17"/>
                <w:szCs w:val="17"/>
                <w:color w:val="auto"/>
              </w:rPr>
            </w:pPr>
          </w:p>
        </w:tc>
        <w:tc>
          <w:tcPr>
            <w:tcW w:w="1840" w:type="dxa"/>
            <w:vAlign w:val="bottom"/>
            <w:shd w:val="clear" w:color="auto" w:fill="DCDEE4"/>
          </w:tcPr>
          <w:p>
            <w:pPr>
              <w:ind w:left="40"/>
              <w:spacing w:after="0"/>
              <w:rPr>
                <w:sz w:val="20"/>
                <w:szCs w:val="20"/>
                <w:color w:val="auto"/>
              </w:rPr>
            </w:pPr>
            <w:r>
              <w:rPr>
                <w:rFonts w:ascii="Arial" w:cs="Arial" w:eastAsia="Arial" w:hAnsi="Arial"/>
                <w:sz w:val="16"/>
                <w:szCs w:val="16"/>
                <w:b w:val="1"/>
                <w:bCs w:val="1"/>
                <w:color w:val="0063A6"/>
              </w:rPr>
              <w:t>Financial</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vMerge w:val="restart"/>
          </w:tcPr>
          <w:p>
            <w:pPr>
              <w:ind w:left="200"/>
              <w:spacing w:after="0"/>
              <w:rPr>
                <w:sz w:val="20"/>
                <w:szCs w:val="20"/>
                <w:color w:val="auto"/>
              </w:rPr>
            </w:pPr>
            <w:r>
              <w:rPr>
                <w:rFonts w:ascii="Arial" w:cs="Arial" w:eastAsia="Arial" w:hAnsi="Arial"/>
                <w:sz w:val="16"/>
                <w:szCs w:val="16"/>
                <w:color w:val="auto"/>
              </w:rPr>
              <w:t> </w:t>
            </w:r>
          </w:p>
        </w:tc>
        <w:tc>
          <w:tcPr>
            <w:tcW w:w="3700" w:type="dxa"/>
            <w:vAlign w:val="bottom"/>
          </w:tcPr>
          <w:p>
            <w:pPr>
              <w:ind w:left="200"/>
              <w:spacing w:after="0"/>
              <w:rPr>
                <w:sz w:val="20"/>
                <w:szCs w:val="20"/>
                <w:color w:val="auto"/>
              </w:rPr>
            </w:pPr>
            <w:r>
              <w:rPr>
                <w:rFonts w:ascii="Arial" w:cs="Arial" w:eastAsia="Arial" w:hAnsi="Arial"/>
                <w:sz w:val="14"/>
                <w:szCs w:val="14"/>
                <w:color w:val="auto"/>
              </w:rPr>
              <w:t>exclude certain expenses that are not indicative of</w:t>
            </w:r>
          </w:p>
        </w:tc>
        <w:tc>
          <w:tcPr>
            <w:tcW w:w="0" w:type="dxa"/>
            <w:vAlign w:val="bottom"/>
          </w:tcPr>
          <w:p>
            <w:pPr>
              <w:spacing w:after="0"/>
              <w:rPr>
                <w:sz w:val="1"/>
                <w:szCs w:val="1"/>
                <w:color w:val="auto"/>
              </w:rPr>
            </w:pPr>
          </w:p>
        </w:tc>
      </w:tr>
      <w:tr>
        <w:trPr>
          <w:trHeight w:val="126"/>
        </w:trPr>
        <w:tc>
          <w:tcPr>
            <w:tcW w:w="1900" w:type="dxa"/>
            <w:vAlign w:val="bottom"/>
            <w:gridSpan w:val="2"/>
            <w:vMerge w:val="restart"/>
            <w:shd w:val="clear" w:color="auto" w:fill="DCDEE4"/>
          </w:tcPr>
          <w:p>
            <w:pPr>
              <w:ind w:left="100"/>
              <w:spacing w:after="0"/>
              <w:rPr>
                <w:sz w:val="20"/>
                <w:szCs w:val="20"/>
                <w:color w:val="auto"/>
              </w:rPr>
            </w:pPr>
            <w:r>
              <w:rPr>
                <w:rFonts w:ascii="Arial" w:cs="Arial" w:eastAsia="Arial" w:hAnsi="Arial"/>
                <w:sz w:val="16"/>
                <w:szCs w:val="16"/>
                <w:b w:val="1"/>
                <w:bCs w:val="1"/>
                <w:color w:val="0063A6"/>
              </w:rPr>
              <w:t>(80%)</w:t>
            </w: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3700" w:type="dxa"/>
            <w:vAlign w:val="bottom"/>
          </w:tcPr>
          <w:p>
            <w:pPr>
              <w:ind w:left="200"/>
              <w:spacing w:after="0" w:line="126" w:lineRule="exact"/>
              <w:rPr>
                <w:sz w:val="20"/>
                <w:szCs w:val="20"/>
                <w:color w:val="auto"/>
              </w:rPr>
            </w:pPr>
            <w:r>
              <w:rPr>
                <w:rFonts w:ascii="Arial" w:cs="Arial" w:eastAsia="Arial" w:hAnsi="Arial"/>
                <w:sz w:val="14"/>
                <w:szCs w:val="14"/>
                <w:color w:val="auto"/>
              </w:rPr>
              <w:t>our recurring core operating results. This facilitates</w:t>
            </w:r>
          </w:p>
        </w:tc>
        <w:tc>
          <w:tcPr>
            <w:tcW w:w="0" w:type="dxa"/>
            <w:vAlign w:val="bottom"/>
          </w:tcPr>
          <w:p>
            <w:pPr>
              <w:spacing w:after="0"/>
              <w:rPr>
                <w:sz w:val="1"/>
                <w:szCs w:val="1"/>
                <w:color w:val="auto"/>
              </w:rPr>
            </w:pPr>
          </w:p>
        </w:tc>
      </w:tr>
      <w:tr>
        <w:trPr>
          <w:trHeight w:val="68"/>
        </w:trPr>
        <w:tc>
          <w:tcPr>
            <w:tcW w:w="1900" w:type="dxa"/>
            <w:vAlign w:val="bottom"/>
            <w:gridSpan w:val="2"/>
            <w:vMerge w:val="continue"/>
            <w:shd w:val="clear" w:color="auto" w:fill="DCDEE4"/>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700" w:type="dxa"/>
            <w:vAlign w:val="bottom"/>
            <w:vMerge w:val="restart"/>
          </w:tcPr>
          <w:p>
            <w:pPr>
              <w:ind w:left="200"/>
              <w:spacing w:after="0"/>
              <w:rPr>
                <w:sz w:val="20"/>
                <w:szCs w:val="20"/>
                <w:color w:val="auto"/>
              </w:rPr>
            </w:pPr>
            <w:r>
              <w:rPr>
                <w:rFonts w:ascii="Arial" w:cs="Arial" w:eastAsia="Arial" w:hAnsi="Arial"/>
                <w:sz w:val="14"/>
                <w:szCs w:val="14"/>
                <w:color w:val="auto"/>
              </w:rPr>
              <w:t>better comparisons to our historical performance and</w:t>
            </w:r>
          </w:p>
        </w:tc>
        <w:tc>
          <w:tcPr>
            <w:tcW w:w="0" w:type="dxa"/>
            <w:vAlign w:val="bottom"/>
          </w:tcPr>
          <w:p>
            <w:pPr>
              <w:spacing w:after="0"/>
              <w:rPr>
                <w:sz w:val="1"/>
                <w:szCs w:val="1"/>
                <w:color w:val="auto"/>
              </w:rPr>
            </w:pPr>
          </w:p>
        </w:tc>
      </w:tr>
      <w:tr>
        <w:trPr>
          <w:trHeight w:val="94"/>
        </w:trPr>
        <w:tc>
          <w:tcPr>
            <w:tcW w:w="60" w:type="dxa"/>
            <w:vAlign w:val="bottom"/>
            <w:shd w:val="clear" w:color="auto" w:fill="DCDEE4"/>
          </w:tcPr>
          <w:p>
            <w:pPr>
              <w:spacing w:after="0"/>
              <w:rPr>
                <w:sz w:val="8"/>
                <w:szCs w:val="8"/>
                <w:color w:val="auto"/>
              </w:rPr>
            </w:pPr>
          </w:p>
        </w:tc>
        <w:tc>
          <w:tcPr>
            <w:tcW w:w="1840" w:type="dxa"/>
            <w:vAlign w:val="bottom"/>
            <w:vMerge w:val="restart"/>
            <w:shd w:val="clear" w:color="auto" w:fill="DCDEE4"/>
          </w:tcPr>
          <w:p>
            <w:pPr>
              <w:ind w:left="40"/>
              <w:spacing w:after="0"/>
              <w:rPr>
                <w:sz w:val="20"/>
                <w:szCs w:val="20"/>
                <w:color w:val="auto"/>
              </w:rPr>
            </w:pPr>
            <w:r>
              <w:rPr>
                <w:rFonts w:ascii="Arial" w:cs="Arial" w:eastAsia="Arial" w:hAnsi="Arial"/>
                <w:sz w:val="14"/>
                <w:szCs w:val="14"/>
                <w:color w:val="auto"/>
              </w:rPr>
              <w:t>Maximum payout:</w:t>
            </w: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DCDEE4"/>
          </w:tcPr>
          <w:p>
            <w:pPr>
              <w:spacing w:after="0"/>
              <w:rPr>
                <w:sz w:val="5"/>
                <w:szCs w:val="5"/>
                <w:color w:val="auto"/>
              </w:rPr>
            </w:pPr>
          </w:p>
        </w:tc>
        <w:tc>
          <w:tcPr>
            <w:tcW w:w="1840" w:type="dxa"/>
            <w:vAlign w:val="bottom"/>
            <w:vMerge w:val="continue"/>
            <w:shd w:val="clear" w:color="auto" w:fill="DCDEE4"/>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700" w:type="dxa"/>
            <w:vAlign w:val="bottom"/>
            <w:vMerge w:val="restart"/>
          </w:tcPr>
          <w:p>
            <w:pPr>
              <w:ind w:left="200"/>
              <w:spacing w:after="0"/>
              <w:rPr>
                <w:sz w:val="20"/>
                <w:szCs w:val="20"/>
                <w:color w:val="auto"/>
              </w:rPr>
            </w:pPr>
            <w:r>
              <w:rPr>
                <w:rFonts w:ascii="Arial" w:cs="Arial" w:eastAsia="Arial" w:hAnsi="Arial"/>
                <w:sz w:val="14"/>
                <w:szCs w:val="14"/>
                <w:color w:val="auto"/>
              </w:rPr>
              <w:t>our competitors’ operating results.</w:t>
            </w:r>
          </w:p>
        </w:tc>
        <w:tc>
          <w:tcPr>
            <w:tcW w:w="0" w:type="dxa"/>
            <w:vAlign w:val="bottom"/>
          </w:tcPr>
          <w:p>
            <w:pPr>
              <w:spacing w:after="0"/>
              <w:rPr>
                <w:sz w:val="1"/>
                <w:szCs w:val="1"/>
                <w:color w:val="auto"/>
              </w:rPr>
            </w:pPr>
          </w:p>
        </w:tc>
      </w:tr>
      <w:tr>
        <w:trPr>
          <w:trHeight w:val="123"/>
        </w:trPr>
        <w:tc>
          <w:tcPr>
            <w:tcW w:w="60" w:type="dxa"/>
            <w:vAlign w:val="bottom"/>
            <w:shd w:val="clear" w:color="auto" w:fill="DCDEE4"/>
          </w:tcPr>
          <w:p>
            <w:pPr>
              <w:spacing w:after="0"/>
              <w:rPr>
                <w:sz w:val="10"/>
                <w:szCs w:val="10"/>
                <w:color w:val="auto"/>
              </w:rPr>
            </w:pPr>
          </w:p>
        </w:tc>
        <w:tc>
          <w:tcPr>
            <w:tcW w:w="1840" w:type="dxa"/>
            <w:vAlign w:val="bottom"/>
            <w:vMerge w:val="restart"/>
            <w:shd w:val="clear" w:color="auto" w:fill="DCDEE4"/>
          </w:tcPr>
          <w:p>
            <w:pPr>
              <w:ind w:left="40"/>
              <w:spacing w:after="0"/>
              <w:rPr>
                <w:sz w:val="20"/>
                <w:szCs w:val="20"/>
                <w:color w:val="auto"/>
              </w:rPr>
            </w:pPr>
            <w:r>
              <w:rPr>
                <w:rFonts w:ascii="Arial" w:cs="Arial" w:eastAsia="Arial" w:hAnsi="Arial"/>
                <w:sz w:val="14"/>
                <w:szCs w:val="14"/>
                <w:color w:val="auto"/>
              </w:rPr>
              <w:t>150% of target</w:t>
            </w: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DCDEE4"/>
          </w:tcPr>
          <w:p>
            <w:pPr>
              <w:spacing w:after="0"/>
              <w:rPr>
                <w:sz w:val="5"/>
                <w:szCs w:val="5"/>
                <w:color w:val="auto"/>
              </w:rPr>
            </w:pPr>
          </w:p>
        </w:tc>
        <w:tc>
          <w:tcPr>
            <w:tcW w:w="1840" w:type="dxa"/>
            <w:vAlign w:val="bottom"/>
            <w:vMerge w:val="continue"/>
            <w:shd w:val="clear" w:color="auto" w:fill="DCDEE4"/>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DCDEE4"/>
            </w:tcBorders>
            <w:shd w:val="clear" w:color="auto" w:fill="DCDEE4"/>
          </w:tcPr>
          <w:p>
            <w:pPr>
              <w:spacing w:after="0"/>
              <w:rPr>
                <w:sz w:val="4"/>
                <w:szCs w:val="4"/>
                <w:color w:val="auto"/>
              </w:rPr>
            </w:pPr>
          </w:p>
        </w:tc>
        <w:tc>
          <w:tcPr>
            <w:tcW w:w="1840" w:type="dxa"/>
            <w:vAlign w:val="bottom"/>
            <w:tcBorders>
              <w:bottom w:val="single" w:sz="8" w:color="DCDEE4"/>
            </w:tcBorders>
            <w:shd w:val="clear" w:color="auto" w:fill="DCDEE4"/>
          </w:tcPr>
          <w:p>
            <w:pPr>
              <w:spacing w:after="0"/>
              <w:rPr>
                <w:sz w:val="4"/>
                <w:szCs w:val="4"/>
                <w:color w:val="auto"/>
              </w:rPr>
            </w:pPr>
          </w:p>
        </w:tc>
        <w:tc>
          <w:tcPr>
            <w:tcW w:w="100" w:type="dxa"/>
            <w:vAlign w:val="bottom"/>
            <w:tcBorders>
              <w:bottom w:val="single" w:sz="8" w:color="5D6673"/>
            </w:tcBorders>
          </w:tcPr>
          <w:p>
            <w:pPr>
              <w:spacing w:after="0"/>
              <w:rPr>
                <w:sz w:val="4"/>
                <w:szCs w:val="4"/>
                <w:color w:val="auto"/>
              </w:rPr>
            </w:pPr>
          </w:p>
        </w:tc>
        <w:tc>
          <w:tcPr>
            <w:tcW w:w="1640" w:type="dxa"/>
            <w:vAlign w:val="bottom"/>
            <w:tcBorders>
              <w:bottom w:val="single" w:sz="8" w:color="5D6673"/>
            </w:tcBorders>
          </w:tcPr>
          <w:p>
            <w:pPr>
              <w:spacing w:after="0"/>
              <w:rPr>
                <w:sz w:val="4"/>
                <w:szCs w:val="4"/>
                <w:color w:val="auto"/>
              </w:rPr>
            </w:pPr>
          </w:p>
        </w:tc>
        <w:tc>
          <w:tcPr>
            <w:tcW w:w="1840" w:type="dxa"/>
            <w:vAlign w:val="bottom"/>
            <w:tcBorders>
              <w:bottom w:val="single" w:sz="8" w:color="5D6673"/>
            </w:tcBorders>
          </w:tcPr>
          <w:p>
            <w:pPr>
              <w:spacing w:after="0"/>
              <w:rPr>
                <w:sz w:val="4"/>
                <w:szCs w:val="4"/>
                <w:color w:val="auto"/>
              </w:rPr>
            </w:pPr>
          </w:p>
        </w:tc>
        <w:tc>
          <w:tcPr>
            <w:tcW w:w="3700" w:type="dxa"/>
            <w:vAlign w:val="bottom"/>
            <w:tcBorders>
              <w:bottom w:val="single" w:sz="8" w:color="5D6673"/>
            </w:tcBorders>
          </w:tcPr>
          <w:p>
            <w:pPr>
              <w:spacing w:after="0"/>
              <w:rPr>
                <w:sz w:val="4"/>
                <w:szCs w:val="4"/>
                <w:color w:val="auto"/>
              </w:rPr>
            </w:pPr>
          </w:p>
        </w:tc>
        <w:tc>
          <w:tcPr>
            <w:tcW w:w="0" w:type="dxa"/>
            <w:vAlign w:val="bottom"/>
          </w:tcPr>
          <w:p>
            <w:pPr>
              <w:spacing w:after="0"/>
              <w:rPr>
                <w:sz w:val="1"/>
                <w:szCs w:val="1"/>
                <w:color w:val="auto"/>
              </w:rPr>
            </w:pPr>
          </w:p>
        </w:tc>
      </w:tr>
      <w:tr>
        <w:trPr>
          <w:trHeight w:val="524"/>
        </w:trPr>
        <w:tc>
          <w:tcPr>
            <w:tcW w:w="60" w:type="dxa"/>
            <w:vAlign w:val="bottom"/>
            <w:shd w:val="clear" w:color="auto" w:fill="DCDEE4"/>
          </w:tcPr>
          <w:p>
            <w:pPr>
              <w:spacing w:after="0"/>
              <w:rPr>
                <w:sz w:val="24"/>
                <w:szCs w:val="24"/>
                <w:color w:val="auto"/>
              </w:rPr>
            </w:pPr>
          </w:p>
        </w:tc>
        <w:tc>
          <w:tcPr>
            <w:tcW w:w="18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vMerge w:val="restart"/>
          </w:tcPr>
          <w:p>
            <w:pPr>
              <w:spacing w:after="0"/>
              <w:rPr>
                <w:sz w:val="20"/>
                <w:szCs w:val="20"/>
                <w:color w:val="auto"/>
              </w:rPr>
            </w:pPr>
            <w:r>
              <w:rPr>
                <w:rFonts w:ascii="Arial" w:cs="Arial" w:eastAsia="Arial" w:hAnsi="Arial"/>
                <w:sz w:val="16"/>
                <w:szCs w:val="16"/>
                <w:b w:val="1"/>
                <w:bCs w:val="1"/>
                <w:color w:val="0063A6"/>
              </w:rPr>
              <w:t>Revenue</w:t>
            </w:r>
          </w:p>
        </w:tc>
        <w:tc>
          <w:tcPr>
            <w:tcW w:w="184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Ensures we are delivering an appropriate level of top-</w:t>
            </w:r>
          </w:p>
        </w:tc>
        <w:tc>
          <w:tcPr>
            <w:tcW w:w="0" w:type="dxa"/>
            <w:vAlign w:val="bottom"/>
          </w:tcPr>
          <w:p>
            <w:pPr>
              <w:spacing w:after="0"/>
              <w:rPr>
                <w:sz w:val="1"/>
                <w:szCs w:val="1"/>
                <w:color w:val="auto"/>
              </w:rPr>
            </w:pPr>
          </w:p>
        </w:tc>
      </w:tr>
      <w:tr>
        <w:trPr>
          <w:trHeight w:val="123"/>
        </w:trPr>
        <w:tc>
          <w:tcPr>
            <w:tcW w:w="60" w:type="dxa"/>
            <w:vAlign w:val="bottom"/>
            <w:shd w:val="clear" w:color="auto" w:fill="DCDEE4"/>
          </w:tcPr>
          <w:p>
            <w:pPr>
              <w:spacing w:after="0"/>
              <w:rPr>
                <w:sz w:val="10"/>
                <w:szCs w:val="10"/>
                <w:color w:val="auto"/>
              </w:rPr>
            </w:pPr>
          </w:p>
        </w:tc>
        <w:tc>
          <w:tcPr>
            <w:tcW w:w="1840" w:type="dxa"/>
            <w:vAlign w:val="bottom"/>
            <w:shd w:val="clear" w:color="auto" w:fill="DCDEE4"/>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3700" w:type="dxa"/>
            <w:vAlign w:val="bottom"/>
            <w:vMerge w:val="restart"/>
          </w:tcPr>
          <w:p>
            <w:pPr>
              <w:ind w:left="200"/>
              <w:spacing w:after="0"/>
              <w:rPr>
                <w:sz w:val="20"/>
                <w:szCs w:val="20"/>
                <w:color w:val="auto"/>
              </w:rPr>
            </w:pPr>
            <w:r>
              <w:rPr>
                <w:rFonts w:ascii="Arial" w:cs="Arial" w:eastAsia="Arial" w:hAnsi="Arial"/>
                <w:sz w:val="14"/>
                <w:szCs w:val="14"/>
                <w:color w:val="auto"/>
              </w:rPr>
              <w:t>line growth.</w:t>
            </w:r>
          </w:p>
        </w:tc>
        <w:tc>
          <w:tcPr>
            <w:tcW w:w="0" w:type="dxa"/>
            <w:vAlign w:val="bottom"/>
          </w:tcPr>
          <w:p>
            <w:pPr>
              <w:spacing w:after="0"/>
              <w:rPr>
                <w:sz w:val="1"/>
                <w:szCs w:val="1"/>
                <w:color w:val="auto"/>
              </w:rPr>
            </w:pPr>
          </w:p>
        </w:tc>
      </w:tr>
      <w:tr>
        <w:trPr>
          <w:trHeight w:val="67"/>
        </w:trPr>
        <w:tc>
          <w:tcPr>
            <w:tcW w:w="60" w:type="dxa"/>
            <w:vAlign w:val="bottom"/>
            <w:shd w:val="clear" w:color="auto" w:fill="DCDEE4"/>
          </w:tcPr>
          <w:p>
            <w:pPr>
              <w:spacing w:after="0"/>
              <w:rPr>
                <w:sz w:val="5"/>
                <w:szCs w:val="5"/>
                <w:color w:val="auto"/>
              </w:rPr>
            </w:pPr>
          </w:p>
        </w:tc>
        <w:tc>
          <w:tcPr>
            <w:tcW w:w="1840" w:type="dxa"/>
            <w:vAlign w:val="bottom"/>
            <w:shd w:val="clear" w:color="auto" w:fill="DCDEE4"/>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DCDEE4"/>
            </w:tcBorders>
            <w:shd w:val="clear" w:color="auto" w:fill="DCDEE4"/>
          </w:tcPr>
          <w:p>
            <w:pPr>
              <w:spacing w:after="0"/>
              <w:rPr>
                <w:sz w:val="24"/>
                <w:szCs w:val="24"/>
                <w:color w:val="auto"/>
              </w:rPr>
            </w:pPr>
          </w:p>
        </w:tc>
        <w:tc>
          <w:tcPr>
            <w:tcW w:w="1840" w:type="dxa"/>
            <w:vAlign w:val="bottom"/>
            <w:tcBorders>
              <w:bottom w:val="single" w:sz="8" w:color="DCDEE4"/>
            </w:tcBorders>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ind w:left="200"/>
              <w:spacing w:after="0"/>
              <w:rPr>
                <w:sz w:val="20"/>
                <w:szCs w:val="20"/>
                <w:color w:val="auto"/>
              </w:rPr>
            </w:pPr>
            <w:r>
              <w:rPr>
                <w:rFonts w:ascii="Arial" w:cs="Arial" w:eastAsia="Arial" w:hAnsi="Arial"/>
                <w:sz w:val="16"/>
                <w:szCs w:val="16"/>
                <w:color w:val="auto"/>
              </w:rPr>
              <w:t> </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Borders>
              <w:top w:val="single" w:sz="8" w:color="0063A6"/>
            </w:tcBorders>
            <w:shd w:val="clear" w:color="auto" w:fill="C1C7CD"/>
          </w:tcPr>
          <w:p>
            <w:pPr>
              <w:spacing w:after="0"/>
              <w:rPr>
                <w:sz w:val="18"/>
                <w:szCs w:val="18"/>
                <w:color w:val="auto"/>
              </w:rPr>
            </w:pPr>
          </w:p>
        </w:tc>
        <w:tc>
          <w:tcPr>
            <w:tcW w:w="1840" w:type="dxa"/>
            <w:vAlign w:val="bottom"/>
            <w:tcBorders>
              <w:top w:val="single" w:sz="8" w:color="0063A6"/>
            </w:tcBorders>
            <w:vMerge w:val="restart"/>
            <w:shd w:val="clear" w:color="auto" w:fill="C1C7CD"/>
          </w:tcPr>
          <w:p>
            <w:pPr>
              <w:ind w:left="40"/>
              <w:spacing w:after="0"/>
              <w:rPr>
                <w:sz w:val="20"/>
                <w:szCs w:val="20"/>
                <w:color w:val="auto"/>
              </w:rPr>
            </w:pPr>
            <w:r>
              <w:rPr>
                <w:rFonts w:ascii="Arial" w:cs="Arial" w:eastAsia="Arial" w:hAnsi="Arial"/>
                <w:sz w:val="16"/>
                <w:szCs w:val="16"/>
                <w:b w:val="1"/>
                <w:bCs w:val="1"/>
                <w:color w:val="5D6673"/>
              </w:rPr>
              <w:t>Non-Financial</w:t>
            </w:r>
          </w:p>
        </w:tc>
        <w:tc>
          <w:tcPr>
            <w:tcW w:w="100" w:type="dxa"/>
            <w:vAlign w:val="bottom"/>
            <w:tcBorders>
              <w:top w:val="single" w:sz="8" w:color="0063A6"/>
            </w:tcBorders>
          </w:tcPr>
          <w:p>
            <w:pPr>
              <w:spacing w:after="0"/>
              <w:rPr>
                <w:sz w:val="18"/>
                <w:szCs w:val="18"/>
                <w:color w:val="auto"/>
              </w:rPr>
            </w:pPr>
          </w:p>
        </w:tc>
        <w:tc>
          <w:tcPr>
            <w:tcW w:w="1640" w:type="dxa"/>
            <w:vAlign w:val="bottom"/>
            <w:tcBorders>
              <w:top w:val="single" w:sz="8" w:color="0063A6"/>
            </w:tcBorders>
          </w:tcPr>
          <w:p>
            <w:pPr>
              <w:spacing w:after="0"/>
              <w:rPr>
                <w:sz w:val="20"/>
                <w:szCs w:val="20"/>
                <w:color w:val="auto"/>
              </w:rPr>
            </w:pPr>
            <w:r>
              <w:rPr>
                <w:rFonts w:ascii="Arial" w:cs="Arial" w:eastAsia="Arial" w:hAnsi="Arial"/>
                <w:sz w:val="16"/>
                <w:szCs w:val="16"/>
                <w:b w:val="1"/>
                <w:bCs w:val="1"/>
                <w:color w:val="5D6673"/>
              </w:rPr>
              <w:t>Quantitative</w:t>
            </w:r>
          </w:p>
        </w:tc>
        <w:tc>
          <w:tcPr>
            <w:tcW w:w="1840" w:type="dxa"/>
            <w:vAlign w:val="bottom"/>
            <w:tcBorders>
              <w:top w:val="single" w:sz="8" w:color="0063A6"/>
            </w:tcBorders>
          </w:tcPr>
          <w:p>
            <w:pPr>
              <w:spacing w:after="0"/>
              <w:rPr>
                <w:sz w:val="18"/>
                <w:szCs w:val="18"/>
                <w:color w:val="auto"/>
              </w:rPr>
            </w:pPr>
          </w:p>
        </w:tc>
        <w:tc>
          <w:tcPr>
            <w:tcW w:w="3700" w:type="dxa"/>
            <w:vAlign w:val="bottom"/>
            <w:tcBorders>
              <w:top w:val="single" w:sz="8" w:color="0063A6"/>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shd w:val="clear" w:color="auto" w:fill="C1C7CD"/>
          </w:tcPr>
          <w:p>
            <w:pPr>
              <w:spacing w:after="0"/>
              <w:rPr>
                <w:sz w:val="14"/>
                <w:szCs w:val="14"/>
                <w:color w:val="auto"/>
              </w:rPr>
            </w:pPr>
          </w:p>
        </w:tc>
        <w:tc>
          <w:tcPr>
            <w:tcW w:w="1840" w:type="dxa"/>
            <w:vAlign w:val="bottom"/>
            <w:vMerge w:val="continue"/>
            <w:shd w:val="clear" w:color="auto" w:fill="C1C7CD"/>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line="163" w:lineRule="exact"/>
              <w:rPr>
                <w:sz w:val="20"/>
                <w:szCs w:val="20"/>
                <w:color w:val="auto"/>
              </w:rPr>
            </w:pPr>
            <w:r>
              <w:rPr>
                <w:rFonts w:ascii="Arial" w:cs="Arial" w:eastAsia="Arial" w:hAnsi="Arial"/>
                <w:sz w:val="16"/>
                <w:szCs w:val="16"/>
                <w:b w:val="1"/>
                <w:bCs w:val="1"/>
                <w:color w:val="5D6673"/>
              </w:rPr>
              <w:t>Strategic Goals</w:t>
            </w:r>
          </w:p>
        </w:tc>
        <w:tc>
          <w:tcPr>
            <w:tcW w:w="1840" w:type="dxa"/>
            <w:vAlign w:val="bottom"/>
          </w:tcPr>
          <w:p>
            <w:pPr>
              <w:spacing w:after="0"/>
              <w:rPr>
                <w:sz w:val="14"/>
                <w:szCs w:val="14"/>
                <w:color w:val="auto"/>
              </w:rPr>
            </w:pPr>
          </w:p>
        </w:tc>
        <w:tc>
          <w:tcPr>
            <w:tcW w:w="3700" w:type="dxa"/>
            <w:vAlign w:val="bottom"/>
            <w:vMerge w:val="restart"/>
          </w:tcPr>
          <w:p>
            <w:pPr>
              <w:ind w:left="200"/>
              <w:spacing w:after="0"/>
              <w:rPr>
                <w:sz w:val="20"/>
                <w:szCs w:val="20"/>
                <w:color w:val="auto"/>
              </w:rPr>
            </w:pPr>
            <w:r>
              <w:rPr>
                <w:rFonts w:ascii="Arial" w:cs="Arial" w:eastAsia="Arial" w:hAnsi="Arial"/>
                <w:sz w:val="14"/>
                <w:szCs w:val="14"/>
                <w:color w:val="auto"/>
              </w:rPr>
              <w:t>Adds accountability for driving results linked to the</w:t>
            </w:r>
          </w:p>
        </w:tc>
        <w:tc>
          <w:tcPr>
            <w:tcW w:w="0" w:type="dxa"/>
            <w:vAlign w:val="bottom"/>
          </w:tcPr>
          <w:p>
            <w:pPr>
              <w:spacing w:after="0"/>
              <w:rPr>
                <w:sz w:val="1"/>
                <w:szCs w:val="1"/>
                <w:color w:val="auto"/>
              </w:rPr>
            </w:pPr>
          </w:p>
        </w:tc>
      </w:tr>
      <w:tr>
        <w:trPr>
          <w:trHeight w:val="153"/>
        </w:trPr>
        <w:tc>
          <w:tcPr>
            <w:tcW w:w="1900" w:type="dxa"/>
            <w:vAlign w:val="bottom"/>
            <w:gridSpan w:val="2"/>
            <w:shd w:val="clear" w:color="auto" w:fill="C1C7CD"/>
          </w:tcPr>
          <w:p>
            <w:pPr>
              <w:ind w:left="100"/>
              <w:spacing w:after="0" w:line="153" w:lineRule="exact"/>
              <w:rPr>
                <w:sz w:val="20"/>
                <w:szCs w:val="20"/>
                <w:color w:val="auto"/>
              </w:rPr>
            </w:pPr>
            <w:r>
              <w:rPr>
                <w:rFonts w:ascii="Arial" w:cs="Arial" w:eastAsia="Arial" w:hAnsi="Arial"/>
                <w:sz w:val="16"/>
                <w:szCs w:val="16"/>
                <w:b w:val="1"/>
                <w:bCs w:val="1"/>
                <w:color w:val="5D6673"/>
              </w:rPr>
              <w:t>(20%)</w:t>
            </w:r>
          </w:p>
        </w:tc>
        <w:tc>
          <w:tcPr>
            <w:tcW w:w="100" w:type="dxa"/>
            <w:vAlign w:val="bottom"/>
          </w:tcPr>
          <w:p>
            <w:pPr>
              <w:spacing w:after="0"/>
              <w:rPr>
                <w:sz w:val="13"/>
                <w:szCs w:val="13"/>
                <w:color w:val="auto"/>
              </w:rPr>
            </w:pPr>
          </w:p>
        </w:tc>
        <w:tc>
          <w:tcPr>
            <w:tcW w:w="1640" w:type="dxa"/>
            <w:vAlign w:val="bottom"/>
            <w:vMerge w:val="restart"/>
          </w:tcPr>
          <w:p>
            <w:pPr>
              <w:spacing w:after="0"/>
              <w:rPr>
                <w:sz w:val="20"/>
                <w:szCs w:val="20"/>
                <w:color w:val="auto"/>
              </w:rPr>
            </w:pPr>
            <w:r>
              <w:rPr>
                <w:rFonts w:ascii="Arial" w:cs="Arial" w:eastAsia="Arial" w:hAnsi="Arial"/>
                <w:sz w:val="14"/>
                <w:szCs w:val="14"/>
                <w:color w:val="5D6673"/>
              </w:rPr>
              <w:t>•</w:t>
            </w:r>
            <w:r>
              <w:rPr>
                <w:rFonts w:ascii="Arial" w:cs="Arial" w:eastAsia="Arial" w:hAnsi="Arial"/>
                <w:sz w:val="14"/>
                <w:szCs w:val="14"/>
                <w:color w:val="000000"/>
              </w:rPr>
              <w:t xml:space="preserve">  GGI bookings</w:t>
            </w:r>
          </w:p>
        </w:tc>
        <w:tc>
          <w:tcPr>
            <w:tcW w:w="184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0" w:type="dxa"/>
            <w:vAlign w:val="bottom"/>
            <w:shd w:val="clear" w:color="auto" w:fill="C1C7CD"/>
          </w:tcPr>
          <w:p>
            <w:pPr>
              <w:spacing w:after="0"/>
              <w:rPr>
                <w:sz w:val="11"/>
                <w:szCs w:val="11"/>
                <w:color w:val="auto"/>
              </w:rPr>
            </w:pPr>
          </w:p>
        </w:tc>
        <w:tc>
          <w:tcPr>
            <w:tcW w:w="1840" w:type="dxa"/>
            <w:vAlign w:val="bottom"/>
            <w:vMerge w:val="restart"/>
            <w:shd w:val="clear" w:color="auto" w:fill="C1C7CD"/>
          </w:tcPr>
          <w:p>
            <w:pPr>
              <w:ind w:left="40"/>
              <w:spacing w:after="0"/>
              <w:rPr>
                <w:sz w:val="20"/>
                <w:szCs w:val="20"/>
                <w:color w:val="auto"/>
              </w:rPr>
            </w:pPr>
            <w:r>
              <w:rPr>
                <w:rFonts w:ascii="Arial" w:cs="Arial" w:eastAsia="Arial" w:hAnsi="Arial"/>
                <w:sz w:val="14"/>
                <w:szCs w:val="14"/>
                <w:color w:val="auto"/>
              </w:rPr>
              <w:t>Maximum payout:</w:t>
            </w: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3700" w:type="dxa"/>
            <w:vAlign w:val="bottom"/>
            <w:vMerge w:val="restart"/>
          </w:tcPr>
          <w:p>
            <w:pPr>
              <w:ind w:left="200"/>
              <w:spacing w:after="0"/>
              <w:rPr>
                <w:sz w:val="20"/>
                <w:szCs w:val="20"/>
                <w:color w:val="auto"/>
              </w:rPr>
            </w:pPr>
            <w:r>
              <w:rPr>
                <w:rFonts w:ascii="Arial" w:cs="Arial" w:eastAsia="Arial" w:hAnsi="Arial"/>
                <w:sz w:val="14"/>
                <w:szCs w:val="14"/>
                <w:color w:val="auto"/>
              </w:rPr>
              <w:t>Company’s strategic goals.</w:t>
            </w:r>
          </w:p>
        </w:tc>
        <w:tc>
          <w:tcPr>
            <w:tcW w:w="0" w:type="dxa"/>
            <w:vAlign w:val="bottom"/>
          </w:tcPr>
          <w:p>
            <w:pPr>
              <w:spacing w:after="0"/>
              <w:rPr>
                <w:sz w:val="1"/>
                <w:szCs w:val="1"/>
                <w:color w:val="auto"/>
              </w:rPr>
            </w:pPr>
          </w:p>
        </w:tc>
      </w:tr>
      <w:tr>
        <w:trPr>
          <w:trHeight w:val="39"/>
        </w:trPr>
        <w:tc>
          <w:tcPr>
            <w:tcW w:w="60" w:type="dxa"/>
            <w:vAlign w:val="bottom"/>
            <w:shd w:val="clear" w:color="auto" w:fill="C1C7CD"/>
          </w:tcPr>
          <w:p>
            <w:pPr>
              <w:spacing w:after="0"/>
              <w:rPr>
                <w:sz w:val="3"/>
                <w:szCs w:val="3"/>
                <w:color w:val="auto"/>
              </w:rPr>
            </w:pPr>
          </w:p>
        </w:tc>
        <w:tc>
          <w:tcPr>
            <w:tcW w:w="1840" w:type="dxa"/>
            <w:vAlign w:val="bottom"/>
            <w:vMerge w:val="continue"/>
            <w:shd w:val="clear" w:color="auto" w:fill="C1C7CD"/>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shd w:val="clear" w:color="auto" w:fill="C1C7CD"/>
          </w:tcPr>
          <w:p>
            <w:pPr>
              <w:spacing w:after="0"/>
              <w:rPr>
                <w:sz w:val="14"/>
                <w:szCs w:val="14"/>
                <w:color w:val="auto"/>
              </w:rPr>
            </w:pPr>
          </w:p>
        </w:tc>
        <w:tc>
          <w:tcPr>
            <w:tcW w:w="1840" w:type="dxa"/>
            <w:vAlign w:val="bottom"/>
            <w:shd w:val="clear" w:color="auto" w:fill="C1C7CD"/>
          </w:tcPr>
          <w:p>
            <w:pPr>
              <w:ind w:left="40"/>
              <w:spacing w:after="0"/>
              <w:rPr>
                <w:sz w:val="20"/>
                <w:szCs w:val="20"/>
                <w:color w:val="auto"/>
              </w:rPr>
            </w:pPr>
            <w:r>
              <w:rPr>
                <w:rFonts w:ascii="Arial" w:cs="Arial" w:eastAsia="Arial" w:hAnsi="Arial"/>
                <w:sz w:val="14"/>
                <w:szCs w:val="14"/>
                <w:color w:val="auto"/>
              </w:rPr>
              <w:t>100% of target</w:t>
            </w:r>
          </w:p>
        </w:tc>
        <w:tc>
          <w:tcPr>
            <w:tcW w:w="10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Arial" w:cs="Arial" w:eastAsia="Arial" w:hAnsi="Arial"/>
                <w:sz w:val="14"/>
                <w:szCs w:val="14"/>
                <w:color w:val="5D6673"/>
              </w:rPr>
              <w:t>•</w:t>
            </w:r>
            <w:r>
              <w:rPr>
                <w:rFonts w:ascii="Arial" w:cs="Arial" w:eastAsia="Arial" w:hAnsi="Arial"/>
                <w:sz w:val="14"/>
                <w:szCs w:val="14"/>
                <w:color w:val="000000"/>
              </w:rPr>
              <w:t xml:space="preserve">  Annual Software /</w:t>
            </w:r>
          </w:p>
        </w:tc>
        <w:tc>
          <w:tcPr>
            <w:tcW w:w="1840" w:type="dxa"/>
            <w:vAlign w:val="bottom"/>
            <w:vMerge w:val="restart"/>
          </w:tcPr>
          <w:p>
            <w:pPr>
              <w:ind w:left="200"/>
              <w:spacing w:after="0"/>
              <w:rPr>
                <w:sz w:val="20"/>
                <w:szCs w:val="20"/>
                <w:color w:val="auto"/>
              </w:rPr>
            </w:pPr>
            <w:r>
              <w:rPr>
                <w:rFonts w:ascii="Arial" w:cs="Arial" w:eastAsia="Arial" w:hAnsi="Arial"/>
                <w:sz w:val="16"/>
                <w:szCs w:val="16"/>
                <w:color w:val="auto"/>
              </w:rPr>
              <w:t xml:space="preserve">  </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C1C7CD"/>
            </w:tcBorders>
            <w:shd w:val="clear" w:color="auto" w:fill="C1C7CD"/>
          </w:tcPr>
          <w:p>
            <w:pPr>
              <w:spacing w:after="0"/>
              <w:rPr>
                <w:sz w:val="19"/>
                <w:szCs w:val="19"/>
                <w:color w:val="auto"/>
              </w:rPr>
            </w:pPr>
          </w:p>
        </w:tc>
        <w:tc>
          <w:tcPr>
            <w:tcW w:w="1840" w:type="dxa"/>
            <w:vAlign w:val="bottom"/>
            <w:tcBorders>
              <w:bottom w:val="single" w:sz="8" w:color="C1C7CD"/>
            </w:tcBorders>
            <w:shd w:val="clear" w:color="auto" w:fill="C1C7CD"/>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Services Revenue</w:t>
            </w:r>
          </w:p>
        </w:tc>
        <w:tc>
          <w:tcPr>
            <w:tcW w:w="1840" w:type="dxa"/>
            <w:vAlign w:val="bottom"/>
            <w:vMerge w:val="continue"/>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0063A6"/>
          </w:tcPr>
          <w:p>
            <w:pPr>
              <w:spacing w:after="0"/>
              <w:rPr>
                <w:sz w:val="23"/>
                <w:szCs w:val="23"/>
                <w:color w:val="auto"/>
              </w:rPr>
            </w:pPr>
          </w:p>
        </w:tc>
        <w:tc>
          <w:tcPr>
            <w:tcW w:w="1940" w:type="dxa"/>
            <w:vAlign w:val="bottom"/>
            <w:gridSpan w:val="2"/>
            <w:shd w:val="clear" w:color="auto" w:fill="0063A6"/>
          </w:tcPr>
          <w:p>
            <w:pPr>
              <w:ind w:left="40"/>
              <w:spacing w:after="0"/>
              <w:rPr>
                <w:sz w:val="20"/>
                <w:szCs w:val="20"/>
                <w:color w:val="auto"/>
              </w:rPr>
            </w:pPr>
            <w:r>
              <w:rPr>
                <w:rFonts w:ascii="Arial" w:cs="Arial" w:eastAsia="Arial" w:hAnsi="Arial"/>
                <w:sz w:val="16"/>
                <w:szCs w:val="16"/>
                <w:b w:val="1"/>
                <w:bCs w:val="1"/>
                <w:color w:val="FFFFFF"/>
              </w:rPr>
              <w:t>Total</w:t>
            </w:r>
          </w:p>
        </w:tc>
        <w:tc>
          <w:tcPr>
            <w:tcW w:w="1640" w:type="dxa"/>
            <w:vAlign w:val="bottom"/>
            <w:shd w:val="clear" w:color="auto" w:fill="0063A6"/>
          </w:tcPr>
          <w:p>
            <w:pPr>
              <w:spacing w:after="0"/>
              <w:rPr>
                <w:sz w:val="23"/>
                <w:szCs w:val="23"/>
                <w:color w:val="auto"/>
              </w:rPr>
            </w:pPr>
          </w:p>
        </w:tc>
        <w:tc>
          <w:tcPr>
            <w:tcW w:w="1840" w:type="dxa"/>
            <w:vAlign w:val="bottom"/>
            <w:shd w:val="clear" w:color="auto" w:fill="0063A6"/>
          </w:tcPr>
          <w:p>
            <w:pPr>
              <w:jc w:val="right"/>
              <w:ind w:right="541"/>
              <w:spacing w:after="0"/>
              <w:rPr>
                <w:sz w:val="20"/>
                <w:szCs w:val="20"/>
                <w:color w:val="auto"/>
              </w:rPr>
            </w:pPr>
            <w:r>
              <w:rPr>
                <w:rFonts w:ascii="Arial" w:cs="Arial" w:eastAsia="Arial" w:hAnsi="Arial"/>
                <w:sz w:val="16"/>
                <w:szCs w:val="16"/>
                <w:b w:val="1"/>
                <w:bCs w:val="1"/>
                <w:color w:val="FFFFFF"/>
              </w:rPr>
              <w:t>100%</w:t>
            </w:r>
          </w:p>
        </w:tc>
        <w:tc>
          <w:tcPr>
            <w:tcW w:w="3700" w:type="dxa"/>
            <w:vAlign w:val="bottom"/>
            <w:shd w:val="clear" w:color="auto" w:fill="0063A6"/>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shd w:val="clear" w:color="auto" w:fill="0063A6"/>
          </w:tcPr>
          <w:p>
            <w:pPr>
              <w:spacing w:after="0"/>
              <w:rPr>
                <w:sz w:val="2"/>
                <w:szCs w:val="2"/>
                <w:color w:val="auto"/>
              </w:rPr>
            </w:pPr>
          </w:p>
        </w:tc>
        <w:tc>
          <w:tcPr>
            <w:tcW w:w="1840" w:type="dxa"/>
            <w:vAlign w:val="bottom"/>
            <w:shd w:val="clear" w:color="auto" w:fill="0063A6"/>
          </w:tcPr>
          <w:p>
            <w:pPr>
              <w:spacing w:after="0"/>
              <w:rPr>
                <w:sz w:val="2"/>
                <w:szCs w:val="2"/>
                <w:color w:val="auto"/>
              </w:rPr>
            </w:pPr>
          </w:p>
        </w:tc>
        <w:tc>
          <w:tcPr>
            <w:tcW w:w="100" w:type="dxa"/>
            <w:vAlign w:val="bottom"/>
            <w:shd w:val="clear" w:color="auto" w:fill="0063A6"/>
          </w:tcPr>
          <w:p>
            <w:pPr>
              <w:spacing w:after="0"/>
              <w:rPr>
                <w:sz w:val="2"/>
                <w:szCs w:val="2"/>
                <w:color w:val="auto"/>
              </w:rPr>
            </w:pPr>
          </w:p>
        </w:tc>
        <w:tc>
          <w:tcPr>
            <w:tcW w:w="1640" w:type="dxa"/>
            <w:vAlign w:val="bottom"/>
            <w:shd w:val="clear" w:color="auto" w:fill="0063A6"/>
          </w:tcPr>
          <w:p>
            <w:pPr>
              <w:spacing w:after="0"/>
              <w:rPr>
                <w:sz w:val="2"/>
                <w:szCs w:val="2"/>
                <w:color w:val="auto"/>
              </w:rPr>
            </w:pPr>
          </w:p>
        </w:tc>
        <w:tc>
          <w:tcPr>
            <w:tcW w:w="1840" w:type="dxa"/>
            <w:vAlign w:val="bottom"/>
            <w:shd w:val="clear" w:color="auto" w:fill="0063A6"/>
          </w:tcPr>
          <w:p>
            <w:pPr>
              <w:spacing w:after="0"/>
              <w:rPr>
                <w:sz w:val="2"/>
                <w:szCs w:val="2"/>
                <w:color w:val="auto"/>
              </w:rPr>
            </w:pPr>
          </w:p>
        </w:tc>
        <w:tc>
          <w:tcPr>
            <w:tcW w:w="3700" w:type="dxa"/>
            <w:vAlign w:val="bottom"/>
            <w:shd w:val="clear" w:color="auto" w:fill="0063A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-2527935</wp:posOffset>
            </wp:positionV>
            <wp:extent cx="522605" cy="522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2605" cy="5226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-1567815</wp:posOffset>
            </wp:positionV>
            <wp:extent cx="522605" cy="522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2605" cy="5226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-864870</wp:posOffset>
            </wp:positionV>
            <wp:extent cx="522605" cy="522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195" w:lineRule="exact"/>
        <w:rPr>
          <w:sz w:val="20"/>
          <w:szCs w:val="20"/>
          <w:color w:val="auto"/>
        </w:rPr>
      </w:pPr>
    </w:p>
    <w:p>
      <w:pPr>
        <w:ind w:left="6" w:right="140"/>
        <w:spacing w:after="0" w:line="286" w:lineRule="auto"/>
        <w:rPr>
          <w:sz w:val="20"/>
          <w:szCs w:val="20"/>
          <w:color w:val="auto"/>
        </w:rPr>
      </w:pPr>
      <w:r>
        <w:rPr>
          <w:rFonts w:ascii="Arial" w:cs="Arial" w:eastAsia="Arial" w:hAnsi="Arial"/>
          <w:sz w:val="16"/>
          <w:szCs w:val="16"/>
          <w:i w:val="1"/>
          <w:iCs w:val="1"/>
          <w:color w:val="auto"/>
        </w:rPr>
        <w:t xml:space="preserve">2025 Financial Performance Levels &amp; Results. </w:t>
      </w:r>
      <w:r>
        <w:rPr>
          <w:rFonts w:ascii="Arial" w:cs="Arial" w:eastAsia="Arial" w:hAnsi="Arial"/>
          <w:sz w:val="16"/>
          <w:szCs w:val="16"/>
          <w:color w:val="auto"/>
        </w:rPr>
        <w:t>The following table shows the financial performance necessary to achieve</w:t>
      </w:r>
      <w:r>
        <w:rPr>
          <w:rFonts w:ascii="Arial" w:cs="Arial" w:eastAsia="Arial" w:hAnsi="Arial"/>
          <w:sz w:val="16"/>
          <w:szCs w:val="16"/>
          <w:i w:val="1"/>
          <w:iCs w:val="1"/>
          <w:color w:val="auto"/>
        </w:rPr>
        <w:t xml:space="preserve"> </w:t>
      </w:r>
      <w:r>
        <w:rPr>
          <w:rFonts w:ascii="Arial" w:cs="Arial" w:eastAsia="Arial" w:hAnsi="Arial"/>
          <w:sz w:val="16"/>
          <w:szCs w:val="16"/>
          <w:color w:val="auto"/>
        </w:rPr>
        <w:t>threshold (0% payout), target (100% payout), and maximum (150% payout) bonus amounts, along with actual results for 2025:</w:t>
      </w:r>
    </w:p>
    <w:p>
      <w:pPr>
        <w:spacing w:after="0" w:line="102"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5340" w:type="dxa"/>
            <w:vAlign w:val="bottom"/>
          </w:tcPr>
          <w:p>
            <w:pPr>
              <w:spacing w:after="0"/>
              <w:rPr>
                <w:sz w:val="19"/>
                <w:szCs w:val="19"/>
                <w:color w:val="auto"/>
              </w:rPr>
            </w:pPr>
          </w:p>
        </w:tc>
        <w:tc>
          <w:tcPr>
            <w:tcW w:w="100" w:type="dxa"/>
            <w:vAlign w:val="bottom"/>
            <w:shd w:val="clear" w:color="auto" w:fill="0063A6"/>
          </w:tcPr>
          <w:p>
            <w:pPr>
              <w:spacing w:after="0"/>
              <w:rPr>
                <w:sz w:val="19"/>
                <w:szCs w:val="19"/>
                <w:color w:val="auto"/>
              </w:rPr>
            </w:pPr>
          </w:p>
        </w:tc>
        <w:tc>
          <w:tcPr>
            <w:tcW w:w="820" w:type="dxa"/>
            <w:vAlign w:val="bottom"/>
            <w:gridSpan w:val="2"/>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Threshold</w:t>
            </w:r>
          </w:p>
        </w:tc>
        <w:tc>
          <w:tcPr>
            <w:tcW w:w="200" w:type="dxa"/>
            <w:vAlign w:val="bottom"/>
            <w:shd w:val="clear" w:color="auto" w:fill="0063A6"/>
          </w:tcPr>
          <w:p>
            <w:pPr>
              <w:spacing w:after="0"/>
              <w:rPr>
                <w:sz w:val="19"/>
                <w:szCs w:val="19"/>
                <w:color w:val="auto"/>
              </w:rPr>
            </w:pPr>
          </w:p>
        </w:tc>
        <w:tc>
          <w:tcPr>
            <w:tcW w:w="660" w:type="dxa"/>
            <w:vAlign w:val="bottom"/>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Target</w:t>
            </w:r>
          </w:p>
        </w:tc>
        <w:tc>
          <w:tcPr>
            <w:tcW w:w="880" w:type="dxa"/>
            <w:vAlign w:val="bottom"/>
            <w:gridSpan w:val="2"/>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Maximum</w:t>
            </w:r>
          </w:p>
        </w:tc>
        <w:tc>
          <w:tcPr>
            <w:tcW w:w="1180" w:type="dxa"/>
            <w:vAlign w:val="bottom"/>
            <w:gridSpan w:val="2"/>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Actual Results</w:t>
            </w:r>
          </w:p>
        </w:tc>
      </w:tr>
      <w:tr>
        <w:trPr>
          <w:trHeight w:val="205"/>
        </w:trPr>
        <w:tc>
          <w:tcPr>
            <w:tcW w:w="5340" w:type="dxa"/>
            <w:vAlign w:val="bottom"/>
            <w:tcBorders>
              <w:bottom w:val="single" w:sz="8" w:color="0063A6"/>
            </w:tcBorders>
          </w:tcPr>
          <w:p>
            <w:pPr>
              <w:spacing w:after="0"/>
              <w:rPr>
                <w:sz w:val="17"/>
                <w:szCs w:val="17"/>
                <w:color w:val="auto"/>
              </w:rPr>
            </w:pPr>
          </w:p>
        </w:tc>
        <w:tc>
          <w:tcPr>
            <w:tcW w:w="100" w:type="dxa"/>
            <w:vAlign w:val="bottom"/>
            <w:tcBorders>
              <w:bottom w:val="single" w:sz="8" w:color="0063A6"/>
            </w:tcBorders>
            <w:shd w:val="clear" w:color="auto" w:fill="0063A6"/>
          </w:tcPr>
          <w:p>
            <w:pPr>
              <w:spacing w:after="0"/>
              <w:rPr>
                <w:sz w:val="17"/>
                <w:szCs w:val="17"/>
                <w:color w:val="auto"/>
              </w:rPr>
            </w:pPr>
          </w:p>
        </w:tc>
        <w:tc>
          <w:tcPr>
            <w:tcW w:w="160" w:type="dxa"/>
            <w:vAlign w:val="bottom"/>
            <w:tcBorders>
              <w:bottom w:val="single" w:sz="8" w:color="0063A6"/>
            </w:tcBorders>
            <w:shd w:val="clear" w:color="auto" w:fill="0063A6"/>
          </w:tcPr>
          <w:p>
            <w:pPr>
              <w:spacing w:after="0"/>
              <w:rPr>
                <w:sz w:val="17"/>
                <w:szCs w:val="17"/>
                <w:color w:val="auto"/>
              </w:rPr>
            </w:pPr>
          </w:p>
        </w:tc>
        <w:tc>
          <w:tcPr>
            <w:tcW w:w="660" w:type="dxa"/>
            <w:vAlign w:val="bottom"/>
            <w:tcBorders>
              <w:bottom w:val="single" w:sz="8" w:color="0063A6"/>
            </w:tcBorders>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($M)</w:t>
            </w:r>
          </w:p>
        </w:tc>
        <w:tc>
          <w:tcPr>
            <w:tcW w:w="200" w:type="dxa"/>
            <w:vAlign w:val="bottom"/>
            <w:tcBorders>
              <w:bottom w:val="single" w:sz="8" w:color="0063A6"/>
            </w:tcBorders>
            <w:shd w:val="clear" w:color="auto" w:fill="0063A6"/>
          </w:tcPr>
          <w:p>
            <w:pPr>
              <w:spacing w:after="0"/>
              <w:rPr>
                <w:sz w:val="17"/>
                <w:szCs w:val="17"/>
                <w:color w:val="auto"/>
              </w:rPr>
            </w:pPr>
          </w:p>
        </w:tc>
        <w:tc>
          <w:tcPr>
            <w:tcW w:w="660" w:type="dxa"/>
            <w:vAlign w:val="bottom"/>
            <w:tcBorders>
              <w:bottom w:val="single" w:sz="8" w:color="0063A6"/>
            </w:tcBorders>
            <w:shd w:val="clear" w:color="auto" w:fill="0063A6"/>
          </w:tcPr>
          <w:p>
            <w:pPr>
              <w:jc w:val="right"/>
              <w:ind w:right="44"/>
              <w:spacing w:after="0"/>
              <w:rPr>
                <w:sz w:val="20"/>
                <w:szCs w:val="20"/>
                <w:color w:val="auto"/>
              </w:rPr>
            </w:pPr>
            <w:r>
              <w:rPr>
                <w:rFonts w:ascii="Arial" w:cs="Arial" w:eastAsia="Arial" w:hAnsi="Arial"/>
                <w:sz w:val="14"/>
                <w:szCs w:val="14"/>
                <w:b w:val="1"/>
                <w:bCs w:val="1"/>
                <w:color w:val="FFFFFF"/>
              </w:rPr>
              <w:t>($M)</w:t>
            </w:r>
          </w:p>
        </w:tc>
        <w:tc>
          <w:tcPr>
            <w:tcW w:w="240" w:type="dxa"/>
            <w:vAlign w:val="bottom"/>
            <w:tcBorders>
              <w:bottom w:val="single" w:sz="8" w:color="0063A6"/>
            </w:tcBorders>
            <w:shd w:val="clear" w:color="auto" w:fill="0063A6"/>
          </w:tcPr>
          <w:p>
            <w:pPr>
              <w:spacing w:after="0"/>
              <w:rPr>
                <w:sz w:val="17"/>
                <w:szCs w:val="17"/>
                <w:color w:val="auto"/>
              </w:rPr>
            </w:pPr>
          </w:p>
        </w:tc>
        <w:tc>
          <w:tcPr>
            <w:tcW w:w="640" w:type="dxa"/>
            <w:vAlign w:val="bottom"/>
            <w:tcBorders>
              <w:bottom w:val="single" w:sz="8" w:color="0063A6"/>
            </w:tcBorders>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($M)</w:t>
            </w:r>
          </w:p>
        </w:tc>
        <w:tc>
          <w:tcPr>
            <w:tcW w:w="560" w:type="dxa"/>
            <w:vAlign w:val="bottom"/>
            <w:tcBorders>
              <w:bottom w:val="single" w:sz="8" w:color="0063A6"/>
            </w:tcBorders>
            <w:shd w:val="clear" w:color="auto" w:fill="0063A6"/>
          </w:tcPr>
          <w:p>
            <w:pPr>
              <w:spacing w:after="0"/>
              <w:rPr>
                <w:sz w:val="17"/>
                <w:szCs w:val="17"/>
                <w:color w:val="auto"/>
              </w:rPr>
            </w:pPr>
          </w:p>
        </w:tc>
        <w:tc>
          <w:tcPr>
            <w:tcW w:w="620" w:type="dxa"/>
            <w:vAlign w:val="bottom"/>
            <w:tcBorders>
              <w:bottom w:val="single" w:sz="8" w:color="0063A6"/>
            </w:tcBorders>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($M)</w:t>
            </w:r>
          </w:p>
        </w:tc>
      </w:tr>
      <w:tr>
        <w:trPr>
          <w:trHeight w:val="241"/>
        </w:trPr>
        <w:tc>
          <w:tcPr>
            <w:tcW w:w="5440" w:type="dxa"/>
            <w:vAlign w:val="bottom"/>
            <w:gridSpan w:val="2"/>
          </w:tcPr>
          <w:p>
            <w:pPr>
              <w:ind w:left="80"/>
              <w:spacing w:after="0"/>
              <w:rPr>
                <w:sz w:val="20"/>
                <w:szCs w:val="20"/>
                <w:color w:val="auto"/>
              </w:rPr>
            </w:pPr>
            <w:r>
              <w:rPr>
                <w:rFonts w:ascii="Arial" w:cs="Arial" w:eastAsia="Arial" w:hAnsi="Arial"/>
                <w:sz w:val="16"/>
                <w:szCs w:val="16"/>
                <w:color w:val="auto"/>
              </w:rPr>
              <w:t>Adjusted EBITDA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280.0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4"/>
              <w:spacing w:after="0"/>
              <w:rPr>
                <w:sz w:val="20"/>
                <w:szCs w:val="20"/>
                <w:color w:val="auto"/>
              </w:rPr>
            </w:pPr>
            <w:r>
              <w:rPr>
                <w:rFonts w:ascii="Arial" w:cs="Arial" w:eastAsia="Arial" w:hAnsi="Arial"/>
                <w:sz w:val="16"/>
                <w:szCs w:val="16"/>
                <w:color w:val="auto"/>
              </w:rPr>
              <w:t>350.0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385.0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373.8</w:t>
            </w:r>
          </w:p>
        </w:tc>
      </w:tr>
      <w:tr>
        <w:trPr>
          <w:trHeight w:val="29"/>
        </w:trPr>
        <w:tc>
          <w:tcPr>
            <w:tcW w:w="5440" w:type="dxa"/>
            <w:vAlign w:val="bottom"/>
            <w:tcBorders>
              <w:bottom w:val="single" w:sz="8" w:color="5D6673"/>
            </w:tcBorders>
            <w:gridSpan w:val="2"/>
          </w:tcPr>
          <w:p>
            <w:pPr>
              <w:spacing w:after="0"/>
              <w:rPr>
                <w:sz w:val="2"/>
                <w:szCs w:val="2"/>
                <w:color w:val="auto"/>
              </w:rPr>
            </w:pPr>
          </w:p>
        </w:tc>
        <w:tc>
          <w:tcPr>
            <w:tcW w:w="160" w:type="dxa"/>
            <w:vAlign w:val="bottom"/>
            <w:tcBorders>
              <w:bottom w:val="single" w:sz="8" w:color="5D6673"/>
            </w:tcBorders>
          </w:tcPr>
          <w:p>
            <w:pPr>
              <w:spacing w:after="0"/>
              <w:rPr>
                <w:sz w:val="2"/>
                <w:szCs w:val="2"/>
                <w:color w:val="auto"/>
              </w:rPr>
            </w:pPr>
          </w:p>
        </w:tc>
        <w:tc>
          <w:tcPr>
            <w:tcW w:w="660" w:type="dxa"/>
            <w:vAlign w:val="bottom"/>
            <w:tcBorders>
              <w:bottom w:val="single" w:sz="8" w:color="5D6673"/>
            </w:tcBorders>
          </w:tcPr>
          <w:p>
            <w:pPr>
              <w:spacing w:after="0"/>
              <w:rPr>
                <w:sz w:val="2"/>
                <w:szCs w:val="2"/>
                <w:color w:val="auto"/>
              </w:rPr>
            </w:pPr>
          </w:p>
        </w:tc>
        <w:tc>
          <w:tcPr>
            <w:tcW w:w="200" w:type="dxa"/>
            <w:vAlign w:val="bottom"/>
            <w:tcBorders>
              <w:bottom w:val="single" w:sz="8" w:color="5D6673"/>
            </w:tcBorders>
          </w:tcPr>
          <w:p>
            <w:pPr>
              <w:spacing w:after="0"/>
              <w:rPr>
                <w:sz w:val="2"/>
                <w:szCs w:val="2"/>
                <w:color w:val="auto"/>
              </w:rPr>
            </w:pPr>
          </w:p>
        </w:tc>
        <w:tc>
          <w:tcPr>
            <w:tcW w:w="6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64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r>
      <w:tr>
        <w:trPr>
          <w:trHeight w:val="235"/>
        </w:trPr>
        <w:tc>
          <w:tcPr>
            <w:tcW w:w="544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color w:val="auto"/>
              </w:rPr>
              <w:t>Revenue</w:t>
            </w:r>
          </w:p>
        </w:tc>
        <w:tc>
          <w:tcPr>
            <w:tcW w:w="1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ind w:right="42"/>
              <w:spacing w:after="0"/>
              <w:rPr>
                <w:sz w:val="20"/>
                <w:szCs w:val="20"/>
                <w:color w:val="auto"/>
              </w:rPr>
            </w:pPr>
            <w:r>
              <w:rPr>
                <w:rFonts w:ascii="Arial" w:cs="Arial" w:eastAsia="Arial" w:hAnsi="Arial"/>
                <w:sz w:val="16"/>
                <w:szCs w:val="16"/>
                <w:color w:val="auto"/>
                <w:w w:val="97"/>
              </w:rPr>
              <w:t>2,340.0</w:t>
            </w:r>
          </w:p>
        </w:tc>
        <w:tc>
          <w:tcPr>
            <w:tcW w:w="20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ind w:right="44"/>
              <w:spacing w:after="0"/>
              <w:rPr>
                <w:sz w:val="20"/>
                <w:szCs w:val="20"/>
                <w:color w:val="auto"/>
              </w:rPr>
            </w:pPr>
            <w:r>
              <w:rPr>
                <w:rFonts w:ascii="Arial" w:cs="Arial" w:eastAsia="Arial" w:hAnsi="Arial"/>
                <w:sz w:val="16"/>
                <w:szCs w:val="16"/>
                <w:color w:val="auto"/>
                <w:w w:val="97"/>
              </w:rPr>
              <w:t>2,465.0</w:t>
            </w:r>
          </w:p>
        </w:tc>
        <w:tc>
          <w:tcPr>
            <w:tcW w:w="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0063A6"/>
            </w:tcBorders>
          </w:tcPr>
          <w:p>
            <w:pPr>
              <w:jc w:val="right"/>
              <w:ind w:right="22"/>
              <w:spacing w:after="0"/>
              <w:rPr>
                <w:sz w:val="20"/>
                <w:szCs w:val="20"/>
                <w:color w:val="auto"/>
              </w:rPr>
            </w:pPr>
            <w:r>
              <w:rPr>
                <w:rFonts w:ascii="Arial" w:cs="Arial" w:eastAsia="Arial" w:hAnsi="Arial"/>
                <w:sz w:val="16"/>
                <w:szCs w:val="16"/>
                <w:color w:val="auto"/>
                <w:w w:val="97"/>
              </w:rPr>
              <w:t>2,540.0</w:t>
            </w:r>
          </w:p>
        </w:tc>
        <w:tc>
          <w:tcPr>
            <w:tcW w:w="5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0063A6"/>
            </w:tcBorders>
          </w:tcPr>
          <w:p>
            <w:pPr>
              <w:jc w:val="right"/>
              <w:ind w:right="2"/>
              <w:spacing w:after="0"/>
              <w:rPr>
                <w:sz w:val="20"/>
                <w:szCs w:val="20"/>
                <w:color w:val="auto"/>
              </w:rPr>
            </w:pPr>
            <w:r>
              <w:rPr>
                <w:rFonts w:ascii="Arial" w:cs="Arial" w:eastAsia="Arial" w:hAnsi="Arial"/>
                <w:sz w:val="16"/>
                <w:szCs w:val="16"/>
                <w:color w:val="auto"/>
                <w:w w:val="97"/>
              </w:rPr>
              <w:t>2,367.2</w:t>
            </w:r>
          </w:p>
        </w:tc>
      </w:tr>
    </w:tbl>
    <w:p>
      <w:pPr>
        <w:spacing w:after="0" w:line="99" w:lineRule="exact"/>
        <w:rPr>
          <w:sz w:val="20"/>
          <w:szCs w:val="20"/>
          <w:color w:val="auto"/>
        </w:rPr>
      </w:pPr>
    </w:p>
    <w:p>
      <w:pPr>
        <w:ind w:left="6"/>
        <w:spacing w:after="0"/>
        <w:rPr>
          <w:sz w:val="20"/>
          <w:szCs w:val="20"/>
          <w:color w:val="auto"/>
        </w:rPr>
      </w:pPr>
      <w:r>
        <w:rPr>
          <w:rFonts w:ascii="Arial" w:cs="Arial" w:eastAsia="Arial" w:hAnsi="Arial"/>
          <w:sz w:val="14"/>
          <w:szCs w:val="14"/>
          <w:color w:val="auto"/>
        </w:rPr>
        <w:t>Note: Payouts are linearly interpolated for performance between threshold and maximum.</w:t>
      </w:r>
    </w:p>
    <w:p>
      <w:pPr>
        <w:spacing w:after="0" w:line="185" w:lineRule="exact"/>
        <w:rPr>
          <w:sz w:val="20"/>
          <w:szCs w:val="20"/>
          <w:color w:val="auto"/>
        </w:rPr>
      </w:pPr>
    </w:p>
    <w:p>
      <w:pPr>
        <w:ind w:left="6" w:right="40"/>
        <w:spacing w:after="0" w:line="254" w:lineRule="auto"/>
        <w:rPr>
          <w:sz w:val="20"/>
          <w:szCs w:val="20"/>
          <w:color w:val="auto"/>
        </w:rPr>
      </w:pPr>
      <w:r>
        <w:rPr>
          <w:rFonts w:ascii="Arial" w:cs="Arial" w:eastAsia="Arial" w:hAnsi="Arial"/>
          <w:sz w:val="16"/>
          <w:szCs w:val="16"/>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pandemics, and the effects of foreign currency translation. No adjustments were made in 2025.</w:t>
      </w:r>
    </w:p>
    <w:p>
      <w:pPr>
        <w:spacing w:after="0" w:line="141" w:lineRule="exact"/>
        <w:rPr>
          <w:sz w:val="20"/>
          <w:szCs w:val="20"/>
          <w:color w:val="auto"/>
        </w:rPr>
      </w:pPr>
    </w:p>
    <w:p>
      <w:pPr>
        <w:ind w:left="6" w:right="480"/>
        <w:spacing w:after="0" w:line="286" w:lineRule="auto"/>
        <w:rPr>
          <w:sz w:val="20"/>
          <w:szCs w:val="20"/>
          <w:color w:val="auto"/>
        </w:rPr>
      </w:pPr>
      <w:r>
        <w:rPr>
          <w:rFonts w:ascii="Arial" w:cs="Arial" w:eastAsia="Arial" w:hAnsi="Arial"/>
          <w:sz w:val="16"/>
          <w:szCs w:val="16"/>
          <w:color w:val="auto"/>
        </w:rPr>
        <w:t>Based on the above financial performance results, the portion of the 2025 IIP payout linked to the financial objectives was earned at 105.9% of each NEO’s applicable target.</w:t>
      </w:r>
    </w:p>
    <w:p>
      <w:pPr>
        <w:spacing w:after="0" w:line="115" w:lineRule="exact"/>
        <w:rPr>
          <w:sz w:val="20"/>
          <w:szCs w:val="20"/>
          <w:color w:val="auto"/>
        </w:rPr>
      </w:pPr>
    </w:p>
    <w:p>
      <w:pPr>
        <w:ind w:left="6" w:right="140"/>
        <w:spacing w:after="0" w:line="256" w:lineRule="auto"/>
        <w:rPr>
          <w:sz w:val="20"/>
          <w:szCs w:val="20"/>
          <w:color w:val="auto"/>
        </w:rPr>
      </w:pPr>
      <w:r>
        <w:rPr>
          <w:rFonts w:ascii="Arial" w:cs="Arial" w:eastAsia="Arial" w:hAnsi="Arial"/>
          <w:sz w:val="16"/>
          <w:szCs w:val="16"/>
          <w:i w:val="1"/>
          <w:iCs w:val="1"/>
          <w:color w:val="auto"/>
        </w:rPr>
        <w:t xml:space="preserve">2025 Non-Financial Performance Levels and Results. </w:t>
      </w:r>
      <w:r>
        <w:rPr>
          <w:rFonts w:ascii="Arial" w:cs="Arial" w:eastAsia="Arial" w:hAnsi="Arial"/>
          <w:sz w:val="16"/>
          <w:szCs w:val="16"/>
          <w:color w:val="auto"/>
        </w:rPr>
        <w:t>The Committee includes non-financial objectives in the IIP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be dynamic and responsive to the Company’s evolving strategy. The Committee selects the non-financial objective categories, along with their associated metrics and goals, annually at the beginning of the year, and may refine them from year to year as business priorities and strategic objectives evolve. For 2025, the Committee selected GGI bookings and annual software and services revenue as the Quantitative Strategic Goals:</w:t>
      </w:r>
    </w:p>
    <w:p>
      <w:pPr>
        <w:spacing w:after="0" w:line="72" w:lineRule="exact"/>
        <w:rPr>
          <w:sz w:val="20"/>
          <w:szCs w:val="20"/>
          <w:color w:val="auto"/>
        </w:rPr>
      </w:pPr>
    </w:p>
    <w:p>
      <w:pPr>
        <w:ind w:left="226" w:right="340" w:hanging="226"/>
        <w:spacing w:after="0" w:line="286" w:lineRule="auto"/>
        <w:tabs>
          <w:tab w:leader="none" w:pos="2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GGI Bookings. GGI bookings aim to accelerate Itron’s growth with key solutions in high growth areas in targeted regions. Bookings of GGI products and services will contribute to the success of this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1"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37" w:name="page38"/>
    <w:bookmarkEnd w:id="3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226" w:right="340" w:hanging="226"/>
        <w:spacing w:after="0" w:line="259" w:lineRule="auto"/>
        <w:tabs>
          <w:tab w:leader="none" w:pos="2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 Software / Services Revenue. We aim to continue expanding our business toward software and services that enhance the value of our hardware and, more importantly, the value delivered to our customers. Growth in software and services revenue also provides an attractive financial benefit to the Company, as these offerings are typically recurring in nature and carry strong profitability.</w:t>
      </w:r>
    </w:p>
    <w:p>
      <w:pPr>
        <w:spacing w:after="0" w:line="137" w:lineRule="exact"/>
        <w:rPr>
          <w:sz w:val="20"/>
          <w:szCs w:val="20"/>
          <w:color w:val="auto"/>
        </w:rPr>
      </w:pPr>
    </w:p>
    <w:p>
      <w:pPr>
        <w:ind w:left="6" w:right="100"/>
        <w:spacing w:after="0" w:line="266" w:lineRule="auto"/>
        <w:rPr>
          <w:sz w:val="20"/>
          <w:szCs w:val="20"/>
          <w:color w:val="auto"/>
        </w:rPr>
      </w:pPr>
      <w:r>
        <w:rPr>
          <w:rFonts w:ascii="Arial" w:cs="Arial" w:eastAsia="Arial" w:hAnsi="Arial"/>
          <w:sz w:val="16"/>
          <w:szCs w:val="16"/>
          <w:color w:val="auto"/>
        </w:rPr>
        <w:t>The Quantitative Strategic Goals are binary, equally-weighted and scored independently. Any related payouts are limited to 100% of target. The specific metrics and goals in each category that were approved by the Compensation Committee for 2025, as well as the actual achievement results for 2025, are outlined below:</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2980" w:type="dxa"/>
            <w:vAlign w:val="bottom"/>
            <w:tcBorders>
              <w:bottom w:val="single" w:sz="8" w:color="0063A6"/>
            </w:tcBorders>
          </w:tcPr>
          <w:p>
            <w:pPr>
              <w:spacing w:after="0"/>
              <w:rPr>
                <w:sz w:val="22"/>
                <w:szCs w:val="22"/>
                <w:color w:val="auto"/>
              </w:rPr>
            </w:pPr>
          </w:p>
        </w:tc>
        <w:tc>
          <w:tcPr>
            <w:tcW w:w="3520" w:type="dxa"/>
            <w:vAlign w:val="bottom"/>
            <w:tcBorders>
              <w:bottom w:val="single" w:sz="8" w:color="0063A6"/>
            </w:tcBorders>
            <w:shd w:val="clear" w:color="auto" w:fill="0063A6"/>
          </w:tcPr>
          <w:p>
            <w:pPr>
              <w:ind w:left="1700"/>
              <w:spacing w:after="0"/>
              <w:rPr>
                <w:sz w:val="20"/>
                <w:szCs w:val="20"/>
                <w:color w:val="auto"/>
              </w:rPr>
            </w:pPr>
            <w:r>
              <w:rPr>
                <w:rFonts w:ascii="Arial" w:cs="Arial" w:eastAsia="Arial" w:hAnsi="Arial"/>
                <w:sz w:val="14"/>
                <w:szCs w:val="14"/>
                <w:b w:val="1"/>
                <w:bCs w:val="1"/>
                <w:color w:val="FFFFFF"/>
              </w:rPr>
              <w:t>2025 Goal</w:t>
            </w:r>
          </w:p>
        </w:tc>
        <w:tc>
          <w:tcPr>
            <w:tcW w:w="2680" w:type="dxa"/>
            <w:vAlign w:val="bottom"/>
            <w:tcBorders>
              <w:bottom w:val="single" w:sz="8" w:color="0063A6"/>
            </w:tcBorders>
            <w:shd w:val="clear" w:color="auto" w:fill="0063A6"/>
          </w:tcPr>
          <w:p>
            <w:pPr>
              <w:jc w:val="center"/>
              <w:ind w:left="522"/>
              <w:spacing w:after="0"/>
              <w:rPr>
                <w:sz w:val="20"/>
                <w:szCs w:val="20"/>
                <w:color w:val="auto"/>
              </w:rPr>
            </w:pPr>
            <w:r>
              <w:rPr>
                <w:rFonts w:ascii="Arial" w:cs="Arial" w:eastAsia="Arial" w:hAnsi="Arial"/>
                <w:sz w:val="14"/>
                <w:szCs w:val="14"/>
                <w:b w:val="1"/>
                <w:bCs w:val="1"/>
                <w:color w:val="FFFFFF"/>
              </w:rPr>
              <w:t>Actual Results</w:t>
            </w:r>
          </w:p>
        </w:tc>
      </w:tr>
      <w:tr>
        <w:trPr>
          <w:trHeight w:val="237"/>
        </w:trPr>
        <w:tc>
          <w:tcPr>
            <w:tcW w:w="298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Annual GGI Bookings</w:t>
            </w:r>
          </w:p>
        </w:tc>
        <w:tc>
          <w:tcPr>
            <w:tcW w:w="352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&gt;$225million</w:t>
            </w:r>
          </w:p>
        </w:tc>
        <w:tc>
          <w:tcPr>
            <w:tcW w:w="2680" w:type="dxa"/>
            <w:vAlign w:val="bottom"/>
            <w:tcBorders>
              <w:bottom w:val="single" w:sz="8" w:color="5D6673"/>
            </w:tcBorders>
          </w:tcPr>
          <w:p>
            <w:pPr>
              <w:jc w:val="center"/>
              <w:ind w:left="522"/>
              <w:spacing w:after="0"/>
              <w:rPr>
                <w:sz w:val="20"/>
                <w:szCs w:val="20"/>
                <w:color w:val="auto"/>
              </w:rPr>
            </w:pPr>
            <w:r>
              <w:rPr>
                <w:rFonts w:ascii="Arial" w:cs="Arial" w:eastAsia="Arial" w:hAnsi="Arial"/>
                <w:sz w:val="16"/>
                <w:szCs w:val="16"/>
                <w:color w:val="auto"/>
              </w:rPr>
              <w:t>Pass</w:t>
            </w:r>
          </w:p>
        </w:tc>
      </w:tr>
      <w:tr>
        <w:trPr>
          <w:trHeight w:val="228"/>
        </w:trPr>
        <w:tc>
          <w:tcPr>
            <w:tcW w:w="2980" w:type="dxa"/>
            <w:vAlign w:val="bottom"/>
            <w:tcBorders>
              <w:bottom w:val="single" w:sz="8" w:color="0063A6"/>
            </w:tcBorders>
          </w:tcPr>
          <w:p>
            <w:pPr>
              <w:ind w:left="100"/>
              <w:spacing w:after="0"/>
              <w:rPr>
                <w:sz w:val="20"/>
                <w:szCs w:val="20"/>
                <w:color w:val="auto"/>
              </w:rPr>
            </w:pPr>
            <w:r>
              <w:rPr>
                <w:rFonts w:ascii="Arial" w:cs="Arial" w:eastAsia="Arial" w:hAnsi="Arial"/>
                <w:sz w:val="16"/>
                <w:szCs w:val="16"/>
                <w:color w:val="auto"/>
              </w:rPr>
              <w:t>Annual Software / Services Revenue</w:t>
            </w:r>
          </w:p>
        </w:tc>
        <w:tc>
          <w:tcPr>
            <w:tcW w:w="3520" w:type="dxa"/>
            <w:vAlign w:val="bottom"/>
            <w:tcBorders>
              <w:bottom w:val="single" w:sz="8" w:color="0063A6"/>
            </w:tcBorders>
          </w:tcPr>
          <w:p>
            <w:pPr>
              <w:ind w:left="100"/>
              <w:spacing w:after="0"/>
              <w:rPr>
                <w:sz w:val="20"/>
                <w:szCs w:val="20"/>
                <w:color w:val="auto"/>
              </w:rPr>
            </w:pPr>
            <w:r>
              <w:rPr>
                <w:rFonts w:ascii="Arial" w:cs="Arial" w:eastAsia="Arial" w:hAnsi="Arial"/>
                <w:sz w:val="16"/>
                <w:szCs w:val="16"/>
                <w:color w:val="auto"/>
              </w:rPr>
              <w:t>&gt;$380 million</w:t>
            </w:r>
          </w:p>
        </w:tc>
        <w:tc>
          <w:tcPr>
            <w:tcW w:w="2680" w:type="dxa"/>
            <w:vAlign w:val="bottom"/>
            <w:tcBorders>
              <w:bottom w:val="single" w:sz="8" w:color="0063A6"/>
            </w:tcBorders>
          </w:tcPr>
          <w:p>
            <w:pPr>
              <w:jc w:val="center"/>
              <w:ind w:left="522"/>
              <w:spacing w:after="0"/>
              <w:rPr>
                <w:sz w:val="20"/>
                <w:szCs w:val="20"/>
                <w:color w:val="auto"/>
              </w:rPr>
            </w:pPr>
            <w:r>
              <w:rPr>
                <w:rFonts w:ascii="Arial" w:cs="Arial" w:eastAsia="Arial" w:hAnsi="Arial"/>
                <w:sz w:val="16"/>
                <w:szCs w:val="16"/>
                <w:color w:val="auto"/>
              </w:rPr>
              <w:t>Pass</w:t>
            </w:r>
          </w:p>
        </w:tc>
      </w:tr>
    </w:tbl>
    <w:p>
      <w:pPr>
        <w:spacing w:after="0" w:line="215" w:lineRule="exact"/>
        <w:rPr>
          <w:sz w:val="20"/>
          <w:szCs w:val="20"/>
          <w:color w:val="auto"/>
        </w:rPr>
      </w:pPr>
    </w:p>
    <w:p>
      <w:pPr>
        <w:ind w:left="6" w:right="300"/>
        <w:spacing w:after="0" w:line="286" w:lineRule="auto"/>
        <w:rPr>
          <w:sz w:val="20"/>
          <w:szCs w:val="20"/>
          <w:color w:val="auto"/>
        </w:rPr>
      </w:pPr>
      <w:r>
        <w:rPr>
          <w:rFonts w:ascii="Arial" w:cs="Arial" w:eastAsia="Arial" w:hAnsi="Arial"/>
          <w:sz w:val="16"/>
          <w:szCs w:val="16"/>
          <w:color w:val="auto"/>
        </w:rPr>
        <w:t>Based on the above non-financial performance results, the portion of the 2025 IIP payout linked to the Quantitative Strategic Goals was earned at 100% of each NEO’s applicable target.</w:t>
      </w:r>
    </w:p>
    <w:p>
      <w:pPr>
        <w:spacing w:after="0" w:line="129"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i w:val="1"/>
          <w:iCs w:val="1"/>
          <w:color w:val="auto"/>
        </w:rPr>
        <w:t xml:space="preserve">2025 Individual Performance </w:t>
      </w:r>
      <w:r>
        <w:rPr>
          <w:rFonts w:ascii="Arial" w:cs="Arial" w:eastAsia="Arial" w:hAnsi="Arial"/>
          <w:sz w:val="16"/>
          <w:szCs w:val="16"/>
          <w:color w:val="auto"/>
        </w:rPr>
        <w:t>. The Committee has discretion to make adjustments based on the NEO’s individual and/or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unit’s performance. The Committee may decide to adjust each NEO’s IIP payout upward or downward by applying a multiplier in the range of 0% to 150% against the initially-calculated payout based on the financial and non-financial results. The Committee did not apply an individual modifier to 2025 payouts for any of the NEOs.</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2025 IIP Results and Payouts</w:t>
      </w:r>
      <w:r>
        <w:rPr>
          <w:rFonts w:ascii="Arial" w:cs="Arial" w:eastAsia="Arial" w:hAnsi="Arial"/>
          <w:sz w:val="16"/>
          <w:szCs w:val="16"/>
          <w:color w:val="auto"/>
        </w:rPr>
        <w:t>. The actual IIP awards paid to the NEOs for 2025 were as follows:</w:t>
      </w:r>
    </w:p>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4420" w:type="dxa"/>
            <w:vAlign w:val="bottom"/>
          </w:tcPr>
          <w:p>
            <w:pPr>
              <w:spacing w:after="0"/>
              <w:rPr>
                <w:sz w:val="19"/>
                <w:szCs w:val="19"/>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2025</w:t>
            </w:r>
          </w:p>
        </w:tc>
        <w:tc>
          <w:tcPr>
            <w:tcW w:w="280" w:type="dxa"/>
            <w:vAlign w:val="bottom"/>
            <w:shd w:val="clear" w:color="auto" w:fill="0063A6"/>
          </w:tcPr>
          <w:p>
            <w:pPr>
              <w:spacing w:after="0"/>
              <w:rPr>
                <w:sz w:val="19"/>
                <w:szCs w:val="19"/>
                <w:color w:val="auto"/>
              </w:rPr>
            </w:pPr>
          </w:p>
        </w:tc>
        <w:tc>
          <w:tcPr>
            <w:tcW w:w="780" w:type="dxa"/>
            <w:vAlign w:val="bottom"/>
            <w:shd w:val="clear" w:color="auto" w:fill="0063A6"/>
          </w:tcPr>
          <w:p>
            <w:pPr>
              <w:spacing w:after="0"/>
              <w:rPr>
                <w:sz w:val="19"/>
                <w:szCs w:val="19"/>
                <w:color w:val="auto"/>
              </w:rPr>
            </w:pPr>
          </w:p>
        </w:tc>
        <w:tc>
          <w:tcPr>
            <w:tcW w:w="1260" w:type="dxa"/>
            <w:vAlign w:val="bottom"/>
            <w:shd w:val="clear" w:color="auto" w:fill="0063A6"/>
          </w:tcPr>
          <w:p>
            <w:pPr>
              <w:jc w:val="right"/>
              <w:ind w:right="144"/>
              <w:spacing w:after="0"/>
              <w:rPr>
                <w:sz w:val="20"/>
                <w:szCs w:val="20"/>
                <w:color w:val="auto"/>
              </w:rPr>
            </w:pPr>
            <w:r>
              <w:rPr>
                <w:rFonts w:ascii="Arial" w:cs="Arial" w:eastAsia="Arial" w:hAnsi="Arial"/>
                <w:sz w:val="14"/>
                <w:szCs w:val="14"/>
                <w:b w:val="1"/>
                <w:bCs w:val="1"/>
                <w:color w:val="FFFFFF"/>
              </w:rPr>
              <w:t>Final Financial</w:t>
            </w:r>
          </w:p>
        </w:tc>
        <w:tc>
          <w:tcPr>
            <w:tcW w:w="260" w:type="dxa"/>
            <w:vAlign w:val="bottom"/>
            <w:shd w:val="clear" w:color="auto" w:fill="0063A6"/>
          </w:tcPr>
          <w:p>
            <w:pPr>
              <w:spacing w:after="0"/>
              <w:rPr>
                <w:sz w:val="19"/>
                <w:szCs w:val="19"/>
                <w:color w:val="auto"/>
              </w:rPr>
            </w:pPr>
          </w:p>
        </w:tc>
        <w:tc>
          <w:tcPr>
            <w:tcW w:w="920" w:type="dxa"/>
            <w:vAlign w:val="bottom"/>
            <w:shd w:val="clear" w:color="auto" w:fill="0063A6"/>
          </w:tcPr>
          <w:p>
            <w:pPr>
              <w:spacing w:after="0"/>
              <w:rPr>
                <w:sz w:val="19"/>
                <w:szCs w:val="19"/>
                <w:color w:val="auto"/>
              </w:rPr>
            </w:pPr>
          </w:p>
        </w:tc>
      </w:tr>
      <w:tr>
        <w:trPr>
          <w:trHeight w:val="162"/>
        </w:trPr>
        <w:tc>
          <w:tcPr>
            <w:tcW w:w="4420" w:type="dxa"/>
            <w:vAlign w:val="bottom"/>
          </w:tcPr>
          <w:p>
            <w:pPr>
              <w:spacing w:after="0"/>
              <w:rPr>
                <w:sz w:val="14"/>
                <w:szCs w:val="14"/>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Target</w:t>
            </w:r>
          </w:p>
        </w:tc>
        <w:tc>
          <w:tcPr>
            <w:tcW w:w="28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60" w:type="dxa"/>
            <w:vAlign w:val="bottom"/>
            <w:shd w:val="clear" w:color="auto" w:fill="0063A6"/>
          </w:tcPr>
          <w:p>
            <w:pPr>
              <w:jc w:val="right"/>
              <w:ind w:right="144"/>
              <w:spacing w:after="0"/>
              <w:rPr>
                <w:sz w:val="20"/>
                <w:szCs w:val="20"/>
                <w:color w:val="auto"/>
              </w:rPr>
            </w:pPr>
            <w:r>
              <w:rPr>
                <w:rFonts w:ascii="Arial" w:cs="Arial" w:eastAsia="Arial" w:hAnsi="Arial"/>
                <w:sz w:val="14"/>
                <w:szCs w:val="14"/>
                <w:b w:val="1"/>
                <w:bCs w:val="1"/>
                <w:color w:val="FFFFFF"/>
              </w:rPr>
              <w:t>and</w:t>
            </w:r>
          </w:p>
        </w:tc>
        <w:tc>
          <w:tcPr>
            <w:tcW w:w="26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163"/>
              <w:spacing w:after="0"/>
              <w:rPr>
                <w:sz w:val="20"/>
                <w:szCs w:val="20"/>
                <w:color w:val="auto"/>
              </w:rPr>
            </w:pPr>
            <w:r>
              <w:rPr>
                <w:rFonts w:ascii="Arial" w:cs="Arial" w:eastAsia="Arial" w:hAnsi="Arial"/>
                <w:sz w:val="14"/>
                <w:szCs w:val="14"/>
                <w:b w:val="1"/>
                <w:bCs w:val="1"/>
                <w:color w:val="FFFFFF"/>
              </w:rPr>
              <w:t>2025</w:t>
            </w:r>
          </w:p>
        </w:tc>
      </w:tr>
      <w:tr>
        <w:trPr>
          <w:trHeight w:val="162"/>
        </w:trPr>
        <w:tc>
          <w:tcPr>
            <w:tcW w:w="4420" w:type="dxa"/>
            <w:vAlign w:val="bottom"/>
          </w:tcPr>
          <w:p>
            <w:pPr>
              <w:spacing w:after="0"/>
              <w:rPr>
                <w:sz w:val="14"/>
                <w:szCs w:val="14"/>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(as a % of</w:t>
            </w:r>
          </w:p>
        </w:tc>
        <w:tc>
          <w:tcPr>
            <w:tcW w:w="28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2025</w:t>
            </w:r>
          </w:p>
        </w:tc>
        <w:tc>
          <w:tcPr>
            <w:tcW w:w="1260" w:type="dxa"/>
            <w:vAlign w:val="bottom"/>
            <w:shd w:val="clear" w:color="auto" w:fill="0063A6"/>
          </w:tcPr>
          <w:p>
            <w:pPr>
              <w:jc w:val="right"/>
              <w:ind w:right="144"/>
              <w:spacing w:after="0"/>
              <w:rPr>
                <w:sz w:val="20"/>
                <w:szCs w:val="20"/>
                <w:color w:val="auto"/>
              </w:rPr>
            </w:pPr>
            <w:r>
              <w:rPr>
                <w:rFonts w:ascii="Arial" w:cs="Arial" w:eastAsia="Arial" w:hAnsi="Arial"/>
                <w:sz w:val="14"/>
                <w:szCs w:val="14"/>
                <w:b w:val="1"/>
                <w:bCs w:val="1"/>
                <w:color w:val="FFFFFF"/>
              </w:rPr>
              <w:t>Non-Financial</w:t>
            </w:r>
          </w:p>
        </w:tc>
        <w:tc>
          <w:tcPr>
            <w:tcW w:w="26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163"/>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4420" w:type="dxa"/>
            <w:vAlign w:val="bottom"/>
          </w:tcPr>
          <w:p>
            <w:pPr>
              <w:spacing w:after="0"/>
              <w:rPr>
                <w:sz w:val="14"/>
                <w:szCs w:val="14"/>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Base</w:t>
            </w:r>
          </w:p>
        </w:tc>
        <w:tc>
          <w:tcPr>
            <w:tcW w:w="28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Target</w:t>
            </w:r>
          </w:p>
        </w:tc>
        <w:tc>
          <w:tcPr>
            <w:tcW w:w="1260" w:type="dxa"/>
            <w:vAlign w:val="bottom"/>
            <w:shd w:val="clear" w:color="auto" w:fill="0063A6"/>
          </w:tcPr>
          <w:p>
            <w:pPr>
              <w:jc w:val="right"/>
              <w:ind w:right="144"/>
              <w:spacing w:after="0"/>
              <w:rPr>
                <w:sz w:val="20"/>
                <w:szCs w:val="20"/>
                <w:color w:val="auto"/>
              </w:rPr>
            </w:pPr>
            <w:r>
              <w:rPr>
                <w:rFonts w:ascii="Arial" w:cs="Arial" w:eastAsia="Arial" w:hAnsi="Arial"/>
                <w:sz w:val="14"/>
                <w:szCs w:val="14"/>
                <w:b w:val="1"/>
                <w:bCs w:val="1"/>
                <w:color w:val="FFFFFF"/>
              </w:rPr>
              <w:t>Results</w:t>
            </w:r>
          </w:p>
        </w:tc>
        <w:tc>
          <w:tcPr>
            <w:tcW w:w="26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163"/>
              <w:spacing w:after="0"/>
              <w:rPr>
                <w:sz w:val="20"/>
                <w:szCs w:val="20"/>
                <w:color w:val="auto"/>
              </w:rPr>
            </w:pPr>
            <w:r>
              <w:rPr>
                <w:rFonts w:ascii="Arial" w:cs="Arial" w:eastAsia="Arial" w:hAnsi="Arial"/>
                <w:sz w:val="14"/>
                <w:szCs w:val="14"/>
                <w:b w:val="1"/>
                <w:bCs w:val="1"/>
                <w:color w:val="FFFFFF"/>
              </w:rPr>
              <w:t>Award</w:t>
            </w:r>
          </w:p>
        </w:tc>
      </w:tr>
      <w:tr>
        <w:trPr>
          <w:trHeight w:val="205"/>
        </w:trPr>
        <w:tc>
          <w:tcPr>
            <w:tcW w:w="44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1260" w:type="dxa"/>
            <w:vAlign w:val="bottom"/>
            <w:tcBorders>
              <w:bottom w:val="single" w:sz="8" w:color="0063A6"/>
            </w:tcBorders>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Salary)</w:t>
            </w:r>
          </w:p>
        </w:tc>
        <w:tc>
          <w:tcPr>
            <w:tcW w:w="280" w:type="dxa"/>
            <w:vAlign w:val="bottom"/>
            <w:tcBorders>
              <w:bottom w:val="single" w:sz="8" w:color="0063A6"/>
            </w:tcBorders>
            <w:shd w:val="clear" w:color="auto" w:fill="0063A6"/>
          </w:tcPr>
          <w:p>
            <w:pPr>
              <w:spacing w:after="0"/>
              <w:rPr>
                <w:sz w:val="17"/>
                <w:szCs w:val="17"/>
                <w:color w:val="auto"/>
              </w:rPr>
            </w:pPr>
          </w:p>
        </w:tc>
        <w:tc>
          <w:tcPr>
            <w:tcW w:w="7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0063A6"/>
            </w:tcBorders>
            <w:shd w:val="clear" w:color="auto" w:fill="0063A6"/>
          </w:tcPr>
          <w:p>
            <w:pPr>
              <w:jc w:val="right"/>
              <w:ind w:right="104"/>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0063A6"/>
            </w:tcBorders>
            <w:shd w:val="clear" w:color="auto" w:fill="0063A6"/>
          </w:tcPr>
          <w:p>
            <w:pPr>
              <w:spacing w:after="0"/>
              <w:rPr>
                <w:sz w:val="17"/>
                <w:szCs w:val="17"/>
                <w:color w:val="auto"/>
              </w:rPr>
            </w:pPr>
          </w:p>
        </w:tc>
        <w:tc>
          <w:tcPr>
            <w:tcW w:w="920" w:type="dxa"/>
            <w:vAlign w:val="bottom"/>
            <w:tcBorders>
              <w:bottom w:val="single" w:sz="8" w:color="0063A6"/>
            </w:tcBorders>
            <w:shd w:val="clear" w:color="auto" w:fill="0063A6"/>
          </w:tcPr>
          <w:p>
            <w:pPr>
              <w:jc w:val="right"/>
              <w:ind w:right="123"/>
              <w:spacing w:after="0"/>
              <w:rPr>
                <w:sz w:val="20"/>
                <w:szCs w:val="20"/>
                <w:color w:val="auto"/>
              </w:rPr>
            </w:pPr>
            <w:r>
              <w:rPr>
                <w:rFonts w:ascii="Arial" w:cs="Arial" w:eastAsia="Arial" w:hAnsi="Arial"/>
                <w:sz w:val="14"/>
                <w:szCs w:val="14"/>
                <w:b w:val="1"/>
                <w:bCs w:val="1"/>
                <w:color w:val="FFFFFF"/>
              </w:rPr>
              <w:t>($)</w:t>
            </w:r>
          </w:p>
        </w:tc>
      </w:tr>
      <w:tr>
        <w:trPr>
          <w:trHeight w:val="249"/>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125%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1,250,000</w:t>
            </w:r>
          </w:p>
        </w:tc>
        <w:tc>
          <w:tcPr>
            <w:tcW w:w="1260" w:type="dxa"/>
            <w:vAlign w:val="bottom"/>
          </w:tcPr>
          <w:p>
            <w:pPr>
              <w:jc w:val="right"/>
              <w:ind w:right="104"/>
              <w:spacing w:after="0"/>
              <w:rPr>
                <w:sz w:val="20"/>
                <w:szCs w:val="20"/>
                <w:color w:val="auto"/>
              </w:rPr>
            </w:pPr>
            <w:r>
              <w:rPr>
                <w:rFonts w:ascii="Arial" w:cs="Arial" w:eastAsia="Arial" w:hAnsi="Arial"/>
                <w:sz w:val="16"/>
                <w:szCs w:val="16"/>
                <w:color w:val="auto"/>
              </w:rPr>
              <w:t>105.9%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w w:val="98"/>
              </w:rPr>
              <w:t>1,291,835</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43"/>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Joan S. Hooper</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429,000</w:t>
            </w:r>
          </w:p>
        </w:tc>
        <w:tc>
          <w:tcPr>
            <w:tcW w:w="1260" w:type="dxa"/>
            <w:vAlign w:val="bottom"/>
          </w:tcPr>
          <w:p>
            <w:pPr>
              <w:jc w:val="right"/>
              <w:ind w:right="104"/>
              <w:spacing w:after="0"/>
              <w:rPr>
                <w:sz w:val="20"/>
                <w:szCs w:val="20"/>
                <w:color w:val="auto"/>
              </w:rPr>
            </w:pPr>
            <w:r>
              <w:rPr>
                <w:rFonts w:ascii="Arial" w:cs="Arial" w:eastAsia="Arial" w:hAnsi="Arial"/>
                <w:sz w:val="16"/>
                <w:szCs w:val="16"/>
                <w:color w:val="auto"/>
              </w:rPr>
              <w:t>105.9%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450,098</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43"/>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Donald L. Reeves</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366,750</w:t>
            </w:r>
          </w:p>
        </w:tc>
        <w:tc>
          <w:tcPr>
            <w:tcW w:w="1260" w:type="dxa"/>
            <w:vAlign w:val="bottom"/>
          </w:tcPr>
          <w:p>
            <w:pPr>
              <w:jc w:val="right"/>
              <w:ind w:right="104"/>
              <w:spacing w:after="0"/>
              <w:rPr>
                <w:sz w:val="20"/>
                <w:szCs w:val="20"/>
                <w:color w:val="auto"/>
              </w:rPr>
            </w:pPr>
            <w:r>
              <w:rPr>
                <w:rFonts w:ascii="Arial" w:cs="Arial" w:eastAsia="Arial" w:hAnsi="Arial"/>
                <w:sz w:val="16"/>
                <w:szCs w:val="16"/>
                <w:color w:val="auto"/>
              </w:rPr>
              <w:t>105.9%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384,750</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43"/>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John F. Marcolini</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358,500</w:t>
            </w:r>
          </w:p>
        </w:tc>
        <w:tc>
          <w:tcPr>
            <w:tcW w:w="1260" w:type="dxa"/>
            <w:vAlign w:val="bottom"/>
          </w:tcPr>
          <w:p>
            <w:pPr>
              <w:jc w:val="right"/>
              <w:ind w:right="104"/>
              <w:spacing w:after="0"/>
              <w:rPr>
                <w:sz w:val="20"/>
                <w:szCs w:val="20"/>
                <w:color w:val="auto"/>
              </w:rPr>
            </w:pPr>
            <w:r>
              <w:rPr>
                <w:rFonts w:ascii="Arial" w:cs="Arial" w:eastAsia="Arial" w:hAnsi="Arial"/>
                <w:sz w:val="16"/>
                <w:szCs w:val="16"/>
                <w:color w:val="auto"/>
              </w:rPr>
              <w:t>105.9%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376,205</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37"/>
        </w:trPr>
        <w:tc>
          <w:tcPr>
            <w:tcW w:w="4420" w:type="dxa"/>
            <w:vAlign w:val="bottom"/>
            <w:tcBorders>
              <w:bottom w:val="single" w:sz="8" w:color="0063A6"/>
            </w:tcBorders>
          </w:tcPr>
          <w:p>
            <w:pPr>
              <w:ind w:left="80"/>
              <w:spacing w:after="0"/>
              <w:rPr>
                <w:sz w:val="20"/>
                <w:szCs w:val="20"/>
                <w:color w:val="auto"/>
              </w:rPr>
            </w:pPr>
            <w:r>
              <w:rPr>
                <w:rFonts w:ascii="Arial" w:cs="Arial" w:eastAsia="Arial" w:hAnsi="Arial"/>
                <w:sz w:val="16"/>
                <w:szCs w:val="16"/>
                <w:b w:val="1"/>
                <w:bCs w:val="1"/>
                <w:color w:val="0063A6"/>
              </w:rPr>
              <w:t>Justin K. Patrick</w:t>
            </w:r>
          </w:p>
        </w:tc>
        <w:tc>
          <w:tcPr>
            <w:tcW w:w="1260" w:type="dxa"/>
            <w:vAlign w:val="bottom"/>
            <w:tcBorders>
              <w:bottom w:val="single" w:sz="8" w:color="0063A6"/>
            </w:tcBorders>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330,000</w:t>
            </w:r>
          </w:p>
        </w:tc>
        <w:tc>
          <w:tcPr>
            <w:tcW w:w="1260" w:type="dxa"/>
            <w:vAlign w:val="bottom"/>
            <w:tcBorders>
              <w:bottom w:val="single" w:sz="8" w:color="0063A6"/>
            </w:tcBorders>
          </w:tcPr>
          <w:p>
            <w:pPr>
              <w:jc w:val="right"/>
              <w:ind w:right="104"/>
              <w:spacing w:after="0"/>
              <w:rPr>
                <w:sz w:val="20"/>
                <w:szCs w:val="20"/>
                <w:color w:val="auto"/>
              </w:rPr>
            </w:pPr>
            <w:r>
              <w:rPr>
                <w:rFonts w:ascii="Arial" w:cs="Arial" w:eastAsia="Arial" w:hAnsi="Arial"/>
                <w:sz w:val="16"/>
                <w:szCs w:val="16"/>
                <w:color w:val="auto"/>
              </w:rPr>
              <w:t>105.9%</w:t>
            </w:r>
          </w:p>
        </w:tc>
        <w:tc>
          <w:tcPr>
            <w:tcW w:w="2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63A6"/>
            </w:tcBorders>
          </w:tcPr>
          <w:p>
            <w:pPr>
              <w:jc w:val="right"/>
              <w:ind w:right="123"/>
              <w:spacing w:after="0"/>
              <w:rPr>
                <w:sz w:val="20"/>
                <w:szCs w:val="20"/>
                <w:color w:val="auto"/>
              </w:rPr>
            </w:pPr>
            <w:r>
              <w:rPr>
                <w:rFonts w:ascii="Arial" w:cs="Arial" w:eastAsia="Arial" w:hAnsi="Arial"/>
                <w:sz w:val="16"/>
                <w:szCs w:val="16"/>
                <w:color w:val="auto"/>
              </w:rPr>
              <w:t>344,683</w:t>
            </w:r>
          </w:p>
        </w:tc>
      </w:tr>
    </w:tbl>
    <w:p>
      <w:pPr>
        <w:spacing w:after="0" w:line="215" w:lineRule="exact"/>
        <w:rPr>
          <w:sz w:val="20"/>
          <w:szCs w:val="20"/>
          <w:color w:val="auto"/>
        </w:rPr>
      </w:pPr>
    </w:p>
    <w:p>
      <w:pPr>
        <w:ind w:left="6" w:right="160"/>
        <w:spacing w:after="0" w:line="266" w:lineRule="auto"/>
        <w:rPr>
          <w:sz w:val="20"/>
          <w:szCs w:val="20"/>
          <w:color w:val="auto"/>
        </w:rPr>
      </w:pPr>
      <w:r>
        <w:rPr>
          <w:rFonts w:ascii="Arial" w:cs="Arial" w:eastAsia="Arial" w:hAnsi="Arial"/>
          <w:sz w:val="16"/>
          <w:szCs w:val="16"/>
          <w:color w:val="auto"/>
        </w:rPr>
        <w:t>Target incentive opportunities are expressed as a percentage of base salary rate; however, consistent with the 2025 IIP, actual payouts are calculated based on base salary earned during 2025. As a result, actual awards may not equal target amounts multiplied by the final payout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34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38" w:name="page39"/>
    <w:bookmarkEnd w:id="3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Long-Term Equity Incentive: The Long-Term Incentive Plan (LTIP)</w:t>
      </w:r>
    </w:p>
    <w:p>
      <w:pPr>
        <w:spacing w:after="0" w:line="77"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The NEOs are eligible for long-term incentives, all of which were issued under the terms of our Third A&amp;R 2010 Plan. The Compensation Committee considers a mix of equity vehicles when granting long-term incentives and uses PRSUs and RSUs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194945</wp:posOffset>
            </wp:positionV>
            <wp:extent cx="5734685" cy="17487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3468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113" w:lineRule="exact"/>
        <w:rPr>
          <w:sz w:val="20"/>
          <w:szCs w:val="20"/>
          <w:color w:val="auto"/>
        </w:rPr>
      </w:pPr>
    </w:p>
    <w:p>
      <w:pPr>
        <w:ind w:left="226" w:hanging="226"/>
        <w:spacing w:after="0"/>
        <w:tabs>
          <w:tab w:leader="none" w:pos="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PRSUs reward the achievement of financial goals over a three-year performance period.</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RSUs support retention; they vest 1/3 on the first anniversary of the grant date and quarterly thereafter for two years.</w:t>
      </w:r>
    </w:p>
    <w:p>
      <w:pPr>
        <w:spacing w:after="0" w:line="181" w:lineRule="exact"/>
        <w:rPr>
          <w:sz w:val="20"/>
          <w:szCs w:val="20"/>
          <w:color w:val="auto"/>
        </w:rPr>
      </w:pPr>
    </w:p>
    <w:p>
      <w:pPr>
        <w:jc w:val="both"/>
        <w:ind w:left="6" w:right="40"/>
        <w:spacing w:after="0" w:line="286" w:lineRule="auto"/>
        <w:rPr>
          <w:sz w:val="20"/>
          <w:szCs w:val="20"/>
          <w:color w:val="auto"/>
        </w:rPr>
      </w:pPr>
      <w:r>
        <w:rPr>
          <w:rFonts w:ascii="Arial" w:cs="Arial" w:eastAsia="Arial" w:hAnsi="Arial"/>
          <w:sz w:val="16"/>
          <w:szCs w:val="16"/>
          <w:color w:val="auto"/>
        </w:rPr>
        <w:t>The Compensation Committee emphasizes performance-based equity for the CEO by using an annual target LTIP award mix of 67% PRSUs and 33% RSUs. The annual target LTIP awards for all other NEOs are comprised of 50% PRSUs and 50% RSUs.</w:t>
      </w:r>
    </w:p>
    <w:p>
      <w:pPr>
        <w:spacing w:after="0" w:line="129" w:lineRule="exact"/>
        <w:rPr>
          <w:sz w:val="20"/>
          <w:szCs w:val="20"/>
          <w:color w:val="auto"/>
        </w:rPr>
      </w:pPr>
    </w:p>
    <w:p>
      <w:pPr>
        <w:ind w:left="6" w:right="20"/>
        <w:spacing w:after="0" w:line="253" w:lineRule="auto"/>
        <w:rPr>
          <w:sz w:val="20"/>
          <w:szCs w:val="20"/>
          <w:color w:val="auto"/>
        </w:rPr>
      </w:pPr>
      <w:r>
        <w:rPr>
          <w:rFonts w:ascii="Arial" w:cs="Arial" w:eastAsia="Arial" w:hAnsi="Arial"/>
          <w:sz w:val="16"/>
          <w:szCs w:val="16"/>
          <w:i w:val="1"/>
          <w:iCs w:val="1"/>
          <w:color w:val="auto"/>
        </w:rPr>
        <w:t xml:space="preserve">2025 Target Long-Term Incentive Award Grants. </w:t>
      </w:r>
      <w:r>
        <w:rPr>
          <w:rFonts w:ascii="Arial" w:cs="Arial" w:eastAsia="Arial" w:hAnsi="Arial"/>
          <w:sz w:val="16"/>
          <w:szCs w:val="16"/>
          <w:color w:val="auto"/>
        </w:rPr>
        <w:t>After its annual review, including consideration of updated market data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consultant reflecting peer practices and year-over-year market movement in equity awards, the Committee increased Mr. Deitrich’s target annual long-term incentive awards by $1,000,000 in recognition of his strong performance to improve competitive positioning and maintain alignment with prevailing market practices. The Committee also increased the target annual long-term incentive awards for Ms. Hooper and Messrs. Reeves, Marcolini, and Patrick by $100,000, $150,000, $100,000 and $250,000, respectively. The table below shows the target annual LTIP award values approved by the Committee for fiscal year 2025 for each of the NEOs:</w:t>
      </w:r>
    </w:p>
    <w:p>
      <w:pPr>
        <w:spacing w:after="0" w:line="114" w:lineRule="exact"/>
        <w:rPr>
          <w:sz w:val="20"/>
          <w:szCs w:val="20"/>
          <w:color w:val="auto"/>
        </w:rPr>
      </w:pPr>
    </w:p>
    <w:tbl>
      <w:tblPr>
        <w:tblLayout w:type="fixed"/>
        <w:tblInd w:w="6" w:type="dxa"/>
        <w:tblCellMar>
          <w:top w:w="0" w:type="dxa"/>
          <w:left w:w="0" w:type="dxa"/>
          <w:bottom w:w="0" w:type="dxa"/>
          <w:right w:w="0" w:type="dxa"/>
        </w:tblCellMar>
      </w:tblPr>
      <w:tr>
        <w:trPr>
          <w:trHeight w:val="264"/>
        </w:trPr>
        <w:tc>
          <w:tcPr>
            <w:tcW w:w="50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240" w:type="dxa"/>
            <w:vAlign w:val="bottom"/>
            <w:tcBorders>
              <w:bottom w:val="single" w:sz="8" w:color="0063A6"/>
            </w:tcBorders>
            <w:shd w:val="clear" w:color="auto" w:fill="0063A6"/>
          </w:tcPr>
          <w:p>
            <w:pPr>
              <w:spacing w:after="0"/>
              <w:rPr>
                <w:sz w:val="22"/>
                <w:szCs w:val="22"/>
                <w:color w:val="auto"/>
              </w:rPr>
            </w:pPr>
          </w:p>
        </w:tc>
        <w:tc>
          <w:tcPr>
            <w:tcW w:w="1520" w:type="dxa"/>
            <w:vAlign w:val="bottom"/>
            <w:tcBorders>
              <w:bottom w:val="single" w:sz="8" w:color="0063A6"/>
            </w:tcBorders>
            <w:gridSpan w:val="2"/>
            <w:shd w:val="clear" w:color="auto" w:fill="0063A6"/>
          </w:tcPr>
          <w:p>
            <w:pPr>
              <w:jc w:val="right"/>
              <w:ind w:right="139"/>
              <w:spacing w:after="0"/>
              <w:rPr>
                <w:sz w:val="20"/>
                <w:szCs w:val="20"/>
                <w:color w:val="auto"/>
              </w:rPr>
            </w:pPr>
            <w:r>
              <w:rPr>
                <w:rFonts w:ascii="Arial" w:cs="Arial" w:eastAsia="Arial" w:hAnsi="Arial"/>
                <w:sz w:val="14"/>
                <w:szCs w:val="14"/>
                <w:b w:val="1"/>
                <w:bCs w:val="1"/>
                <w:color w:val="FFFFFF"/>
              </w:rPr>
              <w:t>PRSUs* (at Target)</w:t>
            </w:r>
          </w:p>
        </w:tc>
        <w:tc>
          <w:tcPr>
            <w:tcW w:w="320" w:type="dxa"/>
            <w:vAlign w:val="bottom"/>
            <w:tcBorders>
              <w:bottom w:val="single" w:sz="8" w:color="0063A6"/>
            </w:tcBorders>
            <w:shd w:val="clear" w:color="auto" w:fill="0063A6"/>
          </w:tcPr>
          <w:p>
            <w:pPr>
              <w:spacing w:after="0"/>
              <w:rPr>
                <w:sz w:val="22"/>
                <w:szCs w:val="22"/>
                <w:color w:val="auto"/>
              </w:rPr>
            </w:pPr>
          </w:p>
        </w:tc>
        <w:tc>
          <w:tcPr>
            <w:tcW w:w="960" w:type="dxa"/>
            <w:vAlign w:val="bottom"/>
            <w:tcBorders>
              <w:bottom w:val="single" w:sz="8" w:color="0063A6"/>
            </w:tcBorders>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RSUs*</w:t>
            </w:r>
          </w:p>
        </w:tc>
        <w:tc>
          <w:tcPr>
            <w:tcW w:w="11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Total Value</w:t>
            </w:r>
          </w:p>
        </w:tc>
      </w:tr>
      <w:tr>
        <w:trPr>
          <w:trHeight w:val="249"/>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w w:val="98"/>
              </w:rPr>
              <w:t>4,690,000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w w:val="98"/>
              </w:rPr>
              <w:t>2,310,000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$7,000,000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Joan S. Hooper</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w w:val="98"/>
              </w:rPr>
              <w:t>1,000,000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w w:val="98"/>
              </w:rPr>
              <w:t>1,000,000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$2,000,000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Donald L. Reeves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625,000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625,000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$1,250,000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John F. Marcolini</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625,000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625,000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$1,250,000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36"/>
        </w:trPr>
        <w:tc>
          <w:tcPr>
            <w:tcW w:w="526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b w:val="1"/>
                <w:bCs w:val="1"/>
                <w:color w:val="0063A6"/>
              </w:rPr>
              <w:t>Justin K. Patrick</w:t>
            </w:r>
          </w:p>
        </w:tc>
        <w:tc>
          <w:tcPr>
            <w:tcW w:w="5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63A6"/>
            </w:tcBorders>
          </w:tcPr>
          <w:p>
            <w:pPr>
              <w:jc w:val="right"/>
              <w:ind w:right="159"/>
              <w:spacing w:after="0"/>
              <w:rPr>
                <w:sz w:val="20"/>
                <w:szCs w:val="20"/>
                <w:color w:val="auto"/>
              </w:rPr>
            </w:pPr>
            <w:r>
              <w:rPr>
                <w:rFonts w:ascii="Arial" w:cs="Arial" w:eastAsia="Arial" w:hAnsi="Arial"/>
                <w:sz w:val="16"/>
                <w:szCs w:val="16"/>
                <w:color w:val="auto"/>
              </w:rPr>
              <w:t>625,000</w:t>
            </w:r>
          </w:p>
        </w:tc>
        <w:tc>
          <w:tcPr>
            <w:tcW w:w="32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63A6"/>
            </w:tcBorders>
          </w:tcPr>
          <w:p>
            <w:pPr>
              <w:jc w:val="right"/>
              <w:ind w:right="161"/>
              <w:spacing w:after="0"/>
              <w:rPr>
                <w:sz w:val="20"/>
                <w:szCs w:val="20"/>
                <w:color w:val="auto"/>
              </w:rPr>
            </w:pPr>
            <w:r>
              <w:rPr>
                <w:rFonts w:ascii="Arial" w:cs="Arial" w:eastAsia="Arial" w:hAnsi="Arial"/>
                <w:sz w:val="16"/>
                <w:szCs w:val="16"/>
                <w:color w:val="auto"/>
              </w:rPr>
              <w:t>625,000</w:t>
            </w:r>
          </w:p>
        </w:tc>
        <w:tc>
          <w:tcPr>
            <w:tcW w:w="112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$1,250,000</w:t>
            </w:r>
          </w:p>
        </w:tc>
      </w:tr>
    </w:tbl>
    <w:p>
      <w:pPr>
        <w:spacing w:after="0" w:line="139" w:lineRule="exact"/>
        <w:rPr>
          <w:sz w:val="20"/>
          <w:szCs w:val="20"/>
          <w:color w:val="auto"/>
        </w:rPr>
      </w:pPr>
    </w:p>
    <w:p>
      <w:pPr>
        <w:ind w:left="126" w:right="360" w:hanging="126"/>
        <w:spacing w:after="0" w:line="285" w:lineRule="auto"/>
        <w:tabs>
          <w:tab w:leader="none" w:pos="12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Award amounts approved by the Committee for PRSUs and RSUs are converted to a number of shares, rounded down to the next whole number, based on the closing price of our common stock on the date of grant on February 19, 2025, which was $97.85.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39" w:name="page40"/>
    <w:bookmarkEnd w:id="3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i w:val="1"/>
          <w:iCs w:val="1"/>
          <w:color w:val="auto"/>
        </w:rPr>
        <w:t xml:space="preserve">A Closer Look at PRSUs. </w:t>
      </w:r>
      <w:r>
        <w:rPr>
          <w:rFonts w:ascii="Arial" w:cs="Arial" w:eastAsia="Arial" w:hAnsi="Arial"/>
          <w:sz w:val="16"/>
          <w:szCs w:val="16"/>
          <w:color w:val="auto"/>
        </w:rPr>
        <w:t>The actual number of PRSUs that are earned and vested is based on the achievement of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EPS goals and relative TSR results.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 then is adjusted +/-25% based on performance relative to TSR as compared to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200025</wp:posOffset>
            </wp:positionV>
            <wp:extent cx="5803265" cy="11404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0326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181" w:lineRule="exact"/>
        <w:rPr>
          <w:sz w:val="20"/>
          <w:szCs w:val="20"/>
          <w:color w:val="auto"/>
        </w:rPr>
      </w:pPr>
    </w:p>
    <w:p>
      <w:pPr>
        <w:ind w:left="6" w:right="480"/>
        <w:spacing w:after="0" w:line="286" w:lineRule="auto"/>
        <w:rPr>
          <w:sz w:val="20"/>
          <w:szCs w:val="20"/>
          <w:color w:val="auto"/>
        </w:rPr>
      </w:pPr>
      <w:r>
        <w:rPr>
          <w:rFonts w:ascii="Arial" w:cs="Arial" w:eastAsia="Arial" w:hAnsi="Arial"/>
          <w:sz w:val="16"/>
          <w:szCs w:val="16"/>
          <w:i w:val="1"/>
          <w:iCs w:val="1"/>
          <w:color w:val="auto"/>
        </w:rPr>
        <w:t xml:space="preserve">2025 Performance Metrics: Non-GAAP Diluted EPS &amp; Relative TSR. </w:t>
      </w:r>
      <w:r>
        <w:rPr>
          <w:rFonts w:ascii="Arial" w:cs="Arial" w:eastAsia="Arial" w:hAnsi="Arial"/>
          <w:sz w:val="16"/>
          <w:szCs w:val="16"/>
          <w:color w:val="auto"/>
        </w:rPr>
        <w:t>PRSUs are driven by the achievement of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EPS and relative TSR performance targets.</w:t>
      </w:r>
    </w:p>
    <w:p>
      <w:pPr>
        <w:spacing w:after="0" w:line="48" w:lineRule="exact"/>
        <w:rPr>
          <w:sz w:val="20"/>
          <w:szCs w:val="20"/>
          <w:color w:val="auto"/>
        </w:rPr>
      </w:pPr>
    </w:p>
    <w:p>
      <w:pPr>
        <w:ind w:left="226" w:right="680" w:hanging="226"/>
        <w:spacing w:after="0" w:line="266" w:lineRule="auto"/>
        <w:tabs>
          <w:tab w:leader="none" w:pos="226"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Non-GAAP Diluted EPS: </w:t>
      </w:r>
      <w:r>
        <w:rPr>
          <w:rFonts w:ascii="Arial" w:cs="Arial" w:eastAsia="Arial" w:hAnsi="Arial"/>
          <w:sz w:val="16"/>
          <w:szCs w:val="16"/>
          <w:color w:val="auto"/>
        </w:rPr>
        <w:t>Non-GAAP diluted EPS targets are set by the Committee at the beginning of each annual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cycle. Payout levels can range from 0% to 200% of target for the performance cycle and depend on performance results.</w:t>
      </w:r>
    </w:p>
    <w:p>
      <w:pPr>
        <w:spacing w:after="0" w:line="63" w:lineRule="exact"/>
        <w:rPr>
          <w:rFonts w:ascii="Arial" w:cs="Arial" w:eastAsia="Arial" w:hAnsi="Arial"/>
          <w:sz w:val="16"/>
          <w:szCs w:val="16"/>
          <w:color w:val="auto"/>
        </w:rPr>
      </w:pPr>
    </w:p>
    <w:p>
      <w:pPr>
        <w:ind w:left="226" w:right="20" w:hanging="226"/>
        <w:spacing w:after="0" w:line="259" w:lineRule="auto"/>
        <w:tabs>
          <w:tab w:leader="none" w:pos="226"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Relative TSR: </w:t>
      </w:r>
      <w:r>
        <w:rPr>
          <w:rFonts w:ascii="Arial" w:cs="Arial" w:eastAsia="Arial" w:hAnsi="Arial"/>
          <w:sz w:val="16"/>
          <w:szCs w:val="16"/>
          <w:color w:val="auto"/>
        </w:rPr>
        <w:t>At the end of the three-year performance period, the non-GAAP diluted EPS attainment results for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performance cycles are averaged. The average non-GAAP diluted EPS attainment is then subject to a multiplier based on the achievement by the Company of TSR relative to the Russell 3000 index for the same three-year performance cycle as follows:</w:t>
      </w:r>
    </w:p>
    <w:p>
      <w:pPr>
        <w:spacing w:after="0" w:line="124" w:lineRule="exact"/>
        <w:rPr>
          <w:sz w:val="20"/>
          <w:szCs w:val="20"/>
          <w:color w:val="auto"/>
        </w:rPr>
      </w:pPr>
    </w:p>
    <w:tbl>
      <w:tblPr>
        <w:tblLayout w:type="fixed"/>
        <w:tblInd w:w="6" w:type="dxa"/>
        <w:tblCellMar>
          <w:top w:w="0" w:type="dxa"/>
          <w:left w:w="0" w:type="dxa"/>
          <w:bottom w:w="0" w:type="dxa"/>
          <w:right w:w="0" w:type="dxa"/>
        </w:tblCellMar>
      </w:tblPr>
      <w:tr>
        <w:trPr>
          <w:trHeight w:val="264"/>
        </w:trPr>
        <w:tc>
          <w:tcPr>
            <w:tcW w:w="458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Multiplier</w:t>
            </w:r>
          </w:p>
        </w:tc>
        <w:tc>
          <w:tcPr>
            <w:tcW w:w="4600" w:type="dxa"/>
            <w:vAlign w:val="bottom"/>
            <w:tcBorders>
              <w:bottom w:val="single" w:sz="8" w:color="0063A6"/>
            </w:tcBorders>
            <w:shd w:val="clear" w:color="auto" w:fill="0063A6"/>
          </w:tcPr>
          <w:p>
            <w:pPr>
              <w:ind w:left="100"/>
              <w:spacing w:after="0"/>
              <w:rPr>
                <w:sz w:val="20"/>
                <w:szCs w:val="20"/>
                <w:color w:val="auto"/>
              </w:rPr>
            </w:pPr>
            <w:r>
              <w:rPr>
                <w:rFonts w:ascii="Arial" w:cs="Arial" w:eastAsia="Arial" w:hAnsi="Arial"/>
                <w:sz w:val="14"/>
                <w:szCs w:val="14"/>
                <w:b w:val="1"/>
                <w:bCs w:val="1"/>
                <w:color w:val="FFFFFF"/>
              </w:rPr>
              <w:t>Relative Ranking vs. Russell 3000 (3-Year Period)</w:t>
            </w:r>
          </w:p>
        </w:tc>
      </w:tr>
      <w:tr>
        <w:trPr>
          <w:trHeight w:val="283"/>
        </w:trPr>
        <w:tc>
          <w:tcPr>
            <w:tcW w:w="458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0.75</w:t>
            </w:r>
          </w:p>
        </w:tc>
        <w:tc>
          <w:tcPr>
            <w:tcW w:w="4600" w:type="dxa"/>
            <w:vAlign w:val="bottom"/>
            <w:tcBorders>
              <w:bottom w:val="single" w:sz="8" w:color="5D6673"/>
            </w:tcBorders>
          </w:tcPr>
          <w:p>
            <w:pPr>
              <w:ind w:left="100"/>
              <w:spacing w:after="0" w:line="283" w:lineRule="exact"/>
              <w:rPr>
                <w:sz w:val="20"/>
                <w:szCs w:val="20"/>
                <w:color w:val="auto"/>
              </w:rPr>
            </w:pPr>
            <w:r>
              <w:rPr>
                <w:rFonts w:ascii="Arial" w:cs="Arial" w:eastAsia="Arial" w:hAnsi="Arial"/>
                <w:sz w:val="16"/>
                <w:szCs w:val="16"/>
                <w:color w:val="auto"/>
              </w:rPr>
              <w:t>0-25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r>
      <w:tr>
        <w:trPr>
          <w:trHeight w:val="277"/>
        </w:trPr>
        <w:tc>
          <w:tcPr>
            <w:tcW w:w="458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1.00</w:t>
            </w:r>
          </w:p>
        </w:tc>
        <w:tc>
          <w:tcPr>
            <w:tcW w:w="4600" w:type="dxa"/>
            <w:vAlign w:val="bottom"/>
            <w:tcBorders>
              <w:bottom w:val="single" w:sz="8" w:color="5D6673"/>
            </w:tcBorders>
          </w:tcPr>
          <w:p>
            <w:pPr>
              <w:ind w:left="100"/>
              <w:spacing w:after="0" w:line="277" w:lineRule="exact"/>
              <w:rPr>
                <w:sz w:val="20"/>
                <w:szCs w:val="20"/>
                <w:color w:val="auto"/>
              </w:rPr>
            </w:pPr>
            <w:r>
              <w:rPr>
                <w:rFonts w:ascii="Arial" w:cs="Arial" w:eastAsia="Arial" w:hAnsi="Arial"/>
                <w:sz w:val="16"/>
                <w:szCs w:val="16"/>
                <w:color w:val="auto"/>
              </w:rPr>
              <w:t>25</w:t>
            </w:r>
            <w:r>
              <w:rPr>
                <w:rFonts w:ascii="Arial" w:cs="Arial" w:eastAsia="Arial" w:hAnsi="Arial"/>
                <w:sz w:val="26"/>
                <w:szCs w:val="26"/>
                <w:color w:val="auto"/>
                <w:vertAlign w:val="superscript"/>
              </w:rPr>
              <w:t>th</w:t>
            </w:r>
            <w:r>
              <w:rPr>
                <w:rFonts w:ascii="Arial" w:cs="Arial" w:eastAsia="Arial" w:hAnsi="Arial"/>
                <w:sz w:val="16"/>
                <w:szCs w:val="16"/>
                <w:color w:val="auto"/>
              </w:rPr>
              <w:t>-75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r>
      <w:tr>
        <w:trPr>
          <w:trHeight w:val="263"/>
        </w:trPr>
        <w:tc>
          <w:tcPr>
            <w:tcW w:w="4580" w:type="dxa"/>
            <w:vAlign w:val="bottom"/>
            <w:tcBorders>
              <w:bottom w:val="single" w:sz="8" w:color="0063A6"/>
            </w:tcBorders>
          </w:tcPr>
          <w:p>
            <w:pPr>
              <w:ind w:left="100"/>
              <w:spacing w:after="0"/>
              <w:rPr>
                <w:sz w:val="20"/>
                <w:szCs w:val="20"/>
                <w:color w:val="auto"/>
              </w:rPr>
            </w:pPr>
            <w:r>
              <w:rPr>
                <w:rFonts w:ascii="Arial" w:cs="Arial" w:eastAsia="Arial" w:hAnsi="Arial"/>
                <w:sz w:val="16"/>
                <w:szCs w:val="16"/>
                <w:color w:val="auto"/>
              </w:rPr>
              <w:t>1.25</w:t>
            </w:r>
          </w:p>
        </w:tc>
        <w:tc>
          <w:tcPr>
            <w:tcW w:w="4600" w:type="dxa"/>
            <w:vAlign w:val="bottom"/>
            <w:tcBorders>
              <w:bottom w:val="single" w:sz="8" w:color="0063A6"/>
            </w:tcBorders>
          </w:tcPr>
          <w:p>
            <w:pPr>
              <w:ind w:left="100"/>
              <w:spacing w:after="0" w:line="263" w:lineRule="exact"/>
              <w:rPr>
                <w:sz w:val="20"/>
                <w:szCs w:val="20"/>
                <w:color w:val="auto"/>
              </w:rPr>
            </w:pPr>
            <w:r>
              <w:rPr>
                <w:rFonts w:ascii="Arial" w:cs="Arial" w:eastAsia="Arial" w:hAnsi="Arial"/>
                <w:sz w:val="16"/>
                <w:szCs w:val="16"/>
                <w:color w:val="auto"/>
              </w:rPr>
              <w:t>&gt;75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r>
    </w:tbl>
    <w:p>
      <w:pPr>
        <w:spacing w:after="0" w:line="215" w:lineRule="exact"/>
        <w:rPr>
          <w:sz w:val="20"/>
          <w:szCs w:val="20"/>
          <w:color w:val="auto"/>
        </w:rPr>
      </w:pPr>
    </w:p>
    <w:p>
      <w:pPr>
        <w:ind w:left="6" w:right="360"/>
        <w:spacing w:after="0" w:line="286" w:lineRule="auto"/>
        <w:rPr>
          <w:sz w:val="20"/>
          <w:szCs w:val="20"/>
          <w:color w:val="auto"/>
        </w:rPr>
      </w:pPr>
      <w:r>
        <w:rPr>
          <w:rFonts w:ascii="Arial" w:cs="Arial" w:eastAsia="Arial" w:hAnsi="Arial"/>
          <w:sz w:val="16"/>
          <w:szCs w:val="16"/>
          <w:color w:val="auto"/>
        </w:rPr>
        <w:t>The relative TSR ranking ranges and corresponding payout multipliers are consistent with the design that has been in place since the 2023-2025 PRSU grant.</w:t>
      </w:r>
    </w:p>
    <w:p>
      <w:pPr>
        <w:spacing w:after="0" w:line="115" w:lineRule="exact"/>
        <w:rPr>
          <w:sz w:val="20"/>
          <w:szCs w:val="20"/>
          <w:color w:val="auto"/>
        </w:rPr>
      </w:pPr>
    </w:p>
    <w:p>
      <w:pPr>
        <w:ind w:left="6" w:right="100"/>
        <w:spacing w:after="0" w:line="256" w:lineRule="auto"/>
        <w:rPr>
          <w:sz w:val="20"/>
          <w:szCs w:val="20"/>
          <w:color w:val="auto"/>
        </w:rPr>
      </w:pPr>
      <w:r>
        <w:rPr>
          <w:rFonts w:ascii="Arial" w:cs="Arial" w:eastAsia="Arial" w:hAnsi="Arial"/>
          <w:sz w:val="16"/>
          <w:szCs w:val="16"/>
          <w:i w:val="1"/>
          <w:iCs w:val="1"/>
          <w:color w:val="auto"/>
        </w:rPr>
        <w:t xml:space="preserve">PRSUs Earned and Vested In 2025 (1/1/2023–12/31/2025). </w:t>
      </w:r>
      <w:r>
        <w:rPr>
          <w:rFonts w:ascii="Arial" w:cs="Arial" w:eastAsia="Arial" w:hAnsi="Arial"/>
          <w:sz w:val="16"/>
          <w:szCs w:val="16"/>
          <w:color w:val="auto"/>
        </w:rPr>
        <w:t>In 2023, the NEOs were granted their target PRSUs with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achievement of the non-GAAP diluted EPS goals for 2023, 2024, and 2025, and the TSR multiplier for the three-year performance cycle. The following table shows the award payout levels as a percentage of target for non-GAAP diluted EPS results against goals. These goals are set by the Committee at the beginning of each annual performance cycle. The table also shows our non-GAAP diluted EPS results used for calculating PRSUs earned for 2023, 2024 and 2025.</w:t>
      </w:r>
    </w:p>
    <w:p>
      <w:pPr>
        <w:spacing w:after="0" w:line="126" w:lineRule="exact"/>
        <w:rPr>
          <w:sz w:val="20"/>
          <w:szCs w:val="20"/>
          <w:color w:val="auto"/>
        </w:rPr>
      </w:pPr>
    </w:p>
    <w:tbl>
      <w:tblPr>
        <w:tblLayout w:type="fixed"/>
        <w:tblInd w:w="6" w:type="dxa"/>
        <w:tblCellMar>
          <w:top w:w="0" w:type="dxa"/>
          <w:left w:w="0" w:type="dxa"/>
          <w:bottom w:w="0" w:type="dxa"/>
          <w:right w:w="0" w:type="dxa"/>
        </w:tblCellMar>
      </w:tblPr>
      <w:tr>
        <w:trPr>
          <w:trHeight w:val="255"/>
        </w:trPr>
        <w:tc>
          <w:tcPr>
            <w:tcW w:w="1800" w:type="dxa"/>
            <w:vAlign w:val="bottom"/>
          </w:tcPr>
          <w:p>
            <w:pPr>
              <w:spacing w:after="0"/>
              <w:rPr>
                <w:sz w:val="22"/>
                <w:szCs w:val="22"/>
                <w:color w:val="auto"/>
              </w:rPr>
            </w:pPr>
          </w:p>
        </w:tc>
        <w:tc>
          <w:tcPr>
            <w:tcW w:w="1400" w:type="dxa"/>
            <w:vAlign w:val="bottom"/>
            <w:shd w:val="clear" w:color="auto" w:fill="0063A6"/>
          </w:tcPr>
          <w:p>
            <w:pPr>
              <w:spacing w:after="0"/>
              <w:rPr>
                <w:sz w:val="22"/>
                <w:szCs w:val="22"/>
                <w:color w:val="auto"/>
              </w:rPr>
            </w:pPr>
          </w:p>
        </w:tc>
        <w:tc>
          <w:tcPr>
            <w:tcW w:w="3640" w:type="dxa"/>
            <w:vAlign w:val="bottom"/>
            <w:gridSpan w:val="2"/>
            <w:shd w:val="clear" w:color="auto" w:fill="0063A6"/>
          </w:tcPr>
          <w:p>
            <w:pPr>
              <w:jc w:val="right"/>
              <w:ind w:right="621"/>
              <w:spacing w:after="0"/>
              <w:rPr>
                <w:sz w:val="20"/>
                <w:szCs w:val="20"/>
                <w:color w:val="auto"/>
              </w:rPr>
            </w:pPr>
            <w:r>
              <w:rPr>
                <w:rFonts w:ascii="Arial" w:cs="Arial" w:eastAsia="Arial" w:hAnsi="Arial"/>
                <w:sz w:val="14"/>
                <w:szCs w:val="14"/>
                <w:b w:val="1"/>
                <w:bCs w:val="1"/>
                <w:color w:val="FFFFFF"/>
              </w:rPr>
              <w:t>Award Payout Levels (% of Target)</w:t>
            </w:r>
          </w:p>
        </w:tc>
        <w:tc>
          <w:tcPr>
            <w:tcW w:w="1050" w:type="dxa"/>
            <w:vAlign w:val="bottom"/>
            <w:shd w:val="clear" w:color="auto" w:fill="0063A6"/>
          </w:tcPr>
          <w:p>
            <w:pPr>
              <w:spacing w:after="0"/>
              <w:rPr>
                <w:sz w:val="22"/>
                <w:szCs w:val="22"/>
                <w:color w:val="auto"/>
              </w:rPr>
            </w:pPr>
          </w:p>
        </w:tc>
        <w:tc>
          <w:tcPr>
            <w:tcW w:w="690" w:type="dxa"/>
            <w:vAlign w:val="bottom"/>
            <w:shd w:val="clear" w:color="auto" w:fill="0063A6"/>
          </w:tcPr>
          <w:p>
            <w:pPr>
              <w:spacing w:after="0"/>
              <w:rPr>
                <w:sz w:val="22"/>
                <w:szCs w:val="22"/>
                <w:color w:val="auto"/>
              </w:rPr>
            </w:pPr>
          </w:p>
        </w:tc>
        <w:tc>
          <w:tcPr>
            <w:tcW w:w="60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2"/>
                <w:szCs w:val="22"/>
                <w:color w:val="auto"/>
              </w:rPr>
            </w:pPr>
          </w:p>
        </w:tc>
        <w:tc>
          <w:tcPr>
            <w:tcW w:w="1400" w:type="dxa"/>
            <w:vAlign w:val="bottom"/>
            <w:shd w:val="clear" w:color="auto" w:fill="0063A6"/>
          </w:tcPr>
          <w:p>
            <w:pPr>
              <w:jc w:val="right"/>
              <w:ind w:right="201"/>
              <w:spacing w:after="0"/>
              <w:rPr>
                <w:sz w:val="20"/>
                <w:szCs w:val="20"/>
                <w:color w:val="auto"/>
              </w:rPr>
            </w:pPr>
            <w:r>
              <w:rPr>
                <w:rFonts w:ascii="Arial" w:cs="Arial" w:eastAsia="Arial" w:hAnsi="Arial"/>
                <w:sz w:val="14"/>
                <w:szCs w:val="14"/>
                <w:b w:val="1"/>
                <w:bCs w:val="1"/>
                <w:color w:val="FFFFFF"/>
              </w:rPr>
              <w:t>0%</w:t>
            </w:r>
          </w:p>
        </w:tc>
        <w:tc>
          <w:tcPr>
            <w:tcW w:w="1880" w:type="dxa"/>
            <w:vAlign w:val="bottom"/>
            <w:shd w:val="clear" w:color="auto" w:fill="0063A6"/>
          </w:tcPr>
          <w:p>
            <w:pPr>
              <w:jc w:val="right"/>
              <w:ind w:right="504"/>
              <w:spacing w:after="0"/>
              <w:rPr>
                <w:sz w:val="20"/>
                <w:szCs w:val="20"/>
                <w:color w:val="auto"/>
              </w:rPr>
            </w:pPr>
            <w:r>
              <w:rPr>
                <w:rFonts w:ascii="Arial" w:cs="Arial" w:eastAsia="Arial" w:hAnsi="Arial"/>
                <w:sz w:val="14"/>
                <w:szCs w:val="14"/>
                <w:b w:val="1"/>
                <w:bCs w:val="1"/>
                <w:color w:val="FFFFFF"/>
              </w:rPr>
              <w:t>50%</w:t>
            </w:r>
          </w:p>
        </w:tc>
        <w:tc>
          <w:tcPr>
            <w:tcW w:w="1760" w:type="dxa"/>
            <w:vAlign w:val="bottom"/>
            <w:shd w:val="clear" w:color="auto" w:fill="0063A6"/>
          </w:tcPr>
          <w:p>
            <w:pPr>
              <w:jc w:val="right"/>
              <w:ind w:right="681"/>
              <w:spacing w:after="0"/>
              <w:rPr>
                <w:sz w:val="20"/>
                <w:szCs w:val="20"/>
                <w:color w:val="auto"/>
              </w:rPr>
            </w:pPr>
            <w:r>
              <w:rPr>
                <w:rFonts w:ascii="Arial" w:cs="Arial" w:eastAsia="Arial" w:hAnsi="Arial"/>
                <w:sz w:val="14"/>
                <w:szCs w:val="14"/>
                <w:b w:val="1"/>
                <w:bCs w:val="1"/>
                <w:color w:val="FFFFFF"/>
              </w:rPr>
              <w:t>100%</w:t>
            </w:r>
          </w:p>
        </w:tc>
        <w:tc>
          <w:tcPr>
            <w:tcW w:w="1050" w:type="dxa"/>
            <w:vAlign w:val="bottom"/>
            <w:shd w:val="clear" w:color="auto" w:fill="0063A6"/>
          </w:tcPr>
          <w:p>
            <w:pPr>
              <w:jc w:val="right"/>
              <w:ind w:right="151"/>
              <w:spacing w:after="0"/>
              <w:rPr>
                <w:sz w:val="20"/>
                <w:szCs w:val="20"/>
                <w:color w:val="auto"/>
              </w:rPr>
            </w:pPr>
            <w:r>
              <w:rPr>
                <w:rFonts w:ascii="Arial" w:cs="Arial" w:eastAsia="Arial" w:hAnsi="Arial"/>
                <w:sz w:val="14"/>
                <w:szCs w:val="14"/>
                <w:b w:val="1"/>
                <w:bCs w:val="1"/>
                <w:color w:val="FFFFFF"/>
              </w:rPr>
              <w:t>200%</w:t>
            </w:r>
          </w:p>
        </w:tc>
        <w:tc>
          <w:tcPr>
            <w:tcW w:w="690" w:type="dxa"/>
            <w:vAlign w:val="bottom"/>
            <w:shd w:val="clear" w:color="auto" w:fill="0063A6"/>
          </w:tcPr>
          <w:p>
            <w:pPr>
              <w:spacing w:after="0"/>
              <w:rPr>
                <w:sz w:val="22"/>
                <w:szCs w:val="22"/>
                <w:color w:val="auto"/>
              </w:rPr>
            </w:pPr>
          </w:p>
        </w:tc>
        <w:tc>
          <w:tcPr>
            <w:tcW w:w="600" w:type="dxa"/>
            <w:vAlign w:val="bottom"/>
            <w:vMerge w:val="restart"/>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60"/>
        </w:trPr>
        <w:tc>
          <w:tcPr>
            <w:tcW w:w="1800" w:type="dxa"/>
            <w:vAlign w:val="bottom"/>
          </w:tcPr>
          <w:p>
            <w:pPr>
              <w:spacing w:after="0"/>
              <w:rPr>
                <w:sz w:val="5"/>
                <w:szCs w:val="5"/>
                <w:color w:val="auto"/>
              </w:rPr>
            </w:pPr>
          </w:p>
        </w:tc>
        <w:tc>
          <w:tcPr>
            <w:tcW w:w="1400" w:type="dxa"/>
            <w:vAlign w:val="bottom"/>
            <w:shd w:val="clear" w:color="auto" w:fill="0063A6"/>
          </w:tcPr>
          <w:p>
            <w:pPr>
              <w:spacing w:after="0"/>
              <w:rPr>
                <w:sz w:val="5"/>
                <w:szCs w:val="5"/>
                <w:color w:val="auto"/>
              </w:rPr>
            </w:pPr>
          </w:p>
        </w:tc>
        <w:tc>
          <w:tcPr>
            <w:tcW w:w="1880" w:type="dxa"/>
            <w:vAlign w:val="bottom"/>
            <w:shd w:val="clear" w:color="auto" w:fill="0063A6"/>
          </w:tcPr>
          <w:p>
            <w:pPr>
              <w:spacing w:after="0"/>
              <w:rPr>
                <w:sz w:val="5"/>
                <w:szCs w:val="5"/>
                <w:color w:val="auto"/>
              </w:rPr>
            </w:pPr>
          </w:p>
        </w:tc>
        <w:tc>
          <w:tcPr>
            <w:tcW w:w="1760" w:type="dxa"/>
            <w:vAlign w:val="bottom"/>
            <w:shd w:val="clear" w:color="auto" w:fill="0063A6"/>
          </w:tcPr>
          <w:p>
            <w:pPr>
              <w:spacing w:after="0"/>
              <w:rPr>
                <w:sz w:val="5"/>
                <w:szCs w:val="5"/>
                <w:color w:val="auto"/>
              </w:rPr>
            </w:pPr>
          </w:p>
        </w:tc>
        <w:tc>
          <w:tcPr>
            <w:tcW w:w="1050" w:type="dxa"/>
            <w:vAlign w:val="bottom"/>
            <w:shd w:val="clear" w:color="auto" w:fill="0063A6"/>
          </w:tcPr>
          <w:p>
            <w:pPr>
              <w:spacing w:after="0"/>
              <w:rPr>
                <w:sz w:val="5"/>
                <w:szCs w:val="5"/>
                <w:color w:val="auto"/>
              </w:rPr>
            </w:pPr>
          </w:p>
        </w:tc>
        <w:tc>
          <w:tcPr>
            <w:tcW w:w="690" w:type="dxa"/>
            <w:vAlign w:val="bottom"/>
            <w:shd w:val="clear" w:color="auto" w:fill="0063A6"/>
          </w:tcPr>
          <w:p>
            <w:pPr>
              <w:spacing w:after="0"/>
              <w:rPr>
                <w:sz w:val="5"/>
                <w:szCs w:val="5"/>
                <w:color w:val="auto"/>
              </w:rPr>
            </w:pPr>
          </w:p>
        </w:tc>
        <w:tc>
          <w:tcPr>
            <w:tcW w:w="600" w:type="dxa"/>
            <w:vAlign w:val="bottom"/>
            <w:vMerge w:val="continue"/>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80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Performance Year</w:t>
            </w:r>
          </w:p>
        </w:tc>
        <w:tc>
          <w:tcPr>
            <w:tcW w:w="1400" w:type="dxa"/>
            <w:vAlign w:val="bottom"/>
            <w:tcBorders>
              <w:bottom w:val="single" w:sz="8" w:color="0063A6"/>
            </w:tcBorders>
            <w:shd w:val="clear" w:color="auto" w:fill="0063A6"/>
          </w:tcPr>
          <w:p>
            <w:pPr>
              <w:spacing w:after="0"/>
              <w:rPr>
                <w:sz w:val="17"/>
                <w:szCs w:val="17"/>
                <w:color w:val="auto"/>
              </w:rPr>
            </w:pPr>
          </w:p>
        </w:tc>
        <w:tc>
          <w:tcPr>
            <w:tcW w:w="3640" w:type="dxa"/>
            <w:vAlign w:val="bottom"/>
            <w:tcBorders>
              <w:bottom w:val="single" w:sz="8" w:color="0063A6"/>
            </w:tcBorders>
            <w:gridSpan w:val="2"/>
            <w:shd w:val="clear" w:color="auto" w:fill="0063A6"/>
          </w:tcPr>
          <w:p>
            <w:pPr>
              <w:jc w:val="right"/>
              <w:ind w:right="321"/>
              <w:spacing w:after="0"/>
              <w:rPr>
                <w:sz w:val="20"/>
                <w:szCs w:val="20"/>
                <w:color w:val="auto"/>
              </w:rPr>
            </w:pPr>
            <w:r>
              <w:rPr>
                <w:rFonts w:ascii="Arial" w:cs="Arial" w:eastAsia="Arial" w:hAnsi="Arial"/>
                <w:sz w:val="14"/>
                <w:szCs w:val="14"/>
                <w:b w:val="1"/>
                <w:bCs w:val="1"/>
                <w:color w:val="FFFFFF"/>
              </w:rPr>
              <w:t>Non-GAAP Diluted EPS Performance Goals</w:t>
            </w:r>
          </w:p>
        </w:tc>
        <w:tc>
          <w:tcPr>
            <w:tcW w:w="1050" w:type="dxa"/>
            <w:vAlign w:val="bottom"/>
            <w:tcBorders>
              <w:bottom w:val="single" w:sz="8" w:color="0063A6"/>
            </w:tcBorders>
            <w:shd w:val="clear" w:color="auto" w:fill="0063A6"/>
          </w:tcPr>
          <w:p>
            <w:pPr>
              <w:spacing w:after="0"/>
              <w:rPr>
                <w:sz w:val="17"/>
                <w:szCs w:val="17"/>
                <w:color w:val="auto"/>
              </w:rPr>
            </w:pPr>
          </w:p>
        </w:tc>
        <w:tc>
          <w:tcPr>
            <w:tcW w:w="690" w:type="dxa"/>
            <w:vAlign w:val="bottom"/>
            <w:tcBorders>
              <w:bottom w:val="single" w:sz="8" w:color="0063A6"/>
            </w:tcBorders>
            <w:shd w:val="clear" w:color="auto" w:fill="0063A6"/>
          </w:tcPr>
          <w:p>
            <w:pPr>
              <w:spacing w:after="0"/>
              <w:rPr>
                <w:sz w:val="17"/>
                <w:szCs w:val="17"/>
                <w:color w:val="auto"/>
              </w:rPr>
            </w:pPr>
          </w:p>
        </w:tc>
        <w:tc>
          <w:tcPr>
            <w:tcW w:w="600" w:type="dxa"/>
            <w:vAlign w:val="bottom"/>
            <w:tcBorders>
              <w:bottom w:val="single" w:sz="8" w:color="0063A6"/>
            </w:tcBorders>
            <w:shd w:val="clear" w:color="auto" w:fill="0063A6"/>
          </w:tcPr>
          <w:p>
            <w:pPr>
              <w:jc w:val="right"/>
              <w:ind w:right="8"/>
              <w:spacing w:after="0"/>
              <w:rPr>
                <w:sz w:val="20"/>
                <w:szCs w:val="20"/>
                <w:color w:val="auto"/>
              </w:rPr>
            </w:pPr>
            <w:r>
              <w:rPr>
                <w:rFonts w:ascii="Arial" w:cs="Arial" w:eastAsia="Arial" w:hAnsi="Arial"/>
                <w:sz w:val="14"/>
                <w:szCs w:val="14"/>
                <w:b w:val="1"/>
                <w:bCs w:val="1"/>
                <w:color w:val="FFFFFF"/>
                <w:w w:val="98"/>
              </w:rPr>
              <w:t>Results</w:t>
            </w:r>
          </w:p>
        </w:tc>
        <w:tc>
          <w:tcPr>
            <w:tcW w:w="0" w:type="dxa"/>
            <w:vAlign w:val="bottom"/>
          </w:tcPr>
          <w:p>
            <w:pPr>
              <w:spacing w:after="0"/>
              <w:rPr>
                <w:sz w:val="1"/>
                <w:szCs w:val="1"/>
                <w:color w:val="auto"/>
              </w:rPr>
            </w:pPr>
          </w:p>
        </w:tc>
      </w:tr>
      <w:tr>
        <w:trPr>
          <w:trHeight w:val="249"/>
        </w:trPr>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2023</w:t>
            </w:r>
          </w:p>
        </w:tc>
        <w:tc>
          <w:tcPr>
            <w:tcW w:w="1400" w:type="dxa"/>
            <w:vAlign w:val="bottom"/>
          </w:tcPr>
          <w:p>
            <w:pPr>
              <w:jc w:val="right"/>
              <w:ind w:right="201"/>
              <w:spacing w:after="0"/>
              <w:rPr>
                <w:sz w:val="20"/>
                <w:szCs w:val="20"/>
                <w:color w:val="auto"/>
              </w:rPr>
            </w:pPr>
            <w:r>
              <w:rPr>
                <w:rFonts w:ascii="Arial" w:cs="Arial" w:eastAsia="Arial" w:hAnsi="Arial"/>
                <w:sz w:val="16"/>
                <w:szCs w:val="16"/>
                <w:color w:val="auto"/>
              </w:rPr>
              <w:t>$0.50</w:t>
            </w:r>
          </w:p>
        </w:tc>
        <w:tc>
          <w:tcPr>
            <w:tcW w:w="1880" w:type="dxa"/>
            <w:vAlign w:val="bottom"/>
          </w:tcPr>
          <w:p>
            <w:pPr>
              <w:jc w:val="right"/>
              <w:ind w:right="504"/>
              <w:spacing w:after="0"/>
              <w:rPr>
                <w:sz w:val="20"/>
                <w:szCs w:val="20"/>
                <w:color w:val="auto"/>
              </w:rPr>
            </w:pPr>
            <w:r>
              <w:rPr>
                <w:rFonts w:ascii="Arial" w:cs="Arial" w:eastAsia="Arial" w:hAnsi="Arial"/>
                <w:sz w:val="16"/>
                <w:szCs w:val="16"/>
                <w:color w:val="auto"/>
              </w:rPr>
              <w:t>$0.70</w:t>
            </w:r>
          </w:p>
        </w:tc>
        <w:tc>
          <w:tcPr>
            <w:tcW w:w="1760" w:type="dxa"/>
            <w:vAlign w:val="bottom"/>
          </w:tcPr>
          <w:p>
            <w:pPr>
              <w:jc w:val="right"/>
              <w:ind w:right="681"/>
              <w:spacing w:after="0"/>
              <w:rPr>
                <w:sz w:val="20"/>
                <w:szCs w:val="20"/>
                <w:color w:val="auto"/>
              </w:rPr>
            </w:pPr>
            <w:r>
              <w:rPr>
                <w:rFonts w:ascii="Arial" w:cs="Arial" w:eastAsia="Arial" w:hAnsi="Arial"/>
                <w:sz w:val="16"/>
                <w:szCs w:val="16"/>
                <w:color w:val="auto"/>
              </w:rPr>
              <w:t>$1.08</w:t>
            </w:r>
          </w:p>
        </w:tc>
        <w:tc>
          <w:tcPr>
            <w:tcW w:w="1050" w:type="dxa"/>
            <w:vAlign w:val="bottom"/>
          </w:tcPr>
          <w:p>
            <w:pPr>
              <w:jc w:val="right"/>
              <w:ind w:right="151"/>
              <w:spacing w:after="0"/>
              <w:rPr>
                <w:sz w:val="20"/>
                <w:szCs w:val="20"/>
                <w:color w:val="auto"/>
              </w:rPr>
            </w:pPr>
            <w:r>
              <w:rPr>
                <w:rFonts w:ascii="Arial" w:cs="Arial" w:eastAsia="Arial" w:hAnsi="Arial"/>
                <w:sz w:val="16"/>
                <w:szCs w:val="16"/>
                <w:color w:val="auto"/>
              </w:rPr>
              <w:t>$1.35</w:t>
            </w:r>
          </w:p>
        </w:tc>
        <w:tc>
          <w:tcPr>
            <w:tcW w:w="1290" w:type="dxa"/>
            <w:vAlign w:val="bottom"/>
            <w:gridSpan w:val="2"/>
          </w:tcPr>
          <w:p>
            <w:pPr>
              <w:jc w:val="right"/>
              <w:ind w:right="8"/>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
        </w:trPr>
        <w:tc>
          <w:tcPr>
            <w:tcW w:w="180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880" w:type="dxa"/>
            <w:vAlign w:val="bottom"/>
            <w:tcBorders>
              <w:bottom w:val="single" w:sz="8" w:color="5D6673"/>
            </w:tcBorders>
          </w:tcPr>
          <w:p>
            <w:pPr>
              <w:spacing w:after="0" w:line="20" w:lineRule="exact"/>
              <w:rPr>
                <w:sz w:val="1"/>
                <w:szCs w:val="1"/>
                <w:color w:val="auto"/>
              </w:rPr>
            </w:pPr>
          </w:p>
        </w:tc>
        <w:tc>
          <w:tcPr>
            <w:tcW w:w="1760" w:type="dxa"/>
            <w:vAlign w:val="bottom"/>
            <w:tcBorders>
              <w:bottom w:val="single" w:sz="8" w:color="5D6673"/>
            </w:tcBorders>
          </w:tcPr>
          <w:p>
            <w:pPr>
              <w:spacing w:after="0" w:line="20" w:lineRule="exact"/>
              <w:rPr>
                <w:sz w:val="1"/>
                <w:szCs w:val="1"/>
                <w:color w:val="auto"/>
              </w:rPr>
            </w:pPr>
          </w:p>
        </w:tc>
        <w:tc>
          <w:tcPr>
            <w:tcW w:w="1050" w:type="dxa"/>
            <w:vAlign w:val="bottom"/>
            <w:tcBorders>
              <w:bottom w:val="single" w:sz="8" w:color="5D6673"/>
            </w:tcBorders>
          </w:tcPr>
          <w:p>
            <w:pPr>
              <w:spacing w:after="0" w:line="20" w:lineRule="exact"/>
              <w:rPr>
                <w:sz w:val="1"/>
                <w:szCs w:val="1"/>
                <w:color w:val="auto"/>
              </w:rPr>
            </w:pPr>
          </w:p>
        </w:tc>
        <w:tc>
          <w:tcPr>
            <w:tcW w:w="1290" w:type="dxa"/>
            <w:vAlign w:val="bottom"/>
            <w:tcBorders>
              <w:bottom w:val="single" w:sz="8" w:color="5D667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2024</w:t>
            </w:r>
          </w:p>
        </w:tc>
        <w:tc>
          <w:tcPr>
            <w:tcW w:w="1400" w:type="dxa"/>
            <w:vAlign w:val="bottom"/>
          </w:tcPr>
          <w:p>
            <w:pPr>
              <w:jc w:val="right"/>
              <w:ind w:right="201"/>
              <w:spacing w:after="0"/>
              <w:rPr>
                <w:sz w:val="20"/>
                <w:szCs w:val="20"/>
                <w:color w:val="auto"/>
              </w:rPr>
            </w:pPr>
            <w:r>
              <w:rPr>
                <w:rFonts w:ascii="Arial" w:cs="Arial" w:eastAsia="Arial" w:hAnsi="Arial"/>
                <w:sz w:val="16"/>
                <w:szCs w:val="16"/>
                <w:color w:val="auto"/>
              </w:rPr>
              <w:t>$2.75</w:t>
            </w:r>
          </w:p>
        </w:tc>
        <w:tc>
          <w:tcPr>
            <w:tcW w:w="1880" w:type="dxa"/>
            <w:vAlign w:val="bottom"/>
          </w:tcPr>
          <w:p>
            <w:pPr>
              <w:jc w:val="right"/>
              <w:ind w:right="504"/>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681"/>
              <w:spacing w:after="0"/>
              <w:rPr>
                <w:sz w:val="20"/>
                <w:szCs w:val="20"/>
                <w:color w:val="auto"/>
              </w:rPr>
            </w:pPr>
            <w:r>
              <w:rPr>
                <w:rFonts w:ascii="Arial" w:cs="Arial" w:eastAsia="Arial" w:hAnsi="Arial"/>
                <w:sz w:val="16"/>
                <w:szCs w:val="16"/>
                <w:color w:val="auto"/>
              </w:rPr>
              <w:t>$3.42</w:t>
            </w:r>
          </w:p>
        </w:tc>
        <w:tc>
          <w:tcPr>
            <w:tcW w:w="1050" w:type="dxa"/>
            <w:vAlign w:val="bottom"/>
          </w:tcPr>
          <w:p>
            <w:pPr>
              <w:jc w:val="right"/>
              <w:ind w:right="151"/>
              <w:spacing w:after="0"/>
              <w:rPr>
                <w:sz w:val="20"/>
                <w:szCs w:val="20"/>
                <w:color w:val="auto"/>
              </w:rPr>
            </w:pPr>
            <w:r>
              <w:rPr>
                <w:rFonts w:ascii="Arial" w:cs="Arial" w:eastAsia="Arial" w:hAnsi="Arial"/>
                <w:sz w:val="16"/>
                <w:szCs w:val="16"/>
                <w:color w:val="auto"/>
              </w:rPr>
              <w:t>$3.75</w:t>
            </w:r>
          </w:p>
        </w:tc>
        <w:tc>
          <w:tcPr>
            <w:tcW w:w="1290" w:type="dxa"/>
            <w:vAlign w:val="bottom"/>
            <w:gridSpan w:val="2"/>
          </w:tcPr>
          <w:p>
            <w:pPr>
              <w:jc w:val="right"/>
              <w:ind w:right="8"/>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1"/>
        </w:trPr>
        <w:tc>
          <w:tcPr>
            <w:tcW w:w="180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880" w:type="dxa"/>
            <w:vAlign w:val="bottom"/>
            <w:tcBorders>
              <w:bottom w:val="single" w:sz="8" w:color="5D6673"/>
            </w:tcBorders>
          </w:tcPr>
          <w:p>
            <w:pPr>
              <w:spacing w:after="0" w:line="20" w:lineRule="exact"/>
              <w:rPr>
                <w:sz w:val="1"/>
                <w:szCs w:val="1"/>
                <w:color w:val="auto"/>
              </w:rPr>
            </w:pPr>
          </w:p>
        </w:tc>
        <w:tc>
          <w:tcPr>
            <w:tcW w:w="1760" w:type="dxa"/>
            <w:vAlign w:val="bottom"/>
            <w:tcBorders>
              <w:bottom w:val="single" w:sz="8" w:color="5D6673"/>
            </w:tcBorders>
          </w:tcPr>
          <w:p>
            <w:pPr>
              <w:spacing w:after="0" w:line="20" w:lineRule="exact"/>
              <w:rPr>
                <w:sz w:val="1"/>
                <w:szCs w:val="1"/>
                <w:color w:val="auto"/>
              </w:rPr>
            </w:pPr>
          </w:p>
        </w:tc>
        <w:tc>
          <w:tcPr>
            <w:tcW w:w="1050" w:type="dxa"/>
            <w:vAlign w:val="bottom"/>
            <w:tcBorders>
              <w:bottom w:val="single" w:sz="8" w:color="5D6673"/>
            </w:tcBorders>
          </w:tcPr>
          <w:p>
            <w:pPr>
              <w:spacing w:after="0" w:line="20" w:lineRule="exact"/>
              <w:rPr>
                <w:sz w:val="1"/>
                <w:szCs w:val="1"/>
                <w:color w:val="auto"/>
              </w:rPr>
            </w:pPr>
          </w:p>
        </w:tc>
        <w:tc>
          <w:tcPr>
            <w:tcW w:w="1290" w:type="dxa"/>
            <w:vAlign w:val="bottom"/>
            <w:tcBorders>
              <w:bottom w:val="single" w:sz="8" w:color="5D667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800" w:type="dxa"/>
            <w:vAlign w:val="bottom"/>
            <w:tcBorders>
              <w:bottom w:val="single" w:sz="8" w:color="0063A6"/>
            </w:tcBorders>
          </w:tcPr>
          <w:p>
            <w:pPr>
              <w:ind w:left="80"/>
              <w:spacing w:after="0"/>
              <w:rPr>
                <w:sz w:val="20"/>
                <w:szCs w:val="20"/>
                <w:color w:val="auto"/>
              </w:rPr>
            </w:pPr>
            <w:r>
              <w:rPr>
                <w:rFonts w:ascii="Arial" w:cs="Arial" w:eastAsia="Arial" w:hAnsi="Arial"/>
                <w:sz w:val="16"/>
                <w:szCs w:val="16"/>
                <w:b w:val="1"/>
                <w:bCs w:val="1"/>
                <w:color w:val="auto"/>
              </w:rPr>
              <w:t>2025</w:t>
            </w:r>
          </w:p>
        </w:tc>
        <w:tc>
          <w:tcPr>
            <w:tcW w:w="1400" w:type="dxa"/>
            <w:vAlign w:val="bottom"/>
            <w:tcBorders>
              <w:bottom w:val="single" w:sz="8" w:color="0063A6"/>
            </w:tcBorders>
          </w:tcPr>
          <w:p>
            <w:pPr>
              <w:jc w:val="right"/>
              <w:ind w:right="201"/>
              <w:spacing w:after="0"/>
              <w:rPr>
                <w:sz w:val="20"/>
                <w:szCs w:val="20"/>
                <w:color w:val="auto"/>
              </w:rPr>
            </w:pPr>
            <w:r>
              <w:rPr>
                <w:rFonts w:ascii="Arial" w:cs="Arial" w:eastAsia="Arial" w:hAnsi="Arial"/>
                <w:sz w:val="16"/>
                <w:szCs w:val="16"/>
                <w:color w:val="auto"/>
              </w:rPr>
              <w:t>$4.50</w:t>
            </w:r>
          </w:p>
        </w:tc>
        <w:tc>
          <w:tcPr>
            <w:tcW w:w="1880" w:type="dxa"/>
            <w:vAlign w:val="bottom"/>
            <w:tcBorders>
              <w:bottom w:val="single" w:sz="8" w:color="0063A6"/>
            </w:tcBorders>
          </w:tcPr>
          <w:p>
            <w:pPr>
              <w:jc w:val="right"/>
              <w:ind w:right="504"/>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0063A6"/>
            </w:tcBorders>
          </w:tcPr>
          <w:p>
            <w:pPr>
              <w:jc w:val="right"/>
              <w:ind w:right="681"/>
              <w:spacing w:after="0"/>
              <w:rPr>
                <w:sz w:val="20"/>
                <w:szCs w:val="20"/>
                <w:color w:val="auto"/>
              </w:rPr>
            </w:pPr>
            <w:r>
              <w:rPr>
                <w:rFonts w:ascii="Arial" w:cs="Arial" w:eastAsia="Arial" w:hAnsi="Arial"/>
                <w:sz w:val="16"/>
                <w:szCs w:val="16"/>
                <w:color w:val="auto"/>
              </w:rPr>
              <w:t>$5.68</w:t>
            </w:r>
          </w:p>
        </w:tc>
        <w:tc>
          <w:tcPr>
            <w:tcW w:w="1050" w:type="dxa"/>
            <w:vAlign w:val="bottom"/>
            <w:tcBorders>
              <w:bottom w:val="single" w:sz="8" w:color="0063A6"/>
            </w:tcBorders>
          </w:tcPr>
          <w:p>
            <w:pPr>
              <w:jc w:val="right"/>
              <w:ind w:right="151"/>
              <w:spacing w:after="0"/>
              <w:rPr>
                <w:sz w:val="20"/>
                <w:szCs w:val="20"/>
                <w:color w:val="auto"/>
              </w:rPr>
            </w:pPr>
            <w:r>
              <w:rPr>
                <w:rFonts w:ascii="Arial" w:cs="Arial" w:eastAsia="Arial" w:hAnsi="Arial"/>
                <w:sz w:val="16"/>
                <w:szCs w:val="16"/>
                <w:color w:val="auto"/>
              </w:rPr>
              <w:t>$6.23</w:t>
            </w:r>
          </w:p>
        </w:tc>
        <w:tc>
          <w:tcPr>
            <w:tcW w:w="1290" w:type="dxa"/>
            <w:vAlign w:val="bottom"/>
            <w:tcBorders>
              <w:bottom w:val="single" w:sz="8" w:color="0063A6"/>
            </w:tcBorders>
            <w:gridSpan w:val="2"/>
          </w:tcPr>
          <w:p>
            <w:pPr>
              <w:jc w:val="right"/>
              <w:ind w:right="8"/>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 w:right="200"/>
        <w:spacing w:after="0" w:line="256" w:lineRule="auto"/>
        <w:rPr>
          <w:sz w:val="20"/>
          <w:szCs w:val="20"/>
          <w:color w:val="auto"/>
        </w:rPr>
      </w:pPr>
      <w:r>
        <w:rPr>
          <w:rFonts w:ascii="Arial" w:cs="Arial" w:eastAsia="Arial" w:hAnsi="Arial"/>
          <w:sz w:val="14"/>
          <w:szCs w:val="14"/>
          <w:color w:val="auto"/>
        </w:rPr>
        <w:t>Note: The non-GAAP diluted EPS results shown are based on financial results as reported for 2023 (as reported in our Annual Report on Form 10-K for the year ended December 31, 2023), 2024 (as reported in our Annual Report on Form 10-K for the year ended December 31, 2024), and 2025 (as reported in our Annual Report on Form 10-K for the year ended December 31, 2025). For purposes of non-GAAP diluted EPS results, payouts for performance between the indicated goals are linearly interpolated.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36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0" w:name="page41"/>
    <w:bookmarkEnd w:id="4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920" w:right="1120"/>
        <w:spacing w:after="0" w:line="286" w:lineRule="auto"/>
        <w:rPr>
          <w:sz w:val="20"/>
          <w:szCs w:val="20"/>
          <w:color w:val="auto"/>
        </w:rPr>
      </w:pPr>
      <w:r>
        <w:rPr>
          <w:rFonts w:ascii="Arial" w:cs="Arial" w:eastAsia="Arial" w:hAnsi="Arial"/>
          <w:sz w:val="16"/>
          <w:szCs w:val="16"/>
          <w:color w:val="auto"/>
        </w:rPr>
        <w:t>The actual award earned was calculated at the end of the three-year performance period by averaging the results of the three annual performance cycles, as follows:</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728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Performance Year</w:t>
            </w:r>
          </w:p>
        </w:tc>
        <w:tc>
          <w:tcPr>
            <w:tcW w:w="80" w:type="dxa"/>
            <w:vAlign w:val="bottom"/>
            <w:tcBorders>
              <w:bottom w:val="single" w:sz="8" w:color="0063A6"/>
            </w:tcBorders>
            <w:shd w:val="clear" w:color="auto" w:fill="0063A6"/>
          </w:tcPr>
          <w:p>
            <w:pPr>
              <w:spacing w:after="0"/>
              <w:rPr>
                <w:sz w:val="22"/>
                <w:szCs w:val="22"/>
                <w:color w:val="auto"/>
              </w:rPr>
            </w:pPr>
          </w:p>
        </w:tc>
        <w:tc>
          <w:tcPr>
            <w:tcW w:w="1820" w:type="dxa"/>
            <w:vAlign w:val="bottom"/>
            <w:tcBorders>
              <w:bottom w:val="single" w:sz="8" w:color="0063A6"/>
            </w:tcBorders>
            <w:shd w:val="clear" w:color="auto" w:fill="0063A6"/>
          </w:tcPr>
          <w:p>
            <w:pPr>
              <w:jc w:val="right"/>
              <w:ind w:right="1"/>
              <w:spacing w:after="0"/>
              <w:rPr>
                <w:sz w:val="20"/>
                <w:szCs w:val="20"/>
                <w:color w:val="auto"/>
              </w:rPr>
            </w:pPr>
            <w:r>
              <w:rPr>
                <w:rFonts w:ascii="Arial" w:cs="Arial" w:eastAsia="Arial" w:hAnsi="Arial"/>
                <w:sz w:val="14"/>
                <w:szCs w:val="14"/>
                <w:b w:val="1"/>
                <w:bCs w:val="1"/>
                <w:color w:val="FFFFFF"/>
              </w:rPr>
              <w:t>Percentage of Attainment</w:t>
            </w:r>
          </w:p>
        </w:tc>
      </w:tr>
      <w:tr>
        <w:trPr>
          <w:trHeight w:val="241"/>
        </w:trPr>
        <w:tc>
          <w:tcPr>
            <w:tcW w:w="7280" w:type="dxa"/>
            <w:vAlign w:val="bottom"/>
          </w:tcPr>
          <w:p>
            <w:pPr>
              <w:ind w:left="8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200.00%</w:t>
            </w:r>
          </w:p>
        </w:tc>
      </w:tr>
      <w:tr>
        <w:trPr>
          <w:trHeight w:val="29"/>
        </w:trPr>
        <w:tc>
          <w:tcPr>
            <w:tcW w:w="728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820" w:type="dxa"/>
            <w:vAlign w:val="bottom"/>
            <w:tcBorders>
              <w:bottom w:val="single" w:sz="8" w:color="5D6673"/>
            </w:tcBorders>
          </w:tcPr>
          <w:p>
            <w:pPr>
              <w:spacing w:after="0"/>
              <w:rPr>
                <w:sz w:val="2"/>
                <w:szCs w:val="2"/>
                <w:color w:val="auto"/>
              </w:rPr>
            </w:pPr>
          </w:p>
        </w:tc>
      </w:tr>
      <w:tr>
        <w:trPr>
          <w:trHeight w:val="234"/>
        </w:trPr>
        <w:tc>
          <w:tcPr>
            <w:tcW w:w="7280" w:type="dxa"/>
            <w:vAlign w:val="bottom"/>
          </w:tcPr>
          <w:p>
            <w:pPr>
              <w:ind w:left="8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200.00%</w:t>
            </w:r>
          </w:p>
        </w:tc>
      </w:tr>
      <w:tr>
        <w:trPr>
          <w:trHeight w:val="29"/>
        </w:trPr>
        <w:tc>
          <w:tcPr>
            <w:tcW w:w="728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820" w:type="dxa"/>
            <w:vAlign w:val="bottom"/>
            <w:tcBorders>
              <w:bottom w:val="single" w:sz="8" w:color="5D6673"/>
            </w:tcBorders>
          </w:tcPr>
          <w:p>
            <w:pPr>
              <w:spacing w:after="0"/>
              <w:rPr>
                <w:sz w:val="2"/>
                <w:szCs w:val="2"/>
                <w:color w:val="auto"/>
              </w:rPr>
            </w:pPr>
          </w:p>
        </w:tc>
      </w:tr>
      <w:tr>
        <w:trPr>
          <w:trHeight w:val="234"/>
        </w:trPr>
        <w:tc>
          <w:tcPr>
            <w:tcW w:w="7280" w:type="dxa"/>
            <w:vAlign w:val="bottom"/>
          </w:tcPr>
          <w:p>
            <w:pPr>
              <w:ind w:left="80"/>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200.00%</w:t>
            </w:r>
          </w:p>
        </w:tc>
      </w:tr>
      <w:tr>
        <w:trPr>
          <w:trHeight w:val="29"/>
        </w:trPr>
        <w:tc>
          <w:tcPr>
            <w:tcW w:w="7360" w:type="dxa"/>
            <w:vAlign w:val="bottom"/>
            <w:tcBorders>
              <w:bottom w:val="single" w:sz="8" w:color="5D6673"/>
            </w:tcBorders>
            <w:gridSpan w:val="2"/>
          </w:tcPr>
          <w:p>
            <w:pPr>
              <w:spacing w:after="0"/>
              <w:rPr>
                <w:sz w:val="2"/>
                <w:szCs w:val="2"/>
                <w:color w:val="auto"/>
              </w:rPr>
            </w:pPr>
          </w:p>
        </w:tc>
        <w:tc>
          <w:tcPr>
            <w:tcW w:w="1820" w:type="dxa"/>
            <w:vAlign w:val="bottom"/>
            <w:tcBorders>
              <w:bottom w:val="single" w:sz="8" w:color="5D6673"/>
            </w:tcBorders>
          </w:tcPr>
          <w:p>
            <w:pPr>
              <w:spacing w:after="0"/>
              <w:rPr>
                <w:sz w:val="2"/>
                <w:szCs w:val="2"/>
                <w:color w:val="auto"/>
              </w:rPr>
            </w:pPr>
          </w:p>
        </w:tc>
      </w:tr>
      <w:tr>
        <w:trPr>
          <w:trHeight w:val="235"/>
        </w:trPr>
        <w:tc>
          <w:tcPr>
            <w:tcW w:w="736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color w:val="auto"/>
              </w:rPr>
              <w:t>2023-2025 Average</w:t>
            </w:r>
          </w:p>
        </w:tc>
        <w:tc>
          <w:tcPr>
            <w:tcW w:w="182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200.00%</w:t>
            </w:r>
          </w:p>
        </w:tc>
      </w:tr>
    </w:tbl>
    <w:p>
      <w:pPr>
        <w:spacing w:after="0" w:line="215" w:lineRule="exact"/>
        <w:rPr>
          <w:sz w:val="20"/>
          <w:szCs w:val="20"/>
          <w:color w:val="auto"/>
        </w:rPr>
      </w:pPr>
    </w:p>
    <w:p>
      <w:pPr>
        <w:ind w:left="920" w:right="1320"/>
        <w:spacing w:after="0" w:line="286" w:lineRule="auto"/>
        <w:rPr>
          <w:sz w:val="20"/>
          <w:szCs w:val="20"/>
          <w:color w:val="auto"/>
        </w:rPr>
      </w:pPr>
      <w:r>
        <w:rPr>
          <w:rFonts w:ascii="Arial" w:cs="Arial" w:eastAsia="Arial" w:hAnsi="Arial"/>
          <w:sz w:val="16"/>
          <w:szCs w:val="16"/>
          <w:color w:val="auto"/>
        </w:rPr>
        <w:t>Under the terms of the 2023-2025 PRSU award, the TSR multiplier is applied in the same way as the TSR multiplier for the 2025-2027 PRSU award as described above.</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on our actual TSR results approximating the 77th percentile of the Russell 3000 index, the multiplier for the 2023-2025</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PRSUs was 1.25x. As a result, the NEOs earned 250% of their target PRSUs for the 2023-2025 performance cycle,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20" w:type="dxa"/>
            <w:vAlign w:val="bottom"/>
          </w:tcPr>
          <w:p>
            <w:pPr>
              <w:spacing w:after="0"/>
              <w:rPr>
                <w:sz w:val="22"/>
                <w:szCs w:val="22"/>
                <w:color w:val="auto"/>
              </w:rPr>
            </w:pPr>
          </w:p>
        </w:tc>
        <w:tc>
          <w:tcPr>
            <w:tcW w:w="254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NEO</w:t>
            </w:r>
          </w:p>
        </w:tc>
        <w:tc>
          <w:tcPr>
            <w:tcW w:w="3160" w:type="dxa"/>
            <w:vAlign w:val="bottom"/>
            <w:tcBorders>
              <w:bottom w:val="single" w:sz="8" w:color="0063A6"/>
            </w:tcBorders>
          </w:tcPr>
          <w:p>
            <w:pPr>
              <w:spacing w:after="0"/>
              <w:rPr>
                <w:sz w:val="22"/>
                <w:szCs w:val="22"/>
                <w:color w:val="auto"/>
              </w:rPr>
            </w:pPr>
          </w:p>
        </w:tc>
        <w:tc>
          <w:tcPr>
            <w:tcW w:w="1820" w:type="dxa"/>
            <w:vAlign w:val="bottom"/>
            <w:tcBorders>
              <w:bottom w:val="single" w:sz="8" w:color="0063A6"/>
            </w:tcBorders>
            <w:shd w:val="clear" w:color="auto" w:fill="0063A6"/>
          </w:tcPr>
          <w:p>
            <w:pPr>
              <w:jc w:val="right"/>
              <w:ind w:right="41"/>
              <w:spacing w:after="0"/>
              <w:rPr>
                <w:sz w:val="20"/>
                <w:szCs w:val="20"/>
                <w:color w:val="auto"/>
              </w:rPr>
            </w:pPr>
            <w:r>
              <w:rPr>
                <w:rFonts w:ascii="Arial" w:cs="Arial" w:eastAsia="Arial" w:hAnsi="Arial"/>
                <w:sz w:val="14"/>
                <w:szCs w:val="14"/>
                <w:b w:val="1"/>
                <w:bCs w:val="1"/>
                <w:color w:val="FFFFFF"/>
              </w:rPr>
              <w:t>Target PRSUs Granted</w:t>
            </w:r>
          </w:p>
        </w:tc>
        <w:tc>
          <w:tcPr>
            <w:tcW w:w="16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Actual PRSUs Earned</w:t>
            </w:r>
          </w:p>
        </w:tc>
        <w:tc>
          <w:tcPr>
            <w:tcW w:w="920" w:type="dxa"/>
            <w:vAlign w:val="bottom"/>
          </w:tcPr>
          <w:p>
            <w:pPr>
              <w:spacing w:after="0"/>
              <w:rPr>
                <w:sz w:val="22"/>
                <w:szCs w:val="22"/>
                <w:color w:val="auto"/>
              </w:rPr>
            </w:pPr>
          </w:p>
        </w:tc>
      </w:tr>
      <w:tr>
        <w:trPr>
          <w:trHeight w:val="249"/>
        </w:trPr>
        <w:tc>
          <w:tcPr>
            <w:tcW w:w="920" w:type="dxa"/>
            <w:vAlign w:val="bottom"/>
          </w:tcPr>
          <w:p>
            <w:pPr>
              <w:spacing w:after="0"/>
              <w:rPr>
                <w:sz w:val="21"/>
                <w:szCs w:val="21"/>
                <w:color w:val="auto"/>
              </w:rPr>
            </w:pPr>
          </w:p>
        </w:tc>
        <w:tc>
          <w:tcPr>
            <w:tcW w:w="254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3160" w:type="dxa"/>
            <w:vAlign w:val="bottom"/>
          </w:tcPr>
          <w:p>
            <w:pPr>
              <w:spacing w:after="0"/>
              <w:rPr>
                <w:sz w:val="21"/>
                <w:szCs w:val="21"/>
                <w:color w:val="auto"/>
              </w:rPr>
            </w:pPr>
          </w:p>
        </w:tc>
        <w:tc>
          <w:tcPr>
            <w:tcW w:w="1820" w:type="dxa"/>
            <w:vAlign w:val="bottom"/>
          </w:tcPr>
          <w:p>
            <w:pPr>
              <w:jc w:val="right"/>
              <w:ind w:right="61"/>
              <w:spacing w:after="0"/>
              <w:rPr>
                <w:sz w:val="20"/>
                <w:szCs w:val="20"/>
                <w:color w:val="auto"/>
              </w:rPr>
            </w:pPr>
            <w:r>
              <w:rPr>
                <w:rFonts w:ascii="Arial" w:cs="Arial" w:eastAsia="Arial" w:hAnsi="Arial"/>
                <w:sz w:val="16"/>
                <w:szCs w:val="16"/>
                <w:color w:val="auto"/>
              </w:rPr>
              <w:t>57,492</w:t>
            </w:r>
          </w:p>
        </w:tc>
        <w:tc>
          <w:tcPr>
            <w:tcW w:w="1660" w:type="dxa"/>
            <w:vAlign w:val="bottom"/>
          </w:tcPr>
          <w:p>
            <w:pPr>
              <w:jc w:val="right"/>
              <w:spacing w:after="0"/>
              <w:rPr>
                <w:sz w:val="20"/>
                <w:szCs w:val="20"/>
                <w:color w:val="auto"/>
              </w:rPr>
            </w:pPr>
            <w:r>
              <w:rPr>
                <w:rFonts w:ascii="Arial" w:cs="Arial" w:eastAsia="Arial" w:hAnsi="Arial"/>
                <w:sz w:val="16"/>
                <w:szCs w:val="16"/>
                <w:color w:val="auto"/>
              </w:rPr>
              <w:t>143,730</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540" w:type="dxa"/>
            <w:vAlign w:val="bottom"/>
            <w:tcBorders>
              <w:bottom w:val="single" w:sz="8" w:color="5D6673"/>
            </w:tcBorders>
          </w:tcPr>
          <w:p>
            <w:pPr>
              <w:spacing w:after="0" w:line="20" w:lineRule="exact"/>
              <w:rPr>
                <w:sz w:val="1"/>
                <w:szCs w:val="1"/>
                <w:color w:val="auto"/>
              </w:rPr>
            </w:pPr>
          </w:p>
        </w:tc>
        <w:tc>
          <w:tcPr>
            <w:tcW w:w="3160" w:type="dxa"/>
            <w:vAlign w:val="bottom"/>
            <w:tcBorders>
              <w:bottom w:val="single" w:sz="8" w:color="5D6673"/>
            </w:tcBorders>
          </w:tcPr>
          <w:p>
            <w:pPr>
              <w:spacing w:after="0" w:line="20" w:lineRule="exact"/>
              <w:rPr>
                <w:sz w:val="1"/>
                <w:szCs w:val="1"/>
                <w:color w:val="auto"/>
              </w:rPr>
            </w:pPr>
          </w:p>
        </w:tc>
        <w:tc>
          <w:tcPr>
            <w:tcW w:w="18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54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3160" w:type="dxa"/>
            <w:vAlign w:val="bottom"/>
          </w:tcPr>
          <w:p>
            <w:pPr>
              <w:spacing w:after="0"/>
              <w:rPr>
                <w:sz w:val="21"/>
                <w:szCs w:val="21"/>
                <w:color w:val="auto"/>
              </w:rPr>
            </w:pPr>
          </w:p>
        </w:tc>
        <w:tc>
          <w:tcPr>
            <w:tcW w:w="1820" w:type="dxa"/>
            <w:vAlign w:val="bottom"/>
          </w:tcPr>
          <w:p>
            <w:pPr>
              <w:jc w:val="right"/>
              <w:ind w:right="61"/>
              <w:spacing w:after="0"/>
              <w:rPr>
                <w:sz w:val="20"/>
                <w:szCs w:val="20"/>
                <w:color w:val="auto"/>
              </w:rPr>
            </w:pPr>
            <w:r>
              <w:rPr>
                <w:rFonts w:ascii="Arial" w:cs="Arial" w:eastAsia="Arial" w:hAnsi="Arial"/>
                <w:sz w:val="16"/>
                <w:szCs w:val="16"/>
                <w:color w:val="auto"/>
              </w:rPr>
              <w:t>14,391</w:t>
            </w:r>
          </w:p>
        </w:tc>
        <w:tc>
          <w:tcPr>
            <w:tcW w:w="1660" w:type="dxa"/>
            <w:vAlign w:val="bottom"/>
          </w:tcPr>
          <w:p>
            <w:pPr>
              <w:jc w:val="right"/>
              <w:spacing w:after="0"/>
              <w:rPr>
                <w:sz w:val="20"/>
                <w:szCs w:val="20"/>
                <w:color w:val="auto"/>
              </w:rPr>
            </w:pPr>
            <w:r>
              <w:rPr>
                <w:rFonts w:ascii="Arial" w:cs="Arial" w:eastAsia="Arial" w:hAnsi="Arial"/>
                <w:sz w:val="16"/>
                <w:szCs w:val="16"/>
                <w:color w:val="auto"/>
              </w:rPr>
              <w:t>35,977</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540" w:type="dxa"/>
            <w:vAlign w:val="bottom"/>
            <w:tcBorders>
              <w:bottom w:val="single" w:sz="8" w:color="5D6673"/>
            </w:tcBorders>
          </w:tcPr>
          <w:p>
            <w:pPr>
              <w:spacing w:after="0" w:line="20" w:lineRule="exact"/>
              <w:rPr>
                <w:sz w:val="1"/>
                <w:szCs w:val="1"/>
                <w:color w:val="auto"/>
              </w:rPr>
            </w:pPr>
          </w:p>
        </w:tc>
        <w:tc>
          <w:tcPr>
            <w:tcW w:w="3160" w:type="dxa"/>
            <w:vAlign w:val="bottom"/>
            <w:tcBorders>
              <w:bottom w:val="single" w:sz="8" w:color="5D6673"/>
            </w:tcBorders>
          </w:tcPr>
          <w:p>
            <w:pPr>
              <w:spacing w:after="0" w:line="20" w:lineRule="exact"/>
              <w:rPr>
                <w:sz w:val="1"/>
                <w:szCs w:val="1"/>
                <w:color w:val="auto"/>
              </w:rPr>
            </w:pPr>
          </w:p>
        </w:tc>
        <w:tc>
          <w:tcPr>
            <w:tcW w:w="18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54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3160" w:type="dxa"/>
            <w:vAlign w:val="bottom"/>
          </w:tcPr>
          <w:p>
            <w:pPr>
              <w:spacing w:after="0"/>
              <w:rPr>
                <w:sz w:val="21"/>
                <w:szCs w:val="21"/>
                <w:color w:val="auto"/>
              </w:rPr>
            </w:pPr>
          </w:p>
        </w:tc>
        <w:tc>
          <w:tcPr>
            <w:tcW w:w="1820" w:type="dxa"/>
            <w:vAlign w:val="bottom"/>
          </w:tcPr>
          <w:p>
            <w:pPr>
              <w:jc w:val="right"/>
              <w:ind w:right="81"/>
              <w:spacing w:after="0"/>
              <w:rPr>
                <w:sz w:val="20"/>
                <w:szCs w:val="20"/>
                <w:color w:val="auto"/>
              </w:rPr>
            </w:pPr>
            <w:r>
              <w:rPr>
                <w:rFonts w:ascii="Arial" w:cs="Arial" w:eastAsia="Arial" w:hAnsi="Arial"/>
                <w:sz w:val="16"/>
                <w:szCs w:val="16"/>
                <w:color w:val="auto"/>
              </w:rPr>
              <w:t>5,396</w:t>
            </w:r>
          </w:p>
        </w:tc>
        <w:tc>
          <w:tcPr>
            <w:tcW w:w="1660" w:type="dxa"/>
            <w:vAlign w:val="bottom"/>
          </w:tcPr>
          <w:p>
            <w:pPr>
              <w:jc w:val="right"/>
              <w:spacing w:after="0"/>
              <w:rPr>
                <w:sz w:val="20"/>
                <w:szCs w:val="20"/>
                <w:color w:val="auto"/>
              </w:rPr>
            </w:pPr>
            <w:r>
              <w:rPr>
                <w:rFonts w:ascii="Arial" w:cs="Arial" w:eastAsia="Arial" w:hAnsi="Arial"/>
                <w:sz w:val="16"/>
                <w:szCs w:val="16"/>
                <w:color w:val="auto"/>
              </w:rPr>
              <w:t>13,490</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540" w:type="dxa"/>
            <w:vAlign w:val="bottom"/>
            <w:tcBorders>
              <w:bottom w:val="single" w:sz="8" w:color="5D6673"/>
            </w:tcBorders>
          </w:tcPr>
          <w:p>
            <w:pPr>
              <w:spacing w:after="0" w:line="20" w:lineRule="exact"/>
              <w:rPr>
                <w:sz w:val="1"/>
                <w:szCs w:val="1"/>
                <w:color w:val="auto"/>
              </w:rPr>
            </w:pPr>
          </w:p>
        </w:tc>
        <w:tc>
          <w:tcPr>
            <w:tcW w:w="3160" w:type="dxa"/>
            <w:vAlign w:val="bottom"/>
            <w:tcBorders>
              <w:bottom w:val="single" w:sz="8" w:color="5D6673"/>
            </w:tcBorders>
          </w:tcPr>
          <w:p>
            <w:pPr>
              <w:spacing w:after="0" w:line="20" w:lineRule="exact"/>
              <w:rPr>
                <w:sz w:val="1"/>
                <w:szCs w:val="1"/>
                <w:color w:val="auto"/>
              </w:rPr>
            </w:pPr>
          </w:p>
        </w:tc>
        <w:tc>
          <w:tcPr>
            <w:tcW w:w="18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54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3160" w:type="dxa"/>
            <w:vAlign w:val="bottom"/>
          </w:tcPr>
          <w:p>
            <w:pPr>
              <w:spacing w:after="0"/>
              <w:rPr>
                <w:sz w:val="21"/>
                <w:szCs w:val="21"/>
                <w:color w:val="auto"/>
              </w:rPr>
            </w:pPr>
          </w:p>
        </w:tc>
        <w:tc>
          <w:tcPr>
            <w:tcW w:w="1820" w:type="dxa"/>
            <w:vAlign w:val="bottom"/>
          </w:tcPr>
          <w:p>
            <w:pPr>
              <w:jc w:val="right"/>
              <w:ind w:right="81"/>
              <w:spacing w:after="0"/>
              <w:rPr>
                <w:sz w:val="20"/>
                <w:szCs w:val="20"/>
                <w:color w:val="auto"/>
              </w:rPr>
            </w:pPr>
            <w:r>
              <w:rPr>
                <w:rFonts w:ascii="Arial" w:cs="Arial" w:eastAsia="Arial" w:hAnsi="Arial"/>
                <w:sz w:val="16"/>
                <w:szCs w:val="16"/>
                <w:color w:val="auto"/>
              </w:rPr>
              <w:t>5,396</w:t>
            </w:r>
          </w:p>
        </w:tc>
        <w:tc>
          <w:tcPr>
            <w:tcW w:w="1660" w:type="dxa"/>
            <w:vAlign w:val="bottom"/>
          </w:tcPr>
          <w:p>
            <w:pPr>
              <w:jc w:val="right"/>
              <w:spacing w:after="0"/>
              <w:rPr>
                <w:sz w:val="20"/>
                <w:szCs w:val="20"/>
                <w:color w:val="auto"/>
              </w:rPr>
            </w:pPr>
            <w:r>
              <w:rPr>
                <w:rFonts w:ascii="Arial" w:cs="Arial" w:eastAsia="Arial" w:hAnsi="Arial"/>
                <w:sz w:val="16"/>
                <w:szCs w:val="16"/>
                <w:color w:val="auto"/>
              </w:rPr>
              <w:t>13,490</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540" w:type="dxa"/>
            <w:vAlign w:val="bottom"/>
            <w:tcBorders>
              <w:bottom w:val="single" w:sz="8" w:color="5D6673"/>
            </w:tcBorders>
          </w:tcPr>
          <w:p>
            <w:pPr>
              <w:spacing w:after="0" w:line="20" w:lineRule="exact"/>
              <w:rPr>
                <w:sz w:val="1"/>
                <w:szCs w:val="1"/>
                <w:color w:val="auto"/>
              </w:rPr>
            </w:pPr>
          </w:p>
        </w:tc>
        <w:tc>
          <w:tcPr>
            <w:tcW w:w="3160" w:type="dxa"/>
            <w:vAlign w:val="bottom"/>
            <w:tcBorders>
              <w:bottom w:val="single" w:sz="8" w:color="5D6673"/>
            </w:tcBorders>
          </w:tcPr>
          <w:p>
            <w:pPr>
              <w:spacing w:after="0" w:line="20" w:lineRule="exact"/>
              <w:rPr>
                <w:sz w:val="1"/>
                <w:szCs w:val="1"/>
                <w:color w:val="auto"/>
              </w:rPr>
            </w:pPr>
          </w:p>
        </w:tc>
        <w:tc>
          <w:tcPr>
            <w:tcW w:w="18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254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3160" w:type="dxa"/>
            <w:vAlign w:val="bottom"/>
            <w:tcBorders>
              <w:bottom w:val="single" w:sz="8" w:color="0063A6"/>
            </w:tcBorders>
          </w:tcPr>
          <w:p>
            <w:pPr>
              <w:spacing w:after="0"/>
              <w:rPr>
                <w:sz w:val="20"/>
                <w:szCs w:val="20"/>
                <w:color w:val="auto"/>
              </w:rPr>
            </w:pPr>
          </w:p>
        </w:tc>
        <w:tc>
          <w:tcPr>
            <w:tcW w:w="1820" w:type="dxa"/>
            <w:vAlign w:val="bottom"/>
            <w:tcBorders>
              <w:bottom w:val="single" w:sz="8" w:color="0063A6"/>
            </w:tcBorders>
          </w:tcPr>
          <w:p>
            <w:pPr>
              <w:jc w:val="right"/>
              <w:ind w:right="81"/>
              <w:spacing w:after="0"/>
              <w:rPr>
                <w:sz w:val="20"/>
                <w:szCs w:val="20"/>
                <w:color w:val="auto"/>
              </w:rPr>
            </w:pPr>
            <w:r>
              <w:rPr>
                <w:rFonts w:ascii="Arial" w:cs="Arial" w:eastAsia="Arial" w:hAnsi="Arial"/>
                <w:sz w:val="16"/>
                <w:szCs w:val="16"/>
                <w:color w:val="auto"/>
              </w:rPr>
              <w:t>4,946</w:t>
            </w:r>
          </w:p>
        </w:tc>
        <w:tc>
          <w:tcPr>
            <w:tcW w:w="1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12,365</w:t>
            </w:r>
          </w:p>
        </w:tc>
        <w:tc>
          <w:tcPr>
            <w:tcW w:w="920" w:type="dxa"/>
            <w:vAlign w:val="bottom"/>
          </w:tcPr>
          <w:p>
            <w:pPr>
              <w:spacing w:after="0"/>
              <w:rPr>
                <w:sz w:val="20"/>
                <w:szCs w:val="20"/>
                <w:color w:val="auto"/>
              </w:rPr>
            </w:pPr>
          </w:p>
        </w:tc>
      </w:tr>
      <w:tr>
        <w:trPr>
          <w:trHeight w:val="209"/>
        </w:trPr>
        <w:tc>
          <w:tcPr>
            <w:tcW w:w="920" w:type="dxa"/>
            <w:vAlign w:val="bottom"/>
          </w:tcPr>
          <w:p>
            <w:pPr>
              <w:spacing w:after="0"/>
              <w:rPr>
                <w:sz w:val="18"/>
                <w:szCs w:val="18"/>
                <w:color w:val="auto"/>
              </w:rPr>
            </w:pPr>
          </w:p>
        </w:tc>
        <w:tc>
          <w:tcPr>
            <w:tcW w:w="2540" w:type="dxa"/>
            <w:vAlign w:val="bottom"/>
            <w:tcBorders>
              <w:bottom w:val="single" w:sz="8" w:color="D02A2E"/>
            </w:tcBorders>
          </w:tcPr>
          <w:p>
            <w:pPr>
              <w:spacing w:after="0"/>
              <w:rPr>
                <w:sz w:val="18"/>
                <w:szCs w:val="18"/>
                <w:color w:val="auto"/>
              </w:rPr>
            </w:pPr>
          </w:p>
        </w:tc>
        <w:tc>
          <w:tcPr>
            <w:tcW w:w="3160" w:type="dxa"/>
            <w:vAlign w:val="bottom"/>
            <w:tcBorders>
              <w:bottom w:val="single" w:sz="8" w:color="D02A2E"/>
            </w:tcBorders>
          </w:tcPr>
          <w:p>
            <w:pPr>
              <w:spacing w:after="0"/>
              <w:rPr>
                <w:sz w:val="18"/>
                <w:szCs w:val="18"/>
                <w:color w:val="auto"/>
              </w:rPr>
            </w:pPr>
          </w:p>
        </w:tc>
        <w:tc>
          <w:tcPr>
            <w:tcW w:w="1820" w:type="dxa"/>
            <w:vAlign w:val="bottom"/>
            <w:tcBorders>
              <w:bottom w:val="single" w:sz="8" w:color="D02A2E"/>
            </w:tcBorders>
          </w:tcPr>
          <w:p>
            <w:pPr>
              <w:spacing w:after="0"/>
              <w:rPr>
                <w:sz w:val="18"/>
                <w:szCs w:val="18"/>
                <w:color w:val="auto"/>
              </w:rPr>
            </w:pPr>
          </w:p>
        </w:tc>
        <w:tc>
          <w:tcPr>
            <w:tcW w:w="1660" w:type="dxa"/>
            <w:vAlign w:val="bottom"/>
            <w:tcBorders>
              <w:bottom w:val="single" w:sz="8" w:color="D02A2E"/>
            </w:tcBorders>
          </w:tcPr>
          <w:p>
            <w:pPr>
              <w:spacing w:after="0"/>
              <w:rPr>
                <w:sz w:val="18"/>
                <w:szCs w:val="18"/>
                <w:color w:val="auto"/>
              </w:rPr>
            </w:pPr>
          </w:p>
        </w:tc>
        <w:tc>
          <w:tcPr>
            <w:tcW w:w="920" w:type="dxa"/>
            <w:vAlign w:val="bottom"/>
          </w:tcPr>
          <w:p>
            <w:pPr>
              <w:spacing w:after="0"/>
              <w:rPr>
                <w:sz w:val="18"/>
                <w:szCs w:val="18"/>
                <w:color w:val="auto"/>
              </w:rPr>
            </w:pPr>
          </w:p>
        </w:tc>
      </w:tr>
      <w:tr>
        <w:trPr>
          <w:trHeight w:val="316"/>
        </w:trPr>
        <w:tc>
          <w:tcPr>
            <w:tcW w:w="920" w:type="dxa"/>
            <w:vAlign w:val="bottom"/>
          </w:tcPr>
          <w:p>
            <w:pPr>
              <w:spacing w:after="0"/>
              <w:rPr>
                <w:sz w:val="24"/>
                <w:szCs w:val="24"/>
                <w:color w:val="auto"/>
              </w:rPr>
            </w:pPr>
          </w:p>
        </w:tc>
        <w:tc>
          <w:tcPr>
            <w:tcW w:w="2540" w:type="dxa"/>
            <w:vAlign w:val="bottom"/>
          </w:tcPr>
          <w:p>
            <w:pPr>
              <w:ind w:left="40"/>
              <w:spacing w:after="0"/>
              <w:rPr>
                <w:sz w:val="20"/>
                <w:szCs w:val="20"/>
                <w:color w:val="auto"/>
              </w:rPr>
            </w:pPr>
            <w:r>
              <w:rPr>
                <w:rFonts w:ascii="Arial" w:cs="Arial" w:eastAsia="Arial" w:hAnsi="Arial"/>
                <w:sz w:val="16"/>
                <w:szCs w:val="16"/>
                <w:color w:val="5D6673"/>
              </w:rPr>
              <w:t>2026 PROXY STATEMENT</w:t>
            </w:r>
          </w:p>
        </w:tc>
        <w:tc>
          <w:tcPr>
            <w:tcW w:w="3160" w:type="dxa"/>
            <w:vAlign w:val="bottom"/>
          </w:tcPr>
          <w:p>
            <w:pPr>
              <w:ind w:left="520"/>
              <w:spacing w:after="0"/>
              <w:rPr>
                <w:sz w:val="20"/>
                <w:szCs w:val="20"/>
                <w:color w:val="auto"/>
              </w:rPr>
            </w:pPr>
            <w:r>
              <w:rPr>
                <w:rFonts w:ascii="Arial" w:cs="Arial" w:eastAsia="Arial" w:hAnsi="Arial"/>
                <w:sz w:val="16"/>
                <w:szCs w:val="16"/>
                <w:color w:val="5D6673"/>
              </w:rPr>
              <w:t>                     ITRON, INC.</w:t>
            </w:r>
          </w:p>
        </w:tc>
        <w:tc>
          <w:tcPr>
            <w:tcW w:w="18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5D6673"/>
              </w:rPr>
              <w:t>37</w:t>
            </w: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Other Practices, Policies and Guidelines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Stock Ownership Guidelines</w:t>
      </w:r>
    </w:p>
    <w:p>
      <w:pPr>
        <w:spacing w:after="0" w:line="8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believe that holding an equity interest in the Company creates an incentive to avoid excessive business risks. We maintain stock ownership guidelines to encourage certain of our executive officers to own stock at least equal in value to:</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2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Title</w:t>
            </w:r>
          </w:p>
        </w:tc>
        <w:tc>
          <w:tcPr>
            <w:tcW w:w="19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Multiple of Base Salary</w:t>
            </w:r>
          </w:p>
        </w:tc>
      </w:tr>
      <w:tr>
        <w:trPr>
          <w:trHeight w:val="241"/>
        </w:trPr>
        <w:tc>
          <w:tcPr>
            <w:tcW w:w="7220" w:type="dxa"/>
            <w:vAlign w:val="bottom"/>
          </w:tcPr>
          <w:p>
            <w:pPr>
              <w:ind w:left="80"/>
              <w:spacing w:after="0"/>
              <w:rPr>
                <w:sz w:val="20"/>
                <w:szCs w:val="20"/>
                <w:color w:val="auto"/>
              </w:rPr>
            </w:pPr>
            <w:r>
              <w:rPr>
                <w:rFonts w:ascii="Arial" w:cs="Arial" w:eastAsia="Arial" w:hAnsi="Arial"/>
                <w:sz w:val="16"/>
                <w:szCs w:val="16"/>
                <w:color w:val="auto"/>
              </w:rPr>
              <w:t>CEO</w:t>
            </w:r>
          </w:p>
        </w:tc>
        <w:tc>
          <w:tcPr>
            <w:tcW w:w="1960" w:type="dxa"/>
            <w:vAlign w:val="bottom"/>
          </w:tcPr>
          <w:p>
            <w:pPr>
              <w:jc w:val="right"/>
              <w:spacing w:after="0"/>
              <w:rPr>
                <w:sz w:val="20"/>
                <w:szCs w:val="20"/>
                <w:color w:val="auto"/>
              </w:rPr>
            </w:pPr>
            <w:r>
              <w:rPr>
                <w:rFonts w:ascii="Arial" w:cs="Arial" w:eastAsia="Arial" w:hAnsi="Arial"/>
                <w:sz w:val="16"/>
                <w:szCs w:val="16"/>
                <w:color w:val="auto"/>
              </w:rPr>
              <w:t>6.0x</w:t>
            </w:r>
          </w:p>
        </w:tc>
      </w:tr>
      <w:tr>
        <w:trPr>
          <w:trHeight w:val="29"/>
        </w:trPr>
        <w:tc>
          <w:tcPr>
            <w:tcW w:w="7220" w:type="dxa"/>
            <w:vAlign w:val="bottom"/>
            <w:tcBorders>
              <w:bottom w:val="single" w:sz="8" w:color="5D6673"/>
            </w:tcBorders>
          </w:tcPr>
          <w:p>
            <w:pPr>
              <w:spacing w:after="0"/>
              <w:rPr>
                <w:sz w:val="2"/>
                <w:szCs w:val="2"/>
                <w:color w:val="auto"/>
              </w:rPr>
            </w:pPr>
          </w:p>
        </w:tc>
        <w:tc>
          <w:tcPr>
            <w:tcW w:w="1960" w:type="dxa"/>
            <w:vAlign w:val="bottom"/>
            <w:tcBorders>
              <w:bottom w:val="single" w:sz="8" w:color="5D6673"/>
            </w:tcBorders>
          </w:tcPr>
          <w:p>
            <w:pPr>
              <w:spacing w:after="0"/>
              <w:rPr>
                <w:sz w:val="2"/>
                <w:szCs w:val="2"/>
                <w:color w:val="auto"/>
              </w:rPr>
            </w:pPr>
          </w:p>
        </w:tc>
      </w:tr>
      <w:tr>
        <w:trPr>
          <w:trHeight w:val="234"/>
        </w:trPr>
        <w:tc>
          <w:tcPr>
            <w:tcW w:w="7220" w:type="dxa"/>
            <w:vAlign w:val="bottom"/>
          </w:tcPr>
          <w:p>
            <w:pPr>
              <w:ind w:left="80"/>
              <w:spacing w:after="0"/>
              <w:rPr>
                <w:sz w:val="20"/>
                <w:szCs w:val="20"/>
                <w:color w:val="auto"/>
              </w:rPr>
            </w:pPr>
            <w:r>
              <w:rPr>
                <w:rFonts w:ascii="Arial" w:cs="Arial" w:eastAsia="Arial" w:hAnsi="Arial"/>
                <w:sz w:val="16"/>
                <w:szCs w:val="16"/>
                <w:color w:val="auto"/>
              </w:rPr>
              <w:t>CFO</w:t>
            </w:r>
          </w:p>
        </w:tc>
        <w:tc>
          <w:tcPr>
            <w:tcW w:w="1960" w:type="dxa"/>
            <w:vAlign w:val="bottom"/>
          </w:tcPr>
          <w:p>
            <w:pPr>
              <w:jc w:val="right"/>
              <w:spacing w:after="0"/>
              <w:rPr>
                <w:sz w:val="20"/>
                <w:szCs w:val="20"/>
                <w:color w:val="auto"/>
              </w:rPr>
            </w:pPr>
            <w:r>
              <w:rPr>
                <w:rFonts w:ascii="Arial" w:cs="Arial" w:eastAsia="Arial" w:hAnsi="Arial"/>
                <w:sz w:val="16"/>
                <w:szCs w:val="16"/>
                <w:color w:val="auto"/>
              </w:rPr>
              <w:t>3.0x</w:t>
            </w:r>
          </w:p>
        </w:tc>
      </w:tr>
      <w:tr>
        <w:trPr>
          <w:trHeight w:val="29"/>
        </w:trPr>
        <w:tc>
          <w:tcPr>
            <w:tcW w:w="7220" w:type="dxa"/>
            <w:vAlign w:val="bottom"/>
            <w:tcBorders>
              <w:bottom w:val="single" w:sz="8" w:color="5D6673"/>
            </w:tcBorders>
          </w:tcPr>
          <w:p>
            <w:pPr>
              <w:spacing w:after="0"/>
              <w:rPr>
                <w:sz w:val="2"/>
                <w:szCs w:val="2"/>
                <w:color w:val="auto"/>
              </w:rPr>
            </w:pPr>
          </w:p>
        </w:tc>
        <w:tc>
          <w:tcPr>
            <w:tcW w:w="1960" w:type="dxa"/>
            <w:vAlign w:val="bottom"/>
            <w:tcBorders>
              <w:bottom w:val="single" w:sz="8" w:color="5D6673"/>
            </w:tcBorders>
          </w:tcPr>
          <w:p>
            <w:pPr>
              <w:spacing w:after="0"/>
              <w:rPr>
                <w:sz w:val="2"/>
                <w:szCs w:val="2"/>
                <w:color w:val="auto"/>
              </w:rPr>
            </w:pPr>
          </w:p>
        </w:tc>
      </w:tr>
      <w:tr>
        <w:trPr>
          <w:trHeight w:val="236"/>
        </w:trPr>
        <w:tc>
          <w:tcPr>
            <w:tcW w:w="7220" w:type="dxa"/>
            <w:vAlign w:val="bottom"/>
            <w:tcBorders>
              <w:bottom w:val="single" w:sz="8" w:color="0063A6"/>
            </w:tcBorders>
          </w:tcPr>
          <w:p>
            <w:pPr>
              <w:ind w:left="80"/>
              <w:spacing w:after="0"/>
              <w:rPr>
                <w:sz w:val="20"/>
                <w:szCs w:val="20"/>
                <w:color w:val="auto"/>
              </w:rPr>
            </w:pPr>
            <w:r>
              <w:rPr>
                <w:rFonts w:ascii="Arial" w:cs="Arial" w:eastAsia="Arial" w:hAnsi="Arial"/>
                <w:sz w:val="16"/>
                <w:szCs w:val="16"/>
                <w:color w:val="auto"/>
              </w:rPr>
              <w:t>Other Three Section 16 Senior Vice Presidents</w:t>
            </w:r>
          </w:p>
        </w:tc>
        <w:tc>
          <w:tcPr>
            <w:tcW w:w="19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2.0x</w:t>
            </w:r>
          </w:p>
        </w:tc>
      </w:tr>
    </w:tbl>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Common stock, vested and unvested RSUs but not PRSUs, the net after-tax value of unexercised stock options, and stock held in the deferred compensation, 401(k) and the Employee Stock Purchase Plans and shares beneficially owned and held in trust for the benefit of a family member all 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 (ii) in the case of restricted stock or restricted stock units, tax withholding upon vesting. We annually review the levels of stock ownership of our executive officers listed above, and, based on a rolling 12-month average of our stock price as of the end of 2025, each of them has met the guidelines. We also have stock ownership guidelines for the members of our Board.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Anti-Hedging and Anti-Pledging Policy</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prohibit the NEOs, other executive officers, directors and employees from engaging in transactions designed to insulate them from changes in the Company’s stock price. Therefore, the Company has an Anti-Hedging Policy that prohibits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Change-in-Control Agreements</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entered into change-in-control agreements with certain of our executive officers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See “</w:t>
      </w:r>
      <w:r>
        <w:rPr>
          <w:rFonts w:ascii="Arial" w:cs="Arial" w:eastAsia="Arial" w:hAnsi="Arial"/>
          <w:sz w:val="16"/>
          <w:szCs w:val="16"/>
          <w:i w:val="1"/>
          <w:iCs w:val="1"/>
          <w:color w:val="auto"/>
        </w:rPr>
        <w:t>Executive Compensation Tables – 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upon Change-in-Control</w:t>
      </w:r>
      <w:r>
        <w:rPr>
          <w:rFonts w:ascii="Arial" w:cs="Arial" w:eastAsia="Arial" w:hAnsi="Arial"/>
          <w:sz w:val="16"/>
          <w:szCs w:val="16"/>
          <w:color w:val="auto"/>
        </w:rPr>
        <w:t>” for descriptions of the benefits provided under the change-in-control agreements.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Employment Agreements; Severance Policy</w:t>
      </w:r>
    </w:p>
    <w:p>
      <w:pPr>
        <w:spacing w:after="0" w:line="85"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We do not have formal employment agreements with our executive officers. However, we do have an Executive Officer Severance Pay Policy that provides transitional support to executive officers whose employment is terminated involuntarily, other than for disciplinary reasons. The Compensation Committee revised the policy to support retention and provide appropriate protection to executives in the event of an involuntary termination not for cause.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Tables – Potential Payments upon Termination without Cause</w:t>
      </w:r>
      <w:r>
        <w:rPr>
          <w:rFonts w:ascii="Arial" w:cs="Arial" w:eastAsia="Arial" w:hAnsi="Arial"/>
          <w:sz w:val="16"/>
          <w:szCs w:val="16"/>
          <w:color w:val="auto"/>
        </w:rPr>
        <w:t>” for descriptions of the benefits provided under the change-in-control agreements.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Incentive Compensation Recovery (Clawback) Policy</w:t>
      </w:r>
    </w:p>
    <w:p>
      <w:pPr>
        <w:spacing w:after="0" w:line="72"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Board has adopted the 2023 Incentive Compensation Recovery Policy (“Compensation Recovery Policy”), in accordance with Rule 10D-1 under Section 10D of the Securities Exchange Act of 1934, as amended (“Rule 10D-1”) and the corresponding Nasdaq Listing Rule 5608 (the “Listing Rules”). This policy applies to our current and former executive officers as defined in Rule 10D-1, including the NEOs, and will be administered by the Compensation Committee. In the event we are required to prepare an accounting restatement to correct a material noncompliance with any financial reporting requirement under the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the policy provides for the recovery of erroneously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58293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8"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38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160"/>
        <w:spacing w:after="0"/>
        <w:rPr>
          <w:sz w:val="20"/>
          <w:szCs w:val="20"/>
          <w:color w:val="auto"/>
        </w:rPr>
      </w:pPr>
      <w:r>
        <w:rPr>
          <w:rFonts w:ascii="Arial" w:cs="Arial" w:eastAsia="Arial" w:hAnsi="Arial"/>
          <w:sz w:val="14"/>
          <w:szCs w:val="14"/>
          <w:color w:val="5D6673"/>
        </w:rPr>
        <w:t>EXECUTIVE COMPENSATION</w:t>
      </w:r>
    </w:p>
    <w:p>
      <w:pPr>
        <w:spacing w:after="0" w:line="10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incentive-based compensation received by its executive officers on or after the policy’s effective date. The recovery of such compensation applies regardless of whether an executive officer engaged in misconduct or otherwise caused or contributed to the requirement for a restatement.</w:t>
      </w:r>
    </w:p>
    <w:p>
      <w:pPr>
        <w:spacing w:after="0" w:line="18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addition, our Incentive Repayment Policy, in effect prior to December 1, 2023 will continue to apply to incentive-based compensation received prior to December 1, 2023. Under that policy, in the event of a restatement of the Company’s financial results, the Compensation Committee, as designated by the Board, may review all cash or equity incentive awards that were based in whole or in part on the achievement of certain financial results. Where award(s) were predicated, in part or in whole, upon the achievement of certain financial results that were subsequently the subject of a material financial restatement and, as determined by the Compensation Committee, the executive officer(s) engaged in fraud that caused or partially caused the need for the restatement, the Compensation Committee will seek forfeiture or reimbursement to the Company of the award(s) from the executive officer(s) engaged in fraud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Executive Deferred Compensation Plan</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Executive officers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up to 50% of their annual cash incentive into a nonqualified account.</w:t>
      </w:r>
    </w:p>
    <w:p>
      <w:pPr>
        <w:spacing w:after="0" w:line="13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Executive officers are also permitted to elect to defer an additional portion of their base salary under the EDCP equal to the amount of any contributions returned to them during the year from the Company’s 401(k) Plan. In 2025, the Company made matching contributions to the account of each participating executive at the rate of 75% of the first 6% of base salary and annual incentive deferred by the executive officer during that year, which is the same matching formula as the Company’s 401(k) Plan. The employer match into the EDCP starts </w:t>
      </w:r>
      <w:r>
        <w:rPr>
          <w:rFonts w:ascii="Arial" w:cs="Arial" w:eastAsia="Arial" w:hAnsi="Arial"/>
          <w:sz w:val="16"/>
          <w:szCs w:val="16"/>
          <w:i w:val="1"/>
          <w:iCs w:val="1"/>
          <w:color w:val="auto"/>
        </w:rPr>
        <w:t>after</w:t>
      </w:r>
      <w:r>
        <w:rPr>
          <w:rFonts w:ascii="Arial" w:cs="Arial" w:eastAsia="Arial" w:hAnsi="Arial"/>
          <w:sz w:val="16"/>
          <w:szCs w:val="16"/>
          <w:color w:val="auto"/>
        </w:rPr>
        <w:t xml:space="preserve"> the employee reaches IRS limits on the 401(k) Plan and is no longer eligible for the 401(k) match. The executive officers’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 See “</w:t>
      </w:r>
      <w:r>
        <w:rPr>
          <w:rFonts w:ascii="Arial" w:cs="Arial" w:eastAsia="Arial" w:hAnsi="Arial"/>
          <w:sz w:val="16"/>
          <w:szCs w:val="16"/>
          <w:i w:val="1"/>
          <w:iCs w:val="1"/>
          <w:color w:val="auto"/>
        </w:rPr>
        <w:t>Executive Compensation Tables – 2025 Nonqualified Deferred Compensation Table</w:t>
      </w:r>
      <w:r>
        <w:rPr>
          <w:rFonts w:ascii="Arial" w:cs="Arial" w:eastAsia="Arial" w:hAnsi="Arial"/>
          <w:sz w:val="16"/>
          <w:szCs w:val="16"/>
          <w:color w:val="auto"/>
        </w:rPr>
        <w:t>” for more details.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General Benefits and Perquisites</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NEOs receive the same benefits and perquisites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long-term extended business travel to a new location.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401(k) Plan and Employee Stock Purchase Plan</w:t>
      </w:r>
    </w:p>
    <w:p>
      <w:pPr>
        <w:spacing w:after="0" w:line="8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Executive officers located in the U.S. are eligible to participate in our 401(k) Plan which provides our employees, including the NEOs, with a 75% Company match on the first 6% of compensation deferred, subject to qualified plan limits. Similarly, executive officers may participate in the Company’s Employee Stock Purchase Plan, along with our other employees.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any defined benefit or supplemental retirement programs for our NEOs.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Impact of Tax and Accounting</w:t>
      </w:r>
    </w:p>
    <w:p>
      <w:pPr>
        <w:spacing w:after="0" w:line="72"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We regularly consider the various tax and accounting implications of our compensation plans. When determining the value of long-term incentives and equity grants to executives and employees, the compensation costs associated with the grants are reviewed, as required by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6"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Compensation Committee Report</w:t>
      </w:r>
    </w:p>
    <w:p>
      <w:pPr>
        <w:spacing w:after="0" w:line="106"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Itron’s management and the Board’s outside compensation consultant. Based on the review and discussions, the Compensation Committee has recommended to the Board of Directors that the Compensation Discussion and Analysis be included in the Company’s 2025 Annual Report on Form 10-K and the Company’s 2026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Committee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Frank M. Jaehnert,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Jerome J. Lande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Santiago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8293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20"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40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44" w:name="page45"/>
    <w:bookmarkEnd w:id="4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166"/>
        <w:spacing w:after="0"/>
        <w:rPr>
          <w:sz w:val="20"/>
          <w:szCs w:val="20"/>
          <w:color w:val="auto"/>
        </w:rPr>
      </w:pPr>
      <w:r>
        <w:rPr>
          <w:rFonts w:ascii="Arial" w:cs="Arial" w:eastAsia="Arial" w:hAnsi="Arial"/>
          <w:sz w:val="14"/>
          <w:szCs w:val="14"/>
          <w:color w:val="5D6673"/>
        </w:rPr>
        <w:t>EXECUTIVE COMPENSATION</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23"/>
          <w:szCs w:val="23"/>
          <w:b w:val="1"/>
          <w:bCs w:val="1"/>
          <w:u w:val="single" w:color="auto"/>
          <w:color w:val="0063A6"/>
        </w:rPr>
        <w:t>Executive Compensation Tables</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Summary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060" w:type="dxa"/>
            <w:vAlign w:val="bottom"/>
          </w:tcPr>
          <w:p>
            <w:pPr>
              <w:spacing w:after="0"/>
              <w:rPr>
                <w:sz w:val="17"/>
                <w:szCs w:val="17"/>
                <w:color w:val="auto"/>
              </w:rPr>
            </w:pPr>
          </w:p>
        </w:tc>
        <w:tc>
          <w:tcPr>
            <w:tcW w:w="640" w:type="dxa"/>
            <w:vAlign w:val="bottom"/>
            <w:tcBorders>
              <w:bottom w:val="single" w:sz="8" w:color="0063A6"/>
            </w:tcBorders>
          </w:tcPr>
          <w:p>
            <w:pPr>
              <w:spacing w:after="0"/>
              <w:rPr>
                <w:sz w:val="17"/>
                <w:szCs w:val="17"/>
                <w:color w:val="auto"/>
              </w:rPr>
            </w:pPr>
          </w:p>
        </w:tc>
        <w:tc>
          <w:tcPr>
            <w:tcW w:w="860" w:type="dxa"/>
            <w:vAlign w:val="bottom"/>
            <w:tcBorders>
              <w:bottom w:val="single" w:sz="8" w:color="0063A6"/>
            </w:tcBorders>
          </w:tcPr>
          <w:p>
            <w:pPr>
              <w:spacing w:after="0"/>
              <w:rPr>
                <w:sz w:val="17"/>
                <w:szCs w:val="17"/>
                <w:color w:val="auto"/>
              </w:rPr>
            </w:pPr>
          </w:p>
        </w:tc>
        <w:tc>
          <w:tcPr>
            <w:tcW w:w="880" w:type="dxa"/>
            <w:vAlign w:val="bottom"/>
            <w:tcBorders>
              <w:bottom w:val="single" w:sz="8" w:color="0063A6"/>
            </w:tcBorders>
          </w:tcPr>
          <w:p>
            <w:pPr>
              <w:spacing w:after="0"/>
              <w:rPr>
                <w:sz w:val="17"/>
                <w:szCs w:val="17"/>
                <w:color w:val="auto"/>
              </w:rPr>
            </w:pPr>
          </w:p>
        </w:tc>
        <w:tc>
          <w:tcPr>
            <w:tcW w:w="2340" w:type="dxa"/>
            <w:vAlign w:val="bottom"/>
            <w:tcBorders>
              <w:bottom w:val="single" w:sz="8" w:color="0063A6"/>
            </w:tcBorders>
            <w:gridSpan w:val="2"/>
          </w:tcPr>
          <w:p>
            <w:pPr>
              <w:jc w:val="right"/>
              <w:ind w:right="709"/>
              <w:spacing w:after="0"/>
              <w:rPr>
                <w:sz w:val="20"/>
                <w:szCs w:val="20"/>
                <w:color w:val="auto"/>
              </w:rPr>
            </w:pPr>
            <w:r>
              <w:rPr>
                <w:rFonts w:ascii="Arial" w:cs="Arial" w:eastAsia="Arial" w:hAnsi="Arial"/>
                <w:sz w:val="14"/>
                <w:szCs w:val="14"/>
                <w:b w:val="1"/>
                <w:bCs w:val="1"/>
                <w:color w:val="auto"/>
              </w:rPr>
              <w:t>ITRON, INC.</w:t>
            </w:r>
          </w:p>
        </w:tc>
        <w:tc>
          <w:tcPr>
            <w:tcW w:w="1320" w:type="dxa"/>
            <w:vAlign w:val="bottom"/>
            <w:tcBorders>
              <w:bottom w:val="single" w:sz="8" w:color="0063A6"/>
            </w:tcBorders>
          </w:tcPr>
          <w:p>
            <w:pPr>
              <w:spacing w:after="0"/>
              <w:rPr>
                <w:sz w:val="17"/>
                <w:szCs w:val="17"/>
                <w:color w:val="auto"/>
              </w:rPr>
            </w:pPr>
          </w:p>
        </w:tc>
        <w:tc>
          <w:tcPr>
            <w:tcW w:w="1080" w:type="dxa"/>
            <w:vAlign w:val="bottom"/>
            <w:tcBorders>
              <w:bottom w:val="single" w:sz="8" w:color="0063A6"/>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Summary Compensation Table</w:t>
            </w: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640" w:type="dxa"/>
            <w:vAlign w:val="bottom"/>
            <w:shd w:val="clear" w:color="auto" w:fill="0063A6"/>
          </w:tcPr>
          <w:p>
            <w:pPr>
              <w:spacing w:after="0"/>
              <w:rPr>
                <w:sz w:val="18"/>
                <w:szCs w:val="18"/>
                <w:color w:val="auto"/>
              </w:rPr>
            </w:pPr>
          </w:p>
        </w:tc>
        <w:tc>
          <w:tcPr>
            <w:tcW w:w="860" w:type="dxa"/>
            <w:vAlign w:val="bottom"/>
            <w:shd w:val="clear" w:color="auto" w:fill="0063A6"/>
          </w:tcPr>
          <w:p>
            <w:pPr>
              <w:spacing w:after="0"/>
              <w:rPr>
                <w:sz w:val="18"/>
                <w:szCs w:val="18"/>
                <w:color w:val="auto"/>
              </w:rPr>
            </w:pPr>
          </w:p>
        </w:tc>
        <w:tc>
          <w:tcPr>
            <w:tcW w:w="880" w:type="dxa"/>
            <w:vAlign w:val="bottom"/>
            <w:shd w:val="clear" w:color="auto" w:fill="0063A6"/>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1420" w:type="dxa"/>
            <w:vAlign w:val="bottom"/>
            <w:shd w:val="clear" w:color="auto" w:fill="0063A6"/>
          </w:tcPr>
          <w:p>
            <w:pPr>
              <w:jc w:val="right"/>
              <w:ind w:right="249"/>
              <w:spacing w:after="0"/>
              <w:rPr>
                <w:sz w:val="20"/>
                <w:szCs w:val="20"/>
                <w:color w:val="auto"/>
              </w:rPr>
            </w:pPr>
            <w:r>
              <w:rPr>
                <w:rFonts w:ascii="Arial" w:cs="Arial" w:eastAsia="Arial" w:hAnsi="Arial"/>
                <w:sz w:val="14"/>
                <w:szCs w:val="14"/>
                <w:b w:val="1"/>
                <w:bCs w:val="1"/>
                <w:color w:val="FFFFFF"/>
              </w:rPr>
              <w:t>Non-Equity</w:t>
            </w:r>
          </w:p>
        </w:tc>
        <w:tc>
          <w:tcPr>
            <w:tcW w:w="1320" w:type="dxa"/>
            <w:vAlign w:val="bottom"/>
            <w:shd w:val="clear" w:color="auto" w:fill="0063A6"/>
          </w:tcPr>
          <w:p>
            <w:pPr>
              <w:spacing w:after="0"/>
              <w:rPr>
                <w:sz w:val="18"/>
                <w:szCs w:val="18"/>
                <w:color w:val="auto"/>
              </w:rPr>
            </w:pPr>
          </w:p>
        </w:tc>
        <w:tc>
          <w:tcPr>
            <w:tcW w:w="1080" w:type="dxa"/>
            <w:vAlign w:val="bottom"/>
            <w:shd w:val="clear" w:color="auto" w:fill="0063A6"/>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89"/>
              <w:spacing w:after="0"/>
              <w:rPr>
                <w:sz w:val="20"/>
                <w:szCs w:val="20"/>
                <w:color w:val="auto"/>
              </w:rPr>
            </w:pPr>
            <w:r>
              <w:rPr>
                <w:rFonts w:ascii="Arial" w:cs="Arial" w:eastAsia="Arial" w:hAnsi="Arial"/>
                <w:sz w:val="14"/>
                <w:szCs w:val="14"/>
                <w:b w:val="1"/>
                <w:bCs w:val="1"/>
                <w:color w:val="FFFFFF"/>
              </w:rPr>
              <w:t>Stock</w:t>
            </w:r>
          </w:p>
        </w:tc>
        <w:tc>
          <w:tcPr>
            <w:tcW w:w="1420" w:type="dxa"/>
            <w:vAlign w:val="bottom"/>
            <w:shd w:val="clear" w:color="auto" w:fill="0063A6"/>
          </w:tcPr>
          <w:p>
            <w:pPr>
              <w:jc w:val="right"/>
              <w:ind w:right="249"/>
              <w:spacing w:after="0"/>
              <w:rPr>
                <w:sz w:val="20"/>
                <w:szCs w:val="20"/>
                <w:color w:val="auto"/>
              </w:rPr>
            </w:pPr>
            <w:r>
              <w:rPr>
                <w:rFonts w:ascii="Arial" w:cs="Arial" w:eastAsia="Arial" w:hAnsi="Arial"/>
                <w:sz w:val="14"/>
                <w:szCs w:val="14"/>
                <w:b w:val="1"/>
                <w:bCs w:val="1"/>
                <w:color w:val="FFFFFF"/>
              </w:rPr>
              <w:t>Incentive Plan</w:t>
            </w:r>
          </w:p>
        </w:tc>
        <w:tc>
          <w:tcPr>
            <w:tcW w:w="1320" w:type="dxa"/>
            <w:vAlign w:val="bottom"/>
            <w:shd w:val="clear" w:color="auto" w:fill="0063A6"/>
          </w:tcPr>
          <w:p>
            <w:pPr>
              <w:ind w:left="480"/>
              <w:spacing w:after="0"/>
              <w:rPr>
                <w:sz w:val="20"/>
                <w:szCs w:val="20"/>
                <w:color w:val="auto"/>
              </w:rPr>
            </w:pPr>
            <w:r>
              <w:rPr>
                <w:rFonts w:ascii="Arial" w:cs="Arial" w:eastAsia="Arial" w:hAnsi="Arial"/>
                <w:sz w:val="14"/>
                <w:szCs w:val="14"/>
                <w:b w:val="1"/>
                <w:bCs w:val="1"/>
                <w:color w:val="FFFFFF"/>
              </w:rPr>
              <w:t>All Other</w:t>
            </w:r>
          </w:p>
        </w:tc>
        <w:tc>
          <w:tcPr>
            <w:tcW w:w="108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Name and Principal</w:t>
            </w:r>
          </w:p>
        </w:tc>
        <w:tc>
          <w:tcPr>
            <w:tcW w:w="64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Salary</w:t>
            </w:r>
          </w:p>
        </w:tc>
        <w:tc>
          <w:tcPr>
            <w:tcW w:w="880" w:type="dxa"/>
            <w:vAlign w:val="bottom"/>
            <w:shd w:val="clear" w:color="auto" w:fill="0063A6"/>
          </w:tcPr>
          <w:p>
            <w:pPr>
              <w:jc w:val="right"/>
              <w:ind w:right="11"/>
              <w:spacing w:after="0"/>
              <w:rPr>
                <w:sz w:val="20"/>
                <w:szCs w:val="20"/>
                <w:color w:val="auto"/>
              </w:rPr>
            </w:pPr>
            <w:r>
              <w:rPr>
                <w:rFonts w:ascii="Arial" w:cs="Arial" w:eastAsia="Arial" w:hAnsi="Arial"/>
                <w:sz w:val="14"/>
                <w:szCs w:val="14"/>
                <w:b w:val="1"/>
                <w:bCs w:val="1"/>
                <w:color w:val="FFFFFF"/>
              </w:rPr>
              <w:t>Bonus</w:t>
            </w:r>
          </w:p>
        </w:tc>
        <w:tc>
          <w:tcPr>
            <w:tcW w:w="920" w:type="dxa"/>
            <w:vAlign w:val="bottom"/>
            <w:shd w:val="clear" w:color="auto" w:fill="0063A6"/>
          </w:tcPr>
          <w:p>
            <w:pPr>
              <w:jc w:val="right"/>
              <w:ind w:right="49"/>
              <w:spacing w:after="0"/>
              <w:rPr>
                <w:sz w:val="20"/>
                <w:szCs w:val="20"/>
                <w:color w:val="auto"/>
              </w:rPr>
            </w:pPr>
            <w:r>
              <w:rPr>
                <w:rFonts w:ascii="Arial" w:cs="Arial" w:eastAsia="Arial" w:hAnsi="Arial"/>
                <w:sz w:val="14"/>
                <w:szCs w:val="14"/>
                <w:b w:val="1"/>
                <w:bCs w:val="1"/>
                <w:color w:val="FFFFFF"/>
              </w:rPr>
              <w:t>Awards</w:t>
            </w:r>
          </w:p>
        </w:tc>
        <w:tc>
          <w:tcPr>
            <w:tcW w:w="1420" w:type="dxa"/>
            <w:vAlign w:val="bottom"/>
            <w:shd w:val="clear" w:color="auto" w:fill="0063A6"/>
          </w:tcPr>
          <w:p>
            <w:pPr>
              <w:jc w:val="right"/>
              <w:ind w:right="209"/>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shd w:val="clear" w:color="auto" w:fill="0063A6"/>
          </w:tcPr>
          <w:p>
            <w:pPr>
              <w:jc w:val="right"/>
              <w:ind w:right="129"/>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Position</w:t>
            </w:r>
          </w:p>
        </w:tc>
        <w:tc>
          <w:tcPr>
            <w:tcW w:w="64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Year</w:t>
            </w:r>
          </w:p>
        </w:tc>
        <w:tc>
          <w:tcPr>
            <w:tcW w:w="860" w:type="dxa"/>
            <w:vAlign w:val="bottom"/>
            <w:tcBorders>
              <w:bottom w:val="single" w:sz="8" w:color="0063A6"/>
            </w:tcBorders>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63A6"/>
            </w:tcBorders>
            <w:shd w:val="clear" w:color="auto" w:fill="0063A6"/>
          </w:tcPr>
          <w:p>
            <w:pPr>
              <w:jc w:val="right"/>
              <w:ind w:right="11"/>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0063A6"/>
            </w:tcBorders>
            <w:shd w:val="clear" w:color="auto" w:fill="0063A6"/>
          </w:tcPr>
          <w:p>
            <w:pPr>
              <w:jc w:val="right"/>
              <w:ind w:right="49"/>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(1)(2)</w:t>
            </w:r>
          </w:p>
        </w:tc>
        <w:tc>
          <w:tcPr>
            <w:tcW w:w="1420" w:type="dxa"/>
            <w:vAlign w:val="bottom"/>
            <w:tcBorders>
              <w:bottom w:val="single" w:sz="8" w:color="0063A6"/>
            </w:tcBorders>
            <w:shd w:val="clear" w:color="auto" w:fill="0063A6"/>
          </w:tcPr>
          <w:p>
            <w:pPr>
              <w:jc w:val="right"/>
              <w:ind w:right="209"/>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(3)</w:t>
            </w:r>
          </w:p>
        </w:tc>
        <w:tc>
          <w:tcPr>
            <w:tcW w:w="1320" w:type="dxa"/>
            <w:vAlign w:val="bottom"/>
            <w:tcBorders>
              <w:bottom w:val="single" w:sz="8" w:color="0063A6"/>
            </w:tcBorders>
            <w:shd w:val="clear" w:color="auto" w:fill="0063A6"/>
          </w:tcPr>
          <w:p>
            <w:pPr>
              <w:jc w:val="right"/>
              <w:ind w:right="129"/>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0063A6"/>
            </w:tcBorders>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rPr>
                <w:sz w:val="20"/>
                <w:szCs w:val="20"/>
                <w:color w:val="auto"/>
              </w:rPr>
            </w:pPr>
            <w:r>
              <w:rPr>
                <w:rFonts w:ascii="Arial" w:cs="Arial" w:eastAsia="Arial" w:hAnsi="Arial"/>
                <w:sz w:val="14"/>
                <w:szCs w:val="14"/>
                <w:b w:val="1"/>
                <w:bCs w:val="1"/>
                <w:color w:val="0063A6"/>
              </w:rPr>
              <w:t>Thomas L. Deitrich</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880" w:type="dxa"/>
            <w:vAlign w:val="bottom"/>
          </w:tcPr>
          <w:p>
            <w:pPr>
              <w:jc w:val="right"/>
              <w:ind w:right="31"/>
              <w:spacing w:after="0" w:line="195" w:lineRule="exact"/>
              <w:rPr>
                <w:sz w:val="20"/>
                <w:szCs w:val="20"/>
                <w:color w:val="auto"/>
              </w:rPr>
            </w:pPr>
            <w:r>
              <w:rPr>
                <w:rFonts w:ascii="Arial" w:cs="Arial" w:eastAsia="Arial" w:hAnsi="Arial"/>
                <w:sz w:val="22"/>
                <w:szCs w:val="22"/>
                <w:color w:val="auto"/>
                <w:vertAlign w:val="subscript"/>
              </w:rPr>
              <w:t>100</w:t>
            </w:r>
            <w:r>
              <w:rPr>
                <w:rFonts w:ascii="Arial" w:cs="Arial" w:eastAsia="Arial" w:hAnsi="Arial"/>
                <w:sz w:val="10"/>
                <w:szCs w:val="10"/>
                <w:color w:val="auto"/>
              </w:rPr>
              <w:t>(4)</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8,900,720</w:t>
            </w:r>
          </w:p>
        </w:tc>
        <w:tc>
          <w:tcPr>
            <w:tcW w:w="1420" w:type="dxa"/>
            <w:vAlign w:val="bottom"/>
          </w:tcPr>
          <w:p>
            <w:pPr>
              <w:jc w:val="right"/>
              <w:ind w:right="209"/>
              <w:spacing w:after="0"/>
              <w:rPr>
                <w:sz w:val="20"/>
                <w:szCs w:val="20"/>
                <w:color w:val="auto"/>
              </w:rPr>
            </w:pPr>
            <w:r>
              <w:rPr>
                <w:rFonts w:ascii="Arial" w:cs="Arial" w:eastAsia="Arial" w:hAnsi="Arial"/>
                <w:sz w:val="14"/>
                <w:szCs w:val="14"/>
                <w:color w:val="auto"/>
              </w:rPr>
              <w:t>1,291,835</w:t>
            </w:r>
          </w:p>
        </w:tc>
        <w:tc>
          <w:tcPr>
            <w:tcW w:w="1320" w:type="dxa"/>
            <w:vAlign w:val="bottom"/>
          </w:tcPr>
          <w:p>
            <w:pPr>
              <w:ind w:left="520"/>
              <w:spacing w:after="0" w:line="195" w:lineRule="exact"/>
              <w:rPr>
                <w:sz w:val="20"/>
                <w:szCs w:val="20"/>
                <w:color w:val="auto"/>
              </w:rPr>
            </w:pPr>
            <w:r>
              <w:rPr>
                <w:rFonts w:ascii="Arial" w:cs="Arial" w:eastAsia="Arial" w:hAnsi="Arial"/>
                <w:sz w:val="14"/>
                <w:szCs w:val="14"/>
                <w:color w:val="auto"/>
              </w:rPr>
              <w:t>15,750</w:t>
            </w:r>
            <w:r>
              <w:rPr>
                <w:rFonts w:ascii="Arial" w:cs="Arial" w:eastAsia="Arial" w:hAnsi="Arial"/>
                <w:sz w:val="22"/>
                <w:szCs w:val="22"/>
                <w:color w:val="auto"/>
                <w:vertAlign w:val="superscript"/>
              </w:rPr>
              <w:t>(5)</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11,208,405</w:t>
            </w:r>
          </w:p>
        </w:tc>
        <w:tc>
          <w:tcPr>
            <w:tcW w:w="0" w:type="dxa"/>
            <w:vAlign w:val="bottom"/>
          </w:tcPr>
          <w:p>
            <w:pPr>
              <w:spacing w:after="0"/>
              <w:rPr>
                <w:sz w:val="1"/>
                <w:szCs w:val="1"/>
                <w:color w:val="auto"/>
              </w:rPr>
            </w:pPr>
          </w:p>
        </w:tc>
      </w:tr>
      <w:tr>
        <w:trPr>
          <w:trHeight w:val="68"/>
        </w:trPr>
        <w:tc>
          <w:tcPr>
            <w:tcW w:w="206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President and CEO</w:t>
            </w:r>
          </w:p>
        </w:tc>
        <w:tc>
          <w:tcPr>
            <w:tcW w:w="640" w:type="dxa"/>
            <w:vAlign w:val="bottom"/>
            <w:tcBorders>
              <w:bottom w:val="single" w:sz="8" w:color="5D6673"/>
            </w:tcBorders>
          </w:tcPr>
          <w:p>
            <w:pPr>
              <w:spacing w:after="0"/>
              <w:rPr>
                <w:sz w:val="5"/>
                <w:szCs w:val="5"/>
                <w:color w:val="auto"/>
              </w:rPr>
            </w:pPr>
          </w:p>
        </w:tc>
        <w:tc>
          <w:tcPr>
            <w:tcW w:w="860" w:type="dxa"/>
            <w:vAlign w:val="bottom"/>
            <w:tcBorders>
              <w:bottom w:val="single" w:sz="8" w:color="5D6673"/>
            </w:tcBorders>
          </w:tcPr>
          <w:p>
            <w:pPr>
              <w:spacing w:after="0"/>
              <w:rPr>
                <w:sz w:val="5"/>
                <w:szCs w:val="5"/>
                <w:color w:val="auto"/>
              </w:rPr>
            </w:pPr>
          </w:p>
        </w:tc>
        <w:tc>
          <w:tcPr>
            <w:tcW w:w="88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1420" w:type="dxa"/>
            <w:vAlign w:val="bottom"/>
            <w:tcBorders>
              <w:bottom w:val="single" w:sz="8" w:color="5D6673"/>
            </w:tcBorders>
          </w:tcPr>
          <w:p>
            <w:pPr>
              <w:spacing w:after="0"/>
              <w:rPr>
                <w:sz w:val="5"/>
                <w:szCs w:val="5"/>
                <w:color w:val="auto"/>
              </w:rPr>
            </w:pPr>
          </w:p>
        </w:tc>
        <w:tc>
          <w:tcPr>
            <w:tcW w:w="1320" w:type="dxa"/>
            <w:vAlign w:val="bottom"/>
            <w:tcBorders>
              <w:bottom w:val="single" w:sz="8" w:color="5D6673"/>
            </w:tcBorders>
          </w:tcPr>
          <w:p>
            <w:pPr>
              <w:spacing w:after="0"/>
              <w:rPr>
                <w:sz w:val="5"/>
                <w:szCs w:val="5"/>
                <w:color w:val="auto"/>
              </w:rPr>
            </w:pPr>
          </w:p>
        </w:tc>
        <w:tc>
          <w:tcPr>
            <w:tcW w:w="108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60" w:type="dxa"/>
            <w:vAlign w:val="bottom"/>
            <w:vMerge w:val="continue"/>
          </w:tcPr>
          <w:p>
            <w:pPr>
              <w:spacing w:after="0"/>
              <w:rPr>
                <w:sz w:val="9"/>
                <w:szCs w:val="9"/>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900,000</w:t>
            </w: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color w:val="auto"/>
              </w:rPr>
              <w:t>388,969</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6,535,375</w:t>
            </w:r>
          </w:p>
        </w:tc>
        <w:tc>
          <w:tcPr>
            <w:tcW w:w="1420" w:type="dxa"/>
            <w:vAlign w:val="bottom"/>
            <w:vMerge w:val="restart"/>
          </w:tcPr>
          <w:p>
            <w:pPr>
              <w:jc w:val="right"/>
              <w:ind w:right="209"/>
              <w:spacing w:after="0"/>
              <w:rPr>
                <w:sz w:val="20"/>
                <w:szCs w:val="20"/>
                <w:color w:val="auto"/>
              </w:rPr>
            </w:pPr>
            <w:r>
              <w:rPr>
                <w:rFonts w:ascii="Arial" w:cs="Arial" w:eastAsia="Arial" w:hAnsi="Arial"/>
                <w:sz w:val="14"/>
                <w:szCs w:val="14"/>
                <w:color w:val="auto"/>
              </w:rPr>
              <w:t>1,555,875</w:t>
            </w:r>
          </w:p>
        </w:tc>
        <w:tc>
          <w:tcPr>
            <w:tcW w:w="1320" w:type="dxa"/>
            <w:vAlign w:val="bottom"/>
            <w:vMerge w:val="restart"/>
          </w:tcPr>
          <w:p>
            <w:pPr>
              <w:ind w:left="520"/>
              <w:spacing w:after="0"/>
              <w:rPr>
                <w:sz w:val="20"/>
                <w:szCs w:val="20"/>
                <w:color w:val="auto"/>
              </w:rPr>
            </w:pPr>
            <w:r>
              <w:rPr>
                <w:rFonts w:ascii="Arial" w:cs="Arial" w:eastAsia="Arial" w:hAnsi="Arial"/>
                <w:sz w:val="14"/>
                <w:szCs w:val="14"/>
                <w:color w:val="auto"/>
              </w:rPr>
              <w:t>15,525</w:t>
            </w: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9,395,744</w:t>
            </w:r>
          </w:p>
        </w:tc>
        <w:tc>
          <w:tcPr>
            <w:tcW w:w="0" w:type="dxa"/>
            <w:vAlign w:val="bottom"/>
          </w:tcPr>
          <w:p>
            <w:pPr>
              <w:spacing w:after="0"/>
              <w:rPr>
                <w:sz w:val="1"/>
                <w:szCs w:val="1"/>
                <w:color w:val="auto"/>
              </w:rPr>
            </w:pPr>
          </w:p>
        </w:tc>
      </w:tr>
      <w:tr>
        <w:trPr>
          <w:trHeight w:val="106"/>
        </w:trPr>
        <w:tc>
          <w:tcPr>
            <w:tcW w:w="20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060" w:type="dxa"/>
            <w:vAlign w:val="bottom"/>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86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920" w:type="dxa"/>
            <w:vAlign w:val="bottom"/>
            <w:tcBorders>
              <w:bottom w:val="single" w:sz="8" w:color="5D6673"/>
            </w:tcBorders>
          </w:tcPr>
          <w:p>
            <w:pPr>
              <w:spacing w:after="0"/>
              <w:rPr>
                <w:sz w:val="3"/>
                <w:szCs w:val="3"/>
                <w:color w:val="auto"/>
              </w:rPr>
            </w:pPr>
          </w:p>
        </w:tc>
        <w:tc>
          <w:tcPr>
            <w:tcW w:w="1420" w:type="dxa"/>
            <w:vAlign w:val="bottom"/>
            <w:tcBorders>
              <w:bottom w:val="single" w:sz="8" w:color="5D6673"/>
            </w:tcBorders>
          </w:tcPr>
          <w:p>
            <w:pPr>
              <w:spacing w:after="0"/>
              <w:rPr>
                <w:sz w:val="3"/>
                <w:szCs w:val="3"/>
                <w:color w:val="auto"/>
              </w:rPr>
            </w:pPr>
          </w:p>
        </w:tc>
        <w:tc>
          <w:tcPr>
            <w:tcW w:w="1320" w:type="dxa"/>
            <w:vAlign w:val="bottom"/>
            <w:tcBorders>
              <w:bottom w:val="single" w:sz="8" w:color="5D6673"/>
            </w:tcBorders>
          </w:tcPr>
          <w:p>
            <w:pPr>
              <w:spacing w:after="0"/>
              <w:rPr>
                <w:sz w:val="3"/>
                <w:szCs w:val="3"/>
                <w:color w:val="auto"/>
              </w:rPr>
            </w:pPr>
          </w:p>
        </w:tc>
        <w:tc>
          <w:tcPr>
            <w:tcW w:w="10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875,000</w:t>
            </w:r>
          </w:p>
        </w:tc>
        <w:tc>
          <w:tcPr>
            <w:tcW w:w="8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3,746,266</w:t>
            </w:r>
          </w:p>
        </w:tc>
        <w:tc>
          <w:tcPr>
            <w:tcW w:w="1420" w:type="dxa"/>
            <w:vAlign w:val="bottom"/>
          </w:tcPr>
          <w:p>
            <w:pPr>
              <w:jc w:val="right"/>
              <w:ind w:right="209"/>
              <w:spacing w:after="0"/>
              <w:rPr>
                <w:sz w:val="20"/>
                <w:szCs w:val="20"/>
                <w:color w:val="auto"/>
              </w:rPr>
            </w:pPr>
            <w:r>
              <w:rPr>
                <w:rFonts w:ascii="Arial" w:cs="Arial" w:eastAsia="Arial" w:hAnsi="Arial"/>
                <w:sz w:val="14"/>
                <w:szCs w:val="14"/>
                <w:color w:val="auto"/>
              </w:rPr>
              <w:t>1,531,250</w:t>
            </w:r>
          </w:p>
        </w:tc>
        <w:tc>
          <w:tcPr>
            <w:tcW w:w="1320" w:type="dxa"/>
            <w:vAlign w:val="bottom"/>
          </w:tcPr>
          <w:p>
            <w:pPr>
              <w:ind w:left="520"/>
              <w:spacing w:after="0"/>
              <w:rPr>
                <w:sz w:val="20"/>
                <w:szCs w:val="20"/>
                <w:color w:val="auto"/>
              </w:rPr>
            </w:pPr>
            <w:r>
              <w:rPr>
                <w:rFonts w:ascii="Arial" w:cs="Arial" w:eastAsia="Arial" w:hAnsi="Arial"/>
                <w:sz w:val="14"/>
                <w:szCs w:val="14"/>
                <w:color w:val="auto"/>
              </w:rPr>
              <w:t>14,850</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6,167,366</w:t>
            </w:r>
          </w:p>
        </w:tc>
        <w:tc>
          <w:tcPr>
            <w:tcW w:w="0" w:type="dxa"/>
            <w:vAlign w:val="bottom"/>
          </w:tcPr>
          <w:p>
            <w:pPr>
              <w:spacing w:after="0"/>
              <w:rPr>
                <w:sz w:val="1"/>
                <w:szCs w:val="1"/>
                <w:color w:val="auto"/>
              </w:rPr>
            </w:pPr>
          </w:p>
        </w:tc>
      </w:tr>
      <w:tr>
        <w:trPr>
          <w:trHeight w:val="22"/>
        </w:trPr>
        <w:tc>
          <w:tcPr>
            <w:tcW w:w="2060" w:type="dxa"/>
            <w:vAlign w:val="bottom"/>
            <w:tcBorders>
              <w:bottom w:val="single" w:sz="8" w:color="5D6673"/>
            </w:tcBorders>
          </w:tcPr>
          <w:p>
            <w:pPr>
              <w:spacing w:after="0" w:line="20" w:lineRule="exact"/>
              <w:rPr>
                <w:sz w:val="1"/>
                <w:szCs w:val="1"/>
                <w:color w:val="auto"/>
              </w:rPr>
            </w:pPr>
          </w:p>
        </w:tc>
        <w:tc>
          <w:tcPr>
            <w:tcW w:w="640" w:type="dxa"/>
            <w:vAlign w:val="bottom"/>
            <w:tcBorders>
              <w:bottom w:val="single" w:sz="8" w:color="5D6673"/>
            </w:tcBorders>
          </w:tcPr>
          <w:p>
            <w:pPr>
              <w:spacing w:after="0" w:line="20" w:lineRule="exact"/>
              <w:rPr>
                <w:sz w:val="1"/>
                <w:szCs w:val="1"/>
                <w:color w:val="auto"/>
              </w:rPr>
            </w:pPr>
          </w:p>
        </w:tc>
        <w:tc>
          <w:tcPr>
            <w:tcW w:w="86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c>
          <w:tcPr>
            <w:tcW w:w="142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0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rPr>
                <w:sz w:val="20"/>
                <w:szCs w:val="20"/>
                <w:color w:val="auto"/>
              </w:rPr>
            </w:pPr>
            <w:r>
              <w:rPr>
                <w:rFonts w:ascii="Arial" w:cs="Arial" w:eastAsia="Arial" w:hAnsi="Arial"/>
                <w:sz w:val="14"/>
                <w:szCs w:val="14"/>
                <w:b w:val="1"/>
                <w:bCs w:val="1"/>
                <w:color w:val="0063A6"/>
              </w:rPr>
              <w:t>Joan S. Hooper</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572,000</w:t>
            </w:r>
          </w:p>
        </w:tc>
        <w:tc>
          <w:tcPr>
            <w:tcW w:w="8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2,557,564</w:t>
            </w:r>
          </w:p>
        </w:tc>
        <w:tc>
          <w:tcPr>
            <w:tcW w:w="1420" w:type="dxa"/>
            <w:vAlign w:val="bottom"/>
          </w:tcPr>
          <w:p>
            <w:pPr>
              <w:jc w:val="right"/>
              <w:ind w:right="229"/>
              <w:spacing w:after="0"/>
              <w:rPr>
                <w:sz w:val="20"/>
                <w:szCs w:val="20"/>
                <w:color w:val="auto"/>
              </w:rPr>
            </w:pPr>
            <w:r>
              <w:rPr>
                <w:rFonts w:ascii="Arial" w:cs="Arial" w:eastAsia="Arial" w:hAnsi="Arial"/>
                <w:sz w:val="14"/>
                <w:szCs w:val="14"/>
                <w:color w:val="auto"/>
              </w:rPr>
              <w:t>450,098</w:t>
            </w:r>
          </w:p>
        </w:tc>
        <w:tc>
          <w:tcPr>
            <w:tcW w:w="1320" w:type="dxa"/>
            <w:vAlign w:val="bottom"/>
          </w:tcPr>
          <w:p>
            <w:pPr>
              <w:ind w:left="520"/>
              <w:spacing w:after="0" w:line="195" w:lineRule="exact"/>
              <w:rPr>
                <w:sz w:val="20"/>
                <w:szCs w:val="20"/>
                <w:color w:val="auto"/>
              </w:rPr>
            </w:pPr>
            <w:r>
              <w:rPr>
                <w:rFonts w:ascii="Arial" w:cs="Arial" w:eastAsia="Arial" w:hAnsi="Arial"/>
                <w:sz w:val="14"/>
                <w:szCs w:val="14"/>
                <w:color w:val="auto"/>
              </w:rPr>
              <w:t>52,218</w:t>
            </w:r>
            <w:r>
              <w:rPr>
                <w:rFonts w:ascii="Arial" w:cs="Arial" w:eastAsia="Arial" w:hAnsi="Arial"/>
                <w:sz w:val="22"/>
                <w:szCs w:val="22"/>
                <w:color w:val="auto"/>
                <w:vertAlign w:val="superscript"/>
              </w:rPr>
              <w:t>(5)</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3,631,880</w:t>
            </w:r>
          </w:p>
        </w:tc>
        <w:tc>
          <w:tcPr>
            <w:tcW w:w="0" w:type="dxa"/>
            <w:vAlign w:val="bottom"/>
          </w:tcPr>
          <w:p>
            <w:pPr>
              <w:spacing w:after="0"/>
              <w:rPr>
                <w:sz w:val="1"/>
                <w:szCs w:val="1"/>
                <w:color w:val="auto"/>
              </w:rPr>
            </w:pPr>
          </w:p>
        </w:tc>
      </w:tr>
      <w:tr>
        <w:trPr>
          <w:trHeight w:val="68"/>
        </w:trPr>
        <w:tc>
          <w:tcPr>
            <w:tcW w:w="206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40" w:type="dxa"/>
            <w:vAlign w:val="bottom"/>
            <w:tcBorders>
              <w:bottom w:val="single" w:sz="8" w:color="5D6673"/>
            </w:tcBorders>
          </w:tcPr>
          <w:p>
            <w:pPr>
              <w:spacing w:after="0"/>
              <w:rPr>
                <w:sz w:val="5"/>
                <w:szCs w:val="5"/>
                <w:color w:val="auto"/>
              </w:rPr>
            </w:pPr>
          </w:p>
        </w:tc>
        <w:tc>
          <w:tcPr>
            <w:tcW w:w="860" w:type="dxa"/>
            <w:vAlign w:val="bottom"/>
            <w:tcBorders>
              <w:bottom w:val="single" w:sz="8" w:color="5D6673"/>
            </w:tcBorders>
          </w:tcPr>
          <w:p>
            <w:pPr>
              <w:spacing w:after="0"/>
              <w:rPr>
                <w:sz w:val="5"/>
                <w:szCs w:val="5"/>
                <w:color w:val="auto"/>
              </w:rPr>
            </w:pPr>
          </w:p>
        </w:tc>
        <w:tc>
          <w:tcPr>
            <w:tcW w:w="88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1420" w:type="dxa"/>
            <w:vAlign w:val="bottom"/>
            <w:tcBorders>
              <w:bottom w:val="single" w:sz="8" w:color="5D6673"/>
            </w:tcBorders>
          </w:tcPr>
          <w:p>
            <w:pPr>
              <w:spacing w:after="0"/>
              <w:rPr>
                <w:sz w:val="5"/>
                <w:szCs w:val="5"/>
                <w:color w:val="auto"/>
              </w:rPr>
            </w:pPr>
          </w:p>
        </w:tc>
        <w:tc>
          <w:tcPr>
            <w:tcW w:w="1320" w:type="dxa"/>
            <w:vAlign w:val="bottom"/>
            <w:tcBorders>
              <w:bottom w:val="single" w:sz="8" w:color="5D6673"/>
            </w:tcBorders>
          </w:tcPr>
          <w:p>
            <w:pPr>
              <w:spacing w:after="0"/>
              <w:rPr>
                <w:sz w:val="5"/>
                <w:szCs w:val="5"/>
                <w:color w:val="auto"/>
              </w:rPr>
            </w:pPr>
          </w:p>
        </w:tc>
        <w:tc>
          <w:tcPr>
            <w:tcW w:w="108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60" w:type="dxa"/>
            <w:vAlign w:val="bottom"/>
            <w:vMerge w:val="continue"/>
          </w:tcPr>
          <w:p>
            <w:pPr>
              <w:spacing w:after="0"/>
              <w:rPr>
                <w:sz w:val="5"/>
                <w:szCs w:val="5"/>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550,000</w:t>
            </w: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2,133,339</w:t>
            </w:r>
          </w:p>
        </w:tc>
        <w:tc>
          <w:tcPr>
            <w:tcW w:w="1420" w:type="dxa"/>
            <w:vAlign w:val="bottom"/>
            <w:vMerge w:val="restart"/>
          </w:tcPr>
          <w:p>
            <w:pPr>
              <w:jc w:val="right"/>
              <w:ind w:right="229"/>
              <w:spacing w:after="0"/>
              <w:rPr>
                <w:sz w:val="20"/>
                <w:szCs w:val="20"/>
                <w:color w:val="auto"/>
              </w:rPr>
            </w:pPr>
            <w:r>
              <w:rPr>
                <w:rFonts w:ascii="Arial" w:cs="Arial" w:eastAsia="Arial" w:hAnsi="Arial"/>
                <w:sz w:val="14"/>
                <w:szCs w:val="14"/>
                <w:color w:val="auto"/>
              </w:rPr>
              <w:t>570,488</w:t>
            </w:r>
          </w:p>
        </w:tc>
        <w:tc>
          <w:tcPr>
            <w:tcW w:w="1320" w:type="dxa"/>
            <w:vAlign w:val="bottom"/>
            <w:vMerge w:val="restart"/>
          </w:tcPr>
          <w:p>
            <w:pPr>
              <w:ind w:left="520"/>
              <w:spacing w:after="0"/>
              <w:rPr>
                <w:sz w:val="20"/>
                <w:szCs w:val="20"/>
                <w:color w:val="auto"/>
              </w:rPr>
            </w:pPr>
            <w:r>
              <w:rPr>
                <w:rFonts w:ascii="Arial" w:cs="Arial" w:eastAsia="Arial" w:hAnsi="Arial"/>
                <w:sz w:val="14"/>
                <w:szCs w:val="14"/>
                <w:color w:val="auto"/>
              </w:rPr>
              <w:t>49,660</w:t>
            </w: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3,303,487</w:t>
            </w:r>
          </w:p>
        </w:tc>
        <w:tc>
          <w:tcPr>
            <w:tcW w:w="0" w:type="dxa"/>
            <w:vAlign w:val="bottom"/>
          </w:tcPr>
          <w:p>
            <w:pPr>
              <w:spacing w:after="0"/>
              <w:rPr>
                <w:sz w:val="1"/>
                <w:szCs w:val="1"/>
                <w:color w:val="auto"/>
              </w:rPr>
            </w:pPr>
          </w:p>
        </w:tc>
      </w:tr>
      <w:tr>
        <w:trPr>
          <w:trHeight w:val="190"/>
        </w:trPr>
        <w:tc>
          <w:tcPr>
            <w:tcW w:w="2060" w:type="dxa"/>
            <w:vAlign w:val="bottom"/>
          </w:tcPr>
          <w:p>
            <w:pPr>
              <w:ind w:left="240"/>
              <w:spacing w:after="0"/>
              <w:rPr>
                <w:sz w:val="20"/>
                <w:szCs w:val="20"/>
                <w:color w:val="auto"/>
              </w:rPr>
            </w:pPr>
            <w:r>
              <w:rPr>
                <w:rFonts w:ascii="Arial" w:cs="Arial" w:eastAsia="Arial" w:hAnsi="Arial"/>
                <w:sz w:val="14"/>
                <w:szCs w:val="14"/>
                <w:b w:val="1"/>
                <w:bCs w:val="1"/>
                <w:color w:val="0063A6"/>
              </w:rPr>
              <w:t>and CFO</w:t>
            </w:r>
          </w:p>
        </w:tc>
        <w:tc>
          <w:tcPr>
            <w:tcW w:w="640" w:type="dxa"/>
            <w:vAlign w:val="bottom"/>
            <w:tcBorders>
              <w:bottom w:val="single" w:sz="8" w:color="5D6673"/>
            </w:tcBorders>
            <w:vMerge w:val="continue"/>
          </w:tcPr>
          <w:p>
            <w:pPr>
              <w:spacing w:after="0"/>
              <w:rPr>
                <w:sz w:val="16"/>
                <w:szCs w:val="16"/>
                <w:color w:val="auto"/>
              </w:rPr>
            </w:pPr>
          </w:p>
        </w:tc>
        <w:tc>
          <w:tcPr>
            <w:tcW w:w="860" w:type="dxa"/>
            <w:vAlign w:val="bottom"/>
            <w:tcBorders>
              <w:bottom w:val="single" w:sz="8" w:color="5D6673"/>
            </w:tcBorders>
            <w:vMerge w:val="continue"/>
          </w:tcPr>
          <w:p>
            <w:pPr>
              <w:spacing w:after="0"/>
              <w:rPr>
                <w:sz w:val="16"/>
                <w:szCs w:val="16"/>
                <w:color w:val="auto"/>
              </w:rPr>
            </w:pPr>
          </w:p>
        </w:tc>
        <w:tc>
          <w:tcPr>
            <w:tcW w:w="880" w:type="dxa"/>
            <w:vAlign w:val="bottom"/>
            <w:tcBorders>
              <w:bottom w:val="single" w:sz="8" w:color="5D6673"/>
            </w:tcBorders>
            <w:vMerge w:val="continue"/>
          </w:tcPr>
          <w:p>
            <w:pPr>
              <w:spacing w:after="0"/>
              <w:rPr>
                <w:sz w:val="16"/>
                <w:szCs w:val="16"/>
                <w:color w:val="auto"/>
              </w:rPr>
            </w:pPr>
          </w:p>
        </w:tc>
        <w:tc>
          <w:tcPr>
            <w:tcW w:w="920" w:type="dxa"/>
            <w:vAlign w:val="bottom"/>
            <w:tcBorders>
              <w:bottom w:val="single" w:sz="8" w:color="5D6673"/>
            </w:tcBorders>
            <w:vMerge w:val="continue"/>
          </w:tcPr>
          <w:p>
            <w:pPr>
              <w:spacing w:after="0"/>
              <w:rPr>
                <w:sz w:val="16"/>
                <w:szCs w:val="16"/>
                <w:color w:val="auto"/>
              </w:rPr>
            </w:pPr>
          </w:p>
        </w:tc>
        <w:tc>
          <w:tcPr>
            <w:tcW w:w="1420" w:type="dxa"/>
            <w:vAlign w:val="bottom"/>
            <w:tcBorders>
              <w:bottom w:val="single" w:sz="8" w:color="5D6673"/>
            </w:tcBorders>
            <w:vMerge w:val="continue"/>
          </w:tcPr>
          <w:p>
            <w:pPr>
              <w:spacing w:after="0"/>
              <w:rPr>
                <w:sz w:val="16"/>
                <w:szCs w:val="16"/>
                <w:color w:val="auto"/>
              </w:rPr>
            </w:pPr>
          </w:p>
        </w:tc>
        <w:tc>
          <w:tcPr>
            <w:tcW w:w="1320" w:type="dxa"/>
            <w:vAlign w:val="bottom"/>
            <w:tcBorders>
              <w:bottom w:val="single" w:sz="8" w:color="5D6673"/>
            </w:tcBorders>
            <w:vMerge w:val="continue"/>
          </w:tcPr>
          <w:p>
            <w:pPr>
              <w:spacing w:after="0"/>
              <w:rPr>
                <w:sz w:val="16"/>
                <w:szCs w:val="16"/>
                <w:color w:val="auto"/>
              </w:rPr>
            </w:pPr>
          </w:p>
        </w:tc>
        <w:tc>
          <w:tcPr>
            <w:tcW w:w="1080" w:type="dxa"/>
            <w:vAlign w:val="bottom"/>
            <w:tcBorders>
              <w:bottom w:val="single" w:sz="8" w:color="5D667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540,000</w:t>
            </w:r>
          </w:p>
        </w:tc>
        <w:tc>
          <w:tcPr>
            <w:tcW w:w="8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1,449,557</w:t>
            </w:r>
          </w:p>
        </w:tc>
        <w:tc>
          <w:tcPr>
            <w:tcW w:w="1420" w:type="dxa"/>
            <w:vAlign w:val="bottom"/>
          </w:tcPr>
          <w:p>
            <w:pPr>
              <w:jc w:val="right"/>
              <w:ind w:right="229"/>
              <w:spacing w:after="0"/>
              <w:rPr>
                <w:sz w:val="20"/>
                <w:szCs w:val="20"/>
                <w:color w:val="auto"/>
              </w:rPr>
            </w:pPr>
            <w:r>
              <w:rPr>
                <w:rFonts w:ascii="Arial" w:cs="Arial" w:eastAsia="Arial" w:hAnsi="Arial"/>
                <w:sz w:val="14"/>
                <w:szCs w:val="14"/>
                <w:color w:val="auto"/>
              </w:rPr>
              <w:t>567,000</w:t>
            </w:r>
          </w:p>
        </w:tc>
        <w:tc>
          <w:tcPr>
            <w:tcW w:w="1320" w:type="dxa"/>
            <w:vAlign w:val="bottom"/>
          </w:tcPr>
          <w:p>
            <w:pPr>
              <w:ind w:left="520"/>
              <w:spacing w:after="0"/>
              <w:rPr>
                <w:sz w:val="20"/>
                <w:szCs w:val="20"/>
                <w:color w:val="auto"/>
              </w:rPr>
            </w:pPr>
            <w:r>
              <w:rPr>
                <w:rFonts w:ascii="Arial" w:cs="Arial" w:eastAsia="Arial" w:hAnsi="Arial"/>
                <w:sz w:val="14"/>
                <w:szCs w:val="14"/>
                <w:color w:val="auto"/>
              </w:rPr>
              <w:t>23,153</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2,579,711</w:t>
            </w:r>
          </w:p>
        </w:tc>
        <w:tc>
          <w:tcPr>
            <w:tcW w:w="0" w:type="dxa"/>
            <w:vAlign w:val="bottom"/>
          </w:tcPr>
          <w:p>
            <w:pPr>
              <w:spacing w:after="0"/>
              <w:rPr>
                <w:sz w:val="1"/>
                <w:szCs w:val="1"/>
                <w:color w:val="auto"/>
              </w:rPr>
            </w:pPr>
          </w:p>
        </w:tc>
      </w:tr>
      <w:tr>
        <w:trPr>
          <w:trHeight w:val="22"/>
        </w:trPr>
        <w:tc>
          <w:tcPr>
            <w:tcW w:w="2060" w:type="dxa"/>
            <w:vAlign w:val="bottom"/>
            <w:tcBorders>
              <w:bottom w:val="single" w:sz="8" w:color="5D6673"/>
            </w:tcBorders>
          </w:tcPr>
          <w:p>
            <w:pPr>
              <w:spacing w:after="0" w:line="20" w:lineRule="exact"/>
              <w:rPr>
                <w:sz w:val="1"/>
                <w:szCs w:val="1"/>
                <w:color w:val="auto"/>
              </w:rPr>
            </w:pPr>
          </w:p>
        </w:tc>
        <w:tc>
          <w:tcPr>
            <w:tcW w:w="640" w:type="dxa"/>
            <w:vAlign w:val="bottom"/>
            <w:tcBorders>
              <w:bottom w:val="single" w:sz="8" w:color="5D6673"/>
            </w:tcBorders>
          </w:tcPr>
          <w:p>
            <w:pPr>
              <w:spacing w:after="0" w:line="20" w:lineRule="exact"/>
              <w:rPr>
                <w:sz w:val="1"/>
                <w:szCs w:val="1"/>
                <w:color w:val="auto"/>
              </w:rPr>
            </w:pPr>
          </w:p>
        </w:tc>
        <w:tc>
          <w:tcPr>
            <w:tcW w:w="86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c>
          <w:tcPr>
            <w:tcW w:w="142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0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rPr>
                <w:sz w:val="20"/>
                <w:szCs w:val="20"/>
                <w:color w:val="auto"/>
              </w:rPr>
            </w:pPr>
            <w:r>
              <w:rPr>
                <w:rFonts w:ascii="Arial" w:cs="Arial" w:eastAsia="Arial" w:hAnsi="Arial"/>
                <w:sz w:val="14"/>
                <w:szCs w:val="14"/>
                <w:b w:val="1"/>
                <w:bCs w:val="1"/>
                <w:color w:val="0063A6"/>
              </w:rPr>
              <w:t>Donald L. Reeves</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489,000</w:t>
            </w:r>
          </w:p>
        </w:tc>
        <w:tc>
          <w:tcPr>
            <w:tcW w:w="880" w:type="dxa"/>
            <w:vAlign w:val="bottom"/>
          </w:tcPr>
          <w:p>
            <w:pPr>
              <w:jc w:val="right"/>
              <w:ind w:right="31"/>
              <w:spacing w:after="0" w:line="195" w:lineRule="exact"/>
              <w:rPr>
                <w:sz w:val="20"/>
                <w:szCs w:val="20"/>
                <w:color w:val="auto"/>
              </w:rPr>
            </w:pPr>
            <w:r>
              <w:rPr>
                <w:rFonts w:ascii="Arial" w:cs="Arial" w:eastAsia="Arial" w:hAnsi="Arial"/>
                <w:sz w:val="14"/>
                <w:szCs w:val="14"/>
                <w:color w:val="auto"/>
              </w:rPr>
              <w:t>800</w:t>
            </w:r>
            <w:r>
              <w:rPr>
                <w:rFonts w:ascii="Arial" w:cs="Arial" w:eastAsia="Arial" w:hAnsi="Arial"/>
                <w:sz w:val="22"/>
                <w:szCs w:val="22"/>
                <w:color w:val="auto"/>
                <w:vertAlign w:val="superscript"/>
              </w:rPr>
              <w:t>(4)</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1,410,694</w:t>
            </w:r>
          </w:p>
        </w:tc>
        <w:tc>
          <w:tcPr>
            <w:tcW w:w="1420" w:type="dxa"/>
            <w:vAlign w:val="bottom"/>
          </w:tcPr>
          <w:p>
            <w:pPr>
              <w:jc w:val="right"/>
              <w:ind w:right="229"/>
              <w:spacing w:after="0"/>
              <w:rPr>
                <w:sz w:val="20"/>
                <w:szCs w:val="20"/>
                <w:color w:val="auto"/>
              </w:rPr>
            </w:pPr>
            <w:r>
              <w:rPr>
                <w:rFonts w:ascii="Arial" w:cs="Arial" w:eastAsia="Arial" w:hAnsi="Arial"/>
                <w:sz w:val="14"/>
                <w:szCs w:val="14"/>
                <w:color w:val="auto"/>
              </w:rPr>
              <w:t>384,750</w:t>
            </w:r>
          </w:p>
        </w:tc>
        <w:tc>
          <w:tcPr>
            <w:tcW w:w="1320" w:type="dxa"/>
            <w:vAlign w:val="bottom"/>
          </w:tcPr>
          <w:p>
            <w:pPr>
              <w:ind w:left="520"/>
              <w:spacing w:after="0" w:line="195" w:lineRule="exact"/>
              <w:rPr>
                <w:sz w:val="20"/>
                <w:szCs w:val="20"/>
                <w:color w:val="auto"/>
              </w:rPr>
            </w:pPr>
            <w:r>
              <w:rPr>
                <w:rFonts w:ascii="Arial" w:cs="Arial" w:eastAsia="Arial" w:hAnsi="Arial"/>
                <w:sz w:val="14"/>
                <w:szCs w:val="14"/>
                <w:color w:val="auto"/>
              </w:rPr>
              <w:t>15,750</w:t>
            </w:r>
            <w:r>
              <w:rPr>
                <w:rFonts w:ascii="Arial" w:cs="Arial" w:eastAsia="Arial" w:hAnsi="Arial"/>
                <w:sz w:val="22"/>
                <w:szCs w:val="22"/>
                <w:color w:val="auto"/>
                <w:vertAlign w:val="superscript"/>
              </w:rPr>
              <w:t>(5)</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2,300,994</w:t>
            </w:r>
          </w:p>
        </w:tc>
        <w:tc>
          <w:tcPr>
            <w:tcW w:w="0" w:type="dxa"/>
            <w:vAlign w:val="bottom"/>
          </w:tcPr>
          <w:p>
            <w:pPr>
              <w:spacing w:after="0"/>
              <w:rPr>
                <w:sz w:val="1"/>
                <w:szCs w:val="1"/>
                <w:color w:val="auto"/>
              </w:rPr>
            </w:pPr>
          </w:p>
        </w:tc>
      </w:tr>
      <w:tr>
        <w:trPr>
          <w:trHeight w:val="68"/>
        </w:trPr>
        <w:tc>
          <w:tcPr>
            <w:tcW w:w="206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40" w:type="dxa"/>
            <w:vAlign w:val="bottom"/>
            <w:tcBorders>
              <w:bottom w:val="single" w:sz="8" w:color="5D6673"/>
            </w:tcBorders>
          </w:tcPr>
          <w:p>
            <w:pPr>
              <w:spacing w:after="0"/>
              <w:rPr>
                <w:sz w:val="5"/>
                <w:szCs w:val="5"/>
                <w:color w:val="auto"/>
              </w:rPr>
            </w:pPr>
          </w:p>
        </w:tc>
        <w:tc>
          <w:tcPr>
            <w:tcW w:w="860" w:type="dxa"/>
            <w:vAlign w:val="bottom"/>
            <w:tcBorders>
              <w:bottom w:val="single" w:sz="8" w:color="5D6673"/>
            </w:tcBorders>
          </w:tcPr>
          <w:p>
            <w:pPr>
              <w:spacing w:after="0"/>
              <w:rPr>
                <w:sz w:val="5"/>
                <w:szCs w:val="5"/>
                <w:color w:val="auto"/>
              </w:rPr>
            </w:pPr>
          </w:p>
        </w:tc>
        <w:tc>
          <w:tcPr>
            <w:tcW w:w="88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1420" w:type="dxa"/>
            <w:vAlign w:val="bottom"/>
            <w:tcBorders>
              <w:bottom w:val="single" w:sz="8" w:color="5D6673"/>
            </w:tcBorders>
          </w:tcPr>
          <w:p>
            <w:pPr>
              <w:spacing w:after="0"/>
              <w:rPr>
                <w:sz w:val="5"/>
                <w:szCs w:val="5"/>
                <w:color w:val="auto"/>
              </w:rPr>
            </w:pPr>
          </w:p>
        </w:tc>
        <w:tc>
          <w:tcPr>
            <w:tcW w:w="1320" w:type="dxa"/>
            <w:vAlign w:val="bottom"/>
            <w:tcBorders>
              <w:bottom w:val="single" w:sz="8" w:color="5D6673"/>
            </w:tcBorders>
          </w:tcPr>
          <w:p>
            <w:pPr>
              <w:spacing w:after="0"/>
              <w:rPr>
                <w:sz w:val="5"/>
                <w:szCs w:val="5"/>
                <w:color w:val="auto"/>
              </w:rPr>
            </w:pPr>
          </w:p>
        </w:tc>
        <w:tc>
          <w:tcPr>
            <w:tcW w:w="108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60" w:type="dxa"/>
            <w:vAlign w:val="bottom"/>
            <w:vMerge w:val="continue"/>
          </w:tcPr>
          <w:p>
            <w:pPr>
              <w:spacing w:after="0"/>
              <w:rPr>
                <w:sz w:val="5"/>
                <w:szCs w:val="5"/>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470,000</w:t>
            </w:r>
          </w:p>
        </w:tc>
        <w:tc>
          <w:tcPr>
            <w:tcW w:w="880" w:type="dxa"/>
            <w:vAlign w:val="bottom"/>
          </w:tcPr>
          <w:p>
            <w:pPr>
              <w:spacing w:after="0"/>
              <w:rPr>
                <w:sz w:val="5"/>
                <w:szCs w:val="5"/>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1,034,987</w:t>
            </w:r>
          </w:p>
        </w:tc>
        <w:tc>
          <w:tcPr>
            <w:tcW w:w="1420" w:type="dxa"/>
            <w:vAlign w:val="bottom"/>
            <w:vMerge w:val="restart"/>
          </w:tcPr>
          <w:p>
            <w:pPr>
              <w:jc w:val="right"/>
              <w:ind w:right="229"/>
              <w:spacing w:after="0"/>
              <w:rPr>
                <w:sz w:val="20"/>
                <w:szCs w:val="20"/>
                <w:color w:val="auto"/>
              </w:rPr>
            </w:pPr>
            <w:r>
              <w:rPr>
                <w:rFonts w:ascii="Arial" w:cs="Arial" w:eastAsia="Arial" w:hAnsi="Arial"/>
                <w:sz w:val="14"/>
                <w:szCs w:val="14"/>
                <w:color w:val="auto"/>
              </w:rPr>
              <w:t>487,508</w:t>
            </w:r>
          </w:p>
        </w:tc>
        <w:tc>
          <w:tcPr>
            <w:tcW w:w="1320" w:type="dxa"/>
            <w:vAlign w:val="bottom"/>
            <w:vMerge w:val="restart"/>
          </w:tcPr>
          <w:p>
            <w:pPr>
              <w:ind w:left="520"/>
              <w:spacing w:after="0"/>
              <w:rPr>
                <w:sz w:val="20"/>
                <w:szCs w:val="20"/>
                <w:color w:val="auto"/>
              </w:rPr>
            </w:pPr>
            <w:r>
              <w:rPr>
                <w:rFonts w:ascii="Arial" w:cs="Arial" w:eastAsia="Arial" w:hAnsi="Arial"/>
                <w:sz w:val="14"/>
                <w:szCs w:val="14"/>
                <w:color w:val="auto"/>
              </w:rPr>
              <w:t>17,427</w:t>
            </w: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2,009,922</w:t>
            </w:r>
          </w:p>
        </w:tc>
        <w:tc>
          <w:tcPr>
            <w:tcW w:w="0" w:type="dxa"/>
            <w:vAlign w:val="bottom"/>
          </w:tcPr>
          <w:p>
            <w:pPr>
              <w:spacing w:after="0"/>
              <w:rPr>
                <w:sz w:val="1"/>
                <w:szCs w:val="1"/>
                <w:color w:val="auto"/>
              </w:rPr>
            </w:pPr>
          </w:p>
        </w:tc>
      </w:tr>
      <w:tr>
        <w:trPr>
          <w:trHeight w:val="185"/>
        </w:trPr>
        <w:tc>
          <w:tcPr>
            <w:tcW w:w="2060" w:type="dxa"/>
            <w:vAlign w:val="bottom"/>
          </w:tcPr>
          <w:p>
            <w:pPr>
              <w:ind w:left="240"/>
              <w:spacing w:after="0"/>
              <w:rPr>
                <w:sz w:val="20"/>
                <w:szCs w:val="20"/>
                <w:color w:val="auto"/>
              </w:rPr>
            </w:pPr>
            <w:r>
              <w:rPr>
                <w:rFonts w:ascii="Arial" w:cs="Arial" w:eastAsia="Arial" w:hAnsi="Arial"/>
                <w:sz w:val="14"/>
                <w:szCs w:val="14"/>
                <w:b w:val="1"/>
                <w:bCs w:val="1"/>
                <w:color w:val="0063A6"/>
              </w:rPr>
              <w:t>Outcomes</w:t>
            </w:r>
          </w:p>
        </w:tc>
        <w:tc>
          <w:tcPr>
            <w:tcW w:w="640" w:type="dxa"/>
            <w:vAlign w:val="bottom"/>
            <w:tcBorders>
              <w:bottom w:val="single" w:sz="8" w:color="5D6673"/>
            </w:tcBorders>
            <w:vMerge w:val="continue"/>
          </w:tcPr>
          <w:p>
            <w:pPr>
              <w:spacing w:after="0"/>
              <w:rPr>
                <w:sz w:val="16"/>
                <w:szCs w:val="16"/>
                <w:color w:val="auto"/>
              </w:rPr>
            </w:pPr>
          </w:p>
        </w:tc>
        <w:tc>
          <w:tcPr>
            <w:tcW w:w="860" w:type="dxa"/>
            <w:vAlign w:val="bottom"/>
            <w:tcBorders>
              <w:bottom w:val="single" w:sz="8" w:color="5D6673"/>
            </w:tcBorders>
            <w:vMerge w:val="continue"/>
          </w:tcPr>
          <w:p>
            <w:pPr>
              <w:spacing w:after="0"/>
              <w:rPr>
                <w:sz w:val="16"/>
                <w:szCs w:val="16"/>
                <w:color w:val="auto"/>
              </w:rPr>
            </w:pPr>
          </w:p>
        </w:tc>
        <w:tc>
          <w:tcPr>
            <w:tcW w:w="880" w:type="dxa"/>
            <w:vAlign w:val="bottom"/>
            <w:tcBorders>
              <w:bottom w:val="single" w:sz="8" w:color="5D6673"/>
            </w:tcBorders>
          </w:tcPr>
          <w:p>
            <w:pPr>
              <w:spacing w:after="0"/>
              <w:rPr>
                <w:sz w:val="16"/>
                <w:szCs w:val="16"/>
                <w:color w:val="auto"/>
              </w:rPr>
            </w:pPr>
          </w:p>
        </w:tc>
        <w:tc>
          <w:tcPr>
            <w:tcW w:w="920" w:type="dxa"/>
            <w:vAlign w:val="bottom"/>
            <w:tcBorders>
              <w:bottom w:val="single" w:sz="8" w:color="5D6673"/>
            </w:tcBorders>
            <w:vMerge w:val="continue"/>
          </w:tcPr>
          <w:p>
            <w:pPr>
              <w:spacing w:after="0"/>
              <w:rPr>
                <w:sz w:val="16"/>
                <w:szCs w:val="16"/>
                <w:color w:val="auto"/>
              </w:rPr>
            </w:pPr>
          </w:p>
        </w:tc>
        <w:tc>
          <w:tcPr>
            <w:tcW w:w="1420" w:type="dxa"/>
            <w:vAlign w:val="bottom"/>
            <w:tcBorders>
              <w:bottom w:val="single" w:sz="8" w:color="5D6673"/>
            </w:tcBorders>
            <w:vMerge w:val="continue"/>
          </w:tcPr>
          <w:p>
            <w:pPr>
              <w:spacing w:after="0"/>
              <w:rPr>
                <w:sz w:val="16"/>
                <w:szCs w:val="16"/>
                <w:color w:val="auto"/>
              </w:rPr>
            </w:pPr>
          </w:p>
        </w:tc>
        <w:tc>
          <w:tcPr>
            <w:tcW w:w="1320" w:type="dxa"/>
            <w:vAlign w:val="bottom"/>
            <w:tcBorders>
              <w:bottom w:val="single" w:sz="8" w:color="5D6673"/>
            </w:tcBorders>
            <w:vMerge w:val="continue"/>
          </w:tcPr>
          <w:p>
            <w:pPr>
              <w:spacing w:after="0"/>
              <w:rPr>
                <w:sz w:val="16"/>
                <w:szCs w:val="16"/>
                <w:color w:val="auto"/>
              </w:rPr>
            </w:pPr>
          </w:p>
        </w:tc>
        <w:tc>
          <w:tcPr>
            <w:tcW w:w="1080" w:type="dxa"/>
            <w:vAlign w:val="bottom"/>
            <w:tcBorders>
              <w:bottom w:val="single" w:sz="8" w:color="5D667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460,000</w:t>
            </w:r>
          </w:p>
        </w:tc>
        <w:tc>
          <w:tcPr>
            <w:tcW w:w="88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519,342</w:t>
            </w:r>
          </w:p>
        </w:tc>
        <w:tc>
          <w:tcPr>
            <w:tcW w:w="1420" w:type="dxa"/>
            <w:vAlign w:val="bottom"/>
          </w:tcPr>
          <w:p>
            <w:pPr>
              <w:jc w:val="right"/>
              <w:ind w:right="229"/>
              <w:spacing w:after="0"/>
              <w:rPr>
                <w:sz w:val="20"/>
                <w:szCs w:val="20"/>
                <w:color w:val="auto"/>
              </w:rPr>
            </w:pPr>
            <w:r>
              <w:rPr>
                <w:rFonts w:ascii="Arial" w:cs="Arial" w:eastAsia="Arial" w:hAnsi="Arial"/>
                <w:sz w:val="14"/>
                <w:szCs w:val="14"/>
                <w:color w:val="auto"/>
              </w:rPr>
              <w:t>458,850</w:t>
            </w:r>
          </w:p>
        </w:tc>
        <w:tc>
          <w:tcPr>
            <w:tcW w:w="1320" w:type="dxa"/>
            <w:vAlign w:val="bottom"/>
          </w:tcPr>
          <w:p>
            <w:pPr>
              <w:ind w:left="520"/>
              <w:spacing w:after="0"/>
              <w:rPr>
                <w:sz w:val="20"/>
                <w:szCs w:val="20"/>
                <w:color w:val="auto"/>
              </w:rPr>
            </w:pPr>
            <w:r>
              <w:rPr>
                <w:rFonts w:ascii="Arial" w:cs="Arial" w:eastAsia="Arial" w:hAnsi="Arial"/>
                <w:sz w:val="14"/>
                <w:szCs w:val="14"/>
                <w:color w:val="auto"/>
              </w:rPr>
              <w:t>12,948</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1,451,140</w:t>
            </w:r>
          </w:p>
        </w:tc>
        <w:tc>
          <w:tcPr>
            <w:tcW w:w="0" w:type="dxa"/>
            <w:vAlign w:val="bottom"/>
          </w:tcPr>
          <w:p>
            <w:pPr>
              <w:spacing w:after="0"/>
              <w:rPr>
                <w:sz w:val="1"/>
                <w:szCs w:val="1"/>
                <w:color w:val="auto"/>
              </w:rPr>
            </w:pPr>
          </w:p>
        </w:tc>
      </w:tr>
      <w:tr>
        <w:trPr>
          <w:trHeight w:val="22"/>
        </w:trPr>
        <w:tc>
          <w:tcPr>
            <w:tcW w:w="2060" w:type="dxa"/>
            <w:vAlign w:val="bottom"/>
            <w:tcBorders>
              <w:bottom w:val="single" w:sz="8" w:color="5D6673"/>
            </w:tcBorders>
          </w:tcPr>
          <w:p>
            <w:pPr>
              <w:spacing w:after="0" w:line="20" w:lineRule="exact"/>
              <w:rPr>
                <w:sz w:val="1"/>
                <w:szCs w:val="1"/>
                <w:color w:val="auto"/>
              </w:rPr>
            </w:pPr>
          </w:p>
        </w:tc>
        <w:tc>
          <w:tcPr>
            <w:tcW w:w="640" w:type="dxa"/>
            <w:vAlign w:val="bottom"/>
            <w:tcBorders>
              <w:bottom w:val="single" w:sz="8" w:color="5D6673"/>
            </w:tcBorders>
          </w:tcPr>
          <w:p>
            <w:pPr>
              <w:spacing w:after="0" w:line="20" w:lineRule="exact"/>
              <w:rPr>
                <w:sz w:val="1"/>
                <w:szCs w:val="1"/>
                <w:color w:val="auto"/>
              </w:rPr>
            </w:pPr>
          </w:p>
        </w:tc>
        <w:tc>
          <w:tcPr>
            <w:tcW w:w="86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c>
          <w:tcPr>
            <w:tcW w:w="142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0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rPr>
                <w:sz w:val="20"/>
                <w:szCs w:val="20"/>
                <w:color w:val="auto"/>
              </w:rPr>
            </w:pPr>
            <w:r>
              <w:rPr>
                <w:rFonts w:ascii="Arial" w:cs="Arial" w:eastAsia="Arial" w:hAnsi="Arial"/>
                <w:sz w:val="14"/>
                <w:szCs w:val="14"/>
                <w:b w:val="1"/>
                <w:bCs w:val="1"/>
                <w:color w:val="0063A6"/>
              </w:rPr>
              <w:t>John F. Marcolini</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478,000</w:t>
            </w:r>
          </w:p>
        </w:tc>
        <w:tc>
          <w:tcPr>
            <w:tcW w:w="880" w:type="dxa"/>
            <w:vAlign w:val="bottom"/>
          </w:tcPr>
          <w:p>
            <w:pPr>
              <w:jc w:val="right"/>
              <w:ind w:right="31"/>
              <w:spacing w:after="0" w:line="195" w:lineRule="exact"/>
              <w:rPr>
                <w:sz w:val="20"/>
                <w:szCs w:val="20"/>
                <w:color w:val="auto"/>
              </w:rPr>
            </w:pPr>
            <w:r>
              <w:rPr>
                <w:rFonts w:ascii="Arial" w:cs="Arial" w:eastAsia="Arial" w:hAnsi="Arial"/>
                <w:sz w:val="14"/>
                <w:szCs w:val="14"/>
                <w:color w:val="auto"/>
              </w:rPr>
              <w:t>2,600</w:t>
            </w:r>
            <w:r>
              <w:rPr>
                <w:rFonts w:ascii="Arial" w:cs="Arial" w:eastAsia="Arial" w:hAnsi="Arial"/>
                <w:sz w:val="22"/>
                <w:szCs w:val="22"/>
                <w:color w:val="auto"/>
                <w:vertAlign w:val="superscript"/>
              </w:rPr>
              <w:t>(4)</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1,425,075</w:t>
            </w:r>
          </w:p>
        </w:tc>
        <w:tc>
          <w:tcPr>
            <w:tcW w:w="1420" w:type="dxa"/>
            <w:vAlign w:val="bottom"/>
          </w:tcPr>
          <w:p>
            <w:pPr>
              <w:jc w:val="right"/>
              <w:ind w:right="229"/>
              <w:spacing w:after="0"/>
              <w:rPr>
                <w:sz w:val="20"/>
                <w:szCs w:val="20"/>
                <w:color w:val="auto"/>
              </w:rPr>
            </w:pPr>
            <w:r>
              <w:rPr>
                <w:rFonts w:ascii="Arial" w:cs="Arial" w:eastAsia="Arial" w:hAnsi="Arial"/>
                <w:sz w:val="14"/>
                <w:szCs w:val="14"/>
                <w:color w:val="auto"/>
              </w:rPr>
              <w:t>376,205</w:t>
            </w:r>
          </w:p>
        </w:tc>
        <w:tc>
          <w:tcPr>
            <w:tcW w:w="1320" w:type="dxa"/>
            <w:vAlign w:val="bottom"/>
          </w:tcPr>
          <w:p>
            <w:pPr>
              <w:ind w:left="520"/>
              <w:spacing w:after="0" w:line="195" w:lineRule="exact"/>
              <w:rPr>
                <w:sz w:val="20"/>
                <w:szCs w:val="20"/>
                <w:color w:val="auto"/>
              </w:rPr>
            </w:pPr>
            <w:r>
              <w:rPr>
                <w:rFonts w:ascii="Arial" w:cs="Arial" w:eastAsia="Arial" w:hAnsi="Arial"/>
                <w:sz w:val="14"/>
                <w:szCs w:val="14"/>
                <w:color w:val="auto"/>
              </w:rPr>
              <w:t>15,750</w:t>
            </w:r>
            <w:r>
              <w:rPr>
                <w:rFonts w:ascii="Arial" w:cs="Arial" w:eastAsia="Arial" w:hAnsi="Arial"/>
                <w:sz w:val="22"/>
                <w:szCs w:val="22"/>
                <w:color w:val="auto"/>
                <w:vertAlign w:val="superscript"/>
              </w:rPr>
              <w:t>(5)</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2,297,630</w:t>
            </w:r>
          </w:p>
        </w:tc>
        <w:tc>
          <w:tcPr>
            <w:tcW w:w="0" w:type="dxa"/>
            <w:vAlign w:val="bottom"/>
          </w:tcPr>
          <w:p>
            <w:pPr>
              <w:spacing w:after="0"/>
              <w:rPr>
                <w:sz w:val="1"/>
                <w:szCs w:val="1"/>
                <w:color w:val="auto"/>
              </w:rPr>
            </w:pPr>
          </w:p>
        </w:tc>
      </w:tr>
      <w:tr>
        <w:trPr>
          <w:trHeight w:val="68"/>
        </w:trPr>
        <w:tc>
          <w:tcPr>
            <w:tcW w:w="206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40" w:type="dxa"/>
            <w:vAlign w:val="bottom"/>
            <w:tcBorders>
              <w:bottom w:val="single" w:sz="8" w:color="5D6673"/>
            </w:tcBorders>
          </w:tcPr>
          <w:p>
            <w:pPr>
              <w:spacing w:after="0"/>
              <w:rPr>
                <w:sz w:val="5"/>
                <w:szCs w:val="5"/>
                <w:color w:val="auto"/>
              </w:rPr>
            </w:pPr>
          </w:p>
        </w:tc>
        <w:tc>
          <w:tcPr>
            <w:tcW w:w="860" w:type="dxa"/>
            <w:vAlign w:val="bottom"/>
            <w:tcBorders>
              <w:bottom w:val="single" w:sz="8" w:color="5D6673"/>
            </w:tcBorders>
          </w:tcPr>
          <w:p>
            <w:pPr>
              <w:spacing w:after="0"/>
              <w:rPr>
                <w:sz w:val="5"/>
                <w:szCs w:val="5"/>
                <w:color w:val="auto"/>
              </w:rPr>
            </w:pPr>
          </w:p>
        </w:tc>
        <w:tc>
          <w:tcPr>
            <w:tcW w:w="88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1420" w:type="dxa"/>
            <w:vAlign w:val="bottom"/>
            <w:tcBorders>
              <w:bottom w:val="single" w:sz="8" w:color="5D6673"/>
            </w:tcBorders>
          </w:tcPr>
          <w:p>
            <w:pPr>
              <w:spacing w:after="0"/>
              <w:rPr>
                <w:sz w:val="5"/>
                <w:szCs w:val="5"/>
                <w:color w:val="auto"/>
              </w:rPr>
            </w:pPr>
          </w:p>
        </w:tc>
        <w:tc>
          <w:tcPr>
            <w:tcW w:w="1320" w:type="dxa"/>
            <w:vAlign w:val="bottom"/>
            <w:tcBorders>
              <w:bottom w:val="single" w:sz="8" w:color="5D6673"/>
            </w:tcBorders>
          </w:tcPr>
          <w:p>
            <w:pPr>
              <w:spacing w:after="0"/>
              <w:rPr>
                <w:sz w:val="5"/>
                <w:szCs w:val="5"/>
                <w:color w:val="auto"/>
              </w:rPr>
            </w:pPr>
          </w:p>
        </w:tc>
        <w:tc>
          <w:tcPr>
            <w:tcW w:w="108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60" w:type="dxa"/>
            <w:vAlign w:val="bottom"/>
            <w:vMerge w:val="continue"/>
          </w:tcPr>
          <w:p>
            <w:pPr>
              <w:spacing w:after="0"/>
              <w:rPr>
                <w:sz w:val="5"/>
                <w:szCs w:val="5"/>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460,000</w:t>
            </w: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color w:val="auto"/>
              </w:rPr>
              <w:t>47,714</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1,069,181</w:t>
            </w:r>
          </w:p>
        </w:tc>
        <w:tc>
          <w:tcPr>
            <w:tcW w:w="1420" w:type="dxa"/>
            <w:vAlign w:val="bottom"/>
            <w:vMerge w:val="restart"/>
          </w:tcPr>
          <w:p>
            <w:pPr>
              <w:jc w:val="right"/>
              <w:ind w:right="229"/>
              <w:spacing w:after="0"/>
              <w:rPr>
                <w:sz w:val="20"/>
                <w:szCs w:val="20"/>
                <w:color w:val="auto"/>
              </w:rPr>
            </w:pPr>
            <w:r>
              <w:rPr>
                <w:rFonts w:ascii="Arial" w:cs="Arial" w:eastAsia="Arial" w:hAnsi="Arial"/>
                <w:sz w:val="14"/>
                <w:szCs w:val="14"/>
                <w:color w:val="auto"/>
              </w:rPr>
              <w:t>477,135</w:t>
            </w:r>
          </w:p>
        </w:tc>
        <w:tc>
          <w:tcPr>
            <w:tcW w:w="1320" w:type="dxa"/>
            <w:vAlign w:val="bottom"/>
            <w:vMerge w:val="restart"/>
          </w:tcPr>
          <w:p>
            <w:pPr>
              <w:ind w:left="520"/>
              <w:spacing w:after="0"/>
              <w:rPr>
                <w:sz w:val="20"/>
                <w:szCs w:val="20"/>
                <w:color w:val="auto"/>
              </w:rPr>
            </w:pPr>
            <w:r>
              <w:rPr>
                <w:rFonts w:ascii="Arial" w:cs="Arial" w:eastAsia="Arial" w:hAnsi="Arial"/>
                <w:sz w:val="14"/>
                <w:szCs w:val="14"/>
                <w:color w:val="auto"/>
              </w:rPr>
              <w:t>15,586</w:t>
            </w: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2,069,615</w:t>
            </w:r>
          </w:p>
        </w:tc>
        <w:tc>
          <w:tcPr>
            <w:tcW w:w="0" w:type="dxa"/>
            <w:vAlign w:val="bottom"/>
          </w:tcPr>
          <w:p>
            <w:pPr>
              <w:spacing w:after="0"/>
              <w:rPr>
                <w:sz w:val="1"/>
                <w:szCs w:val="1"/>
                <w:color w:val="auto"/>
              </w:rPr>
            </w:pPr>
          </w:p>
        </w:tc>
      </w:tr>
      <w:tr>
        <w:trPr>
          <w:trHeight w:val="190"/>
        </w:trPr>
        <w:tc>
          <w:tcPr>
            <w:tcW w:w="2060" w:type="dxa"/>
            <w:vAlign w:val="bottom"/>
          </w:tcPr>
          <w:p>
            <w:pPr>
              <w:ind w:left="240"/>
              <w:spacing w:after="0"/>
              <w:rPr>
                <w:sz w:val="20"/>
                <w:szCs w:val="20"/>
                <w:color w:val="auto"/>
              </w:rPr>
            </w:pPr>
            <w:r>
              <w:rPr>
                <w:rFonts w:ascii="Arial" w:cs="Arial" w:eastAsia="Arial" w:hAnsi="Arial"/>
                <w:sz w:val="14"/>
                <w:szCs w:val="14"/>
                <w:b w:val="1"/>
                <w:bCs w:val="1"/>
                <w:color w:val="0063A6"/>
              </w:rPr>
              <w:t>Networked Solutions</w:t>
            </w:r>
          </w:p>
        </w:tc>
        <w:tc>
          <w:tcPr>
            <w:tcW w:w="640" w:type="dxa"/>
            <w:vAlign w:val="bottom"/>
            <w:tcBorders>
              <w:bottom w:val="single" w:sz="8" w:color="5D6673"/>
            </w:tcBorders>
            <w:vMerge w:val="continue"/>
          </w:tcPr>
          <w:p>
            <w:pPr>
              <w:spacing w:after="0"/>
              <w:rPr>
                <w:sz w:val="16"/>
                <w:szCs w:val="16"/>
                <w:color w:val="auto"/>
              </w:rPr>
            </w:pPr>
          </w:p>
        </w:tc>
        <w:tc>
          <w:tcPr>
            <w:tcW w:w="860" w:type="dxa"/>
            <w:vAlign w:val="bottom"/>
            <w:tcBorders>
              <w:bottom w:val="single" w:sz="8" w:color="5D6673"/>
            </w:tcBorders>
            <w:vMerge w:val="continue"/>
          </w:tcPr>
          <w:p>
            <w:pPr>
              <w:spacing w:after="0"/>
              <w:rPr>
                <w:sz w:val="16"/>
                <w:szCs w:val="16"/>
                <w:color w:val="auto"/>
              </w:rPr>
            </w:pPr>
          </w:p>
        </w:tc>
        <w:tc>
          <w:tcPr>
            <w:tcW w:w="880" w:type="dxa"/>
            <w:vAlign w:val="bottom"/>
            <w:tcBorders>
              <w:bottom w:val="single" w:sz="8" w:color="5D6673"/>
            </w:tcBorders>
            <w:vMerge w:val="continue"/>
          </w:tcPr>
          <w:p>
            <w:pPr>
              <w:spacing w:after="0"/>
              <w:rPr>
                <w:sz w:val="16"/>
                <w:szCs w:val="16"/>
                <w:color w:val="auto"/>
              </w:rPr>
            </w:pPr>
          </w:p>
        </w:tc>
        <w:tc>
          <w:tcPr>
            <w:tcW w:w="920" w:type="dxa"/>
            <w:vAlign w:val="bottom"/>
            <w:tcBorders>
              <w:bottom w:val="single" w:sz="8" w:color="5D6673"/>
            </w:tcBorders>
            <w:vMerge w:val="continue"/>
          </w:tcPr>
          <w:p>
            <w:pPr>
              <w:spacing w:after="0"/>
              <w:rPr>
                <w:sz w:val="16"/>
                <w:szCs w:val="16"/>
                <w:color w:val="auto"/>
              </w:rPr>
            </w:pPr>
          </w:p>
        </w:tc>
        <w:tc>
          <w:tcPr>
            <w:tcW w:w="1420" w:type="dxa"/>
            <w:vAlign w:val="bottom"/>
            <w:tcBorders>
              <w:bottom w:val="single" w:sz="8" w:color="5D6673"/>
            </w:tcBorders>
            <w:vMerge w:val="continue"/>
          </w:tcPr>
          <w:p>
            <w:pPr>
              <w:spacing w:after="0"/>
              <w:rPr>
                <w:sz w:val="16"/>
                <w:szCs w:val="16"/>
                <w:color w:val="auto"/>
              </w:rPr>
            </w:pPr>
          </w:p>
        </w:tc>
        <w:tc>
          <w:tcPr>
            <w:tcW w:w="1320" w:type="dxa"/>
            <w:vAlign w:val="bottom"/>
            <w:tcBorders>
              <w:bottom w:val="single" w:sz="8" w:color="5D6673"/>
            </w:tcBorders>
            <w:vMerge w:val="continue"/>
          </w:tcPr>
          <w:p>
            <w:pPr>
              <w:spacing w:after="0"/>
              <w:rPr>
                <w:sz w:val="16"/>
                <w:szCs w:val="16"/>
                <w:color w:val="auto"/>
              </w:rPr>
            </w:pPr>
          </w:p>
        </w:tc>
        <w:tc>
          <w:tcPr>
            <w:tcW w:w="1080" w:type="dxa"/>
            <w:vAlign w:val="bottom"/>
            <w:tcBorders>
              <w:bottom w:val="single" w:sz="8" w:color="5D667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450,000</w:t>
            </w:r>
          </w:p>
        </w:tc>
        <w:tc>
          <w:tcPr>
            <w:tcW w:w="880" w:type="dxa"/>
            <w:vAlign w:val="bottom"/>
          </w:tcPr>
          <w:p>
            <w:pPr>
              <w:jc w:val="right"/>
              <w:ind w:right="191"/>
              <w:spacing w:after="0"/>
              <w:rPr>
                <w:sz w:val="20"/>
                <w:szCs w:val="20"/>
                <w:color w:val="auto"/>
              </w:rPr>
            </w:pPr>
            <w:r>
              <w:rPr>
                <w:rFonts w:ascii="Arial" w:cs="Arial" w:eastAsia="Arial" w:hAnsi="Arial"/>
                <w:sz w:val="14"/>
                <w:szCs w:val="14"/>
                <w:color w:val="auto"/>
              </w:rPr>
              <w:t>47,250</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512,140</w:t>
            </w:r>
          </w:p>
        </w:tc>
        <w:tc>
          <w:tcPr>
            <w:tcW w:w="1420" w:type="dxa"/>
            <w:vAlign w:val="bottom"/>
          </w:tcPr>
          <w:p>
            <w:pPr>
              <w:jc w:val="right"/>
              <w:ind w:right="229"/>
              <w:spacing w:after="0"/>
              <w:rPr>
                <w:sz w:val="20"/>
                <w:szCs w:val="20"/>
                <w:color w:val="auto"/>
              </w:rPr>
            </w:pPr>
            <w:r>
              <w:rPr>
                <w:rFonts w:ascii="Arial" w:cs="Arial" w:eastAsia="Arial" w:hAnsi="Arial"/>
                <w:sz w:val="14"/>
                <w:szCs w:val="14"/>
                <w:color w:val="auto"/>
              </w:rPr>
              <w:t>472,500</w:t>
            </w:r>
          </w:p>
        </w:tc>
        <w:tc>
          <w:tcPr>
            <w:tcW w:w="1320" w:type="dxa"/>
            <w:vAlign w:val="bottom"/>
          </w:tcPr>
          <w:p>
            <w:pPr>
              <w:ind w:left="520"/>
              <w:spacing w:after="0"/>
              <w:rPr>
                <w:sz w:val="20"/>
                <w:szCs w:val="20"/>
                <w:color w:val="auto"/>
              </w:rPr>
            </w:pPr>
            <w:r>
              <w:rPr>
                <w:rFonts w:ascii="Arial" w:cs="Arial" w:eastAsia="Arial" w:hAnsi="Arial"/>
                <w:sz w:val="14"/>
                <w:szCs w:val="14"/>
                <w:color w:val="auto"/>
              </w:rPr>
              <w:t>14,789</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1,496,679</w:t>
            </w:r>
          </w:p>
        </w:tc>
        <w:tc>
          <w:tcPr>
            <w:tcW w:w="0" w:type="dxa"/>
            <w:vAlign w:val="bottom"/>
          </w:tcPr>
          <w:p>
            <w:pPr>
              <w:spacing w:after="0"/>
              <w:rPr>
                <w:sz w:val="1"/>
                <w:szCs w:val="1"/>
                <w:color w:val="auto"/>
              </w:rPr>
            </w:pPr>
          </w:p>
        </w:tc>
      </w:tr>
      <w:tr>
        <w:trPr>
          <w:trHeight w:val="22"/>
        </w:trPr>
        <w:tc>
          <w:tcPr>
            <w:tcW w:w="2060" w:type="dxa"/>
            <w:vAlign w:val="bottom"/>
            <w:tcBorders>
              <w:bottom w:val="single" w:sz="8" w:color="5D6673"/>
            </w:tcBorders>
          </w:tcPr>
          <w:p>
            <w:pPr>
              <w:spacing w:after="0" w:line="20" w:lineRule="exact"/>
              <w:rPr>
                <w:sz w:val="1"/>
                <w:szCs w:val="1"/>
                <w:color w:val="auto"/>
              </w:rPr>
            </w:pPr>
          </w:p>
        </w:tc>
        <w:tc>
          <w:tcPr>
            <w:tcW w:w="640" w:type="dxa"/>
            <w:vAlign w:val="bottom"/>
            <w:tcBorders>
              <w:bottom w:val="single" w:sz="8" w:color="5D6673"/>
            </w:tcBorders>
          </w:tcPr>
          <w:p>
            <w:pPr>
              <w:spacing w:after="0" w:line="20" w:lineRule="exact"/>
              <w:rPr>
                <w:sz w:val="1"/>
                <w:szCs w:val="1"/>
                <w:color w:val="auto"/>
              </w:rPr>
            </w:pPr>
          </w:p>
        </w:tc>
        <w:tc>
          <w:tcPr>
            <w:tcW w:w="86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c>
          <w:tcPr>
            <w:tcW w:w="142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0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rPr>
                <w:sz w:val="20"/>
                <w:szCs w:val="20"/>
                <w:color w:val="auto"/>
              </w:rPr>
            </w:pPr>
            <w:r>
              <w:rPr>
                <w:rFonts w:ascii="Arial" w:cs="Arial" w:eastAsia="Arial" w:hAnsi="Arial"/>
                <w:sz w:val="14"/>
                <w:szCs w:val="14"/>
                <w:b w:val="1"/>
                <w:bCs w:val="1"/>
                <w:color w:val="0063A6"/>
              </w:rPr>
              <w:t>Justin K. Patrick</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440,000</w:t>
            </w:r>
          </w:p>
        </w:tc>
        <w:tc>
          <w:tcPr>
            <w:tcW w:w="880" w:type="dxa"/>
            <w:vAlign w:val="bottom"/>
          </w:tcPr>
          <w:p>
            <w:pPr>
              <w:jc w:val="right"/>
              <w:ind w:right="31"/>
              <w:spacing w:after="0" w:line="195" w:lineRule="exact"/>
              <w:rPr>
                <w:sz w:val="20"/>
                <w:szCs w:val="20"/>
                <w:color w:val="auto"/>
              </w:rPr>
            </w:pPr>
            <w:r>
              <w:rPr>
                <w:rFonts w:ascii="Arial" w:cs="Arial" w:eastAsia="Arial" w:hAnsi="Arial"/>
                <w:sz w:val="22"/>
                <w:szCs w:val="22"/>
                <w:color w:val="auto"/>
                <w:vertAlign w:val="subscript"/>
              </w:rPr>
              <w:t>50</w:t>
            </w:r>
            <w:r>
              <w:rPr>
                <w:rFonts w:ascii="Arial" w:cs="Arial" w:eastAsia="Arial" w:hAnsi="Arial"/>
                <w:sz w:val="10"/>
                <w:szCs w:val="10"/>
                <w:color w:val="auto"/>
              </w:rPr>
              <w:t>(4)</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1,361,584</w:t>
            </w:r>
          </w:p>
        </w:tc>
        <w:tc>
          <w:tcPr>
            <w:tcW w:w="1420" w:type="dxa"/>
            <w:vAlign w:val="bottom"/>
          </w:tcPr>
          <w:p>
            <w:pPr>
              <w:jc w:val="right"/>
              <w:ind w:right="229"/>
              <w:spacing w:after="0"/>
              <w:rPr>
                <w:sz w:val="20"/>
                <w:szCs w:val="20"/>
                <w:color w:val="auto"/>
              </w:rPr>
            </w:pPr>
            <w:r>
              <w:rPr>
                <w:rFonts w:ascii="Arial" w:cs="Arial" w:eastAsia="Arial" w:hAnsi="Arial"/>
                <w:sz w:val="14"/>
                <w:szCs w:val="14"/>
                <w:color w:val="auto"/>
              </w:rPr>
              <w:t>344,683</w:t>
            </w:r>
          </w:p>
        </w:tc>
        <w:tc>
          <w:tcPr>
            <w:tcW w:w="1320" w:type="dxa"/>
            <w:vAlign w:val="bottom"/>
          </w:tcPr>
          <w:p>
            <w:pPr>
              <w:ind w:left="520"/>
              <w:spacing w:after="0" w:line="195" w:lineRule="exact"/>
              <w:rPr>
                <w:sz w:val="20"/>
                <w:szCs w:val="20"/>
                <w:color w:val="auto"/>
              </w:rPr>
            </w:pPr>
            <w:r>
              <w:rPr>
                <w:rFonts w:ascii="Arial" w:cs="Arial" w:eastAsia="Arial" w:hAnsi="Arial"/>
                <w:sz w:val="14"/>
                <w:szCs w:val="14"/>
                <w:color w:val="auto"/>
              </w:rPr>
              <w:t>15,750</w:t>
            </w:r>
            <w:r>
              <w:rPr>
                <w:rFonts w:ascii="Arial" w:cs="Arial" w:eastAsia="Arial" w:hAnsi="Arial"/>
                <w:sz w:val="22"/>
                <w:szCs w:val="22"/>
                <w:color w:val="auto"/>
                <w:vertAlign w:val="superscript"/>
              </w:rPr>
              <w:t>(5)</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2,162,067</w:t>
            </w:r>
          </w:p>
        </w:tc>
        <w:tc>
          <w:tcPr>
            <w:tcW w:w="0" w:type="dxa"/>
            <w:vAlign w:val="bottom"/>
          </w:tcPr>
          <w:p>
            <w:pPr>
              <w:spacing w:after="0"/>
              <w:rPr>
                <w:sz w:val="1"/>
                <w:szCs w:val="1"/>
                <w:color w:val="auto"/>
              </w:rPr>
            </w:pPr>
          </w:p>
        </w:tc>
      </w:tr>
      <w:tr>
        <w:trPr>
          <w:trHeight w:val="68"/>
        </w:trPr>
        <w:tc>
          <w:tcPr>
            <w:tcW w:w="206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40" w:type="dxa"/>
            <w:vAlign w:val="bottom"/>
            <w:tcBorders>
              <w:bottom w:val="single" w:sz="8" w:color="5D6673"/>
            </w:tcBorders>
          </w:tcPr>
          <w:p>
            <w:pPr>
              <w:spacing w:after="0"/>
              <w:rPr>
                <w:sz w:val="5"/>
                <w:szCs w:val="5"/>
                <w:color w:val="auto"/>
              </w:rPr>
            </w:pPr>
          </w:p>
        </w:tc>
        <w:tc>
          <w:tcPr>
            <w:tcW w:w="860" w:type="dxa"/>
            <w:vAlign w:val="bottom"/>
            <w:tcBorders>
              <w:bottom w:val="single" w:sz="8" w:color="5D6673"/>
            </w:tcBorders>
          </w:tcPr>
          <w:p>
            <w:pPr>
              <w:spacing w:after="0"/>
              <w:rPr>
                <w:sz w:val="5"/>
                <w:szCs w:val="5"/>
                <w:color w:val="auto"/>
              </w:rPr>
            </w:pPr>
          </w:p>
        </w:tc>
        <w:tc>
          <w:tcPr>
            <w:tcW w:w="88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1420" w:type="dxa"/>
            <w:vAlign w:val="bottom"/>
            <w:tcBorders>
              <w:bottom w:val="single" w:sz="8" w:color="5D6673"/>
            </w:tcBorders>
          </w:tcPr>
          <w:p>
            <w:pPr>
              <w:spacing w:after="0"/>
              <w:rPr>
                <w:sz w:val="5"/>
                <w:szCs w:val="5"/>
                <w:color w:val="auto"/>
              </w:rPr>
            </w:pPr>
          </w:p>
        </w:tc>
        <w:tc>
          <w:tcPr>
            <w:tcW w:w="1320" w:type="dxa"/>
            <w:vAlign w:val="bottom"/>
            <w:tcBorders>
              <w:bottom w:val="single" w:sz="8" w:color="5D6673"/>
            </w:tcBorders>
          </w:tcPr>
          <w:p>
            <w:pPr>
              <w:spacing w:after="0"/>
              <w:rPr>
                <w:sz w:val="5"/>
                <w:szCs w:val="5"/>
                <w:color w:val="auto"/>
              </w:rPr>
            </w:pPr>
          </w:p>
        </w:tc>
        <w:tc>
          <w:tcPr>
            <w:tcW w:w="108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60" w:type="dxa"/>
            <w:vAlign w:val="bottom"/>
            <w:vMerge w:val="continue"/>
          </w:tcPr>
          <w:p>
            <w:pPr>
              <w:spacing w:after="0"/>
              <w:rPr>
                <w:sz w:val="5"/>
                <w:szCs w:val="5"/>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415,000</w:t>
            </w: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color w:val="auto"/>
              </w:rPr>
              <w:t>43,046</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953,103</w:t>
            </w:r>
          </w:p>
        </w:tc>
        <w:tc>
          <w:tcPr>
            <w:tcW w:w="1420" w:type="dxa"/>
            <w:vAlign w:val="bottom"/>
            <w:vMerge w:val="restart"/>
          </w:tcPr>
          <w:p>
            <w:pPr>
              <w:jc w:val="right"/>
              <w:ind w:right="229"/>
              <w:spacing w:after="0"/>
              <w:rPr>
                <w:sz w:val="20"/>
                <w:szCs w:val="20"/>
                <w:color w:val="auto"/>
              </w:rPr>
            </w:pPr>
            <w:r>
              <w:rPr>
                <w:rFonts w:ascii="Arial" w:cs="Arial" w:eastAsia="Arial" w:hAnsi="Arial"/>
                <w:sz w:val="14"/>
                <w:szCs w:val="14"/>
                <w:color w:val="auto"/>
              </w:rPr>
              <w:t>430,459</w:t>
            </w:r>
          </w:p>
        </w:tc>
        <w:tc>
          <w:tcPr>
            <w:tcW w:w="1320" w:type="dxa"/>
            <w:vAlign w:val="bottom"/>
            <w:vMerge w:val="restart"/>
          </w:tcPr>
          <w:p>
            <w:pPr>
              <w:ind w:left="520"/>
              <w:spacing w:after="0"/>
              <w:rPr>
                <w:sz w:val="20"/>
                <w:szCs w:val="20"/>
                <w:color w:val="auto"/>
              </w:rPr>
            </w:pPr>
            <w:r>
              <w:rPr>
                <w:rFonts w:ascii="Arial" w:cs="Arial" w:eastAsia="Arial" w:hAnsi="Arial"/>
                <w:sz w:val="14"/>
                <w:szCs w:val="14"/>
                <w:color w:val="auto"/>
              </w:rPr>
              <w:t>16,892</w:t>
            </w: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1,858,500</w:t>
            </w:r>
          </w:p>
        </w:tc>
        <w:tc>
          <w:tcPr>
            <w:tcW w:w="0" w:type="dxa"/>
            <w:vAlign w:val="bottom"/>
          </w:tcPr>
          <w:p>
            <w:pPr>
              <w:spacing w:after="0"/>
              <w:rPr>
                <w:sz w:val="1"/>
                <w:szCs w:val="1"/>
                <w:color w:val="auto"/>
              </w:rPr>
            </w:pPr>
          </w:p>
        </w:tc>
      </w:tr>
      <w:tr>
        <w:trPr>
          <w:trHeight w:val="190"/>
        </w:trPr>
        <w:tc>
          <w:tcPr>
            <w:tcW w:w="2060" w:type="dxa"/>
            <w:vAlign w:val="bottom"/>
          </w:tcPr>
          <w:p>
            <w:pPr>
              <w:ind w:left="240"/>
              <w:spacing w:after="0"/>
              <w:rPr>
                <w:sz w:val="20"/>
                <w:szCs w:val="20"/>
                <w:color w:val="auto"/>
              </w:rPr>
            </w:pPr>
            <w:r>
              <w:rPr>
                <w:rFonts w:ascii="Arial" w:cs="Arial" w:eastAsia="Arial" w:hAnsi="Arial"/>
                <w:sz w:val="14"/>
                <w:szCs w:val="14"/>
                <w:b w:val="1"/>
                <w:bCs w:val="1"/>
                <w:color w:val="0063A6"/>
              </w:rPr>
              <w:t>Device Solutions</w:t>
            </w:r>
          </w:p>
        </w:tc>
        <w:tc>
          <w:tcPr>
            <w:tcW w:w="640" w:type="dxa"/>
            <w:vAlign w:val="bottom"/>
            <w:tcBorders>
              <w:bottom w:val="single" w:sz="8" w:color="5D6673"/>
            </w:tcBorders>
            <w:vMerge w:val="continue"/>
          </w:tcPr>
          <w:p>
            <w:pPr>
              <w:spacing w:after="0"/>
              <w:rPr>
                <w:sz w:val="16"/>
                <w:szCs w:val="16"/>
                <w:color w:val="auto"/>
              </w:rPr>
            </w:pPr>
          </w:p>
        </w:tc>
        <w:tc>
          <w:tcPr>
            <w:tcW w:w="860" w:type="dxa"/>
            <w:vAlign w:val="bottom"/>
            <w:tcBorders>
              <w:bottom w:val="single" w:sz="8" w:color="5D6673"/>
            </w:tcBorders>
            <w:vMerge w:val="continue"/>
          </w:tcPr>
          <w:p>
            <w:pPr>
              <w:spacing w:after="0"/>
              <w:rPr>
                <w:sz w:val="16"/>
                <w:szCs w:val="16"/>
                <w:color w:val="auto"/>
              </w:rPr>
            </w:pPr>
          </w:p>
        </w:tc>
        <w:tc>
          <w:tcPr>
            <w:tcW w:w="880" w:type="dxa"/>
            <w:vAlign w:val="bottom"/>
            <w:tcBorders>
              <w:bottom w:val="single" w:sz="8" w:color="5D6673"/>
            </w:tcBorders>
            <w:vMerge w:val="continue"/>
          </w:tcPr>
          <w:p>
            <w:pPr>
              <w:spacing w:after="0"/>
              <w:rPr>
                <w:sz w:val="16"/>
                <w:szCs w:val="16"/>
                <w:color w:val="auto"/>
              </w:rPr>
            </w:pPr>
          </w:p>
        </w:tc>
        <w:tc>
          <w:tcPr>
            <w:tcW w:w="920" w:type="dxa"/>
            <w:vAlign w:val="bottom"/>
            <w:tcBorders>
              <w:bottom w:val="single" w:sz="8" w:color="5D6673"/>
            </w:tcBorders>
            <w:vMerge w:val="continue"/>
          </w:tcPr>
          <w:p>
            <w:pPr>
              <w:spacing w:after="0"/>
              <w:rPr>
                <w:sz w:val="16"/>
                <w:szCs w:val="16"/>
                <w:color w:val="auto"/>
              </w:rPr>
            </w:pPr>
          </w:p>
        </w:tc>
        <w:tc>
          <w:tcPr>
            <w:tcW w:w="1420" w:type="dxa"/>
            <w:vAlign w:val="bottom"/>
            <w:tcBorders>
              <w:bottom w:val="single" w:sz="8" w:color="5D6673"/>
            </w:tcBorders>
            <w:vMerge w:val="continue"/>
          </w:tcPr>
          <w:p>
            <w:pPr>
              <w:spacing w:after="0"/>
              <w:rPr>
                <w:sz w:val="16"/>
                <w:szCs w:val="16"/>
                <w:color w:val="auto"/>
              </w:rPr>
            </w:pPr>
          </w:p>
        </w:tc>
        <w:tc>
          <w:tcPr>
            <w:tcW w:w="1320" w:type="dxa"/>
            <w:vAlign w:val="bottom"/>
            <w:tcBorders>
              <w:bottom w:val="single" w:sz="8" w:color="5D6673"/>
            </w:tcBorders>
            <w:vMerge w:val="continue"/>
          </w:tcPr>
          <w:p>
            <w:pPr>
              <w:spacing w:after="0"/>
              <w:rPr>
                <w:sz w:val="16"/>
                <w:szCs w:val="16"/>
                <w:color w:val="auto"/>
              </w:rPr>
            </w:pPr>
          </w:p>
        </w:tc>
        <w:tc>
          <w:tcPr>
            <w:tcW w:w="1080" w:type="dxa"/>
            <w:vAlign w:val="bottom"/>
            <w:tcBorders>
              <w:bottom w:val="single" w:sz="8" w:color="5D667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60" w:type="dxa"/>
            <w:vAlign w:val="bottom"/>
            <w:tcBorders>
              <w:bottom w:val="single" w:sz="8" w:color="0063A6"/>
            </w:tcBorders>
          </w:tcPr>
          <w:p>
            <w:pPr>
              <w:spacing w:after="0"/>
              <w:rPr>
                <w:sz w:val="18"/>
                <w:szCs w:val="18"/>
                <w:color w:val="auto"/>
              </w:rPr>
            </w:pPr>
          </w:p>
        </w:tc>
        <w:tc>
          <w:tcPr>
            <w:tcW w:w="640" w:type="dxa"/>
            <w:vAlign w:val="bottom"/>
            <w:tcBorders>
              <w:bottom w:val="single" w:sz="8" w:color="0063A6"/>
            </w:tcBorders>
          </w:tcPr>
          <w:p>
            <w:pPr>
              <w:jc w:val="right"/>
              <w:ind w:right="88"/>
              <w:spacing w:after="0"/>
              <w:rPr>
                <w:sz w:val="20"/>
                <w:szCs w:val="20"/>
                <w:color w:val="auto"/>
              </w:rPr>
            </w:pPr>
            <w:r>
              <w:rPr>
                <w:rFonts w:ascii="Arial" w:cs="Arial" w:eastAsia="Arial" w:hAnsi="Arial"/>
                <w:sz w:val="14"/>
                <w:szCs w:val="14"/>
                <w:color w:val="auto"/>
              </w:rPr>
              <w:t>2023</w:t>
            </w:r>
          </w:p>
        </w:tc>
        <w:tc>
          <w:tcPr>
            <w:tcW w:w="86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400,000</w:t>
            </w:r>
          </w:p>
        </w:tc>
        <w:tc>
          <w:tcPr>
            <w:tcW w:w="880" w:type="dxa"/>
            <w:vAlign w:val="bottom"/>
            <w:tcBorders>
              <w:bottom w:val="single" w:sz="8" w:color="0063A6"/>
            </w:tcBorders>
          </w:tcPr>
          <w:p>
            <w:pPr>
              <w:jc w:val="right"/>
              <w:ind w:right="191"/>
              <w:spacing w:after="0"/>
              <w:rPr>
                <w:sz w:val="20"/>
                <w:szCs w:val="20"/>
                <w:color w:val="auto"/>
              </w:rPr>
            </w:pPr>
            <w:r>
              <w:rPr>
                <w:rFonts w:ascii="Arial" w:cs="Arial" w:eastAsia="Arial" w:hAnsi="Arial"/>
                <w:sz w:val="14"/>
                <w:szCs w:val="14"/>
                <w:color w:val="auto"/>
              </w:rPr>
              <w:t>42,000</w:t>
            </w:r>
          </w:p>
        </w:tc>
        <w:tc>
          <w:tcPr>
            <w:tcW w:w="920" w:type="dxa"/>
            <w:vAlign w:val="bottom"/>
            <w:tcBorders>
              <w:bottom w:val="single" w:sz="8" w:color="0063A6"/>
            </w:tcBorders>
          </w:tcPr>
          <w:p>
            <w:pPr>
              <w:jc w:val="right"/>
              <w:ind w:right="69"/>
              <w:spacing w:after="0"/>
              <w:rPr>
                <w:sz w:val="20"/>
                <w:szCs w:val="20"/>
                <w:color w:val="auto"/>
              </w:rPr>
            </w:pPr>
            <w:r>
              <w:rPr>
                <w:rFonts w:ascii="Arial" w:cs="Arial" w:eastAsia="Arial" w:hAnsi="Arial"/>
                <w:sz w:val="14"/>
                <w:szCs w:val="14"/>
                <w:color w:val="auto"/>
              </w:rPr>
              <w:t>477,800</w:t>
            </w:r>
          </w:p>
        </w:tc>
        <w:tc>
          <w:tcPr>
            <w:tcW w:w="1420" w:type="dxa"/>
            <w:vAlign w:val="bottom"/>
            <w:tcBorders>
              <w:bottom w:val="single" w:sz="8" w:color="0063A6"/>
            </w:tcBorders>
          </w:tcPr>
          <w:p>
            <w:pPr>
              <w:jc w:val="right"/>
              <w:ind w:right="229"/>
              <w:spacing w:after="0"/>
              <w:rPr>
                <w:sz w:val="20"/>
                <w:szCs w:val="20"/>
                <w:color w:val="auto"/>
              </w:rPr>
            </w:pPr>
            <w:r>
              <w:rPr>
                <w:rFonts w:ascii="Arial" w:cs="Arial" w:eastAsia="Arial" w:hAnsi="Arial"/>
                <w:sz w:val="14"/>
                <w:szCs w:val="14"/>
                <w:color w:val="auto"/>
              </w:rPr>
              <w:t>420,000</w:t>
            </w:r>
          </w:p>
        </w:tc>
        <w:tc>
          <w:tcPr>
            <w:tcW w:w="1320" w:type="dxa"/>
            <w:vAlign w:val="bottom"/>
            <w:tcBorders>
              <w:bottom w:val="single" w:sz="8" w:color="0063A6"/>
            </w:tcBorders>
          </w:tcPr>
          <w:p>
            <w:pPr>
              <w:ind w:left="520"/>
              <w:spacing w:after="0"/>
              <w:rPr>
                <w:sz w:val="20"/>
                <w:szCs w:val="20"/>
                <w:color w:val="auto"/>
              </w:rPr>
            </w:pPr>
            <w:r>
              <w:rPr>
                <w:rFonts w:ascii="Arial" w:cs="Arial" w:eastAsia="Arial" w:hAnsi="Arial"/>
                <w:sz w:val="14"/>
                <w:szCs w:val="14"/>
                <w:color w:val="auto"/>
              </w:rPr>
              <w:t>13,483</w:t>
            </w:r>
          </w:p>
        </w:tc>
        <w:tc>
          <w:tcPr>
            <w:tcW w:w="1080" w:type="dxa"/>
            <w:vAlign w:val="bottom"/>
            <w:tcBorders>
              <w:bottom w:val="single" w:sz="8" w:color="0063A6"/>
            </w:tcBorders>
          </w:tcPr>
          <w:p>
            <w:pPr>
              <w:jc w:val="right"/>
              <w:ind w:right="108"/>
              <w:spacing w:after="0"/>
              <w:rPr>
                <w:sz w:val="20"/>
                <w:szCs w:val="20"/>
                <w:color w:val="auto"/>
              </w:rPr>
            </w:pPr>
            <w:r>
              <w:rPr>
                <w:rFonts w:ascii="Arial" w:cs="Arial" w:eastAsia="Arial" w:hAnsi="Arial"/>
                <w:sz w:val="14"/>
                <w:szCs w:val="14"/>
                <w:color w:val="auto"/>
              </w:rPr>
              <w:t>1,353,283</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180" w:hanging="346"/>
        <w:spacing w:after="0" w:line="263" w:lineRule="auto"/>
        <w:tabs>
          <w:tab w:leader="none" w:pos="34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RSU and PRSU awards granted under our Long-Term Incentive Plan (LTIP) determined in accordance with FASB ASC Topic 718. See Note 9 of the consolidated financial statements in our Annual Report on Form 10-K for the year ended December 31, 2025 regarding assumptions underlying the valuation of the equity awards granted in 2025.</w:t>
      </w:r>
    </w:p>
    <w:p>
      <w:pPr>
        <w:spacing w:after="0" w:line="37" w:lineRule="exact"/>
        <w:rPr>
          <w:rFonts w:ascii="Arial" w:cs="Arial" w:eastAsia="Arial" w:hAnsi="Arial"/>
          <w:sz w:val="14"/>
          <w:szCs w:val="14"/>
          <w:color w:val="auto"/>
        </w:rPr>
      </w:pPr>
    </w:p>
    <w:p>
      <w:pPr>
        <w:ind w:left="346" w:hanging="346"/>
        <w:spacing w:after="0" w:line="252" w:lineRule="auto"/>
        <w:tabs>
          <w:tab w:leader="none" w:pos="34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grant date fair value of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each year. Therefore, the value in the table includes one-third of the target PRSUs for each active three-year performance cycle. For more details on how performance is calculated, refer to ‘‘</w:t>
      </w:r>
      <w:r>
        <w:rPr>
          <w:rFonts w:ascii="Arial" w:cs="Arial" w:eastAsia="Arial" w:hAnsi="Arial"/>
          <w:sz w:val="14"/>
          <w:szCs w:val="14"/>
          <w:i w:val="1"/>
          <w:iCs w:val="1"/>
          <w:color w:val="auto"/>
        </w:rPr>
        <w:t>A Closer Look at PRSUs</w:t>
      </w:r>
      <w:r>
        <w:rPr>
          <w:rFonts w:ascii="Arial" w:cs="Arial" w:eastAsia="Arial" w:hAnsi="Arial"/>
          <w:sz w:val="14"/>
          <w:szCs w:val="14"/>
          <w:color w:val="auto"/>
        </w:rPr>
        <w:t>” in this proxy statement.</w:t>
      </w:r>
    </w:p>
    <w:p>
      <w:pPr>
        <w:spacing w:after="0" w:line="32" w:lineRule="exact"/>
        <w:rPr>
          <w:rFonts w:ascii="Arial" w:cs="Arial" w:eastAsia="Arial" w:hAnsi="Arial"/>
          <w:sz w:val="14"/>
          <w:szCs w:val="14"/>
          <w:color w:val="auto"/>
        </w:rPr>
      </w:pPr>
    </w:p>
    <w:p>
      <w:pPr>
        <w:ind w:left="366" w:right="40"/>
        <w:spacing w:after="0" w:line="248" w:lineRule="auto"/>
        <w:rPr>
          <w:rFonts w:ascii="Arial" w:cs="Arial" w:eastAsia="Arial" w:hAnsi="Arial"/>
          <w:sz w:val="14"/>
          <w:szCs w:val="14"/>
          <w:color w:val="auto"/>
        </w:rPr>
      </w:pPr>
      <w:r>
        <w:rPr>
          <w:rFonts w:ascii="Arial" w:cs="Arial" w:eastAsia="Arial" w:hAnsi="Arial"/>
          <w:sz w:val="14"/>
          <w:szCs w:val="14"/>
          <w:color w:val="auto"/>
        </w:rPr>
        <w:t>The grant date fair value of the non-GAAP diluted EPS component is based upon the probable outcome for the award and is consistent with the estimate of aggregate compensation cost to be recognized over the performance period determined as of the grant date under FASB ASC Topic 718. As required under FASB ASC Topic 718, the grant date fair value for the TSR multiplier is recalculated and included in the amounts shown for 2025 for the 2025 portion of the award in each active performance cycle and was determined using a Monte Carlo valuation model on the date the PRSUs were awarded. Grant date fair values assuming maximum performance achievement for the 2025 PRSUs for the full performance cycle (2025-2027) would be: T. Deitrich - $12,092,499; J. Hooper - $2,578,203; D. Reeves - $1,611,408; J. Marcolini - $1,611,408; J. Patrick - $1,611,408.</w:t>
      </w:r>
    </w:p>
    <w:p>
      <w:pPr>
        <w:spacing w:after="0" w:line="36" w:lineRule="exact"/>
        <w:rPr>
          <w:rFonts w:ascii="Arial" w:cs="Arial" w:eastAsia="Arial" w:hAnsi="Arial"/>
          <w:sz w:val="14"/>
          <w:szCs w:val="14"/>
          <w:color w:val="auto"/>
        </w:rPr>
      </w:pPr>
    </w:p>
    <w:p>
      <w:pPr>
        <w:ind w:left="346" w:right="400" w:hanging="346"/>
        <w:spacing w:after="0" w:line="285" w:lineRule="auto"/>
        <w:tabs>
          <w:tab w:leader="none" w:pos="34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for achievement of financial and non-financial objectives under our annual incentive program.</w:t>
      </w:r>
    </w:p>
    <w:p>
      <w:pPr>
        <w:spacing w:after="0" w:line="22" w:lineRule="exact"/>
        <w:rPr>
          <w:rFonts w:ascii="Arial" w:cs="Arial" w:eastAsia="Arial" w:hAnsi="Arial"/>
          <w:sz w:val="14"/>
          <w:szCs w:val="14"/>
          <w:color w:val="auto"/>
        </w:rPr>
      </w:pPr>
    </w:p>
    <w:p>
      <w:pPr>
        <w:ind w:left="346" w:hanging="346"/>
        <w:spacing w:after="0"/>
        <w:tabs>
          <w:tab w:leader="none" w:pos="34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values reflect length of service awards, patent awards, and a $2,500 referral bonus for Mr. Marcolini.</w:t>
      </w:r>
    </w:p>
    <w:p>
      <w:pPr>
        <w:spacing w:after="0" w:line="68" w:lineRule="exact"/>
        <w:rPr>
          <w:rFonts w:ascii="Arial" w:cs="Arial" w:eastAsia="Arial" w:hAnsi="Arial"/>
          <w:sz w:val="14"/>
          <w:szCs w:val="14"/>
          <w:color w:val="auto"/>
        </w:rPr>
      </w:pPr>
    </w:p>
    <w:p>
      <w:pPr>
        <w:jc w:val="both"/>
        <w:ind w:left="346" w:right="500" w:hanging="346"/>
        <w:spacing w:after="0" w:line="263" w:lineRule="auto"/>
        <w:tabs>
          <w:tab w:leader="none" w:pos="346"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Company 401(k) matching contributions of $15,750 for our NEOs, a company match under the Executive Deferred Compensation Plan of $36,468 for Ms.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8293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3"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5" w:name="page46"/>
    <w:bookmarkEnd w:id="4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2025 Grants of Plan-Based Awards Table</w:t>
      </w:r>
    </w:p>
    <w:p>
      <w:pPr>
        <w:spacing w:after="0" w:line="95"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89"/>
              <w:spacing w:after="0"/>
              <w:rPr>
                <w:sz w:val="20"/>
                <w:szCs w:val="20"/>
                <w:color w:val="auto"/>
              </w:rPr>
            </w:pPr>
            <w:r>
              <w:rPr>
                <w:rFonts w:ascii="Arial" w:cs="Arial" w:eastAsia="Arial" w:hAnsi="Arial"/>
                <w:sz w:val="13"/>
                <w:szCs w:val="13"/>
                <w:b w:val="1"/>
                <w:bCs w:val="1"/>
                <w:color w:val="auto"/>
              </w:rPr>
              <w:t>ITRON, INC.</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6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220" w:type="dxa"/>
            <w:vAlign w:val="bottom"/>
            <w:tcBorders>
              <w:bottom w:val="single" w:sz="8" w:color="0063A6"/>
            </w:tcBorders>
          </w:tcPr>
          <w:p>
            <w:pPr>
              <w:spacing w:after="0" w:line="20" w:lineRule="exact"/>
              <w:rPr>
                <w:sz w:val="1"/>
                <w:szCs w:val="1"/>
                <w:color w:val="auto"/>
              </w:rPr>
            </w:pPr>
          </w:p>
        </w:tc>
        <w:tc>
          <w:tcPr>
            <w:tcW w:w="70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64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gridSpan w:val="2"/>
          </w:tcPr>
          <w:p>
            <w:pPr>
              <w:spacing w:after="0" w:line="20" w:lineRule="exact"/>
              <w:rPr>
                <w:sz w:val="1"/>
                <w:szCs w:val="1"/>
                <w:color w:val="auto"/>
              </w:rPr>
            </w:pPr>
          </w:p>
        </w:tc>
        <w:tc>
          <w:tcPr>
            <w:tcW w:w="1540" w:type="dxa"/>
            <w:vAlign w:val="bottom"/>
            <w:tcBorders>
              <w:bottom w:val="single" w:sz="8" w:color="0063A6"/>
            </w:tcBorders>
            <w:gridSpan w:val="2"/>
          </w:tcPr>
          <w:p>
            <w:pPr>
              <w:spacing w:after="0" w:line="20" w:lineRule="exact"/>
              <w:rPr>
                <w:sz w:val="1"/>
                <w:szCs w:val="1"/>
                <w:color w:val="auto"/>
              </w:rPr>
            </w:pPr>
          </w:p>
        </w:tc>
        <w:tc>
          <w:tcPr>
            <w:tcW w:w="74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680" w:type="dxa"/>
            <w:vAlign w:val="bottom"/>
            <w:tcBorders>
              <w:bottom w:val="single" w:sz="8" w:color="0063A6"/>
            </w:tcBorders>
          </w:tcPr>
          <w:p>
            <w:pPr>
              <w:spacing w:after="0" w:line="20" w:lineRule="exact"/>
              <w:rPr>
                <w:sz w:val="1"/>
                <w:szCs w:val="1"/>
                <w:color w:val="auto"/>
              </w:rPr>
            </w:pPr>
          </w:p>
        </w:tc>
        <w:tc>
          <w:tcPr>
            <w:tcW w:w="220" w:type="dxa"/>
            <w:vAlign w:val="bottom"/>
            <w:tcBorders>
              <w:bottom w:val="single" w:sz="8" w:color="0063A6"/>
            </w:tcBorders>
          </w:tcPr>
          <w:p>
            <w:pPr>
              <w:spacing w:after="0" w:line="20" w:lineRule="exact"/>
              <w:rPr>
                <w:sz w:val="1"/>
                <w:szCs w:val="1"/>
                <w:color w:val="auto"/>
              </w:rPr>
            </w:pPr>
          </w:p>
        </w:tc>
        <w:tc>
          <w:tcPr>
            <w:tcW w:w="9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5"/>
          </w:tcPr>
          <w:p>
            <w:pPr>
              <w:jc w:val="right"/>
              <w:ind w:right="249"/>
              <w:spacing w:after="0"/>
              <w:rPr>
                <w:sz w:val="20"/>
                <w:szCs w:val="20"/>
                <w:color w:val="auto"/>
              </w:rPr>
            </w:pPr>
            <w:r>
              <w:rPr>
                <w:rFonts w:ascii="Arial" w:cs="Arial" w:eastAsia="Arial" w:hAnsi="Arial"/>
                <w:sz w:val="13"/>
                <w:szCs w:val="13"/>
                <w:b w:val="1"/>
                <w:bCs w:val="1"/>
                <w:color w:val="auto"/>
              </w:rPr>
              <w:t>Grants of Plan-Based Awards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tcPr>
          <w:p>
            <w:pPr>
              <w:spacing w:after="0"/>
              <w:rPr>
                <w:sz w:val="14"/>
                <w:szCs w:val="14"/>
                <w:color w:val="auto"/>
              </w:rPr>
            </w:pPr>
          </w:p>
        </w:tc>
        <w:tc>
          <w:tcPr>
            <w:tcW w:w="8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4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180" w:type="dxa"/>
            <w:vAlign w:val="bottom"/>
            <w:shd w:val="clear" w:color="auto" w:fill="0063A6"/>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4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0" w:type="dxa"/>
            <w:vAlign w:val="bottom"/>
            <w:shd w:val="clear" w:color="auto" w:fill="0063A6"/>
          </w:tcPr>
          <w:p>
            <w:pPr>
              <w:spacing w:after="0"/>
              <w:rPr>
                <w:sz w:val="14"/>
                <w:szCs w:val="14"/>
                <w:color w:val="auto"/>
              </w:rPr>
            </w:pPr>
          </w:p>
        </w:tc>
        <w:tc>
          <w:tcPr>
            <w:tcW w:w="680" w:type="dxa"/>
            <w:vAlign w:val="bottom"/>
            <w:shd w:val="clear" w:color="auto" w:fill="0063A6"/>
          </w:tcPr>
          <w:p>
            <w:pPr>
              <w:jc w:val="right"/>
              <w:ind w:right="51"/>
              <w:spacing w:after="0"/>
              <w:rPr>
                <w:sz w:val="20"/>
                <w:szCs w:val="20"/>
                <w:color w:val="auto"/>
              </w:rPr>
            </w:pPr>
            <w:r>
              <w:rPr>
                <w:rFonts w:ascii="Arial" w:cs="Arial" w:eastAsia="Arial" w:hAnsi="Arial"/>
                <w:sz w:val="13"/>
                <w:szCs w:val="13"/>
                <w:b w:val="1"/>
                <w:bCs w:val="1"/>
                <w:color w:val="FFFFFF"/>
                <w:w w:val="98"/>
              </w:rPr>
              <w:t>All Other</w:t>
            </w:r>
          </w:p>
        </w:tc>
        <w:tc>
          <w:tcPr>
            <w:tcW w:w="22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60" w:type="dxa"/>
            <w:vAlign w:val="bottom"/>
            <w:shd w:val="clear" w:color="auto" w:fill="0063A6"/>
          </w:tcPr>
          <w:p>
            <w:pPr>
              <w:spacing w:after="0"/>
              <w:rPr>
                <w:sz w:val="11"/>
                <w:szCs w:val="11"/>
                <w:color w:val="auto"/>
              </w:rPr>
            </w:pPr>
          </w:p>
        </w:tc>
        <w:tc>
          <w:tcPr>
            <w:tcW w:w="100" w:type="dxa"/>
            <w:vAlign w:val="bottom"/>
            <w:shd w:val="clear" w:color="auto" w:fill="0063A6"/>
          </w:tcPr>
          <w:p>
            <w:pPr>
              <w:spacing w:after="0"/>
              <w:rPr>
                <w:sz w:val="11"/>
                <w:szCs w:val="11"/>
                <w:color w:val="auto"/>
              </w:rPr>
            </w:pPr>
          </w:p>
        </w:tc>
        <w:tc>
          <w:tcPr>
            <w:tcW w:w="2580" w:type="dxa"/>
            <w:vAlign w:val="bottom"/>
            <w:gridSpan w:val="5"/>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Estimated Future Payouts Under</w:t>
            </w:r>
          </w:p>
        </w:tc>
        <w:tc>
          <w:tcPr>
            <w:tcW w:w="40" w:type="dxa"/>
            <w:vAlign w:val="bottom"/>
            <w:shd w:val="clear" w:color="auto" w:fill="0063A6"/>
          </w:tcPr>
          <w:p>
            <w:pPr>
              <w:spacing w:after="0"/>
              <w:rPr>
                <w:sz w:val="11"/>
                <w:szCs w:val="11"/>
                <w:color w:val="auto"/>
              </w:rPr>
            </w:pPr>
          </w:p>
        </w:tc>
        <w:tc>
          <w:tcPr>
            <w:tcW w:w="60" w:type="dxa"/>
            <w:vAlign w:val="bottom"/>
            <w:shd w:val="clear" w:color="auto" w:fill="0063A6"/>
          </w:tcPr>
          <w:p>
            <w:pPr>
              <w:spacing w:after="0"/>
              <w:rPr>
                <w:sz w:val="11"/>
                <w:szCs w:val="11"/>
                <w:color w:val="auto"/>
              </w:rPr>
            </w:pPr>
          </w:p>
        </w:tc>
        <w:tc>
          <w:tcPr>
            <w:tcW w:w="2280" w:type="dxa"/>
            <w:vAlign w:val="bottom"/>
            <w:gridSpan w:val="3"/>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Estimated Future Payouts Under</w:t>
            </w:r>
          </w:p>
        </w:tc>
        <w:tc>
          <w:tcPr>
            <w:tcW w:w="100" w:type="dxa"/>
            <w:vAlign w:val="bottom"/>
            <w:shd w:val="clear" w:color="auto" w:fill="0063A6"/>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80" w:type="dxa"/>
            <w:vAlign w:val="bottom"/>
            <w:shd w:val="clear" w:color="auto" w:fill="0063A6"/>
          </w:tcPr>
          <w:p>
            <w:pPr>
              <w:jc w:val="right"/>
              <w:ind w:right="51"/>
              <w:spacing w:after="0" w:line="135" w:lineRule="exact"/>
              <w:rPr>
                <w:sz w:val="20"/>
                <w:szCs w:val="20"/>
                <w:color w:val="auto"/>
              </w:rPr>
            </w:pPr>
            <w:r>
              <w:rPr>
                <w:rFonts w:ascii="Arial" w:cs="Arial" w:eastAsia="Arial" w:hAnsi="Arial"/>
                <w:sz w:val="13"/>
                <w:szCs w:val="13"/>
                <w:b w:val="1"/>
                <w:bCs w:val="1"/>
                <w:color w:val="FFFFFF"/>
              </w:rPr>
              <w:t>Stock</w:t>
            </w:r>
          </w:p>
        </w:tc>
        <w:tc>
          <w:tcPr>
            <w:tcW w:w="220" w:type="dxa"/>
            <w:vAlign w:val="bottom"/>
            <w:shd w:val="clear" w:color="auto" w:fill="0063A6"/>
          </w:tcPr>
          <w:p>
            <w:pPr>
              <w:spacing w:after="0"/>
              <w:rPr>
                <w:sz w:val="11"/>
                <w:szCs w:val="11"/>
                <w:color w:val="auto"/>
              </w:rPr>
            </w:pPr>
          </w:p>
        </w:tc>
        <w:tc>
          <w:tcPr>
            <w:tcW w:w="92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80" w:type="dxa"/>
            <w:vAlign w:val="bottom"/>
            <w:shd w:val="clear" w:color="auto" w:fill="0063A6"/>
          </w:tcPr>
          <w:p>
            <w:pPr>
              <w:spacing w:after="0"/>
              <w:rPr>
                <w:sz w:val="7"/>
                <w:szCs w:val="7"/>
                <w:color w:val="auto"/>
              </w:rPr>
            </w:pPr>
          </w:p>
        </w:tc>
        <w:tc>
          <w:tcPr>
            <w:tcW w:w="660" w:type="dxa"/>
            <w:vAlign w:val="bottom"/>
            <w:shd w:val="clear" w:color="auto" w:fill="0063A6"/>
          </w:tcPr>
          <w:p>
            <w:pPr>
              <w:spacing w:after="0"/>
              <w:rPr>
                <w:sz w:val="7"/>
                <w:szCs w:val="7"/>
                <w:color w:val="auto"/>
              </w:rPr>
            </w:pPr>
          </w:p>
        </w:tc>
        <w:tc>
          <w:tcPr>
            <w:tcW w:w="100" w:type="dxa"/>
            <w:vAlign w:val="bottom"/>
            <w:shd w:val="clear" w:color="auto" w:fill="0063A6"/>
          </w:tcPr>
          <w:p>
            <w:pPr>
              <w:spacing w:after="0"/>
              <w:rPr>
                <w:sz w:val="7"/>
                <w:szCs w:val="7"/>
                <w:color w:val="auto"/>
              </w:rPr>
            </w:pPr>
          </w:p>
        </w:tc>
        <w:tc>
          <w:tcPr>
            <w:tcW w:w="2580" w:type="dxa"/>
            <w:vAlign w:val="bottom"/>
            <w:gridSpan w:val="5"/>
            <w:vMerge w:val="continue"/>
            <w:shd w:val="clear" w:color="auto" w:fill="0063A6"/>
          </w:tcPr>
          <w:p>
            <w:pPr>
              <w:spacing w:after="0"/>
              <w:rPr>
                <w:sz w:val="7"/>
                <w:szCs w:val="7"/>
                <w:color w:val="auto"/>
              </w:rPr>
            </w:pPr>
          </w:p>
        </w:tc>
        <w:tc>
          <w:tcPr>
            <w:tcW w:w="40" w:type="dxa"/>
            <w:vAlign w:val="bottom"/>
            <w:shd w:val="clear" w:color="auto" w:fill="0063A6"/>
          </w:tcPr>
          <w:p>
            <w:pPr>
              <w:spacing w:after="0"/>
              <w:rPr>
                <w:sz w:val="7"/>
                <w:szCs w:val="7"/>
                <w:color w:val="auto"/>
              </w:rPr>
            </w:pPr>
          </w:p>
        </w:tc>
        <w:tc>
          <w:tcPr>
            <w:tcW w:w="60" w:type="dxa"/>
            <w:vAlign w:val="bottom"/>
            <w:shd w:val="clear" w:color="auto" w:fill="0063A6"/>
          </w:tcPr>
          <w:p>
            <w:pPr>
              <w:spacing w:after="0"/>
              <w:rPr>
                <w:sz w:val="7"/>
                <w:szCs w:val="7"/>
                <w:color w:val="auto"/>
              </w:rPr>
            </w:pPr>
          </w:p>
        </w:tc>
        <w:tc>
          <w:tcPr>
            <w:tcW w:w="2280" w:type="dxa"/>
            <w:vAlign w:val="bottom"/>
            <w:gridSpan w:val="3"/>
            <w:vMerge w:val="continue"/>
            <w:shd w:val="clear" w:color="auto" w:fill="0063A6"/>
          </w:tcPr>
          <w:p>
            <w:pPr>
              <w:spacing w:after="0"/>
              <w:rPr>
                <w:sz w:val="7"/>
                <w:szCs w:val="7"/>
                <w:color w:val="auto"/>
              </w:rPr>
            </w:pPr>
          </w:p>
        </w:tc>
        <w:tc>
          <w:tcPr>
            <w:tcW w:w="100" w:type="dxa"/>
            <w:vAlign w:val="bottom"/>
            <w:shd w:val="clear" w:color="auto" w:fill="0063A6"/>
          </w:tcPr>
          <w:p>
            <w:pPr>
              <w:spacing w:after="0"/>
              <w:rPr>
                <w:sz w:val="7"/>
                <w:szCs w:val="7"/>
                <w:color w:val="auto"/>
              </w:rPr>
            </w:pPr>
          </w:p>
        </w:tc>
        <w:tc>
          <w:tcPr>
            <w:tcW w:w="80" w:type="dxa"/>
            <w:vAlign w:val="bottom"/>
            <w:shd w:val="clear" w:color="auto" w:fill="0063A6"/>
          </w:tcPr>
          <w:p>
            <w:pPr>
              <w:spacing w:after="0"/>
              <w:rPr>
                <w:sz w:val="7"/>
                <w:szCs w:val="7"/>
                <w:color w:val="auto"/>
              </w:rPr>
            </w:pPr>
          </w:p>
        </w:tc>
        <w:tc>
          <w:tcPr>
            <w:tcW w:w="680" w:type="dxa"/>
            <w:vAlign w:val="bottom"/>
            <w:vMerge w:val="restart"/>
            <w:shd w:val="clear" w:color="auto" w:fill="0063A6"/>
          </w:tcPr>
          <w:p>
            <w:pPr>
              <w:jc w:val="right"/>
              <w:ind w:right="51"/>
              <w:spacing w:after="0"/>
              <w:rPr>
                <w:sz w:val="20"/>
                <w:szCs w:val="20"/>
                <w:color w:val="auto"/>
              </w:rPr>
            </w:pPr>
            <w:r>
              <w:rPr>
                <w:rFonts w:ascii="Arial" w:cs="Arial" w:eastAsia="Arial" w:hAnsi="Arial"/>
                <w:sz w:val="13"/>
                <w:szCs w:val="13"/>
                <w:b w:val="1"/>
                <w:bCs w:val="1"/>
                <w:color w:val="FFFFFF"/>
              </w:rPr>
              <w:t>Awards:</w:t>
            </w:r>
          </w:p>
        </w:tc>
        <w:tc>
          <w:tcPr>
            <w:tcW w:w="220" w:type="dxa"/>
            <w:vAlign w:val="bottom"/>
            <w:shd w:val="clear" w:color="auto" w:fill="0063A6"/>
          </w:tcPr>
          <w:p>
            <w:pPr>
              <w:spacing w:after="0"/>
              <w:rPr>
                <w:sz w:val="7"/>
                <w:szCs w:val="7"/>
                <w:color w:val="auto"/>
              </w:rPr>
            </w:pPr>
          </w:p>
        </w:tc>
        <w:tc>
          <w:tcPr>
            <w:tcW w:w="920" w:type="dxa"/>
            <w:vAlign w:val="bottom"/>
            <w:vMerge w:val="restart"/>
            <w:shd w:val="clear" w:color="auto" w:fill="0063A6"/>
          </w:tcPr>
          <w:p>
            <w:pPr>
              <w:jc w:val="right"/>
              <w:ind w:right="130"/>
              <w:spacing w:after="0"/>
              <w:rPr>
                <w:sz w:val="20"/>
                <w:szCs w:val="20"/>
                <w:color w:val="auto"/>
              </w:rPr>
            </w:pPr>
            <w:r>
              <w:rPr>
                <w:rFonts w:ascii="Arial" w:cs="Arial" w:eastAsia="Arial" w:hAnsi="Arial"/>
                <w:sz w:val="13"/>
                <w:szCs w:val="13"/>
                <w:b w:val="1"/>
                <w:bCs w:val="1"/>
                <w:color w:val="FFFFFF"/>
              </w:rPr>
              <w:t>Grant</w:t>
            </w: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80" w:type="dxa"/>
            <w:vAlign w:val="bottom"/>
            <w:shd w:val="clear" w:color="auto" w:fill="0063A6"/>
          </w:tcPr>
          <w:p>
            <w:pPr>
              <w:spacing w:after="0"/>
              <w:rPr>
                <w:sz w:val="10"/>
                <w:szCs w:val="10"/>
                <w:color w:val="auto"/>
              </w:rPr>
            </w:pPr>
          </w:p>
        </w:tc>
        <w:tc>
          <w:tcPr>
            <w:tcW w:w="660" w:type="dxa"/>
            <w:vAlign w:val="bottom"/>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2580" w:type="dxa"/>
            <w:vAlign w:val="bottom"/>
            <w:gridSpan w:val="5"/>
            <w:shd w:val="clear" w:color="auto" w:fill="0063A6"/>
          </w:tcPr>
          <w:p>
            <w:pPr>
              <w:ind w:left="540"/>
              <w:spacing w:after="0" w:line="126" w:lineRule="exact"/>
              <w:rPr>
                <w:sz w:val="20"/>
                <w:szCs w:val="20"/>
                <w:color w:val="auto"/>
              </w:rPr>
            </w:pPr>
            <w:r>
              <w:rPr>
                <w:rFonts w:ascii="Arial" w:cs="Arial" w:eastAsia="Arial" w:hAnsi="Arial"/>
                <w:sz w:val="13"/>
                <w:szCs w:val="13"/>
                <w:b w:val="1"/>
                <w:bCs w:val="1"/>
                <w:color w:val="FFFFFF"/>
                <w:w w:val="95"/>
              </w:rPr>
              <w:t>Non-Equity Incentive Plan Awards</w:t>
            </w:r>
          </w:p>
        </w:tc>
        <w:tc>
          <w:tcPr>
            <w:tcW w:w="40" w:type="dxa"/>
            <w:vAlign w:val="bottom"/>
            <w:shd w:val="clear" w:color="auto" w:fill="0063A6"/>
          </w:tcPr>
          <w:p>
            <w:pPr>
              <w:spacing w:after="0"/>
              <w:rPr>
                <w:sz w:val="10"/>
                <w:szCs w:val="10"/>
                <w:color w:val="auto"/>
              </w:rPr>
            </w:pPr>
          </w:p>
        </w:tc>
        <w:tc>
          <w:tcPr>
            <w:tcW w:w="60" w:type="dxa"/>
            <w:vAlign w:val="bottom"/>
            <w:shd w:val="clear" w:color="auto" w:fill="0063A6"/>
          </w:tcPr>
          <w:p>
            <w:pPr>
              <w:spacing w:after="0"/>
              <w:rPr>
                <w:sz w:val="10"/>
                <w:szCs w:val="10"/>
                <w:color w:val="auto"/>
              </w:rPr>
            </w:pPr>
          </w:p>
        </w:tc>
        <w:tc>
          <w:tcPr>
            <w:tcW w:w="2280" w:type="dxa"/>
            <w:vAlign w:val="bottom"/>
            <w:gridSpan w:val="3"/>
            <w:shd w:val="clear" w:color="auto" w:fill="0063A6"/>
          </w:tcPr>
          <w:p>
            <w:pPr>
              <w:jc w:val="right"/>
              <w:spacing w:after="0" w:line="126" w:lineRule="exact"/>
              <w:rPr>
                <w:sz w:val="20"/>
                <w:szCs w:val="20"/>
                <w:color w:val="auto"/>
              </w:rPr>
            </w:pPr>
            <w:r>
              <w:rPr>
                <w:rFonts w:ascii="Arial" w:cs="Arial" w:eastAsia="Arial" w:hAnsi="Arial"/>
                <w:sz w:val="13"/>
                <w:szCs w:val="13"/>
                <w:b w:val="1"/>
                <w:bCs w:val="1"/>
                <w:color w:val="FFFFFF"/>
              </w:rPr>
              <w:t>Equity Incentive Plan Awards</w:t>
            </w:r>
          </w:p>
        </w:tc>
        <w:tc>
          <w:tcPr>
            <w:tcW w:w="100" w:type="dxa"/>
            <w:vAlign w:val="bottom"/>
            <w:shd w:val="clear" w:color="auto" w:fill="0063A6"/>
          </w:tcPr>
          <w:p>
            <w:pPr>
              <w:spacing w:after="0"/>
              <w:rPr>
                <w:sz w:val="10"/>
                <w:szCs w:val="10"/>
                <w:color w:val="auto"/>
              </w:rPr>
            </w:pPr>
          </w:p>
        </w:tc>
        <w:tc>
          <w:tcPr>
            <w:tcW w:w="80" w:type="dxa"/>
            <w:vAlign w:val="bottom"/>
            <w:shd w:val="clear" w:color="auto" w:fill="0063A6"/>
          </w:tcPr>
          <w:p>
            <w:pPr>
              <w:spacing w:after="0"/>
              <w:rPr>
                <w:sz w:val="10"/>
                <w:szCs w:val="10"/>
                <w:color w:val="auto"/>
              </w:rPr>
            </w:pPr>
          </w:p>
        </w:tc>
        <w:tc>
          <w:tcPr>
            <w:tcW w:w="680" w:type="dxa"/>
            <w:vAlign w:val="bottom"/>
            <w:vMerge w:val="continue"/>
            <w:shd w:val="clear" w:color="auto" w:fill="0063A6"/>
          </w:tcPr>
          <w:p>
            <w:pPr>
              <w:spacing w:after="0"/>
              <w:rPr>
                <w:sz w:val="10"/>
                <w:szCs w:val="10"/>
                <w:color w:val="auto"/>
              </w:rPr>
            </w:pPr>
          </w:p>
        </w:tc>
        <w:tc>
          <w:tcPr>
            <w:tcW w:w="220" w:type="dxa"/>
            <w:vAlign w:val="bottom"/>
            <w:shd w:val="clear" w:color="auto" w:fill="0063A6"/>
          </w:tcPr>
          <w:p>
            <w:pPr>
              <w:spacing w:after="0"/>
              <w:rPr>
                <w:sz w:val="10"/>
                <w:szCs w:val="10"/>
                <w:color w:val="auto"/>
              </w:rPr>
            </w:pPr>
          </w:p>
        </w:tc>
        <w:tc>
          <w:tcPr>
            <w:tcW w:w="920" w:type="dxa"/>
            <w:vAlign w:val="bottom"/>
            <w:vMerge w:val="continue"/>
            <w:shd w:val="clear" w:color="auto" w:fill="0063A6"/>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80" w:type="dxa"/>
            <w:vAlign w:val="bottom"/>
            <w:shd w:val="clear" w:color="auto" w:fill="0063A6"/>
          </w:tcPr>
          <w:p>
            <w:pPr>
              <w:spacing w:after="0"/>
              <w:rPr>
                <w:sz w:val="8"/>
                <w:szCs w:val="8"/>
                <w:color w:val="auto"/>
              </w:rPr>
            </w:pPr>
          </w:p>
        </w:tc>
        <w:tc>
          <w:tcPr>
            <w:tcW w:w="660" w:type="dxa"/>
            <w:vAlign w:val="bottom"/>
            <w:shd w:val="clear" w:color="auto" w:fill="0063A6"/>
          </w:tcPr>
          <w:p>
            <w:pPr>
              <w:spacing w:after="0"/>
              <w:rPr>
                <w:sz w:val="8"/>
                <w:szCs w:val="8"/>
                <w:color w:val="auto"/>
              </w:rPr>
            </w:pPr>
          </w:p>
        </w:tc>
        <w:tc>
          <w:tcPr>
            <w:tcW w:w="100" w:type="dxa"/>
            <w:vAlign w:val="bottom"/>
            <w:shd w:val="clear" w:color="auto" w:fill="0063A6"/>
          </w:tcPr>
          <w:p>
            <w:pPr>
              <w:spacing w:after="0"/>
              <w:rPr>
                <w:sz w:val="8"/>
                <w:szCs w:val="8"/>
                <w:color w:val="auto"/>
              </w:rPr>
            </w:pPr>
          </w:p>
        </w:tc>
        <w:tc>
          <w:tcPr>
            <w:tcW w:w="840" w:type="dxa"/>
            <w:vAlign w:val="bottom"/>
            <w:shd w:val="clear" w:color="auto" w:fill="0063A6"/>
          </w:tcPr>
          <w:p>
            <w:pPr>
              <w:spacing w:after="0"/>
              <w:rPr>
                <w:sz w:val="8"/>
                <w:szCs w:val="8"/>
                <w:color w:val="auto"/>
              </w:rPr>
            </w:pPr>
          </w:p>
        </w:tc>
        <w:tc>
          <w:tcPr>
            <w:tcW w:w="220" w:type="dxa"/>
            <w:vAlign w:val="bottom"/>
            <w:shd w:val="clear" w:color="auto" w:fill="0063A6"/>
          </w:tcPr>
          <w:p>
            <w:pPr>
              <w:spacing w:after="0"/>
              <w:rPr>
                <w:sz w:val="8"/>
                <w:szCs w:val="8"/>
                <w:color w:val="auto"/>
              </w:rPr>
            </w:pPr>
          </w:p>
        </w:tc>
        <w:tc>
          <w:tcPr>
            <w:tcW w:w="700" w:type="dxa"/>
            <w:vAlign w:val="bottom"/>
            <w:shd w:val="clear" w:color="auto" w:fill="0063A6"/>
          </w:tcPr>
          <w:p>
            <w:pPr>
              <w:spacing w:after="0"/>
              <w:rPr>
                <w:sz w:val="8"/>
                <w:szCs w:val="8"/>
                <w:color w:val="auto"/>
              </w:rPr>
            </w:pPr>
          </w:p>
        </w:tc>
        <w:tc>
          <w:tcPr>
            <w:tcW w:w="180" w:type="dxa"/>
            <w:vAlign w:val="bottom"/>
            <w:shd w:val="clear" w:color="auto" w:fill="0063A6"/>
          </w:tcPr>
          <w:p>
            <w:pPr>
              <w:spacing w:after="0"/>
              <w:rPr>
                <w:sz w:val="8"/>
                <w:szCs w:val="8"/>
                <w:color w:val="auto"/>
              </w:rPr>
            </w:pPr>
          </w:p>
        </w:tc>
        <w:tc>
          <w:tcPr>
            <w:tcW w:w="640" w:type="dxa"/>
            <w:vAlign w:val="bottom"/>
            <w:shd w:val="clear" w:color="auto" w:fill="0063A6"/>
          </w:tcPr>
          <w:p>
            <w:pPr>
              <w:spacing w:after="0"/>
              <w:rPr>
                <w:sz w:val="8"/>
                <w:szCs w:val="8"/>
                <w:color w:val="auto"/>
              </w:rPr>
            </w:pPr>
          </w:p>
        </w:tc>
        <w:tc>
          <w:tcPr>
            <w:tcW w:w="40" w:type="dxa"/>
            <w:vAlign w:val="bottom"/>
            <w:shd w:val="clear" w:color="auto" w:fill="0063A6"/>
          </w:tcPr>
          <w:p>
            <w:pPr>
              <w:spacing w:after="0"/>
              <w:rPr>
                <w:sz w:val="8"/>
                <w:szCs w:val="8"/>
                <w:color w:val="auto"/>
              </w:rPr>
            </w:pPr>
          </w:p>
        </w:tc>
        <w:tc>
          <w:tcPr>
            <w:tcW w:w="60" w:type="dxa"/>
            <w:vAlign w:val="bottom"/>
            <w:shd w:val="clear" w:color="auto" w:fill="0063A6"/>
          </w:tcPr>
          <w:p>
            <w:pPr>
              <w:spacing w:after="0"/>
              <w:rPr>
                <w:sz w:val="8"/>
                <w:szCs w:val="8"/>
                <w:color w:val="auto"/>
              </w:rPr>
            </w:pPr>
          </w:p>
        </w:tc>
        <w:tc>
          <w:tcPr>
            <w:tcW w:w="860" w:type="dxa"/>
            <w:vAlign w:val="bottom"/>
            <w:shd w:val="clear" w:color="auto" w:fill="0063A6"/>
          </w:tcPr>
          <w:p>
            <w:pPr>
              <w:spacing w:after="0"/>
              <w:rPr>
                <w:sz w:val="8"/>
                <w:szCs w:val="8"/>
                <w:color w:val="auto"/>
              </w:rPr>
            </w:pPr>
          </w:p>
        </w:tc>
        <w:tc>
          <w:tcPr>
            <w:tcW w:w="680" w:type="dxa"/>
            <w:vAlign w:val="bottom"/>
            <w:shd w:val="clear" w:color="auto" w:fill="0063A6"/>
          </w:tcPr>
          <w:p>
            <w:pPr>
              <w:spacing w:after="0"/>
              <w:rPr>
                <w:sz w:val="8"/>
                <w:szCs w:val="8"/>
                <w:color w:val="auto"/>
              </w:rPr>
            </w:pPr>
          </w:p>
        </w:tc>
        <w:tc>
          <w:tcPr>
            <w:tcW w:w="740" w:type="dxa"/>
            <w:vAlign w:val="bottom"/>
            <w:shd w:val="clear" w:color="auto" w:fill="0063A6"/>
          </w:tcPr>
          <w:p>
            <w:pPr>
              <w:spacing w:after="0"/>
              <w:rPr>
                <w:sz w:val="8"/>
                <w:szCs w:val="8"/>
                <w:color w:val="auto"/>
              </w:rPr>
            </w:pPr>
          </w:p>
        </w:tc>
        <w:tc>
          <w:tcPr>
            <w:tcW w:w="100" w:type="dxa"/>
            <w:vAlign w:val="bottom"/>
            <w:shd w:val="clear" w:color="auto" w:fill="0063A6"/>
          </w:tcPr>
          <w:p>
            <w:pPr>
              <w:spacing w:after="0"/>
              <w:rPr>
                <w:sz w:val="8"/>
                <w:szCs w:val="8"/>
                <w:color w:val="auto"/>
              </w:rPr>
            </w:pPr>
          </w:p>
        </w:tc>
        <w:tc>
          <w:tcPr>
            <w:tcW w:w="80" w:type="dxa"/>
            <w:vAlign w:val="bottom"/>
            <w:shd w:val="clear" w:color="auto" w:fill="0063A6"/>
          </w:tcPr>
          <w:p>
            <w:pPr>
              <w:spacing w:after="0"/>
              <w:rPr>
                <w:sz w:val="8"/>
                <w:szCs w:val="8"/>
                <w:color w:val="auto"/>
              </w:rPr>
            </w:pPr>
          </w:p>
        </w:tc>
        <w:tc>
          <w:tcPr>
            <w:tcW w:w="680" w:type="dxa"/>
            <w:vAlign w:val="bottom"/>
            <w:shd w:val="clear" w:color="auto" w:fill="0063A6"/>
          </w:tcPr>
          <w:p>
            <w:pPr>
              <w:jc w:val="right"/>
              <w:ind w:right="51"/>
              <w:spacing w:after="0" w:line="95" w:lineRule="exact"/>
              <w:rPr>
                <w:sz w:val="20"/>
                <w:szCs w:val="20"/>
                <w:color w:val="auto"/>
              </w:rPr>
            </w:pPr>
            <w:r>
              <w:rPr>
                <w:rFonts w:ascii="Arial" w:cs="Arial" w:eastAsia="Arial" w:hAnsi="Arial"/>
                <w:sz w:val="10"/>
                <w:szCs w:val="10"/>
                <w:b w:val="1"/>
                <w:bCs w:val="1"/>
                <w:color w:val="FFFFFF"/>
              </w:rPr>
              <w:t>Number</w:t>
            </w:r>
          </w:p>
        </w:tc>
        <w:tc>
          <w:tcPr>
            <w:tcW w:w="220" w:type="dxa"/>
            <w:vAlign w:val="bottom"/>
            <w:shd w:val="clear" w:color="auto" w:fill="0063A6"/>
          </w:tcPr>
          <w:p>
            <w:pPr>
              <w:spacing w:after="0"/>
              <w:rPr>
                <w:sz w:val="8"/>
                <w:szCs w:val="8"/>
                <w:color w:val="auto"/>
              </w:rPr>
            </w:pPr>
          </w:p>
        </w:tc>
        <w:tc>
          <w:tcPr>
            <w:tcW w:w="920" w:type="dxa"/>
            <w:vAlign w:val="bottom"/>
            <w:shd w:val="clear" w:color="auto" w:fill="0063A6"/>
          </w:tcPr>
          <w:p>
            <w:pPr>
              <w:jc w:val="right"/>
              <w:ind w:right="130"/>
              <w:spacing w:after="0" w:line="95" w:lineRule="exact"/>
              <w:rPr>
                <w:sz w:val="20"/>
                <w:szCs w:val="20"/>
                <w:color w:val="auto"/>
              </w:rPr>
            </w:pPr>
            <w:r>
              <w:rPr>
                <w:rFonts w:ascii="Arial" w:cs="Arial" w:eastAsia="Arial" w:hAnsi="Arial"/>
                <w:sz w:val="10"/>
                <w:szCs w:val="10"/>
                <w:b w:val="1"/>
                <w:bCs w:val="1"/>
                <w:color w:val="FFFFFF"/>
              </w:rPr>
              <w:t>Date</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60" w:type="dxa"/>
            <w:vAlign w:val="bottom"/>
            <w:shd w:val="clear" w:color="auto" w:fill="0063A6"/>
          </w:tcPr>
          <w:p>
            <w:pPr>
              <w:spacing w:after="0"/>
              <w:rPr>
                <w:sz w:val="11"/>
                <w:szCs w:val="11"/>
                <w:color w:val="auto"/>
              </w:rPr>
            </w:pPr>
          </w:p>
        </w:tc>
        <w:tc>
          <w:tcPr>
            <w:tcW w:w="100" w:type="dxa"/>
            <w:vAlign w:val="bottom"/>
            <w:shd w:val="clear" w:color="auto" w:fill="0063A6"/>
          </w:tcPr>
          <w:p>
            <w:pPr>
              <w:spacing w:after="0"/>
              <w:rPr>
                <w:sz w:val="11"/>
                <w:szCs w:val="11"/>
                <w:color w:val="auto"/>
              </w:rPr>
            </w:pPr>
          </w:p>
        </w:tc>
        <w:tc>
          <w:tcPr>
            <w:tcW w:w="840" w:type="dxa"/>
            <w:vAlign w:val="bottom"/>
            <w:shd w:val="clear" w:color="auto" w:fill="0063A6"/>
          </w:tcPr>
          <w:p>
            <w:pPr>
              <w:spacing w:after="0"/>
              <w:rPr>
                <w:sz w:val="11"/>
                <w:szCs w:val="11"/>
                <w:color w:val="auto"/>
              </w:rPr>
            </w:pPr>
          </w:p>
        </w:tc>
        <w:tc>
          <w:tcPr>
            <w:tcW w:w="220" w:type="dxa"/>
            <w:vAlign w:val="bottom"/>
            <w:shd w:val="clear" w:color="auto" w:fill="0063A6"/>
          </w:tcPr>
          <w:p>
            <w:pPr>
              <w:spacing w:after="0"/>
              <w:rPr>
                <w:sz w:val="11"/>
                <w:szCs w:val="11"/>
                <w:color w:val="auto"/>
              </w:rPr>
            </w:pPr>
          </w:p>
        </w:tc>
        <w:tc>
          <w:tcPr>
            <w:tcW w:w="700" w:type="dxa"/>
            <w:vAlign w:val="bottom"/>
            <w:shd w:val="clear" w:color="auto" w:fill="0063A6"/>
          </w:tcPr>
          <w:p>
            <w:pPr>
              <w:spacing w:after="0"/>
              <w:rPr>
                <w:sz w:val="11"/>
                <w:szCs w:val="11"/>
                <w:color w:val="auto"/>
              </w:rPr>
            </w:pPr>
          </w:p>
        </w:tc>
        <w:tc>
          <w:tcPr>
            <w:tcW w:w="180" w:type="dxa"/>
            <w:vAlign w:val="bottom"/>
            <w:shd w:val="clear" w:color="auto" w:fill="0063A6"/>
          </w:tcPr>
          <w:p>
            <w:pPr>
              <w:spacing w:after="0"/>
              <w:rPr>
                <w:sz w:val="11"/>
                <w:szCs w:val="11"/>
                <w:color w:val="auto"/>
              </w:rPr>
            </w:pPr>
          </w:p>
        </w:tc>
        <w:tc>
          <w:tcPr>
            <w:tcW w:w="64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60" w:type="dxa"/>
            <w:vAlign w:val="bottom"/>
            <w:shd w:val="clear" w:color="auto" w:fill="0063A6"/>
          </w:tcPr>
          <w:p>
            <w:pPr>
              <w:spacing w:after="0"/>
              <w:rPr>
                <w:sz w:val="11"/>
                <w:szCs w:val="11"/>
                <w:color w:val="auto"/>
              </w:rPr>
            </w:pPr>
          </w:p>
        </w:tc>
        <w:tc>
          <w:tcPr>
            <w:tcW w:w="860" w:type="dxa"/>
            <w:vAlign w:val="bottom"/>
            <w:shd w:val="clear" w:color="auto" w:fill="0063A6"/>
          </w:tcPr>
          <w:p>
            <w:pPr>
              <w:spacing w:after="0"/>
              <w:rPr>
                <w:sz w:val="11"/>
                <w:szCs w:val="11"/>
                <w:color w:val="auto"/>
              </w:rPr>
            </w:pPr>
          </w:p>
        </w:tc>
        <w:tc>
          <w:tcPr>
            <w:tcW w:w="680" w:type="dxa"/>
            <w:vAlign w:val="bottom"/>
            <w:shd w:val="clear" w:color="auto" w:fill="0063A6"/>
          </w:tcPr>
          <w:p>
            <w:pPr>
              <w:spacing w:after="0"/>
              <w:rPr>
                <w:sz w:val="11"/>
                <w:szCs w:val="11"/>
                <w:color w:val="auto"/>
              </w:rPr>
            </w:pPr>
          </w:p>
        </w:tc>
        <w:tc>
          <w:tcPr>
            <w:tcW w:w="740" w:type="dxa"/>
            <w:vAlign w:val="bottom"/>
            <w:shd w:val="clear" w:color="auto" w:fill="0063A6"/>
          </w:tcPr>
          <w:p>
            <w:pPr>
              <w:spacing w:after="0"/>
              <w:rPr>
                <w:sz w:val="11"/>
                <w:szCs w:val="11"/>
                <w:color w:val="auto"/>
              </w:rPr>
            </w:pPr>
          </w:p>
        </w:tc>
        <w:tc>
          <w:tcPr>
            <w:tcW w:w="100" w:type="dxa"/>
            <w:vAlign w:val="bottom"/>
            <w:shd w:val="clear" w:color="auto" w:fill="0063A6"/>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80" w:type="dxa"/>
            <w:vAlign w:val="bottom"/>
            <w:shd w:val="clear" w:color="auto" w:fill="0063A6"/>
          </w:tcPr>
          <w:p>
            <w:pPr>
              <w:jc w:val="right"/>
              <w:ind w:right="31"/>
              <w:spacing w:after="0" w:line="135" w:lineRule="exact"/>
              <w:rPr>
                <w:sz w:val="20"/>
                <w:szCs w:val="20"/>
                <w:color w:val="auto"/>
              </w:rPr>
            </w:pPr>
            <w:r>
              <w:rPr>
                <w:rFonts w:ascii="Arial" w:cs="Arial" w:eastAsia="Arial" w:hAnsi="Arial"/>
                <w:sz w:val="13"/>
                <w:szCs w:val="13"/>
                <w:b w:val="1"/>
                <w:bCs w:val="1"/>
                <w:color w:val="FFFFFF"/>
                <w:w w:val="94"/>
              </w:rPr>
              <w:t>of Shares</w:t>
            </w:r>
          </w:p>
        </w:tc>
        <w:tc>
          <w:tcPr>
            <w:tcW w:w="220" w:type="dxa"/>
            <w:vAlign w:val="bottom"/>
            <w:shd w:val="clear" w:color="auto" w:fill="0063A6"/>
          </w:tcPr>
          <w:p>
            <w:pPr>
              <w:spacing w:after="0"/>
              <w:rPr>
                <w:sz w:val="11"/>
                <w:szCs w:val="11"/>
                <w:color w:val="auto"/>
              </w:rPr>
            </w:pPr>
          </w:p>
        </w:tc>
        <w:tc>
          <w:tcPr>
            <w:tcW w:w="920" w:type="dxa"/>
            <w:vAlign w:val="bottom"/>
            <w:shd w:val="clear" w:color="auto" w:fill="0063A6"/>
          </w:tcPr>
          <w:p>
            <w:pPr>
              <w:jc w:val="right"/>
              <w:ind w:right="130"/>
              <w:spacing w:after="0" w:line="135" w:lineRule="exact"/>
              <w:rPr>
                <w:sz w:val="20"/>
                <w:szCs w:val="20"/>
                <w:color w:val="auto"/>
              </w:rPr>
            </w:pPr>
            <w:r>
              <w:rPr>
                <w:rFonts w:ascii="Arial" w:cs="Arial" w:eastAsia="Arial" w:hAnsi="Arial"/>
                <w:sz w:val="13"/>
                <w:szCs w:val="13"/>
                <w:b w:val="1"/>
                <w:bCs w:val="1"/>
                <w:color w:val="FFFFFF"/>
              </w:rPr>
              <w:t>Fair</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6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Grant</w:t>
            </w:r>
          </w:p>
        </w:tc>
        <w:tc>
          <w:tcPr>
            <w:tcW w:w="100" w:type="dxa"/>
            <w:vAlign w:val="bottom"/>
            <w:shd w:val="clear" w:color="auto" w:fill="0063A6"/>
          </w:tcPr>
          <w:p>
            <w:pPr>
              <w:spacing w:after="0"/>
              <w:rPr>
                <w:sz w:val="11"/>
                <w:szCs w:val="11"/>
                <w:color w:val="auto"/>
              </w:rPr>
            </w:pPr>
          </w:p>
        </w:tc>
        <w:tc>
          <w:tcPr>
            <w:tcW w:w="840" w:type="dxa"/>
            <w:vAlign w:val="bottom"/>
            <w:vMerge w:val="restart"/>
            <w:shd w:val="clear" w:color="auto" w:fill="0063A6"/>
          </w:tcPr>
          <w:p>
            <w:pPr>
              <w:ind w:left="100"/>
              <w:spacing w:after="0"/>
              <w:rPr>
                <w:sz w:val="20"/>
                <w:szCs w:val="20"/>
                <w:color w:val="auto"/>
              </w:rPr>
            </w:pPr>
            <w:r>
              <w:rPr>
                <w:rFonts w:ascii="Arial" w:cs="Arial" w:eastAsia="Arial" w:hAnsi="Arial"/>
                <w:sz w:val="13"/>
                <w:szCs w:val="13"/>
                <w:b w:val="1"/>
                <w:bCs w:val="1"/>
                <w:color w:val="FFFFFF"/>
              </w:rPr>
              <w:t>Threshold</w:t>
            </w:r>
          </w:p>
        </w:tc>
        <w:tc>
          <w:tcPr>
            <w:tcW w:w="220" w:type="dxa"/>
            <w:vAlign w:val="bottom"/>
            <w:shd w:val="clear" w:color="auto" w:fill="0063A6"/>
          </w:tcPr>
          <w:p>
            <w:pPr>
              <w:spacing w:after="0"/>
              <w:rPr>
                <w:sz w:val="11"/>
                <w:szCs w:val="11"/>
                <w:color w:val="auto"/>
              </w:rPr>
            </w:pPr>
          </w:p>
        </w:tc>
        <w:tc>
          <w:tcPr>
            <w:tcW w:w="700" w:type="dxa"/>
            <w:vAlign w:val="bottom"/>
            <w:vMerge w:val="restart"/>
            <w:shd w:val="clear" w:color="auto" w:fill="0063A6"/>
          </w:tcPr>
          <w:p>
            <w:pPr>
              <w:jc w:val="right"/>
              <w:ind w:right="69"/>
              <w:spacing w:after="0"/>
              <w:rPr>
                <w:sz w:val="20"/>
                <w:szCs w:val="20"/>
                <w:color w:val="auto"/>
              </w:rPr>
            </w:pPr>
            <w:r>
              <w:rPr>
                <w:rFonts w:ascii="Arial" w:cs="Arial" w:eastAsia="Arial" w:hAnsi="Arial"/>
                <w:sz w:val="13"/>
                <w:szCs w:val="13"/>
                <w:b w:val="1"/>
                <w:bCs w:val="1"/>
                <w:color w:val="FFFFFF"/>
              </w:rPr>
              <w:t>Target</w:t>
            </w:r>
          </w:p>
        </w:tc>
        <w:tc>
          <w:tcPr>
            <w:tcW w:w="180" w:type="dxa"/>
            <w:vAlign w:val="bottom"/>
            <w:shd w:val="clear" w:color="auto" w:fill="0063A6"/>
          </w:tcPr>
          <w:p>
            <w:pPr>
              <w:spacing w:after="0"/>
              <w:rPr>
                <w:sz w:val="11"/>
                <w:szCs w:val="11"/>
                <w:color w:val="auto"/>
              </w:rPr>
            </w:pPr>
          </w:p>
        </w:tc>
        <w:tc>
          <w:tcPr>
            <w:tcW w:w="64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w w:val="96"/>
              </w:rPr>
              <w:t>Maximum</w:t>
            </w:r>
          </w:p>
        </w:tc>
        <w:tc>
          <w:tcPr>
            <w:tcW w:w="40" w:type="dxa"/>
            <w:vAlign w:val="bottom"/>
            <w:shd w:val="clear" w:color="auto" w:fill="0063A6"/>
          </w:tcPr>
          <w:p>
            <w:pPr>
              <w:spacing w:after="0"/>
              <w:rPr>
                <w:sz w:val="11"/>
                <w:szCs w:val="11"/>
                <w:color w:val="auto"/>
              </w:rPr>
            </w:pPr>
          </w:p>
        </w:tc>
        <w:tc>
          <w:tcPr>
            <w:tcW w:w="60" w:type="dxa"/>
            <w:vAlign w:val="bottom"/>
            <w:shd w:val="clear" w:color="auto" w:fill="0063A6"/>
          </w:tcPr>
          <w:p>
            <w:pPr>
              <w:spacing w:after="0"/>
              <w:rPr>
                <w:sz w:val="11"/>
                <w:szCs w:val="11"/>
                <w:color w:val="auto"/>
              </w:rPr>
            </w:pPr>
          </w:p>
        </w:tc>
        <w:tc>
          <w:tcPr>
            <w:tcW w:w="860" w:type="dxa"/>
            <w:vAlign w:val="bottom"/>
            <w:vMerge w:val="restart"/>
            <w:shd w:val="clear" w:color="auto" w:fill="0063A6"/>
          </w:tcPr>
          <w:p>
            <w:pPr>
              <w:jc w:val="right"/>
              <w:ind w:right="69"/>
              <w:spacing w:after="0"/>
              <w:rPr>
                <w:sz w:val="20"/>
                <w:szCs w:val="20"/>
                <w:color w:val="auto"/>
              </w:rPr>
            </w:pPr>
            <w:r>
              <w:rPr>
                <w:rFonts w:ascii="Arial" w:cs="Arial" w:eastAsia="Arial" w:hAnsi="Arial"/>
                <w:sz w:val="13"/>
                <w:szCs w:val="13"/>
                <w:b w:val="1"/>
                <w:bCs w:val="1"/>
                <w:color w:val="FFFFFF"/>
              </w:rPr>
              <w:t>Threshold</w:t>
            </w:r>
          </w:p>
        </w:tc>
        <w:tc>
          <w:tcPr>
            <w:tcW w:w="680" w:type="dxa"/>
            <w:vAlign w:val="bottom"/>
            <w:vMerge w:val="restart"/>
            <w:shd w:val="clear" w:color="auto" w:fill="0063A6"/>
          </w:tcPr>
          <w:p>
            <w:pPr>
              <w:jc w:val="right"/>
              <w:ind w:right="69"/>
              <w:spacing w:after="0"/>
              <w:rPr>
                <w:sz w:val="20"/>
                <w:szCs w:val="20"/>
                <w:color w:val="auto"/>
              </w:rPr>
            </w:pPr>
            <w:r>
              <w:rPr>
                <w:rFonts w:ascii="Arial" w:cs="Arial" w:eastAsia="Arial" w:hAnsi="Arial"/>
                <w:sz w:val="13"/>
                <w:szCs w:val="13"/>
                <w:b w:val="1"/>
                <w:bCs w:val="1"/>
                <w:color w:val="FFFFFF"/>
              </w:rPr>
              <w:t>Target</w:t>
            </w:r>
          </w:p>
        </w:tc>
        <w:tc>
          <w:tcPr>
            <w:tcW w:w="74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Maximum</w:t>
            </w:r>
          </w:p>
        </w:tc>
        <w:tc>
          <w:tcPr>
            <w:tcW w:w="100" w:type="dxa"/>
            <w:vAlign w:val="bottom"/>
            <w:shd w:val="clear" w:color="auto" w:fill="0063A6"/>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80" w:type="dxa"/>
            <w:vAlign w:val="bottom"/>
            <w:shd w:val="clear" w:color="auto" w:fill="0063A6"/>
          </w:tcPr>
          <w:p>
            <w:pPr>
              <w:jc w:val="right"/>
              <w:ind w:right="51"/>
              <w:spacing w:after="0" w:line="135" w:lineRule="exact"/>
              <w:rPr>
                <w:sz w:val="20"/>
                <w:szCs w:val="20"/>
                <w:color w:val="auto"/>
              </w:rPr>
            </w:pPr>
            <w:r>
              <w:rPr>
                <w:rFonts w:ascii="Arial" w:cs="Arial" w:eastAsia="Arial" w:hAnsi="Arial"/>
                <w:sz w:val="13"/>
                <w:szCs w:val="13"/>
                <w:b w:val="1"/>
                <w:bCs w:val="1"/>
                <w:color w:val="FFFFFF"/>
              </w:rPr>
              <w:t>of Stock</w:t>
            </w:r>
          </w:p>
        </w:tc>
        <w:tc>
          <w:tcPr>
            <w:tcW w:w="220" w:type="dxa"/>
            <w:vAlign w:val="bottom"/>
            <w:shd w:val="clear" w:color="auto" w:fill="0063A6"/>
          </w:tcPr>
          <w:p>
            <w:pPr>
              <w:spacing w:after="0"/>
              <w:rPr>
                <w:sz w:val="11"/>
                <w:szCs w:val="11"/>
                <w:color w:val="auto"/>
              </w:rPr>
            </w:pPr>
          </w:p>
        </w:tc>
        <w:tc>
          <w:tcPr>
            <w:tcW w:w="920" w:type="dxa"/>
            <w:vAlign w:val="bottom"/>
            <w:shd w:val="clear" w:color="auto" w:fill="0063A6"/>
          </w:tcPr>
          <w:p>
            <w:pPr>
              <w:jc w:val="right"/>
              <w:ind w:right="130"/>
              <w:spacing w:after="0" w:line="135" w:lineRule="exact"/>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21"/>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80" w:type="dxa"/>
            <w:vAlign w:val="bottom"/>
            <w:shd w:val="clear" w:color="auto" w:fill="0063A6"/>
          </w:tcPr>
          <w:p>
            <w:pPr>
              <w:spacing w:after="0"/>
              <w:rPr>
                <w:sz w:val="10"/>
                <w:szCs w:val="10"/>
                <w:color w:val="auto"/>
              </w:rPr>
            </w:pPr>
          </w:p>
        </w:tc>
        <w:tc>
          <w:tcPr>
            <w:tcW w:w="660" w:type="dxa"/>
            <w:vAlign w:val="bottom"/>
            <w:vMerge w:val="continue"/>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840" w:type="dxa"/>
            <w:vAlign w:val="bottom"/>
            <w:vMerge w:val="continue"/>
            <w:shd w:val="clear" w:color="auto" w:fill="0063A6"/>
          </w:tcPr>
          <w:p>
            <w:pPr>
              <w:spacing w:after="0"/>
              <w:rPr>
                <w:sz w:val="10"/>
                <w:szCs w:val="10"/>
                <w:color w:val="auto"/>
              </w:rPr>
            </w:pPr>
          </w:p>
        </w:tc>
        <w:tc>
          <w:tcPr>
            <w:tcW w:w="220" w:type="dxa"/>
            <w:vAlign w:val="bottom"/>
            <w:shd w:val="clear" w:color="auto" w:fill="0063A6"/>
          </w:tcPr>
          <w:p>
            <w:pPr>
              <w:spacing w:after="0"/>
              <w:rPr>
                <w:sz w:val="10"/>
                <w:szCs w:val="10"/>
                <w:color w:val="auto"/>
              </w:rPr>
            </w:pPr>
          </w:p>
        </w:tc>
        <w:tc>
          <w:tcPr>
            <w:tcW w:w="700" w:type="dxa"/>
            <w:vAlign w:val="bottom"/>
            <w:vMerge w:val="continue"/>
            <w:shd w:val="clear" w:color="auto" w:fill="0063A6"/>
          </w:tcPr>
          <w:p>
            <w:pPr>
              <w:spacing w:after="0"/>
              <w:rPr>
                <w:sz w:val="10"/>
                <w:szCs w:val="10"/>
                <w:color w:val="auto"/>
              </w:rPr>
            </w:pPr>
          </w:p>
        </w:tc>
        <w:tc>
          <w:tcPr>
            <w:tcW w:w="180" w:type="dxa"/>
            <w:vAlign w:val="bottom"/>
            <w:shd w:val="clear" w:color="auto" w:fill="0063A6"/>
          </w:tcPr>
          <w:p>
            <w:pPr>
              <w:spacing w:after="0"/>
              <w:rPr>
                <w:sz w:val="10"/>
                <w:szCs w:val="10"/>
                <w:color w:val="auto"/>
              </w:rPr>
            </w:pPr>
          </w:p>
        </w:tc>
        <w:tc>
          <w:tcPr>
            <w:tcW w:w="640" w:type="dxa"/>
            <w:vAlign w:val="bottom"/>
            <w:vMerge w:val="continue"/>
            <w:shd w:val="clear" w:color="auto" w:fill="0063A6"/>
          </w:tcPr>
          <w:p>
            <w:pPr>
              <w:spacing w:after="0"/>
              <w:rPr>
                <w:sz w:val="10"/>
                <w:szCs w:val="10"/>
                <w:color w:val="auto"/>
              </w:rPr>
            </w:pPr>
          </w:p>
        </w:tc>
        <w:tc>
          <w:tcPr>
            <w:tcW w:w="40" w:type="dxa"/>
            <w:vAlign w:val="bottom"/>
            <w:shd w:val="clear" w:color="auto" w:fill="0063A6"/>
          </w:tcPr>
          <w:p>
            <w:pPr>
              <w:spacing w:after="0"/>
              <w:rPr>
                <w:sz w:val="10"/>
                <w:szCs w:val="10"/>
                <w:color w:val="auto"/>
              </w:rPr>
            </w:pPr>
          </w:p>
        </w:tc>
        <w:tc>
          <w:tcPr>
            <w:tcW w:w="60" w:type="dxa"/>
            <w:vAlign w:val="bottom"/>
            <w:shd w:val="clear" w:color="auto" w:fill="0063A6"/>
          </w:tcPr>
          <w:p>
            <w:pPr>
              <w:spacing w:after="0"/>
              <w:rPr>
                <w:sz w:val="10"/>
                <w:szCs w:val="10"/>
                <w:color w:val="auto"/>
              </w:rPr>
            </w:pPr>
          </w:p>
        </w:tc>
        <w:tc>
          <w:tcPr>
            <w:tcW w:w="860" w:type="dxa"/>
            <w:vAlign w:val="bottom"/>
            <w:vMerge w:val="continue"/>
            <w:shd w:val="clear" w:color="auto" w:fill="0063A6"/>
          </w:tcPr>
          <w:p>
            <w:pPr>
              <w:spacing w:after="0"/>
              <w:rPr>
                <w:sz w:val="10"/>
                <w:szCs w:val="10"/>
                <w:color w:val="auto"/>
              </w:rPr>
            </w:pPr>
          </w:p>
        </w:tc>
        <w:tc>
          <w:tcPr>
            <w:tcW w:w="680" w:type="dxa"/>
            <w:vAlign w:val="bottom"/>
            <w:vMerge w:val="continue"/>
            <w:shd w:val="clear" w:color="auto" w:fill="0063A6"/>
          </w:tcPr>
          <w:p>
            <w:pPr>
              <w:spacing w:after="0"/>
              <w:rPr>
                <w:sz w:val="10"/>
                <w:szCs w:val="10"/>
                <w:color w:val="auto"/>
              </w:rPr>
            </w:pPr>
          </w:p>
        </w:tc>
        <w:tc>
          <w:tcPr>
            <w:tcW w:w="740" w:type="dxa"/>
            <w:vAlign w:val="bottom"/>
            <w:vMerge w:val="continue"/>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80" w:type="dxa"/>
            <w:vAlign w:val="bottom"/>
            <w:shd w:val="clear" w:color="auto" w:fill="0063A6"/>
          </w:tcPr>
          <w:p>
            <w:pPr>
              <w:spacing w:after="0"/>
              <w:rPr>
                <w:sz w:val="10"/>
                <w:szCs w:val="10"/>
                <w:color w:val="auto"/>
              </w:rPr>
            </w:pPr>
          </w:p>
        </w:tc>
        <w:tc>
          <w:tcPr>
            <w:tcW w:w="680" w:type="dxa"/>
            <w:vAlign w:val="bottom"/>
            <w:shd w:val="clear" w:color="auto" w:fill="0063A6"/>
          </w:tcPr>
          <w:p>
            <w:pPr>
              <w:jc w:val="right"/>
              <w:ind w:right="51"/>
              <w:spacing w:after="0" w:line="121" w:lineRule="exact"/>
              <w:rPr>
                <w:sz w:val="20"/>
                <w:szCs w:val="20"/>
                <w:color w:val="auto"/>
              </w:rPr>
            </w:pPr>
            <w:r>
              <w:rPr>
                <w:rFonts w:ascii="Arial" w:cs="Arial" w:eastAsia="Arial" w:hAnsi="Arial"/>
                <w:sz w:val="13"/>
                <w:szCs w:val="13"/>
                <w:b w:val="1"/>
                <w:bCs w:val="1"/>
                <w:color w:val="FFFFFF"/>
              </w:rPr>
              <w:t>or Units</w:t>
            </w:r>
          </w:p>
        </w:tc>
        <w:tc>
          <w:tcPr>
            <w:tcW w:w="220" w:type="dxa"/>
            <w:vAlign w:val="bottom"/>
            <w:shd w:val="clear" w:color="auto" w:fill="0063A6"/>
          </w:tcPr>
          <w:p>
            <w:pPr>
              <w:spacing w:after="0"/>
              <w:rPr>
                <w:sz w:val="10"/>
                <w:szCs w:val="10"/>
                <w:color w:val="auto"/>
              </w:rPr>
            </w:pPr>
          </w:p>
        </w:tc>
        <w:tc>
          <w:tcPr>
            <w:tcW w:w="920" w:type="dxa"/>
            <w:vAlign w:val="bottom"/>
            <w:shd w:val="clear" w:color="auto" w:fill="0063A6"/>
          </w:tcPr>
          <w:p>
            <w:pPr>
              <w:jc w:val="right"/>
              <w:ind w:right="130"/>
              <w:spacing w:after="0" w:line="121" w:lineRule="exact"/>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216"/>
        </w:trPr>
        <w:tc>
          <w:tcPr>
            <w:tcW w:w="1380" w:type="dxa"/>
            <w:vAlign w:val="bottom"/>
            <w:tcBorders>
              <w:bottom w:val="single" w:sz="8" w:color="0063A6"/>
            </w:tcBorders>
            <w:vMerge w:val="continue"/>
          </w:tcPr>
          <w:p>
            <w:pPr>
              <w:spacing w:after="0"/>
              <w:rPr>
                <w:sz w:val="18"/>
                <w:szCs w:val="18"/>
                <w:color w:val="auto"/>
              </w:rPr>
            </w:pPr>
          </w:p>
        </w:tc>
        <w:tc>
          <w:tcPr>
            <w:tcW w:w="80" w:type="dxa"/>
            <w:vAlign w:val="bottom"/>
            <w:tcBorders>
              <w:bottom w:val="single" w:sz="8" w:color="0063A6"/>
            </w:tcBorders>
            <w:shd w:val="clear" w:color="auto" w:fill="0063A6"/>
          </w:tcPr>
          <w:p>
            <w:pPr>
              <w:spacing w:after="0"/>
              <w:rPr>
                <w:sz w:val="18"/>
                <w:szCs w:val="18"/>
                <w:color w:val="auto"/>
              </w:rPr>
            </w:pPr>
          </w:p>
        </w:tc>
        <w:tc>
          <w:tcPr>
            <w:tcW w:w="6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Date</w:t>
            </w:r>
          </w:p>
        </w:tc>
        <w:tc>
          <w:tcPr>
            <w:tcW w:w="100" w:type="dxa"/>
            <w:vAlign w:val="bottom"/>
            <w:tcBorders>
              <w:bottom w:val="single" w:sz="8" w:color="0063A6"/>
            </w:tcBorders>
            <w:shd w:val="clear" w:color="auto" w:fill="0063A6"/>
          </w:tcPr>
          <w:p>
            <w:pPr>
              <w:spacing w:after="0"/>
              <w:rPr>
                <w:sz w:val="18"/>
                <w:szCs w:val="18"/>
                <w:color w:val="auto"/>
              </w:rPr>
            </w:pPr>
          </w:p>
        </w:tc>
        <w:tc>
          <w:tcPr>
            <w:tcW w:w="840" w:type="dxa"/>
            <w:vAlign w:val="bottom"/>
            <w:tcBorders>
              <w:bottom w:val="single" w:sz="8" w:color="0063A6"/>
            </w:tcBorders>
            <w:shd w:val="clear" w:color="auto" w:fill="0063A6"/>
          </w:tcPr>
          <w:p>
            <w:pPr>
              <w:ind w:left="460"/>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22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jc w:val="right"/>
              <w:ind w:right="29"/>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180" w:type="dxa"/>
            <w:vAlign w:val="bottom"/>
            <w:tcBorders>
              <w:bottom w:val="single" w:sz="8" w:color="0063A6"/>
            </w:tcBorders>
            <w:shd w:val="clear" w:color="auto" w:fill="0063A6"/>
          </w:tcPr>
          <w:p>
            <w:pPr>
              <w:spacing w:after="0"/>
              <w:rPr>
                <w:sz w:val="18"/>
                <w:szCs w:val="18"/>
                <w:color w:val="auto"/>
              </w:rPr>
            </w:pPr>
          </w:p>
        </w:tc>
        <w:tc>
          <w:tcPr>
            <w:tcW w:w="640" w:type="dxa"/>
            <w:vAlign w:val="bottom"/>
            <w:tcBorders>
              <w:bottom w:val="single" w:sz="8" w:color="0063A6"/>
            </w:tcBorders>
            <w:shd w:val="clear" w:color="auto" w:fill="0063A6"/>
          </w:tcPr>
          <w:p>
            <w:pPr>
              <w:jc w:val="right"/>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40" w:type="dxa"/>
            <w:vAlign w:val="bottom"/>
            <w:tcBorders>
              <w:bottom w:val="single" w:sz="8" w:color="0063A6"/>
            </w:tcBorders>
            <w:shd w:val="clear" w:color="auto" w:fill="0063A6"/>
          </w:tcPr>
          <w:p>
            <w:pPr>
              <w:spacing w:after="0"/>
              <w:rPr>
                <w:sz w:val="18"/>
                <w:szCs w:val="18"/>
                <w:color w:val="auto"/>
              </w:rPr>
            </w:pPr>
          </w:p>
        </w:tc>
        <w:tc>
          <w:tcPr>
            <w:tcW w:w="60" w:type="dxa"/>
            <w:vAlign w:val="bottom"/>
            <w:tcBorders>
              <w:bottom w:val="single" w:sz="8" w:color="0063A6"/>
            </w:tcBorders>
            <w:shd w:val="clear" w:color="auto" w:fill="0063A6"/>
          </w:tcPr>
          <w:p>
            <w:pPr>
              <w:spacing w:after="0"/>
              <w:rPr>
                <w:sz w:val="18"/>
                <w:szCs w:val="18"/>
                <w:color w:val="auto"/>
              </w:rPr>
            </w:pPr>
          </w:p>
        </w:tc>
        <w:tc>
          <w:tcPr>
            <w:tcW w:w="860" w:type="dxa"/>
            <w:vAlign w:val="bottom"/>
            <w:tcBorders>
              <w:bottom w:val="single" w:sz="8" w:color="0063A6"/>
            </w:tcBorders>
            <w:shd w:val="clear" w:color="auto" w:fill="0063A6"/>
          </w:tcPr>
          <w:p>
            <w:pPr>
              <w:jc w:val="right"/>
              <w:ind w:right="29"/>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680" w:type="dxa"/>
            <w:vAlign w:val="bottom"/>
            <w:tcBorders>
              <w:bottom w:val="single" w:sz="8" w:color="0063A6"/>
            </w:tcBorders>
            <w:shd w:val="clear" w:color="auto" w:fill="0063A6"/>
          </w:tcPr>
          <w:p>
            <w:pPr>
              <w:jc w:val="right"/>
              <w:ind w:right="29"/>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740" w:type="dxa"/>
            <w:vAlign w:val="bottom"/>
            <w:tcBorders>
              <w:bottom w:val="single" w:sz="8" w:color="0063A6"/>
            </w:tcBorders>
            <w:shd w:val="clear" w:color="auto" w:fill="0063A6"/>
          </w:tcPr>
          <w:p>
            <w:pPr>
              <w:jc w:val="right"/>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100" w:type="dxa"/>
            <w:vAlign w:val="bottom"/>
            <w:tcBorders>
              <w:bottom w:val="single" w:sz="8" w:color="0063A6"/>
            </w:tcBorders>
            <w:shd w:val="clear" w:color="auto" w:fill="0063A6"/>
          </w:tcPr>
          <w:p>
            <w:pPr>
              <w:spacing w:after="0"/>
              <w:rPr>
                <w:sz w:val="18"/>
                <w:szCs w:val="18"/>
                <w:color w:val="auto"/>
              </w:rPr>
            </w:pPr>
          </w:p>
        </w:tc>
        <w:tc>
          <w:tcPr>
            <w:tcW w:w="760" w:type="dxa"/>
            <w:vAlign w:val="bottom"/>
            <w:tcBorders>
              <w:bottom w:val="single" w:sz="8" w:color="0063A6"/>
            </w:tcBorders>
            <w:gridSpan w:val="2"/>
            <w:shd w:val="clear" w:color="auto" w:fill="0063A6"/>
          </w:tcPr>
          <w:p>
            <w:pPr>
              <w:jc w:val="right"/>
              <w:ind w:right="31"/>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(3)</w:t>
            </w:r>
          </w:p>
        </w:tc>
        <w:tc>
          <w:tcPr>
            <w:tcW w:w="220" w:type="dxa"/>
            <w:vAlign w:val="bottom"/>
            <w:tcBorders>
              <w:bottom w:val="single" w:sz="8" w:color="0063A6"/>
            </w:tcBorders>
            <w:shd w:val="clear" w:color="auto" w:fill="0063A6"/>
          </w:tcPr>
          <w:p>
            <w:pPr>
              <w:spacing w:after="0"/>
              <w:rPr>
                <w:sz w:val="18"/>
                <w:szCs w:val="18"/>
                <w:color w:val="auto"/>
              </w:rPr>
            </w:pPr>
          </w:p>
        </w:tc>
        <w:tc>
          <w:tcPr>
            <w:tcW w:w="920" w:type="dxa"/>
            <w:vAlign w:val="bottom"/>
            <w:tcBorders>
              <w:bottom w:val="single" w:sz="8" w:color="0063A6"/>
            </w:tcBorders>
            <w:shd w:val="clear" w:color="auto" w:fill="0063A6"/>
          </w:tcPr>
          <w:p>
            <w:pPr>
              <w:jc w:val="right"/>
              <w:ind w:right="90"/>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87"/>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Thomas L.</w:t>
            </w:r>
          </w:p>
        </w:tc>
        <w:tc>
          <w:tcPr>
            <w:tcW w:w="8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$1,250,000</w:t>
            </w:r>
          </w:p>
        </w:tc>
        <w:tc>
          <w:tcPr>
            <w:tcW w:w="820" w:type="dxa"/>
            <w:vAlign w:val="bottom"/>
            <w:gridSpan w:val="2"/>
          </w:tcPr>
          <w:p>
            <w:pPr>
              <w:ind w:left="100"/>
              <w:spacing w:after="0"/>
              <w:rPr>
                <w:sz w:val="20"/>
                <w:szCs w:val="20"/>
                <w:color w:val="auto"/>
              </w:rPr>
            </w:pPr>
            <w:r>
              <w:rPr>
                <w:rFonts w:ascii="Arial" w:cs="Arial" w:eastAsia="Arial" w:hAnsi="Arial"/>
                <w:sz w:val="14"/>
                <w:szCs w:val="14"/>
                <w:color w:val="auto"/>
                <w:w w:val="99"/>
              </w:rPr>
              <w:t>$1,750,000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0063A6"/>
              </w:rPr>
              <w:t>Deitrich</w:t>
            </w:r>
          </w:p>
        </w:tc>
        <w:tc>
          <w:tcPr>
            <w:tcW w:w="80" w:type="dxa"/>
            <w:vAlign w:val="bottom"/>
            <w:tcBorders>
              <w:bottom w:val="single" w:sz="8" w:color="5D6673"/>
            </w:tcBorders>
          </w:tcPr>
          <w:p>
            <w:pPr>
              <w:spacing w:after="0"/>
              <w:rPr>
                <w:sz w:val="4"/>
                <w:szCs w:val="4"/>
                <w:color w:val="auto"/>
              </w:rPr>
            </w:pPr>
          </w:p>
        </w:tc>
        <w:tc>
          <w:tcPr>
            <w:tcW w:w="660" w:type="dxa"/>
            <w:vAlign w:val="bottom"/>
            <w:tcBorders>
              <w:bottom w:val="single" w:sz="8" w:color="5D6673"/>
            </w:tcBorders>
          </w:tcPr>
          <w:p>
            <w:pPr>
              <w:spacing w:after="0"/>
              <w:rPr>
                <w:sz w:val="4"/>
                <w:szCs w:val="4"/>
                <w:color w:val="auto"/>
              </w:rPr>
            </w:pPr>
          </w:p>
        </w:tc>
        <w:tc>
          <w:tcPr>
            <w:tcW w:w="100" w:type="dxa"/>
            <w:vAlign w:val="bottom"/>
            <w:tcBorders>
              <w:bottom w:val="single" w:sz="8" w:color="5D6673"/>
            </w:tcBorders>
          </w:tcPr>
          <w:p>
            <w:pPr>
              <w:spacing w:after="0"/>
              <w:rPr>
                <w:sz w:val="4"/>
                <w:szCs w:val="4"/>
                <w:color w:val="auto"/>
              </w:rPr>
            </w:pPr>
          </w:p>
        </w:tc>
        <w:tc>
          <w:tcPr>
            <w:tcW w:w="84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700" w:type="dxa"/>
            <w:vAlign w:val="bottom"/>
            <w:tcBorders>
              <w:bottom w:val="single" w:sz="8" w:color="5D6673"/>
            </w:tcBorders>
          </w:tcPr>
          <w:p>
            <w:pPr>
              <w:spacing w:after="0"/>
              <w:rPr>
                <w:sz w:val="4"/>
                <w:szCs w:val="4"/>
                <w:color w:val="auto"/>
              </w:rPr>
            </w:pPr>
          </w:p>
        </w:tc>
        <w:tc>
          <w:tcPr>
            <w:tcW w:w="180" w:type="dxa"/>
            <w:vAlign w:val="bottom"/>
            <w:tcBorders>
              <w:bottom w:val="single" w:sz="8" w:color="5D6673"/>
            </w:tcBorders>
          </w:tcPr>
          <w:p>
            <w:pPr>
              <w:spacing w:after="0"/>
              <w:rPr>
                <w:sz w:val="4"/>
                <w:szCs w:val="4"/>
                <w:color w:val="auto"/>
              </w:rPr>
            </w:pPr>
          </w:p>
        </w:tc>
        <w:tc>
          <w:tcPr>
            <w:tcW w:w="640" w:type="dxa"/>
            <w:vAlign w:val="bottom"/>
            <w:tcBorders>
              <w:bottom w:val="single" w:sz="8" w:color="5D6673"/>
            </w:tcBorders>
          </w:tcPr>
          <w:p>
            <w:pPr>
              <w:spacing w:after="0"/>
              <w:rPr>
                <w:sz w:val="4"/>
                <w:szCs w:val="4"/>
                <w:color w:val="auto"/>
              </w:rPr>
            </w:pPr>
          </w:p>
        </w:tc>
        <w:tc>
          <w:tcPr>
            <w:tcW w:w="40" w:type="dxa"/>
            <w:vAlign w:val="bottom"/>
            <w:tcBorders>
              <w:bottom w:val="single" w:sz="8" w:color="5D6673"/>
            </w:tcBorders>
          </w:tcPr>
          <w:p>
            <w:pPr>
              <w:spacing w:after="0"/>
              <w:rPr>
                <w:sz w:val="4"/>
                <w:szCs w:val="4"/>
                <w:color w:val="auto"/>
              </w:rPr>
            </w:pPr>
          </w:p>
        </w:tc>
        <w:tc>
          <w:tcPr>
            <w:tcW w:w="60" w:type="dxa"/>
            <w:vAlign w:val="bottom"/>
            <w:tcBorders>
              <w:bottom w:val="single" w:sz="8" w:color="5D6673"/>
            </w:tcBorders>
          </w:tcPr>
          <w:p>
            <w:pPr>
              <w:spacing w:after="0"/>
              <w:rPr>
                <w:sz w:val="4"/>
                <w:szCs w:val="4"/>
                <w:color w:val="auto"/>
              </w:rPr>
            </w:pPr>
          </w:p>
        </w:tc>
        <w:tc>
          <w:tcPr>
            <w:tcW w:w="860" w:type="dxa"/>
            <w:vAlign w:val="bottom"/>
            <w:tcBorders>
              <w:bottom w:val="single" w:sz="8" w:color="5D6673"/>
            </w:tcBorders>
          </w:tcPr>
          <w:p>
            <w:pPr>
              <w:spacing w:after="0"/>
              <w:rPr>
                <w:sz w:val="4"/>
                <w:szCs w:val="4"/>
                <w:color w:val="auto"/>
              </w:rPr>
            </w:pPr>
          </w:p>
        </w:tc>
        <w:tc>
          <w:tcPr>
            <w:tcW w:w="680" w:type="dxa"/>
            <w:vAlign w:val="bottom"/>
            <w:tcBorders>
              <w:bottom w:val="single" w:sz="8" w:color="5D6673"/>
            </w:tcBorders>
          </w:tcPr>
          <w:p>
            <w:pPr>
              <w:spacing w:after="0"/>
              <w:rPr>
                <w:sz w:val="4"/>
                <w:szCs w:val="4"/>
                <w:color w:val="auto"/>
              </w:rPr>
            </w:pPr>
          </w:p>
        </w:tc>
        <w:tc>
          <w:tcPr>
            <w:tcW w:w="740" w:type="dxa"/>
            <w:vAlign w:val="bottom"/>
            <w:tcBorders>
              <w:bottom w:val="single" w:sz="8" w:color="5D6673"/>
            </w:tcBorders>
          </w:tcPr>
          <w:p>
            <w:pPr>
              <w:spacing w:after="0"/>
              <w:rPr>
                <w:sz w:val="4"/>
                <w:szCs w:val="4"/>
                <w:color w:val="auto"/>
              </w:rPr>
            </w:pPr>
          </w:p>
        </w:tc>
        <w:tc>
          <w:tcPr>
            <w:tcW w:w="100" w:type="dxa"/>
            <w:vAlign w:val="bottom"/>
            <w:tcBorders>
              <w:bottom w:val="single" w:sz="8" w:color="5D6673"/>
            </w:tcBorders>
          </w:tcPr>
          <w:p>
            <w:pPr>
              <w:spacing w:after="0"/>
              <w:rPr>
                <w:sz w:val="4"/>
                <w:szCs w:val="4"/>
                <w:color w:val="auto"/>
              </w:rPr>
            </w:pPr>
          </w:p>
        </w:tc>
        <w:tc>
          <w:tcPr>
            <w:tcW w:w="80" w:type="dxa"/>
            <w:vAlign w:val="bottom"/>
            <w:tcBorders>
              <w:bottom w:val="single" w:sz="8" w:color="5D6673"/>
            </w:tcBorders>
          </w:tcPr>
          <w:p>
            <w:pPr>
              <w:spacing w:after="0"/>
              <w:rPr>
                <w:sz w:val="4"/>
                <w:szCs w:val="4"/>
                <w:color w:val="auto"/>
              </w:rPr>
            </w:pPr>
          </w:p>
        </w:tc>
        <w:tc>
          <w:tcPr>
            <w:tcW w:w="68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920" w:type="dxa"/>
            <w:vAlign w:val="bottom"/>
            <w:tcBorders>
              <w:bottom w:val="single" w:sz="8" w:color="5D6673"/>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Pr>
          <w:p>
            <w:pPr>
              <w:spacing w:after="0"/>
              <w:rPr>
                <w:sz w:val="11"/>
                <w:szCs w:val="11"/>
                <w:color w:val="auto"/>
              </w:rPr>
            </w:pPr>
          </w:p>
        </w:tc>
        <w:tc>
          <w:tcPr>
            <w:tcW w:w="84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220"/>
              <w:spacing w:after="0"/>
              <w:rPr>
                <w:sz w:val="20"/>
                <w:szCs w:val="20"/>
                <w:color w:val="auto"/>
              </w:rPr>
            </w:pPr>
            <w:r>
              <w:rPr>
                <w:rFonts w:ascii="Arial" w:cs="Arial" w:eastAsia="Arial" w:hAnsi="Arial"/>
                <w:sz w:val="14"/>
                <w:szCs w:val="14"/>
                <w:color w:val="auto"/>
              </w:rPr>
              <w:t>23,607</w:t>
            </w: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color w:val="auto"/>
              </w:rPr>
              <w:t>$2,309,945</w:t>
            </w:r>
          </w:p>
        </w:tc>
        <w:tc>
          <w:tcPr>
            <w:tcW w:w="0" w:type="dxa"/>
            <w:vAlign w:val="bottom"/>
          </w:tcPr>
          <w:p>
            <w:pPr>
              <w:spacing w:after="0"/>
              <w:rPr>
                <w:sz w:val="1"/>
                <w:szCs w:val="1"/>
                <w:color w:val="auto"/>
              </w:rPr>
            </w:pPr>
          </w:p>
        </w:tc>
      </w:tr>
      <w:tr>
        <w:trPr>
          <w:trHeight w:val="106"/>
        </w:trPr>
        <w:tc>
          <w:tcPr>
            <w:tcW w:w="1380" w:type="dxa"/>
            <w:vAlign w:val="bottom"/>
          </w:tcPr>
          <w:p>
            <w:pPr>
              <w:spacing w:after="0"/>
              <w:rPr>
                <w:sz w:val="9"/>
                <w:szCs w:val="9"/>
                <w:color w:val="auto"/>
              </w:rPr>
            </w:pPr>
          </w:p>
        </w:tc>
        <w:tc>
          <w:tcPr>
            <w:tcW w:w="740" w:type="dxa"/>
            <w:vAlign w:val="bottom"/>
            <w:tcBorders>
              <w:bottom w:val="single" w:sz="8" w:color="5D6673"/>
            </w:tcBorders>
            <w:gridSpan w:val="2"/>
            <w:vMerge w:val="continue"/>
          </w:tcPr>
          <w:p>
            <w:pPr>
              <w:spacing w:after="0"/>
              <w:rPr>
                <w:sz w:val="9"/>
                <w:szCs w:val="9"/>
                <w:color w:val="auto"/>
              </w:rPr>
            </w:pPr>
          </w:p>
        </w:tc>
        <w:tc>
          <w:tcPr>
            <w:tcW w:w="100" w:type="dxa"/>
            <w:vAlign w:val="bottom"/>
            <w:tcBorders>
              <w:bottom w:val="single" w:sz="8" w:color="5D6673"/>
            </w:tcBorders>
          </w:tcPr>
          <w:p>
            <w:pPr>
              <w:spacing w:after="0"/>
              <w:rPr>
                <w:sz w:val="9"/>
                <w:szCs w:val="9"/>
                <w:color w:val="auto"/>
              </w:rPr>
            </w:pPr>
          </w:p>
        </w:tc>
        <w:tc>
          <w:tcPr>
            <w:tcW w:w="840" w:type="dxa"/>
            <w:vAlign w:val="bottom"/>
            <w:tcBorders>
              <w:bottom w:val="single" w:sz="8" w:color="5D6673"/>
            </w:tcBorders>
            <w:vMerge w:val="continue"/>
          </w:tcPr>
          <w:p>
            <w:pPr>
              <w:spacing w:after="0"/>
              <w:rPr>
                <w:sz w:val="9"/>
                <w:szCs w:val="9"/>
                <w:color w:val="auto"/>
              </w:rPr>
            </w:pPr>
          </w:p>
        </w:tc>
        <w:tc>
          <w:tcPr>
            <w:tcW w:w="220" w:type="dxa"/>
            <w:vAlign w:val="bottom"/>
            <w:tcBorders>
              <w:bottom w:val="single" w:sz="8" w:color="5D6673"/>
            </w:tcBorders>
          </w:tcPr>
          <w:p>
            <w:pPr>
              <w:spacing w:after="0"/>
              <w:rPr>
                <w:sz w:val="9"/>
                <w:szCs w:val="9"/>
                <w:color w:val="auto"/>
              </w:rPr>
            </w:pPr>
          </w:p>
        </w:tc>
        <w:tc>
          <w:tcPr>
            <w:tcW w:w="700" w:type="dxa"/>
            <w:vAlign w:val="bottom"/>
            <w:tcBorders>
              <w:bottom w:val="single" w:sz="8" w:color="5D6673"/>
            </w:tcBorders>
            <w:vMerge w:val="continue"/>
          </w:tcPr>
          <w:p>
            <w:pPr>
              <w:spacing w:after="0"/>
              <w:rPr>
                <w:sz w:val="9"/>
                <w:szCs w:val="9"/>
                <w:color w:val="auto"/>
              </w:rPr>
            </w:pPr>
          </w:p>
        </w:tc>
        <w:tc>
          <w:tcPr>
            <w:tcW w:w="180" w:type="dxa"/>
            <w:vAlign w:val="bottom"/>
            <w:tcBorders>
              <w:bottom w:val="single" w:sz="8" w:color="5D6673"/>
            </w:tcBorders>
          </w:tcPr>
          <w:p>
            <w:pPr>
              <w:spacing w:after="0"/>
              <w:rPr>
                <w:sz w:val="9"/>
                <w:szCs w:val="9"/>
                <w:color w:val="auto"/>
              </w:rPr>
            </w:pPr>
          </w:p>
        </w:tc>
        <w:tc>
          <w:tcPr>
            <w:tcW w:w="680" w:type="dxa"/>
            <w:vAlign w:val="bottom"/>
            <w:tcBorders>
              <w:bottom w:val="single" w:sz="8" w:color="5D6673"/>
            </w:tcBorders>
            <w:gridSpan w:val="2"/>
            <w:vMerge w:val="continue"/>
          </w:tcPr>
          <w:p>
            <w:pPr>
              <w:spacing w:after="0"/>
              <w:rPr>
                <w:sz w:val="9"/>
                <w:szCs w:val="9"/>
                <w:color w:val="auto"/>
              </w:rPr>
            </w:pPr>
          </w:p>
        </w:tc>
        <w:tc>
          <w:tcPr>
            <w:tcW w:w="60" w:type="dxa"/>
            <w:vAlign w:val="bottom"/>
            <w:tcBorders>
              <w:bottom w:val="single" w:sz="8" w:color="5D6673"/>
            </w:tcBorders>
          </w:tcPr>
          <w:p>
            <w:pPr>
              <w:spacing w:after="0"/>
              <w:rPr>
                <w:sz w:val="9"/>
                <w:szCs w:val="9"/>
                <w:color w:val="auto"/>
              </w:rPr>
            </w:pPr>
          </w:p>
        </w:tc>
        <w:tc>
          <w:tcPr>
            <w:tcW w:w="860" w:type="dxa"/>
            <w:vAlign w:val="bottom"/>
            <w:tcBorders>
              <w:bottom w:val="single" w:sz="8" w:color="5D6673"/>
            </w:tcBorders>
            <w:vMerge w:val="continue"/>
          </w:tcPr>
          <w:p>
            <w:pPr>
              <w:spacing w:after="0"/>
              <w:rPr>
                <w:sz w:val="9"/>
                <w:szCs w:val="9"/>
                <w:color w:val="auto"/>
              </w:rPr>
            </w:pPr>
          </w:p>
        </w:tc>
        <w:tc>
          <w:tcPr>
            <w:tcW w:w="680" w:type="dxa"/>
            <w:vAlign w:val="bottom"/>
            <w:tcBorders>
              <w:bottom w:val="single" w:sz="8" w:color="5D6673"/>
            </w:tcBorders>
            <w:vMerge w:val="continue"/>
          </w:tcPr>
          <w:p>
            <w:pPr>
              <w:spacing w:after="0"/>
              <w:rPr>
                <w:sz w:val="9"/>
                <w:szCs w:val="9"/>
                <w:color w:val="auto"/>
              </w:rPr>
            </w:pPr>
          </w:p>
        </w:tc>
        <w:tc>
          <w:tcPr>
            <w:tcW w:w="840" w:type="dxa"/>
            <w:vAlign w:val="bottom"/>
            <w:tcBorders>
              <w:bottom w:val="single" w:sz="8" w:color="5D6673"/>
            </w:tcBorders>
            <w:gridSpan w:val="2"/>
            <w:vMerge w:val="continue"/>
          </w:tcPr>
          <w:p>
            <w:pPr>
              <w:spacing w:after="0"/>
              <w:rPr>
                <w:sz w:val="9"/>
                <w:szCs w:val="9"/>
                <w:color w:val="auto"/>
              </w:rPr>
            </w:pPr>
          </w:p>
        </w:tc>
        <w:tc>
          <w:tcPr>
            <w:tcW w:w="760" w:type="dxa"/>
            <w:vAlign w:val="bottom"/>
            <w:tcBorders>
              <w:bottom w:val="single" w:sz="8" w:color="5D6673"/>
            </w:tcBorders>
            <w:gridSpan w:val="2"/>
            <w:vMerge w:val="continue"/>
          </w:tcPr>
          <w:p>
            <w:pPr>
              <w:spacing w:after="0"/>
              <w:rPr>
                <w:sz w:val="9"/>
                <w:szCs w:val="9"/>
                <w:color w:val="auto"/>
              </w:rPr>
            </w:pPr>
          </w:p>
        </w:tc>
        <w:tc>
          <w:tcPr>
            <w:tcW w:w="1140" w:type="dxa"/>
            <w:vAlign w:val="bottom"/>
            <w:tcBorders>
              <w:bottom w:val="single" w:sz="8" w:color="5D6673"/>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15,976</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39,940</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D6673"/>
            </w:tcBorders>
            <w:gridSpan w:val="2"/>
          </w:tcPr>
          <w:p>
            <w:pPr>
              <w:ind w:left="100"/>
              <w:spacing w:after="0" w:line="241" w:lineRule="exact"/>
              <w:rPr>
                <w:sz w:val="20"/>
                <w:szCs w:val="20"/>
                <w:color w:val="auto"/>
              </w:rPr>
            </w:pPr>
            <w:r>
              <w:rPr>
                <w:rFonts w:ascii="Arial" w:cs="Arial" w:eastAsia="Arial" w:hAnsi="Arial"/>
                <w:sz w:val="14"/>
                <w:szCs w:val="14"/>
                <w:color w:val="auto"/>
              </w:rPr>
              <w:t>$1,685,788</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17,794</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44,485</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D6673"/>
            </w:tcBorders>
            <w:gridSpan w:val="2"/>
          </w:tcPr>
          <w:p>
            <w:pPr>
              <w:ind w:left="100"/>
              <w:spacing w:after="0" w:line="236" w:lineRule="exact"/>
              <w:rPr>
                <w:sz w:val="20"/>
                <w:szCs w:val="20"/>
                <w:color w:val="auto"/>
              </w:rPr>
            </w:pPr>
            <w:r>
              <w:rPr>
                <w:rFonts w:ascii="Arial" w:cs="Arial" w:eastAsia="Arial" w:hAnsi="Arial"/>
                <w:sz w:val="14"/>
                <w:szCs w:val="14"/>
                <w:color w:val="auto"/>
              </w:rPr>
              <w:t>$2,305,391</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5D6673"/>
            </w:tcBorders>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19,164​</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47,910​</w:t>
            </w: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D6673"/>
            </w:tcBorders>
            <w:gridSpan w:val="2"/>
          </w:tcPr>
          <w:p>
            <w:pPr>
              <w:ind w:left="100"/>
              <w:spacing w:after="0" w:line="236" w:lineRule="exact"/>
              <w:rPr>
                <w:sz w:val="20"/>
                <w:szCs w:val="20"/>
                <w:color w:val="auto"/>
              </w:rPr>
            </w:pPr>
            <w:r>
              <w:rPr>
                <w:rFonts w:ascii="Arial" w:cs="Arial" w:eastAsia="Arial" w:hAnsi="Arial"/>
                <w:sz w:val="14"/>
                <w:szCs w:val="14"/>
                <w:color w:val="auto"/>
              </w:rPr>
              <w:t>​$2,599,597</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33"/>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Joan S. Hooper</w:t>
            </w:r>
          </w:p>
        </w:tc>
        <w:tc>
          <w:tcPr>
            <w:tcW w:w="80" w:type="dxa"/>
            <w:vAlign w:val="bottom"/>
            <w:tcBorders>
              <w:bottom w:val="single" w:sz="8" w:color="5D6673"/>
            </w:tcBorders>
          </w:tcPr>
          <w:p>
            <w:pPr>
              <w:spacing w:after="0"/>
              <w:rPr>
                <w:sz w:val="20"/>
                <w:szCs w:val="20"/>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429,000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600,600</w:t>
            </w:r>
          </w:p>
        </w:tc>
        <w:tc>
          <w:tcPr>
            <w:tcW w:w="40" w:type="dxa"/>
            <w:vAlign w:val="bottom"/>
            <w:tcBorders>
              <w:bottom w:val="single" w:sz="8" w:color="5D6673"/>
            </w:tcBorders>
          </w:tcPr>
          <w:p>
            <w:pPr>
              <w:spacing w:after="0"/>
              <w:rPr>
                <w:sz w:val="20"/>
                <w:szCs w:val="20"/>
                <w:color w:val="auto"/>
              </w:rPr>
            </w:pP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920" w:type="dxa"/>
            <w:vAlign w:val="bottom"/>
            <w:tcBorders>
              <w:bottom w:val="single" w:sz="8" w:color="5D6673"/>
            </w:tcBorders>
          </w:tcPr>
          <w:p>
            <w:pPr>
              <w:jc w:val="right"/>
              <w:ind w:right="2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gridSpan w:val="2"/>
          </w:tcPr>
          <w:p>
            <w:pPr>
              <w:ind w:left="220"/>
              <w:spacing w:after="0"/>
              <w:rPr>
                <w:sz w:val="20"/>
                <w:szCs w:val="20"/>
                <w:color w:val="auto"/>
              </w:rPr>
            </w:pPr>
            <w:r>
              <w:rPr>
                <w:rFonts w:ascii="Arial" w:cs="Arial" w:eastAsia="Arial" w:hAnsi="Arial"/>
                <w:sz w:val="14"/>
                <w:szCs w:val="14"/>
                <w:color w:val="auto"/>
              </w:rPr>
              <w:t>10,219</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0"/>
              <w:spacing w:after="0"/>
              <w:rPr>
                <w:sz w:val="20"/>
                <w:szCs w:val="20"/>
                <w:color w:val="auto"/>
              </w:rPr>
            </w:pPr>
            <w:r>
              <w:rPr>
                <w:rFonts w:ascii="Arial" w:cs="Arial" w:eastAsia="Arial" w:hAnsi="Arial"/>
                <w:sz w:val="14"/>
                <w:szCs w:val="14"/>
                <w:color w:val="auto"/>
              </w:rPr>
              <w:t>999,929</w:t>
            </w:r>
          </w:p>
        </w:tc>
        <w:tc>
          <w:tcPr>
            <w:tcW w:w="0" w:type="dxa"/>
            <w:vAlign w:val="bottom"/>
          </w:tcPr>
          <w:p>
            <w:pPr>
              <w:spacing w:after="0"/>
              <w:rPr>
                <w:sz w:val="1"/>
                <w:szCs w:val="1"/>
                <w:color w:val="auto"/>
              </w:rPr>
            </w:pPr>
          </w:p>
        </w:tc>
      </w:tr>
      <w:tr>
        <w:trPr>
          <w:trHeight w:val="240"/>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 3,406</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 8,515</w:t>
            </w: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41" w:lineRule="exact"/>
              <w:rPr>
                <w:sz w:val="20"/>
                <w:szCs w:val="20"/>
                <w:color w:val="auto"/>
              </w:rPr>
            </w:pPr>
            <w:r>
              <w:rPr>
                <w:rFonts w:ascii="Arial" w:cs="Arial" w:eastAsia="Arial" w:hAnsi="Arial"/>
                <w:sz w:val="14"/>
                <w:szCs w:val="14"/>
                <w:color w:val="auto"/>
              </w:rPr>
              <w:t>359,401</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4,226</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10,565</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36" w:lineRule="exact"/>
              <w:rPr>
                <w:sz w:val="20"/>
                <w:szCs w:val="20"/>
                <w:color w:val="auto"/>
              </w:rPr>
            </w:pPr>
            <w:r>
              <w:rPr>
                <w:rFonts w:ascii="Arial" w:cs="Arial" w:eastAsia="Arial" w:hAnsi="Arial"/>
                <w:sz w:val="14"/>
                <w:szCs w:val="14"/>
                <w:color w:val="auto"/>
              </w:rPr>
              <w:t>547,521</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5D6673"/>
            </w:tcBorders>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4,797</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11,992</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36" w:lineRule="exact"/>
              <w:rPr>
                <w:sz w:val="20"/>
                <w:szCs w:val="20"/>
                <w:color w:val="auto"/>
              </w:rPr>
            </w:pPr>
            <w:r>
              <w:rPr>
                <w:rFonts w:ascii="Arial" w:cs="Arial" w:eastAsia="Arial" w:hAnsi="Arial"/>
                <w:sz w:val="14"/>
                <w:szCs w:val="14"/>
                <w:color w:val="auto"/>
              </w:rPr>
              <w:t>650,713</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32"/>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Donald L. Reeves</w:t>
            </w:r>
          </w:p>
        </w:tc>
        <w:tc>
          <w:tcPr>
            <w:tcW w:w="80" w:type="dxa"/>
            <w:vAlign w:val="bottom"/>
            <w:tcBorders>
              <w:bottom w:val="single" w:sz="8" w:color="5D6673"/>
            </w:tcBorders>
          </w:tcPr>
          <w:p>
            <w:pPr>
              <w:spacing w:after="0"/>
              <w:rPr>
                <w:sz w:val="20"/>
                <w:szCs w:val="20"/>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366,750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513,450</w:t>
            </w:r>
          </w:p>
        </w:tc>
        <w:tc>
          <w:tcPr>
            <w:tcW w:w="40" w:type="dxa"/>
            <w:vAlign w:val="bottom"/>
            <w:tcBorders>
              <w:bottom w:val="single" w:sz="8" w:color="5D6673"/>
            </w:tcBorders>
          </w:tcPr>
          <w:p>
            <w:pPr>
              <w:spacing w:after="0"/>
              <w:rPr>
                <w:sz w:val="20"/>
                <w:szCs w:val="20"/>
                <w:color w:val="auto"/>
              </w:rPr>
            </w:pP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920" w:type="dxa"/>
            <w:vAlign w:val="bottom"/>
            <w:tcBorders>
              <w:bottom w:val="single" w:sz="8" w:color="5D6673"/>
            </w:tcBorders>
          </w:tcPr>
          <w:p>
            <w:pPr>
              <w:jc w:val="right"/>
              <w:ind w:right="2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840" w:type="dxa"/>
            <w:vAlign w:val="bottom"/>
            <w:tcBorders>
              <w:bottom w:val="single" w:sz="8" w:color="5D6673"/>
            </w:tcBorders>
            <w:gridSpan w:val="3"/>
          </w:tcPr>
          <w:p>
            <w:pPr>
              <w:jc w:val="right"/>
              <w:ind w:right="120"/>
              <w:spacing w:after="0"/>
              <w:rPr>
                <w:sz w:val="20"/>
                <w:szCs w:val="20"/>
                <w:color w:val="auto"/>
              </w:rPr>
            </w:pPr>
            <w:r>
              <w:rPr>
                <w:rFonts w:ascii="Arial" w:cs="Arial" w:eastAsia="Arial" w:hAnsi="Arial"/>
                <w:sz w:val="14"/>
                <w:szCs w:val="14"/>
                <w:color w:val="auto"/>
              </w:rPr>
              <w:t>2/19/2025​</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gridSpan w:val="2"/>
          </w:tcPr>
          <w:p>
            <w:pPr>
              <w:jc w:val="right"/>
              <w:ind w:right="51"/>
              <w:spacing w:after="0"/>
              <w:rPr>
                <w:sz w:val="20"/>
                <w:szCs w:val="20"/>
                <w:color w:val="auto"/>
              </w:rPr>
            </w:pPr>
            <w:r>
              <w:rPr>
                <w:rFonts w:ascii="Arial" w:cs="Arial" w:eastAsia="Arial" w:hAnsi="Arial"/>
                <w:sz w:val="14"/>
                <w:szCs w:val="14"/>
                <w:color w:val="auto"/>
              </w:rPr>
              <w:t>6,387</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0"/>
              <w:spacing w:after="0"/>
              <w:rPr>
                <w:sz w:val="20"/>
                <w:szCs w:val="20"/>
                <w:color w:val="auto"/>
              </w:rPr>
            </w:pPr>
            <w:r>
              <w:rPr>
                <w:rFonts w:ascii="Arial" w:cs="Arial" w:eastAsia="Arial" w:hAnsi="Arial"/>
                <w:sz w:val="14"/>
                <w:szCs w:val="14"/>
                <w:color w:val="auto"/>
              </w:rPr>
              <w:t>624,968</w:t>
            </w:r>
          </w:p>
        </w:tc>
        <w:tc>
          <w:tcPr>
            <w:tcW w:w="0" w:type="dxa"/>
            <w:vAlign w:val="bottom"/>
          </w:tcPr>
          <w:p>
            <w:pPr>
              <w:spacing w:after="0"/>
              <w:rPr>
                <w:sz w:val="1"/>
                <w:szCs w:val="1"/>
                <w:color w:val="auto"/>
              </w:rPr>
            </w:pPr>
          </w:p>
        </w:tc>
      </w:tr>
      <w:tr>
        <w:trPr>
          <w:trHeight w:val="241"/>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2,129</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5,322</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41" w:lineRule="exact"/>
              <w:rPr>
                <w:sz w:val="20"/>
                <w:szCs w:val="20"/>
                <w:color w:val="auto"/>
              </w:rPr>
            </w:pPr>
            <w:r>
              <w:rPr>
                <w:rFonts w:ascii="Arial" w:cs="Arial" w:eastAsia="Arial" w:hAnsi="Arial"/>
                <w:sz w:val="14"/>
                <w:szCs w:val="14"/>
                <w:color w:val="auto"/>
              </w:rPr>
              <w:t>224,652</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2,446</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6,115</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36" w:lineRule="exact"/>
              <w:rPr>
                <w:sz w:val="20"/>
                <w:szCs w:val="20"/>
                <w:color w:val="auto"/>
              </w:rPr>
            </w:pPr>
            <w:r>
              <w:rPr>
                <w:rFonts w:ascii="Arial" w:cs="Arial" w:eastAsia="Arial" w:hAnsi="Arial"/>
                <w:sz w:val="14"/>
                <w:szCs w:val="14"/>
                <w:color w:val="auto"/>
              </w:rPr>
              <w:t>316,904</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5D6673"/>
            </w:tcBorders>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1,800</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36" w:lineRule="exact"/>
              <w:rPr>
                <w:sz w:val="20"/>
                <w:szCs w:val="20"/>
                <w:color w:val="auto"/>
              </w:rPr>
            </w:pPr>
            <w:r>
              <w:rPr>
                <w:rFonts w:ascii="Arial" w:cs="Arial" w:eastAsia="Arial" w:hAnsi="Arial"/>
                <w:sz w:val="14"/>
                <w:szCs w:val="14"/>
                <w:color w:val="auto"/>
              </w:rPr>
              <w:t>244,170</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33"/>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John F. Marcolini</w:t>
            </w:r>
          </w:p>
        </w:tc>
        <w:tc>
          <w:tcPr>
            <w:tcW w:w="80" w:type="dxa"/>
            <w:vAlign w:val="bottom"/>
            <w:tcBorders>
              <w:bottom w:val="single" w:sz="8" w:color="5D6673"/>
            </w:tcBorders>
          </w:tcPr>
          <w:p>
            <w:pPr>
              <w:spacing w:after="0"/>
              <w:rPr>
                <w:sz w:val="20"/>
                <w:szCs w:val="20"/>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358,500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501,900</w:t>
            </w:r>
          </w:p>
        </w:tc>
        <w:tc>
          <w:tcPr>
            <w:tcW w:w="40" w:type="dxa"/>
            <w:vAlign w:val="bottom"/>
            <w:tcBorders>
              <w:bottom w:val="single" w:sz="8" w:color="5D6673"/>
            </w:tcBorders>
          </w:tcPr>
          <w:p>
            <w:pPr>
              <w:spacing w:after="0"/>
              <w:rPr>
                <w:sz w:val="20"/>
                <w:szCs w:val="20"/>
                <w:color w:val="auto"/>
              </w:rPr>
            </w:pP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920" w:type="dxa"/>
            <w:vAlign w:val="bottom"/>
            <w:tcBorders>
              <w:bottom w:val="single" w:sz="8" w:color="5D6673"/>
            </w:tcBorders>
          </w:tcPr>
          <w:p>
            <w:pPr>
              <w:jc w:val="right"/>
              <w:ind w:right="2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gridSpan w:val="2"/>
          </w:tcPr>
          <w:p>
            <w:pPr>
              <w:jc w:val="right"/>
              <w:ind w:right="51"/>
              <w:spacing w:after="0"/>
              <w:rPr>
                <w:sz w:val="20"/>
                <w:szCs w:val="20"/>
                <w:color w:val="auto"/>
              </w:rPr>
            </w:pPr>
            <w:r>
              <w:rPr>
                <w:rFonts w:ascii="Arial" w:cs="Arial" w:eastAsia="Arial" w:hAnsi="Arial"/>
                <w:sz w:val="14"/>
                <w:szCs w:val="14"/>
                <w:color w:val="auto"/>
              </w:rPr>
              <w:t>6,387</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0"/>
              <w:spacing w:after="0"/>
              <w:rPr>
                <w:sz w:val="20"/>
                <w:szCs w:val="20"/>
                <w:color w:val="auto"/>
              </w:rPr>
            </w:pPr>
            <w:r>
              <w:rPr>
                <w:rFonts w:ascii="Arial" w:cs="Arial" w:eastAsia="Arial" w:hAnsi="Arial"/>
                <w:sz w:val="14"/>
                <w:szCs w:val="14"/>
                <w:color w:val="auto"/>
              </w:rPr>
              <w:t>624,968</w:t>
            </w:r>
          </w:p>
        </w:tc>
        <w:tc>
          <w:tcPr>
            <w:tcW w:w="0" w:type="dxa"/>
            <w:vAlign w:val="bottom"/>
          </w:tcPr>
          <w:p>
            <w:pPr>
              <w:spacing w:after="0"/>
              <w:rPr>
                <w:sz w:val="1"/>
                <w:szCs w:val="1"/>
                <w:color w:val="auto"/>
              </w:rPr>
            </w:pPr>
          </w:p>
        </w:tc>
      </w:tr>
      <w:tr>
        <w:trPr>
          <w:trHeight w:val="241"/>
        </w:trPr>
        <w:tc>
          <w:tcPr>
            <w:tcW w:w="1380" w:type="dxa"/>
            <w:vAlign w:val="bottom"/>
          </w:tcPr>
          <w:p>
            <w:pPr>
              <w:spacing w:after="0"/>
              <w:rPr>
                <w:sz w:val="20"/>
                <w:szCs w:val="20"/>
                <w:color w:val="auto"/>
              </w:rPr>
            </w:pPr>
          </w:p>
        </w:tc>
        <w:tc>
          <w:tcPr>
            <w:tcW w:w="840" w:type="dxa"/>
            <w:vAlign w:val="bottom"/>
            <w:tcBorders>
              <w:bottom w:val="single" w:sz="8" w:color="5D6673"/>
            </w:tcBorders>
            <w:gridSpan w:val="3"/>
          </w:tcPr>
          <w:p>
            <w:pPr>
              <w:jc w:val="right"/>
              <w:ind w:right="120"/>
              <w:spacing w:after="0"/>
              <w:rPr>
                <w:sz w:val="20"/>
                <w:szCs w:val="20"/>
                <w:color w:val="auto"/>
              </w:rPr>
            </w:pPr>
            <w:r>
              <w:rPr>
                <w:rFonts w:ascii="Arial" w:cs="Arial" w:eastAsia="Arial" w:hAnsi="Arial"/>
                <w:sz w:val="14"/>
                <w:szCs w:val="14"/>
                <w:color w:val="auto"/>
              </w:rPr>
              <w:t>2/19/2025​</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2,129</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5,322</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41" w:lineRule="exact"/>
              <w:rPr>
                <w:sz w:val="20"/>
                <w:szCs w:val="20"/>
                <w:color w:val="auto"/>
              </w:rPr>
            </w:pPr>
            <w:r>
              <w:rPr>
                <w:rFonts w:ascii="Arial" w:cs="Arial" w:eastAsia="Arial" w:hAnsi="Arial"/>
                <w:sz w:val="14"/>
                <w:szCs w:val="14"/>
                <w:color w:val="auto"/>
              </w:rPr>
              <w:t>224,652</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36"/>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2,557</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6,392</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36" w:lineRule="exact"/>
              <w:rPr>
                <w:sz w:val="20"/>
                <w:szCs w:val="20"/>
                <w:color w:val="auto"/>
              </w:rPr>
            </w:pPr>
            <w:r>
              <w:rPr>
                <w:rFonts w:ascii="Arial" w:cs="Arial" w:eastAsia="Arial" w:hAnsi="Arial"/>
                <w:sz w:val="14"/>
                <w:szCs w:val="14"/>
                <w:color w:val="auto"/>
              </w:rPr>
              <w:t>331,285</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5D6673"/>
            </w:tcBorders>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1,800</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36" w:lineRule="exact"/>
              <w:rPr>
                <w:sz w:val="20"/>
                <w:szCs w:val="20"/>
                <w:color w:val="auto"/>
              </w:rPr>
            </w:pPr>
            <w:r>
              <w:rPr>
                <w:rFonts w:ascii="Arial" w:cs="Arial" w:eastAsia="Arial" w:hAnsi="Arial"/>
                <w:sz w:val="14"/>
                <w:szCs w:val="14"/>
                <w:color w:val="auto"/>
              </w:rPr>
              <w:t>244,170</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32"/>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Justin K. Patrick</w:t>
            </w:r>
          </w:p>
        </w:tc>
        <w:tc>
          <w:tcPr>
            <w:tcW w:w="80" w:type="dxa"/>
            <w:vAlign w:val="bottom"/>
            <w:tcBorders>
              <w:bottom w:val="single" w:sz="8" w:color="5D6673"/>
            </w:tcBorders>
          </w:tcPr>
          <w:p>
            <w:pPr>
              <w:spacing w:after="0"/>
              <w:rPr>
                <w:sz w:val="20"/>
                <w:szCs w:val="20"/>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330,000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462,000</w:t>
            </w:r>
          </w:p>
        </w:tc>
        <w:tc>
          <w:tcPr>
            <w:tcW w:w="40" w:type="dxa"/>
            <w:vAlign w:val="bottom"/>
            <w:tcBorders>
              <w:bottom w:val="single" w:sz="8" w:color="5D6673"/>
            </w:tcBorders>
          </w:tcPr>
          <w:p>
            <w:pPr>
              <w:spacing w:after="0"/>
              <w:rPr>
                <w:sz w:val="20"/>
                <w:szCs w:val="20"/>
                <w:color w:val="auto"/>
              </w:rPr>
            </w:pP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920" w:type="dxa"/>
            <w:vAlign w:val="bottom"/>
            <w:tcBorders>
              <w:bottom w:val="single" w:sz="8" w:color="5D6673"/>
            </w:tcBorders>
          </w:tcPr>
          <w:p>
            <w:pPr>
              <w:jc w:val="right"/>
              <w:ind w:right="2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spacing w:after="0"/>
              <w:rPr>
                <w:sz w:val="20"/>
                <w:szCs w:val="20"/>
                <w:color w:val="auto"/>
              </w:rPr>
            </w:pPr>
          </w:p>
        </w:tc>
        <w:tc>
          <w:tcPr>
            <w:tcW w:w="100" w:type="dxa"/>
            <w:vAlign w:val="bottom"/>
            <w:tcBorders>
              <w:bottom w:val="single" w:sz="8" w:color="5D6673"/>
            </w:tcBorders>
          </w:tcPr>
          <w:p>
            <w:pPr>
              <w:spacing w:after="0"/>
              <w:rPr>
                <w:sz w:val="20"/>
                <w:szCs w:val="20"/>
                <w:color w:val="auto"/>
              </w:rPr>
            </w:pPr>
          </w:p>
        </w:tc>
        <w:tc>
          <w:tcPr>
            <w:tcW w:w="760" w:type="dxa"/>
            <w:vAlign w:val="bottom"/>
            <w:tcBorders>
              <w:bottom w:val="single" w:sz="8" w:color="5D6673"/>
            </w:tcBorders>
            <w:gridSpan w:val="2"/>
          </w:tcPr>
          <w:p>
            <w:pPr>
              <w:jc w:val="right"/>
              <w:ind w:right="51"/>
              <w:spacing w:after="0"/>
              <w:rPr>
                <w:sz w:val="20"/>
                <w:szCs w:val="20"/>
                <w:color w:val="auto"/>
              </w:rPr>
            </w:pPr>
            <w:r>
              <w:rPr>
                <w:rFonts w:ascii="Arial" w:cs="Arial" w:eastAsia="Arial" w:hAnsi="Arial"/>
                <w:sz w:val="14"/>
                <w:szCs w:val="14"/>
                <w:color w:val="auto"/>
              </w:rPr>
              <w:t>6,387</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0"/>
              <w:spacing w:after="0"/>
              <w:rPr>
                <w:sz w:val="20"/>
                <w:szCs w:val="20"/>
                <w:color w:val="auto"/>
              </w:rPr>
            </w:pPr>
            <w:r>
              <w:rPr>
                <w:rFonts w:ascii="Arial" w:cs="Arial" w:eastAsia="Arial" w:hAnsi="Arial"/>
                <w:sz w:val="14"/>
                <w:szCs w:val="14"/>
                <w:color w:val="auto"/>
              </w:rPr>
              <w:t>624,968</w:t>
            </w:r>
          </w:p>
        </w:tc>
        <w:tc>
          <w:tcPr>
            <w:tcW w:w="0" w:type="dxa"/>
            <w:vAlign w:val="bottom"/>
          </w:tcPr>
          <w:p>
            <w:pPr>
              <w:spacing w:after="0"/>
              <w:rPr>
                <w:sz w:val="1"/>
                <w:szCs w:val="1"/>
                <w:color w:val="auto"/>
              </w:rPr>
            </w:pPr>
          </w:p>
        </w:tc>
      </w:tr>
      <w:tr>
        <w:trPr>
          <w:trHeight w:val="240"/>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2,129</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5,322</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41" w:lineRule="exact"/>
              <w:rPr>
                <w:sz w:val="20"/>
                <w:szCs w:val="20"/>
                <w:color w:val="auto"/>
              </w:rPr>
            </w:pPr>
            <w:r>
              <w:rPr>
                <w:rFonts w:ascii="Arial" w:cs="Arial" w:eastAsia="Arial" w:hAnsi="Arial"/>
                <w:sz w:val="14"/>
                <w:szCs w:val="14"/>
                <w:color w:val="auto"/>
              </w:rPr>
              <w:t>224,652</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5D6673"/>
            </w:tcBorders>
          </w:tcPr>
          <w:p>
            <w:pPr>
              <w:spacing w:after="0"/>
              <w:rPr>
                <w:sz w:val="20"/>
                <w:szCs w:val="20"/>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20"/>
                <w:szCs w:val="20"/>
                <w:color w:val="auto"/>
              </w:rPr>
            </w:pPr>
          </w:p>
        </w:tc>
        <w:tc>
          <w:tcPr>
            <w:tcW w:w="86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2,224</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5,560</w:t>
            </w:r>
          </w:p>
        </w:tc>
        <w:tc>
          <w:tcPr>
            <w:tcW w:w="100" w:type="dxa"/>
            <w:vAlign w:val="bottom"/>
            <w:tcBorders>
              <w:bottom w:val="single" w:sz="8" w:color="5D6673"/>
            </w:tcBorders>
          </w:tcPr>
          <w:p>
            <w:pPr>
              <w:spacing w:after="0"/>
              <w:rPr>
                <w:sz w:val="20"/>
                <w:szCs w:val="20"/>
                <w:color w:val="auto"/>
              </w:rPr>
            </w:pPr>
          </w:p>
        </w:tc>
        <w:tc>
          <w:tcPr>
            <w:tcW w:w="80" w:type="dxa"/>
            <w:vAlign w:val="bottom"/>
            <w:tcBorders>
              <w:bottom w:val="single" w:sz="8" w:color="5D6673"/>
            </w:tcBorders>
          </w:tcPr>
          <w:p>
            <w:pPr>
              <w:spacing w:after="0"/>
              <w:rPr>
                <w:sz w:val="20"/>
                <w:szCs w:val="20"/>
                <w:color w:val="auto"/>
              </w:rPr>
            </w:pPr>
          </w:p>
        </w:tc>
        <w:tc>
          <w:tcPr>
            <w:tcW w:w="68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0"/>
              <w:spacing w:after="0" w:line="236" w:lineRule="exact"/>
              <w:rPr>
                <w:sz w:val="20"/>
                <w:szCs w:val="20"/>
                <w:color w:val="auto"/>
              </w:rPr>
            </w:pPr>
            <w:r>
              <w:rPr>
                <w:rFonts w:ascii="Arial" w:cs="Arial" w:eastAsia="Arial" w:hAnsi="Arial"/>
                <w:sz w:val="14"/>
                <w:szCs w:val="14"/>
                <w:color w:val="auto"/>
              </w:rPr>
              <w:t>288,141</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0063A6"/>
            </w:tcBorders>
          </w:tcPr>
          <w:p>
            <w:pPr>
              <w:spacing w:after="0"/>
              <w:rPr>
                <w:sz w:val="19"/>
                <w:szCs w:val="19"/>
                <w:color w:val="auto"/>
              </w:rPr>
            </w:pPr>
          </w:p>
        </w:tc>
        <w:tc>
          <w:tcPr>
            <w:tcW w:w="740" w:type="dxa"/>
            <w:vAlign w:val="bottom"/>
            <w:tcBorders>
              <w:bottom w:val="single" w:sz="8" w:color="0063A6"/>
            </w:tcBorders>
            <w:gridSpan w:val="2"/>
          </w:tcPr>
          <w:p>
            <w:pPr>
              <w:jc w:val="right"/>
              <w:spacing w:after="0"/>
              <w:rPr>
                <w:sz w:val="20"/>
                <w:szCs w:val="20"/>
                <w:color w:val="auto"/>
              </w:rPr>
            </w:pPr>
            <w:r>
              <w:rPr>
                <w:rFonts w:ascii="Arial" w:cs="Arial" w:eastAsia="Arial" w:hAnsi="Arial"/>
                <w:sz w:val="14"/>
                <w:szCs w:val="14"/>
                <w:color w:val="auto"/>
              </w:rPr>
              <w:t>2/19/2025</w:t>
            </w:r>
          </w:p>
        </w:tc>
        <w:tc>
          <w:tcPr>
            <w:tcW w:w="100" w:type="dxa"/>
            <w:vAlign w:val="bottom"/>
            <w:tcBorders>
              <w:bottom w:val="single" w:sz="8" w:color="0063A6"/>
            </w:tcBorders>
          </w:tcPr>
          <w:p>
            <w:pPr>
              <w:spacing w:after="0"/>
              <w:rPr>
                <w:sz w:val="19"/>
                <w:szCs w:val="19"/>
                <w:color w:val="auto"/>
              </w:rPr>
            </w:pPr>
          </w:p>
        </w:tc>
        <w:tc>
          <w:tcPr>
            <w:tcW w:w="840" w:type="dxa"/>
            <w:vAlign w:val="bottom"/>
            <w:tcBorders>
              <w:bottom w:val="single" w:sz="8" w:color="0063A6"/>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spacing w:after="0"/>
              <w:rPr>
                <w:sz w:val="19"/>
                <w:szCs w:val="19"/>
                <w:color w:val="auto"/>
              </w:rPr>
            </w:pPr>
          </w:p>
        </w:tc>
        <w:tc>
          <w:tcPr>
            <w:tcW w:w="700" w:type="dxa"/>
            <w:vAlign w:val="bottom"/>
            <w:tcBorders>
              <w:bottom w:val="single" w:sz="8" w:color="0063A6"/>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63A6"/>
            </w:tcBorders>
          </w:tcPr>
          <w:p>
            <w:pPr>
              <w:spacing w:after="0"/>
              <w:rPr>
                <w:sz w:val="19"/>
                <w:szCs w:val="19"/>
                <w:color w:val="auto"/>
              </w:rPr>
            </w:pPr>
          </w:p>
        </w:tc>
        <w:tc>
          <w:tcPr>
            <w:tcW w:w="680" w:type="dxa"/>
            <w:vAlign w:val="bottom"/>
            <w:tcBorders>
              <w:bottom w:val="single" w:sz="8" w:color="0063A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0063A6"/>
            </w:tcBorders>
          </w:tcPr>
          <w:p>
            <w:pPr>
              <w:spacing w:after="0"/>
              <w:rPr>
                <w:sz w:val="19"/>
                <w:szCs w:val="19"/>
                <w:color w:val="auto"/>
              </w:rPr>
            </w:pPr>
          </w:p>
        </w:tc>
        <w:tc>
          <w:tcPr>
            <w:tcW w:w="860" w:type="dxa"/>
            <w:vAlign w:val="bottom"/>
            <w:tcBorders>
              <w:bottom w:val="single" w:sz="8" w:color="0063A6"/>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63A6"/>
            </w:tcBorders>
          </w:tcPr>
          <w:p>
            <w:pPr>
              <w:jc w:val="right"/>
              <w:ind w:right="49"/>
              <w:spacing w:after="0"/>
              <w:rPr>
                <w:sz w:val="20"/>
                <w:szCs w:val="20"/>
                <w:color w:val="auto"/>
              </w:rPr>
            </w:pPr>
            <w:r>
              <w:rPr>
                <w:rFonts w:ascii="Arial" w:cs="Arial" w:eastAsia="Arial" w:hAnsi="Arial"/>
                <w:sz w:val="14"/>
                <w:szCs w:val="14"/>
                <w:color w:val="auto"/>
              </w:rPr>
              <w:t>1,650</w:t>
            </w:r>
          </w:p>
        </w:tc>
        <w:tc>
          <w:tcPr>
            <w:tcW w:w="7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4,125</w:t>
            </w:r>
          </w:p>
        </w:tc>
        <w:tc>
          <w:tcPr>
            <w:tcW w:w="100" w:type="dxa"/>
            <w:vAlign w:val="bottom"/>
            <w:tcBorders>
              <w:bottom w:val="single" w:sz="8" w:color="0063A6"/>
            </w:tcBorders>
          </w:tcPr>
          <w:p>
            <w:pPr>
              <w:spacing w:after="0"/>
              <w:rPr>
                <w:sz w:val="19"/>
                <w:szCs w:val="19"/>
                <w:color w:val="auto"/>
              </w:rPr>
            </w:pPr>
          </w:p>
        </w:tc>
        <w:tc>
          <w:tcPr>
            <w:tcW w:w="80" w:type="dxa"/>
            <w:vAlign w:val="bottom"/>
            <w:tcBorders>
              <w:bottom w:val="single" w:sz="8" w:color="0063A6"/>
            </w:tcBorders>
          </w:tcPr>
          <w:p>
            <w:pPr>
              <w:spacing w:after="0"/>
              <w:rPr>
                <w:sz w:val="19"/>
                <w:szCs w:val="19"/>
                <w:color w:val="auto"/>
              </w:rPr>
            </w:pPr>
          </w:p>
        </w:tc>
        <w:tc>
          <w:tcPr>
            <w:tcW w:w="680" w:type="dxa"/>
            <w:vAlign w:val="bottom"/>
            <w:tcBorders>
              <w:bottom w:val="single" w:sz="8" w:color="0063A6"/>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ind w:right="130"/>
              <w:spacing w:after="0" w:line="223" w:lineRule="exact"/>
              <w:rPr>
                <w:sz w:val="20"/>
                <w:szCs w:val="20"/>
                <w:color w:val="auto"/>
              </w:rPr>
            </w:pPr>
            <w:r>
              <w:rPr>
                <w:rFonts w:ascii="Arial" w:cs="Arial" w:eastAsia="Arial" w:hAnsi="Arial"/>
                <w:sz w:val="14"/>
                <w:szCs w:val="14"/>
                <w:color w:val="auto"/>
              </w:rPr>
              <w:t>223,823</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-4482465</wp:posOffset>
            </wp:positionV>
            <wp:extent cx="30861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65" w:lineRule="exact"/>
        <w:rPr>
          <w:sz w:val="20"/>
          <w:szCs w:val="20"/>
          <w:color w:val="auto"/>
        </w:rPr>
      </w:pPr>
    </w:p>
    <w:p>
      <w:pPr>
        <w:ind w:left="346" w:right="500" w:hanging="346"/>
        <w:spacing w:after="0" w:line="261" w:lineRule="auto"/>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2025. Our annual incentive program is discussed under the caption “</w:t>
      </w:r>
      <w:r>
        <w:rPr>
          <w:rFonts w:ascii="Arial" w:cs="Arial" w:eastAsia="Arial" w:hAnsi="Arial"/>
          <w:sz w:val="14"/>
          <w:szCs w:val="14"/>
          <w:i w:val="1"/>
          <w:iCs w:val="1"/>
          <w:color w:val="auto"/>
        </w:rPr>
        <w:t>Annual Cash Incentives - The Itron Incentive Plan (IIP)</w:t>
      </w:r>
      <w:r>
        <w:rPr>
          <w:rFonts w:ascii="Arial" w:cs="Arial" w:eastAsia="Arial" w:hAnsi="Arial"/>
          <w:sz w:val="14"/>
          <w:szCs w:val="14"/>
          <w:color w:val="auto"/>
        </w:rPr>
        <w:t>” in this proxy statement.</w:t>
      </w:r>
    </w:p>
    <w:p>
      <w:pPr>
        <w:ind w:left="346" w:right="180" w:hanging="346"/>
        <w:spacing w:after="0" w:line="264" w:lineRule="auto"/>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2025 portion of PRSUs granted in 2023, 2024, and 2025; earned PRSU awards are paid in Itron common stock. Our PRSUs are discussed under the caption “</w:t>
      </w:r>
      <w:r>
        <w:rPr>
          <w:rFonts w:ascii="Arial" w:cs="Arial" w:eastAsia="Arial" w:hAnsi="Arial"/>
          <w:sz w:val="14"/>
          <w:szCs w:val="14"/>
          <w:i w:val="1"/>
          <w:iCs w:val="1"/>
          <w:color w:val="auto"/>
        </w:rPr>
        <w:t>A Closer Look at PRSUs</w:t>
      </w:r>
      <w:r>
        <w:rPr>
          <w:rFonts w:ascii="Arial" w:cs="Arial" w:eastAsia="Arial" w:hAnsi="Arial"/>
          <w:sz w:val="14"/>
          <w:szCs w:val="14"/>
          <w:color w:val="auto"/>
        </w:rPr>
        <w:t>” in this proxy statement.</w:t>
      </w:r>
    </w:p>
    <w:p>
      <w:pPr>
        <w:spacing w:after="0" w:line="23" w:lineRule="exact"/>
        <w:rPr>
          <w:rFonts w:ascii="Arial" w:cs="Arial" w:eastAsia="Arial" w:hAnsi="Arial"/>
          <w:sz w:val="14"/>
          <w:szCs w:val="14"/>
          <w:color w:val="auto"/>
        </w:rPr>
      </w:pPr>
    </w:p>
    <w:p>
      <w:pPr>
        <w:ind w:left="346" w:hanging="346"/>
        <w:spacing w:after="0"/>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RSUs granted under our LTIP.</w:t>
      </w:r>
    </w:p>
    <w:p>
      <w:pPr>
        <w:spacing w:after="0" w:line="55" w:lineRule="exact"/>
        <w:rPr>
          <w:rFonts w:ascii="Arial" w:cs="Arial" w:eastAsia="Arial" w:hAnsi="Arial"/>
          <w:sz w:val="14"/>
          <w:szCs w:val="14"/>
          <w:color w:val="auto"/>
        </w:rPr>
      </w:pPr>
    </w:p>
    <w:p>
      <w:pPr>
        <w:ind w:left="346" w:right="80" w:hanging="346"/>
        <w:spacing w:after="0" w:line="231" w:lineRule="auto"/>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Amounts shown are based on target performance achievement for the 2025 portion of the 2025-2027 performance cycle of PRSUs. As required under FASB ASC Topic 718, includes the value of the award contingent upon the Company’s financial performance and the grant date fair value for the TSR multiplier for the 2025 portion of the award. See footnote 2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xml:space="preserve"> in this proxy statement for further details.</w:t>
      </w:r>
    </w:p>
    <w:p>
      <w:pPr>
        <w:spacing w:after="0" w:line="28" w:lineRule="exact"/>
        <w:rPr>
          <w:rFonts w:ascii="Arial" w:cs="Arial" w:eastAsia="Arial" w:hAnsi="Arial"/>
          <w:sz w:val="14"/>
          <w:szCs w:val="14"/>
          <w:color w:val="auto"/>
        </w:rPr>
      </w:pPr>
    </w:p>
    <w:p>
      <w:pPr>
        <w:ind w:left="346" w:right="80" w:hanging="346"/>
        <w:spacing w:after="0" w:line="231" w:lineRule="auto"/>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shown are based on target performance achievement for the 2025 portion of the 2024-2026 performance cycle of PRSUs. As required under FASB ASC Topic 718, includes the value of the award contingent upon the Company's financial performance and the grant date fair value for the TSR multiplier for the 2025 portion of the award. See footnote 2 of the Summary Compensation Table in this proxy statement for further details.</w:t>
      </w:r>
    </w:p>
    <w:p>
      <w:pPr>
        <w:spacing w:after="0" w:line="41" w:lineRule="exact"/>
        <w:rPr>
          <w:rFonts w:ascii="Arial" w:cs="Arial" w:eastAsia="Arial" w:hAnsi="Arial"/>
          <w:sz w:val="14"/>
          <w:szCs w:val="14"/>
          <w:color w:val="auto"/>
        </w:rPr>
      </w:pPr>
    </w:p>
    <w:p>
      <w:pPr>
        <w:ind w:left="346" w:right="80" w:hanging="346"/>
        <w:spacing w:after="0" w:line="231" w:lineRule="auto"/>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shown are based on target performance achievement for the 2025 portion of the 2023-2025 performance cycle of PRSUs. As required under FASB ASC Topic 718, includes the value of the award contingent upon the Company's financial performance and the grant date fair value for the TSR multiplier for the 2025 portion of the award. See footnote 2 of the Summary Compensation Table in this proxy statement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58293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00"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6" w:name="page47"/>
    <w:bookmarkEnd w:id="4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2025 Outstanding Equity Awards at Fiscal Year-End Table</w:t>
      </w:r>
    </w:p>
    <w:p>
      <w:pPr>
        <w:spacing w:after="0" w:line="200" w:lineRule="exact"/>
        <w:rPr>
          <w:sz w:val="20"/>
          <w:szCs w:val="20"/>
          <w:color w:val="auto"/>
        </w:rPr>
      </w:pPr>
    </w:p>
    <w:p>
      <w:pPr>
        <w:spacing w:after="0" w:line="314"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1280" w:type="dxa"/>
            <w:vAlign w:val="bottom"/>
          </w:tcPr>
          <w:p>
            <w:pPr>
              <w:spacing w:after="0"/>
              <w:rPr>
                <w:sz w:val="15"/>
                <w:szCs w:val="15"/>
                <w:color w:val="auto"/>
              </w:rPr>
            </w:pPr>
          </w:p>
        </w:tc>
        <w:tc>
          <w:tcPr>
            <w:tcW w:w="690" w:type="dxa"/>
            <w:vAlign w:val="bottom"/>
            <w:tcBorders>
              <w:bottom w:val="single" w:sz="8" w:color="0063A6"/>
            </w:tcBorders>
          </w:tcPr>
          <w:p>
            <w:pPr>
              <w:spacing w:after="0"/>
              <w:rPr>
                <w:sz w:val="15"/>
                <w:szCs w:val="15"/>
                <w:color w:val="auto"/>
              </w:rPr>
            </w:pPr>
          </w:p>
        </w:tc>
        <w:tc>
          <w:tcPr>
            <w:tcW w:w="870" w:type="dxa"/>
            <w:vAlign w:val="bottom"/>
            <w:tcBorders>
              <w:bottom w:val="single" w:sz="8" w:color="0063A6"/>
            </w:tcBorders>
          </w:tcPr>
          <w:p>
            <w:pPr>
              <w:spacing w:after="0"/>
              <w:rPr>
                <w:sz w:val="15"/>
                <w:szCs w:val="15"/>
                <w:color w:val="auto"/>
              </w:rPr>
            </w:pPr>
          </w:p>
        </w:tc>
        <w:tc>
          <w:tcPr>
            <w:tcW w:w="940" w:type="dxa"/>
            <w:vAlign w:val="bottom"/>
            <w:tcBorders>
              <w:bottom w:val="single" w:sz="8" w:color="0063A6"/>
            </w:tcBorders>
          </w:tcPr>
          <w:p>
            <w:pPr>
              <w:spacing w:after="0"/>
              <w:rPr>
                <w:sz w:val="15"/>
                <w:szCs w:val="15"/>
                <w:color w:val="auto"/>
              </w:rPr>
            </w:pPr>
          </w:p>
        </w:tc>
        <w:tc>
          <w:tcPr>
            <w:tcW w:w="600" w:type="dxa"/>
            <w:vAlign w:val="bottom"/>
            <w:tcBorders>
              <w:bottom w:val="single" w:sz="8" w:color="0063A6"/>
            </w:tcBorders>
          </w:tcPr>
          <w:p>
            <w:pPr>
              <w:spacing w:after="0"/>
              <w:rPr>
                <w:sz w:val="15"/>
                <w:szCs w:val="15"/>
                <w:color w:val="auto"/>
              </w:rPr>
            </w:pPr>
          </w:p>
        </w:tc>
        <w:tc>
          <w:tcPr>
            <w:tcW w:w="1520" w:type="dxa"/>
            <w:vAlign w:val="bottom"/>
            <w:tcBorders>
              <w:bottom w:val="single" w:sz="8" w:color="0063A6"/>
            </w:tcBorders>
            <w:gridSpan w:val="3"/>
          </w:tcPr>
          <w:p>
            <w:pPr>
              <w:jc w:val="right"/>
              <w:ind w:right="257"/>
              <w:spacing w:after="0"/>
              <w:rPr>
                <w:sz w:val="20"/>
                <w:szCs w:val="20"/>
                <w:color w:val="auto"/>
              </w:rPr>
            </w:pPr>
            <w:r>
              <w:rPr>
                <w:rFonts w:ascii="Arial" w:cs="Arial" w:eastAsia="Arial" w:hAnsi="Arial"/>
                <w:sz w:val="13"/>
                <w:szCs w:val="13"/>
                <w:b w:val="1"/>
                <w:bCs w:val="1"/>
                <w:color w:val="auto"/>
              </w:rPr>
              <w:t>ITRON, INC.</w:t>
            </w: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spacing w:after="0"/>
              <w:rPr>
                <w:sz w:val="15"/>
                <w:szCs w:val="15"/>
                <w:color w:val="auto"/>
              </w:rPr>
            </w:pPr>
          </w:p>
        </w:tc>
        <w:tc>
          <w:tcPr>
            <w:tcW w:w="122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90" w:type="dxa"/>
            <w:vAlign w:val="bottom"/>
          </w:tcPr>
          <w:p>
            <w:pPr>
              <w:spacing w:after="0"/>
              <w:rPr>
                <w:sz w:val="17"/>
                <w:szCs w:val="17"/>
                <w:color w:val="auto"/>
              </w:rPr>
            </w:pPr>
          </w:p>
        </w:tc>
        <w:tc>
          <w:tcPr>
            <w:tcW w:w="87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60" w:type="dxa"/>
            <w:vAlign w:val="bottom"/>
            <w:gridSpan w:val="6"/>
          </w:tcPr>
          <w:p>
            <w:pPr>
              <w:jc w:val="right"/>
              <w:ind w:right="177"/>
              <w:spacing w:after="0"/>
              <w:rPr>
                <w:sz w:val="20"/>
                <w:szCs w:val="20"/>
                <w:color w:val="auto"/>
              </w:rPr>
            </w:pPr>
            <w:r>
              <w:rPr>
                <w:rFonts w:ascii="Arial" w:cs="Arial" w:eastAsia="Arial" w:hAnsi="Arial"/>
                <w:sz w:val="13"/>
                <w:szCs w:val="13"/>
                <w:b w:val="1"/>
                <w:bCs w:val="1"/>
                <w:color w:val="auto"/>
                <w:w w:val="97"/>
              </w:rPr>
              <w:t>Outstanding Equity Awards At Fiscal Year End</w:t>
            </w: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90" w:type="dxa"/>
            <w:vAlign w:val="bottom"/>
            <w:shd w:val="clear" w:color="auto" w:fill="0063A6"/>
          </w:tcPr>
          <w:p>
            <w:pPr>
              <w:spacing w:after="0"/>
              <w:rPr>
                <w:sz w:val="18"/>
                <w:szCs w:val="18"/>
                <w:color w:val="auto"/>
              </w:rPr>
            </w:pPr>
          </w:p>
        </w:tc>
        <w:tc>
          <w:tcPr>
            <w:tcW w:w="870" w:type="dxa"/>
            <w:vAlign w:val="bottom"/>
            <w:shd w:val="clear" w:color="auto" w:fill="0063A6"/>
          </w:tcPr>
          <w:p>
            <w:pPr>
              <w:spacing w:after="0"/>
              <w:rPr>
                <w:sz w:val="18"/>
                <w:szCs w:val="18"/>
                <w:color w:val="auto"/>
              </w:rPr>
            </w:pPr>
          </w:p>
        </w:tc>
        <w:tc>
          <w:tcPr>
            <w:tcW w:w="1540" w:type="dxa"/>
            <w:vAlign w:val="bottom"/>
            <w:gridSpan w:val="2"/>
            <w:shd w:val="clear" w:color="auto" w:fill="0063A6"/>
          </w:tcPr>
          <w:p>
            <w:pPr>
              <w:jc w:val="right"/>
              <w:ind w:right="337"/>
              <w:spacing w:after="0"/>
              <w:rPr>
                <w:sz w:val="20"/>
                <w:szCs w:val="20"/>
                <w:color w:val="auto"/>
              </w:rPr>
            </w:pPr>
            <w:r>
              <w:rPr>
                <w:rFonts w:ascii="Arial" w:cs="Arial" w:eastAsia="Arial" w:hAnsi="Arial"/>
                <w:sz w:val="13"/>
                <w:szCs w:val="13"/>
                <w:b w:val="1"/>
                <w:bCs w:val="1"/>
                <w:color w:val="FFFFFF"/>
              </w:rPr>
              <w:t>Option Awards</w:t>
            </w:r>
          </w:p>
        </w:tc>
        <w:tc>
          <w:tcPr>
            <w:tcW w:w="680" w:type="dxa"/>
            <w:vAlign w:val="bottom"/>
            <w:shd w:val="clear" w:color="auto" w:fill="0063A6"/>
          </w:tcPr>
          <w:p>
            <w:pPr>
              <w:spacing w:after="0"/>
              <w:rPr>
                <w:sz w:val="18"/>
                <w:szCs w:val="18"/>
                <w:color w:val="auto"/>
              </w:rPr>
            </w:pPr>
          </w:p>
        </w:tc>
        <w:tc>
          <w:tcPr>
            <w:tcW w:w="40" w:type="dxa"/>
            <w:vAlign w:val="bottom"/>
            <w:shd w:val="clear" w:color="auto" w:fill="0063A6"/>
          </w:tcPr>
          <w:p>
            <w:pPr>
              <w:spacing w:after="0"/>
              <w:rPr>
                <w:sz w:val="18"/>
                <w:szCs w:val="18"/>
                <w:color w:val="auto"/>
              </w:rPr>
            </w:pPr>
          </w:p>
        </w:tc>
        <w:tc>
          <w:tcPr>
            <w:tcW w:w="80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1800" w:type="dxa"/>
            <w:vAlign w:val="bottom"/>
            <w:gridSpan w:val="2"/>
            <w:shd w:val="clear" w:color="auto" w:fill="0063A6"/>
          </w:tcPr>
          <w:p>
            <w:pPr>
              <w:jc w:val="right"/>
              <w:ind w:right="357"/>
              <w:spacing w:after="0"/>
              <w:rPr>
                <w:sz w:val="20"/>
                <w:szCs w:val="20"/>
                <w:color w:val="auto"/>
              </w:rPr>
            </w:pPr>
            <w:r>
              <w:rPr>
                <w:rFonts w:ascii="Arial" w:cs="Arial" w:eastAsia="Arial" w:hAnsi="Arial"/>
                <w:sz w:val="13"/>
                <w:szCs w:val="13"/>
                <w:b w:val="1"/>
                <w:bCs w:val="1"/>
                <w:color w:val="FFFFFF"/>
              </w:rPr>
              <w:t>Stock Awards</w:t>
            </w:r>
          </w:p>
        </w:tc>
        <w:tc>
          <w:tcPr>
            <w:tcW w:w="1220" w:type="dxa"/>
            <w:vAlign w:val="bottom"/>
            <w:shd w:val="clear" w:color="auto" w:fill="0063A6"/>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80" w:type="dxa"/>
            <w:vAlign w:val="bottom"/>
          </w:tcPr>
          <w:p>
            <w:pPr>
              <w:spacing w:after="0"/>
              <w:rPr>
                <w:sz w:val="14"/>
                <w:szCs w:val="14"/>
                <w:color w:val="auto"/>
              </w:rPr>
            </w:pPr>
          </w:p>
        </w:tc>
        <w:tc>
          <w:tcPr>
            <w:tcW w:w="690" w:type="dxa"/>
            <w:vAlign w:val="bottom"/>
            <w:shd w:val="clear" w:color="auto" w:fill="0063A6"/>
          </w:tcPr>
          <w:p>
            <w:pPr>
              <w:spacing w:after="0"/>
              <w:rPr>
                <w:sz w:val="14"/>
                <w:szCs w:val="14"/>
                <w:color w:val="auto"/>
              </w:rPr>
            </w:pPr>
          </w:p>
        </w:tc>
        <w:tc>
          <w:tcPr>
            <w:tcW w:w="87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4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1120" w:type="dxa"/>
            <w:vAlign w:val="bottom"/>
            <w:shd w:val="clear" w:color="auto" w:fill="0063A6"/>
          </w:tcPr>
          <w:p>
            <w:pPr>
              <w:jc w:val="right"/>
              <w:ind w:right="17"/>
              <w:spacing w:after="0"/>
              <w:rPr>
                <w:sz w:val="20"/>
                <w:szCs w:val="20"/>
                <w:color w:val="auto"/>
              </w:rPr>
            </w:pPr>
            <w:r>
              <w:rPr>
                <w:rFonts w:ascii="Arial" w:cs="Arial" w:eastAsia="Arial" w:hAnsi="Arial"/>
                <w:sz w:val="13"/>
                <w:szCs w:val="13"/>
                <w:b w:val="1"/>
                <w:bCs w:val="1"/>
                <w:color w:val="FFFFFF"/>
              </w:rPr>
              <w:t>Equity Incentive</w:t>
            </w:r>
          </w:p>
        </w:tc>
        <w:tc>
          <w:tcPr>
            <w:tcW w:w="1220" w:type="dxa"/>
            <w:vAlign w:val="bottom"/>
            <w:shd w:val="clear" w:color="auto" w:fill="0063A6"/>
          </w:tcPr>
          <w:p>
            <w:pPr>
              <w:jc w:val="right"/>
              <w:ind w:right="17"/>
              <w:spacing w:after="0"/>
              <w:rPr>
                <w:sz w:val="20"/>
                <w:szCs w:val="20"/>
                <w:color w:val="auto"/>
              </w:rPr>
            </w:pPr>
            <w:r>
              <w:rPr>
                <w:rFonts w:ascii="Arial" w:cs="Arial" w:eastAsia="Arial" w:hAnsi="Arial"/>
                <w:sz w:val="13"/>
                <w:szCs w:val="13"/>
                <w:b w:val="1"/>
                <w:bCs w:val="1"/>
                <w:color w:val="FFFFFF"/>
              </w:rPr>
              <w:t>Equity Incentive</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70" w:type="dxa"/>
            <w:vAlign w:val="bottom"/>
            <w:vMerge w:val="restart"/>
            <w:shd w:val="clear" w:color="auto" w:fill="0063A6"/>
          </w:tcPr>
          <w:p>
            <w:pPr>
              <w:jc w:val="right"/>
              <w:ind w:right="17"/>
              <w:spacing w:after="0"/>
              <w:rPr>
                <w:sz w:val="20"/>
                <w:szCs w:val="20"/>
                <w:color w:val="auto"/>
              </w:rPr>
            </w:pPr>
            <w:r>
              <w:rPr>
                <w:rFonts w:ascii="Arial" w:cs="Arial" w:eastAsia="Arial" w:hAnsi="Arial"/>
                <w:sz w:val="13"/>
                <w:szCs w:val="13"/>
                <w:b w:val="1"/>
                <w:bCs w:val="1"/>
                <w:color w:val="FFFFFF"/>
              </w:rPr>
              <w:t>Number of</w:t>
            </w:r>
          </w:p>
        </w:tc>
        <w:tc>
          <w:tcPr>
            <w:tcW w:w="94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Number of</w:t>
            </w:r>
          </w:p>
        </w:tc>
        <w:tc>
          <w:tcPr>
            <w:tcW w:w="600" w:type="dxa"/>
            <w:vAlign w:val="bottom"/>
            <w:shd w:val="clear" w:color="auto" w:fill="0063A6"/>
          </w:tcPr>
          <w:p>
            <w:pPr>
              <w:spacing w:after="0"/>
              <w:rPr>
                <w:sz w:val="11"/>
                <w:szCs w:val="11"/>
                <w:color w:val="auto"/>
              </w:rPr>
            </w:pPr>
          </w:p>
        </w:tc>
        <w:tc>
          <w:tcPr>
            <w:tcW w:w="68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00" w:type="dxa"/>
            <w:vAlign w:val="bottom"/>
            <w:vMerge w:val="restart"/>
            <w:shd w:val="clear" w:color="auto" w:fill="0063A6"/>
          </w:tcPr>
          <w:p>
            <w:pPr>
              <w:jc w:val="right"/>
              <w:ind w:right="17"/>
              <w:spacing w:after="0"/>
              <w:rPr>
                <w:sz w:val="20"/>
                <w:szCs w:val="20"/>
                <w:color w:val="auto"/>
              </w:rPr>
            </w:pPr>
            <w:r>
              <w:rPr>
                <w:rFonts w:ascii="Arial" w:cs="Arial" w:eastAsia="Arial" w:hAnsi="Arial"/>
                <w:sz w:val="13"/>
                <w:szCs w:val="13"/>
                <w:b w:val="1"/>
                <w:bCs w:val="1"/>
                <w:color w:val="FFFFFF"/>
              </w:rPr>
              <w:t>Number of</w:t>
            </w:r>
          </w:p>
        </w:tc>
        <w:tc>
          <w:tcPr>
            <w:tcW w:w="940" w:type="dxa"/>
            <w:vAlign w:val="bottom"/>
            <w:gridSpan w:val="2"/>
            <w:vMerge w:val="restart"/>
            <w:shd w:val="clear" w:color="auto" w:fill="0063A6"/>
          </w:tcPr>
          <w:p>
            <w:pPr>
              <w:jc w:val="right"/>
              <w:ind w:right="77"/>
              <w:spacing w:after="0"/>
              <w:rPr>
                <w:sz w:val="20"/>
                <w:szCs w:val="20"/>
                <w:color w:val="auto"/>
              </w:rPr>
            </w:pPr>
            <w:r>
              <w:rPr>
                <w:rFonts w:ascii="Arial" w:cs="Arial" w:eastAsia="Arial" w:hAnsi="Arial"/>
                <w:sz w:val="13"/>
                <w:szCs w:val="13"/>
                <w:b w:val="1"/>
                <w:bCs w:val="1"/>
                <w:color w:val="FFFFFF"/>
                <w:w w:val="97"/>
              </w:rPr>
              <w:t>Market Value</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Plan Awards:</w:t>
            </w:r>
          </w:p>
        </w:tc>
        <w:tc>
          <w:tcPr>
            <w:tcW w:w="12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Plan Awards:</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70" w:type="dxa"/>
            <w:vAlign w:val="bottom"/>
            <w:vMerge w:val="continue"/>
            <w:shd w:val="clear" w:color="auto" w:fill="0063A6"/>
          </w:tcPr>
          <w:p>
            <w:pPr>
              <w:spacing w:after="0"/>
              <w:rPr>
                <w:sz w:val="11"/>
                <w:szCs w:val="11"/>
                <w:color w:val="auto"/>
              </w:rPr>
            </w:pPr>
          </w:p>
        </w:tc>
        <w:tc>
          <w:tcPr>
            <w:tcW w:w="940" w:type="dxa"/>
            <w:vAlign w:val="bottom"/>
            <w:vMerge w:val="continue"/>
            <w:shd w:val="clear" w:color="auto" w:fill="0063A6"/>
          </w:tcPr>
          <w:p>
            <w:pPr>
              <w:spacing w:after="0"/>
              <w:rPr>
                <w:sz w:val="11"/>
                <w:szCs w:val="11"/>
                <w:color w:val="auto"/>
              </w:rPr>
            </w:pPr>
          </w:p>
        </w:tc>
        <w:tc>
          <w:tcPr>
            <w:tcW w:w="600" w:type="dxa"/>
            <w:vAlign w:val="bottom"/>
            <w:shd w:val="clear" w:color="auto" w:fill="0063A6"/>
          </w:tcPr>
          <w:p>
            <w:pPr>
              <w:spacing w:after="0"/>
              <w:rPr>
                <w:sz w:val="11"/>
                <w:szCs w:val="11"/>
                <w:color w:val="auto"/>
              </w:rPr>
            </w:pPr>
          </w:p>
        </w:tc>
        <w:tc>
          <w:tcPr>
            <w:tcW w:w="68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00" w:type="dxa"/>
            <w:vAlign w:val="bottom"/>
            <w:vMerge w:val="continue"/>
            <w:shd w:val="clear" w:color="auto" w:fill="0063A6"/>
          </w:tcPr>
          <w:p>
            <w:pPr>
              <w:spacing w:after="0"/>
              <w:rPr>
                <w:sz w:val="11"/>
                <w:szCs w:val="11"/>
                <w:color w:val="auto"/>
              </w:rPr>
            </w:pPr>
          </w:p>
        </w:tc>
        <w:tc>
          <w:tcPr>
            <w:tcW w:w="940" w:type="dxa"/>
            <w:vAlign w:val="bottom"/>
            <w:gridSpan w:val="2"/>
            <w:vMerge w:val="continue"/>
            <w:shd w:val="clear" w:color="auto" w:fill="0063A6"/>
          </w:tcPr>
          <w:p>
            <w:pPr>
              <w:spacing w:after="0"/>
              <w:rPr>
                <w:sz w:val="11"/>
                <w:szCs w:val="11"/>
                <w:color w:val="auto"/>
              </w:rPr>
            </w:pP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Number of</w:t>
            </w:r>
          </w:p>
        </w:tc>
        <w:tc>
          <w:tcPr>
            <w:tcW w:w="12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Market or Payout</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7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Securities</w:t>
            </w:r>
          </w:p>
        </w:tc>
        <w:tc>
          <w:tcPr>
            <w:tcW w:w="94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Securities</w:t>
            </w:r>
          </w:p>
        </w:tc>
        <w:tc>
          <w:tcPr>
            <w:tcW w:w="60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Option</w:t>
            </w:r>
          </w:p>
        </w:tc>
        <w:tc>
          <w:tcPr>
            <w:tcW w:w="68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0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Shares or</w:t>
            </w:r>
          </w:p>
        </w:tc>
        <w:tc>
          <w:tcPr>
            <w:tcW w:w="940" w:type="dxa"/>
            <w:vAlign w:val="bottom"/>
            <w:gridSpan w:val="2"/>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rPr>
              <w:t>of Shares or</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Unearned</w:t>
            </w:r>
          </w:p>
        </w:tc>
        <w:tc>
          <w:tcPr>
            <w:tcW w:w="12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w w:val="98"/>
              </w:rPr>
              <w:t>Value of Unearned</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7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Underlying</w:t>
            </w:r>
          </w:p>
        </w:tc>
        <w:tc>
          <w:tcPr>
            <w:tcW w:w="94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600" w:type="dxa"/>
            <w:vAlign w:val="bottom"/>
            <w:vMerge w:val="continue"/>
            <w:shd w:val="clear" w:color="auto" w:fill="0063A6"/>
          </w:tcPr>
          <w:p>
            <w:pPr>
              <w:spacing w:after="0"/>
              <w:rPr>
                <w:sz w:val="11"/>
                <w:szCs w:val="11"/>
                <w:color w:val="auto"/>
              </w:rPr>
            </w:pPr>
          </w:p>
        </w:tc>
        <w:tc>
          <w:tcPr>
            <w:tcW w:w="680" w:type="dxa"/>
            <w:vAlign w:val="bottom"/>
            <w:vMerge w:val="restart"/>
            <w:shd w:val="clear" w:color="auto" w:fill="0063A6"/>
          </w:tcPr>
          <w:p>
            <w:pPr>
              <w:ind w:left="240"/>
              <w:spacing w:after="0"/>
              <w:rPr>
                <w:sz w:val="20"/>
                <w:szCs w:val="20"/>
                <w:color w:val="auto"/>
              </w:rPr>
            </w:pPr>
            <w:r>
              <w:rPr>
                <w:rFonts w:ascii="Arial" w:cs="Arial" w:eastAsia="Arial" w:hAnsi="Arial"/>
                <w:sz w:val="13"/>
                <w:szCs w:val="13"/>
                <w:b w:val="1"/>
                <w:bCs w:val="1"/>
                <w:color w:val="FFFFFF"/>
              </w:rPr>
              <w:t>Option</w:t>
            </w:r>
          </w:p>
        </w:tc>
        <w:tc>
          <w:tcPr>
            <w:tcW w:w="40" w:type="dxa"/>
            <w:vAlign w:val="bottom"/>
            <w:shd w:val="clear" w:color="auto" w:fill="0063A6"/>
          </w:tcPr>
          <w:p>
            <w:pPr>
              <w:spacing w:after="0"/>
              <w:rPr>
                <w:sz w:val="11"/>
                <w:szCs w:val="11"/>
                <w:color w:val="auto"/>
              </w:rPr>
            </w:pPr>
          </w:p>
        </w:tc>
        <w:tc>
          <w:tcPr>
            <w:tcW w:w="80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Units of</w:t>
            </w:r>
          </w:p>
        </w:tc>
        <w:tc>
          <w:tcPr>
            <w:tcW w:w="260" w:type="dxa"/>
            <w:vAlign w:val="bottom"/>
            <w:shd w:val="clear" w:color="auto" w:fill="0063A6"/>
          </w:tcPr>
          <w:p>
            <w:pPr>
              <w:spacing w:after="0"/>
              <w:rPr>
                <w:sz w:val="11"/>
                <w:szCs w:val="11"/>
                <w:color w:val="auto"/>
              </w:rPr>
            </w:pPr>
          </w:p>
        </w:tc>
        <w:tc>
          <w:tcPr>
            <w:tcW w:w="680" w:type="dxa"/>
            <w:vAlign w:val="bottom"/>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rPr>
              <w:t>Units of</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Shares, Units</w:t>
            </w:r>
          </w:p>
        </w:tc>
        <w:tc>
          <w:tcPr>
            <w:tcW w:w="12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Shares, Units</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7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94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60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w w:val="97"/>
              </w:rPr>
              <w:t>Exercise</w:t>
            </w:r>
          </w:p>
        </w:tc>
        <w:tc>
          <w:tcPr>
            <w:tcW w:w="680" w:type="dxa"/>
            <w:vAlign w:val="bottom"/>
            <w:vMerge w:val="continue"/>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0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Stock That</w:t>
            </w:r>
          </w:p>
        </w:tc>
        <w:tc>
          <w:tcPr>
            <w:tcW w:w="940" w:type="dxa"/>
            <w:vAlign w:val="bottom"/>
            <w:gridSpan w:val="2"/>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rPr>
              <w:t>Stock That</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or Other Rights</w:t>
            </w:r>
          </w:p>
        </w:tc>
        <w:tc>
          <w:tcPr>
            <w:tcW w:w="12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or Other Rights</w:t>
            </w:r>
          </w:p>
        </w:tc>
        <w:tc>
          <w:tcPr>
            <w:tcW w:w="0" w:type="dxa"/>
            <w:vAlign w:val="bottom"/>
          </w:tcPr>
          <w:p>
            <w:pPr>
              <w:spacing w:after="0"/>
              <w:rPr>
                <w:sz w:val="1"/>
                <w:szCs w:val="1"/>
                <w:color w:val="auto"/>
              </w:rPr>
            </w:pPr>
          </w:p>
        </w:tc>
      </w:tr>
      <w:tr>
        <w:trPr>
          <w:trHeight w:val="135"/>
        </w:trPr>
        <w:tc>
          <w:tcPr>
            <w:tcW w:w="1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69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w w:val="99"/>
              </w:rPr>
              <w:t>Grant Date</w:t>
            </w:r>
          </w:p>
        </w:tc>
        <w:tc>
          <w:tcPr>
            <w:tcW w:w="87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Options (#)</w:t>
            </w:r>
          </w:p>
        </w:tc>
        <w:tc>
          <w:tcPr>
            <w:tcW w:w="94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Options (#)</w:t>
            </w:r>
          </w:p>
        </w:tc>
        <w:tc>
          <w:tcPr>
            <w:tcW w:w="60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Price</w:t>
            </w:r>
          </w:p>
        </w:tc>
        <w:tc>
          <w:tcPr>
            <w:tcW w:w="680" w:type="dxa"/>
            <w:vAlign w:val="bottom"/>
            <w:shd w:val="clear" w:color="auto" w:fill="0063A6"/>
          </w:tcPr>
          <w:p>
            <w:pPr>
              <w:jc w:val="center"/>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40" w:type="dxa"/>
            <w:vAlign w:val="bottom"/>
            <w:shd w:val="clear" w:color="auto" w:fill="0063A6"/>
          </w:tcPr>
          <w:p>
            <w:pPr>
              <w:spacing w:after="0"/>
              <w:rPr>
                <w:sz w:val="11"/>
                <w:szCs w:val="11"/>
                <w:color w:val="auto"/>
              </w:rPr>
            </w:pPr>
          </w:p>
        </w:tc>
        <w:tc>
          <w:tcPr>
            <w:tcW w:w="80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Have Not</w:t>
            </w:r>
          </w:p>
        </w:tc>
        <w:tc>
          <w:tcPr>
            <w:tcW w:w="260" w:type="dxa"/>
            <w:vAlign w:val="bottom"/>
            <w:shd w:val="clear" w:color="auto" w:fill="0063A6"/>
          </w:tcPr>
          <w:p>
            <w:pPr>
              <w:spacing w:after="0"/>
              <w:rPr>
                <w:sz w:val="11"/>
                <w:szCs w:val="11"/>
                <w:color w:val="auto"/>
              </w:rPr>
            </w:pPr>
          </w:p>
        </w:tc>
        <w:tc>
          <w:tcPr>
            <w:tcW w:w="680" w:type="dxa"/>
            <w:vAlign w:val="bottom"/>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w w:val="92"/>
              </w:rPr>
              <w:t>Have Not</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That Have Not</w:t>
            </w:r>
          </w:p>
        </w:tc>
        <w:tc>
          <w:tcPr>
            <w:tcW w:w="12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That Have Not</w:t>
            </w:r>
          </w:p>
        </w:tc>
        <w:tc>
          <w:tcPr>
            <w:tcW w:w="0" w:type="dxa"/>
            <w:vAlign w:val="bottom"/>
          </w:tcPr>
          <w:p>
            <w:pPr>
              <w:spacing w:after="0"/>
              <w:rPr>
                <w:sz w:val="1"/>
                <w:szCs w:val="1"/>
                <w:color w:val="auto"/>
              </w:rPr>
            </w:pPr>
          </w:p>
        </w:tc>
      </w:tr>
      <w:tr>
        <w:trPr>
          <w:trHeight w:val="189"/>
        </w:trPr>
        <w:tc>
          <w:tcPr>
            <w:tcW w:w="1280" w:type="dxa"/>
            <w:vAlign w:val="bottom"/>
            <w:tcBorders>
              <w:bottom w:val="single" w:sz="8" w:color="0063A6"/>
            </w:tcBorders>
            <w:vMerge w:val="continue"/>
          </w:tcPr>
          <w:p>
            <w:pPr>
              <w:spacing w:after="0"/>
              <w:rPr>
                <w:sz w:val="16"/>
                <w:szCs w:val="16"/>
                <w:color w:val="auto"/>
              </w:rPr>
            </w:pPr>
          </w:p>
        </w:tc>
        <w:tc>
          <w:tcPr>
            <w:tcW w:w="690" w:type="dxa"/>
            <w:vAlign w:val="bottom"/>
            <w:tcBorders>
              <w:bottom w:val="single" w:sz="8" w:color="0063A6"/>
            </w:tcBorders>
            <w:vMerge w:val="continue"/>
            <w:shd w:val="clear" w:color="auto" w:fill="0063A6"/>
          </w:tcPr>
          <w:p>
            <w:pPr>
              <w:spacing w:after="0"/>
              <w:rPr>
                <w:sz w:val="16"/>
                <w:szCs w:val="16"/>
                <w:color w:val="auto"/>
              </w:rPr>
            </w:pPr>
          </w:p>
        </w:tc>
        <w:tc>
          <w:tcPr>
            <w:tcW w:w="87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Exercisable</w:t>
            </w:r>
          </w:p>
        </w:tc>
        <w:tc>
          <w:tcPr>
            <w:tcW w:w="9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w w:val="99"/>
              </w:rPr>
              <w:t>Unexercisable</w:t>
            </w:r>
          </w:p>
        </w:tc>
        <w:tc>
          <w:tcPr>
            <w:tcW w:w="6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bottom w:val="single" w:sz="8" w:color="0063A6"/>
            </w:tcBorders>
            <w:shd w:val="clear" w:color="auto" w:fill="0063A6"/>
          </w:tcPr>
          <w:p>
            <w:pPr>
              <w:ind w:left="420"/>
              <w:spacing w:after="0"/>
              <w:rPr>
                <w:sz w:val="20"/>
                <w:szCs w:val="20"/>
                <w:color w:val="auto"/>
              </w:rPr>
            </w:pPr>
            <w:r>
              <w:rPr>
                <w:rFonts w:ascii="Arial" w:cs="Arial" w:eastAsia="Arial" w:hAnsi="Arial"/>
                <w:sz w:val="13"/>
                <w:szCs w:val="13"/>
                <w:b w:val="1"/>
                <w:bCs w:val="1"/>
                <w:color w:val="FFFFFF"/>
                <w:w w:val="85"/>
              </w:rPr>
              <w:t>Date</w:t>
            </w:r>
          </w:p>
        </w:tc>
        <w:tc>
          <w:tcPr>
            <w:tcW w:w="40" w:type="dxa"/>
            <w:vAlign w:val="bottom"/>
            <w:tcBorders>
              <w:bottom w:val="single" w:sz="8" w:color="0063A6"/>
            </w:tcBorders>
            <w:shd w:val="clear" w:color="auto" w:fill="0063A6"/>
          </w:tcPr>
          <w:p>
            <w:pPr>
              <w:spacing w:after="0"/>
              <w:rPr>
                <w:sz w:val="16"/>
                <w:szCs w:val="16"/>
                <w:color w:val="auto"/>
              </w:rPr>
            </w:pPr>
          </w:p>
        </w:tc>
        <w:tc>
          <w:tcPr>
            <w:tcW w:w="800" w:type="dxa"/>
            <w:vAlign w:val="bottom"/>
            <w:tcBorders>
              <w:bottom w:val="single" w:sz="8" w:color="0063A6"/>
            </w:tcBorders>
            <w:shd w:val="clear" w:color="auto" w:fill="0063A6"/>
          </w:tcPr>
          <w:p>
            <w:pPr>
              <w:jc w:val="right"/>
              <w:spacing w:after="0" w:line="189" w:lineRule="exact"/>
              <w:rPr>
                <w:sz w:val="20"/>
                <w:szCs w:val="20"/>
                <w:color w:val="auto"/>
              </w:rPr>
            </w:pPr>
            <w:r>
              <w:rPr>
                <w:rFonts w:ascii="Arial" w:cs="Arial" w:eastAsia="Arial" w:hAnsi="Arial"/>
                <w:sz w:val="13"/>
                <w:szCs w:val="13"/>
                <w:b w:val="1"/>
                <w:bCs w:val="1"/>
                <w:color w:val="FFFFFF"/>
                <w:w w:val="94"/>
              </w:rPr>
              <w:t>Vested (#)</w:t>
            </w:r>
            <w:r>
              <w:rPr>
                <w:rFonts w:ascii="Arial" w:cs="Arial" w:eastAsia="Arial" w:hAnsi="Arial"/>
                <w:sz w:val="20"/>
                <w:szCs w:val="20"/>
                <w:b w:val="1"/>
                <w:bCs w:val="1"/>
                <w:color w:val="FFFFFF"/>
                <w:w w:val="94"/>
                <w:vertAlign w:val="superscript"/>
              </w:rPr>
              <w:t>(1)</w:t>
            </w:r>
          </w:p>
        </w:tc>
        <w:tc>
          <w:tcPr>
            <w:tcW w:w="940" w:type="dxa"/>
            <w:vAlign w:val="bottom"/>
            <w:tcBorders>
              <w:bottom w:val="single" w:sz="8" w:color="0063A6"/>
            </w:tcBorders>
            <w:gridSpan w:val="2"/>
            <w:shd w:val="clear" w:color="auto" w:fill="0063A6"/>
          </w:tcPr>
          <w:p>
            <w:pPr>
              <w:jc w:val="right"/>
              <w:ind w:right="37"/>
              <w:spacing w:after="0" w:line="189" w:lineRule="exact"/>
              <w:rPr>
                <w:sz w:val="20"/>
                <w:szCs w:val="20"/>
                <w:color w:val="auto"/>
              </w:rPr>
            </w:pPr>
            <w:r>
              <w:rPr>
                <w:rFonts w:ascii="Arial" w:cs="Arial" w:eastAsia="Arial" w:hAnsi="Arial"/>
                <w:sz w:val="13"/>
                <w:szCs w:val="13"/>
                <w:b w:val="1"/>
                <w:bCs w:val="1"/>
                <w:color w:val="FFFFFF"/>
              </w:rPr>
              <w:t>Vested ($)</w:t>
            </w:r>
            <w:r>
              <w:rPr>
                <w:rFonts w:ascii="Arial" w:cs="Arial" w:eastAsia="Arial" w:hAnsi="Arial"/>
                <w:sz w:val="20"/>
                <w:szCs w:val="20"/>
                <w:b w:val="1"/>
                <w:bCs w:val="1"/>
                <w:color w:val="FFFFFF"/>
                <w:vertAlign w:val="superscript"/>
              </w:rPr>
              <w:t>(4)</w:t>
            </w:r>
          </w:p>
        </w:tc>
        <w:tc>
          <w:tcPr>
            <w:tcW w:w="11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Vested (#)</w:t>
            </w:r>
          </w:p>
        </w:tc>
        <w:tc>
          <w:tcPr>
            <w:tcW w:w="1220" w:type="dxa"/>
            <w:vAlign w:val="bottom"/>
            <w:tcBorders>
              <w:bottom w:val="single" w:sz="8" w:color="0063A6"/>
            </w:tcBorders>
            <w:shd w:val="clear" w:color="auto" w:fill="0063A6"/>
          </w:tcPr>
          <w:p>
            <w:pPr>
              <w:ind w:left="460"/>
              <w:spacing w:after="0" w:line="189" w:lineRule="exact"/>
              <w:rPr>
                <w:sz w:val="20"/>
                <w:szCs w:val="20"/>
                <w:color w:val="auto"/>
              </w:rPr>
            </w:pPr>
            <w:r>
              <w:rPr>
                <w:rFonts w:ascii="Arial" w:cs="Arial" w:eastAsia="Arial" w:hAnsi="Arial"/>
                <w:sz w:val="13"/>
                <w:szCs w:val="13"/>
                <w:b w:val="1"/>
                <w:bCs w:val="1"/>
                <w:color w:val="FFFFFF"/>
                <w:w w:val="94"/>
              </w:rPr>
              <w:t>Vested ($)</w:t>
            </w:r>
            <w:r>
              <w:rPr>
                <w:rFonts w:ascii="Arial" w:cs="Arial" w:eastAsia="Arial" w:hAnsi="Arial"/>
                <w:sz w:val="20"/>
                <w:szCs w:val="20"/>
                <w:b w:val="1"/>
                <w:bCs w:val="1"/>
                <w:color w:val="FFFFFF"/>
                <w:w w:val="94"/>
                <w:vertAlign w:val="superscript"/>
              </w:rPr>
              <w:t>(4)</w:t>
            </w:r>
          </w:p>
        </w:tc>
        <w:tc>
          <w:tcPr>
            <w:tcW w:w="0" w:type="dxa"/>
            <w:vAlign w:val="bottom"/>
          </w:tcPr>
          <w:p>
            <w:pPr>
              <w:spacing w:after="0"/>
              <w:rPr>
                <w:sz w:val="1"/>
                <w:szCs w:val="1"/>
                <w:color w:val="auto"/>
              </w:rPr>
            </w:pPr>
          </w:p>
        </w:tc>
      </w:tr>
      <w:tr>
        <w:trPr>
          <w:trHeight w:val="183"/>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Thomas L. Deitrich</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2/23/2017</w:t>
            </w:r>
          </w:p>
        </w:tc>
        <w:tc>
          <w:tcPr>
            <w:tcW w:w="87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22,701</w:t>
            </w:r>
          </w:p>
        </w:tc>
        <w:tc>
          <w:tcPr>
            <w:tcW w:w="940" w:type="dxa"/>
            <w:vAlign w:val="bottom"/>
            <w:tcBorders>
              <w:bottom w:val="single" w:sz="8" w:color="5D6673"/>
            </w:tcBorders>
          </w:tcPr>
          <w:p>
            <w:pPr>
              <w:spacing w:after="0"/>
              <w:rPr>
                <w:sz w:val="15"/>
                <w:szCs w:val="15"/>
                <w:color w:val="auto"/>
              </w:rPr>
            </w:pP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$65.55</w:t>
            </w:r>
          </w:p>
        </w:tc>
        <w:tc>
          <w:tcPr>
            <w:tcW w:w="680" w:type="dxa"/>
            <w:vAlign w:val="bottom"/>
            <w:tcBorders>
              <w:bottom w:val="single" w:sz="8" w:color="5D6673"/>
            </w:tcBorders>
          </w:tcPr>
          <w:p>
            <w:pPr>
              <w:jc w:val="center"/>
              <w:spacing w:after="0"/>
              <w:rPr>
                <w:sz w:val="20"/>
                <w:szCs w:val="20"/>
                <w:color w:val="auto"/>
              </w:rPr>
            </w:pPr>
            <w:r>
              <w:rPr>
                <w:rFonts w:ascii="Arial" w:cs="Arial" w:eastAsia="Arial" w:hAnsi="Arial"/>
                <w:sz w:val="13"/>
                <w:szCs w:val="13"/>
                <w:color w:val="auto"/>
                <w:w w:val="96"/>
              </w:rPr>
              <w:t>2/23/2027</w:t>
            </w:r>
          </w:p>
        </w:tc>
        <w:tc>
          <w:tcPr>
            <w:tcW w:w="40" w:type="dxa"/>
            <w:vAlign w:val="bottom"/>
            <w:tcBorders>
              <w:bottom w:val="single" w:sz="8" w:color="5D6673"/>
            </w:tcBorders>
          </w:tcPr>
          <w:p>
            <w:pPr>
              <w:spacing w:after="0"/>
              <w:rPr>
                <w:sz w:val="15"/>
                <w:szCs w:val="15"/>
                <w:color w:val="auto"/>
              </w:rPr>
            </w:pPr>
          </w:p>
        </w:tc>
        <w:tc>
          <w:tcPr>
            <w:tcW w:w="80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spacing w:after="0"/>
              <w:rPr>
                <w:sz w:val="15"/>
                <w:szCs w:val="15"/>
                <w:color w:val="auto"/>
              </w:rPr>
            </w:pPr>
          </w:p>
        </w:tc>
        <w:tc>
          <w:tcPr>
            <w:tcW w:w="122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2/22/2018</w:t>
            </w:r>
          </w:p>
        </w:tc>
        <w:tc>
          <w:tcPr>
            <w:tcW w:w="87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rPr>
              <w:t>20,116</w:t>
            </w: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$69.30</w:t>
            </w:r>
          </w:p>
        </w:tc>
        <w:tc>
          <w:tcPr>
            <w:tcW w:w="680" w:type="dxa"/>
            <w:vAlign w:val="bottom"/>
            <w:tcBorders>
              <w:bottom w:val="single" w:sz="8" w:color="5D6673"/>
            </w:tcBorders>
          </w:tcPr>
          <w:p>
            <w:pPr>
              <w:jc w:val="center"/>
              <w:spacing w:after="0"/>
              <w:rPr>
                <w:sz w:val="20"/>
                <w:szCs w:val="20"/>
                <w:color w:val="auto"/>
              </w:rPr>
            </w:pPr>
            <w:r>
              <w:rPr>
                <w:rFonts w:ascii="Arial" w:cs="Arial" w:eastAsia="Arial" w:hAnsi="Arial"/>
                <w:sz w:val="13"/>
                <w:szCs w:val="13"/>
                <w:color w:val="auto"/>
                <w:w w:val="96"/>
              </w:rPr>
              <w:t>2/22/2028</w:t>
            </w:r>
          </w:p>
        </w:tc>
        <w:tc>
          <w:tcPr>
            <w:tcW w:w="40" w:type="dxa"/>
            <w:vAlign w:val="bottom"/>
            <w:tcBorders>
              <w:bottom w:val="single" w:sz="8" w:color="5D6673"/>
            </w:tcBorders>
          </w:tcPr>
          <w:p>
            <w:pPr>
              <w:spacing w:after="0"/>
              <w:rPr>
                <w:sz w:val="14"/>
                <w:szCs w:val="14"/>
                <w:color w:val="auto"/>
              </w:rPr>
            </w:pPr>
          </w:p>
        </w:tc>
        <w:tc>
          <w:tcPr>
            <w:tcW w:w="800" w:type="dxa"/>
            <w:vAlign w:val="bottom"/>
            <w:tcBorders>
              <w:bottom w:val="single" w:sz="8" w:color="5D6673"/>
            </w:tcBorders>
          </w:tcPr>
          <w:p>
            <w:pPr>
              <w:spacing w:after="0"/>
              <w:rPr>
                <w:sz w:val="14"/>
                <w:szCs w:val="14"/>
                <w:color w:val="auto"/>
              </w:rPr>
            </w:pPr>
          </w:p>
        </w:tc>
        <w:tc>
          <w:tcPr>
            <w:tcW w:w="26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9/19/2019</w:t>
            </w:r>
          </w:p>
        </w:tc>
        <w:tc>
          <w:tcPr>
            <w:tcW w:w="87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76,337</w:t>
            </w: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$76.55</w:t>
            </w:r>
          </w:p>
        </w:tc>
        <w:tc>
          <w:tcPr>
            <w:tcW w:w="680" w:type="dxa"/>
            <w:vAlign w:val="bottom"/>
            <w:tcBorders>
              <w:bottom w:val="single" w:sz="8" w:color="5D6673"/>
            </w:tcBorders>
          </w:tcPr>
          <w:p>
            <w:pPr>
              <w:jc w:val="center"/>
              <w:spacing w:after="0"/>
              <w:rPr>
                <w:sz w:val="20"/>
                <w:szCs w:val="20"/>
                <w:color w:val="auto"/>
              </w:rPr>
            </w:pPr>
            <w:r>
              <w:rPr>
                <w:rFonts w:ascii="Arial" w:cs="Arial" w:eastAsia="Arial" w:hAnsi="Arial"/>
                <w:sz w:val="13"/>
                <w:szCs w:val="13"/>
                <w:color w:val="auto"/>
                <w:w w:val="96"/>
              </w:rPr>
              <w:t>9/19/2029</w:t>
            </w:r>
          </w:p>
        </w:tc>
        <w:tc>
          <w:tcPr>
            <w:tcW w:w="40" w:type="dxa"/>
            <w:vAlign w:val="bottom"/>
            <w:tcBorders>
              <w:bottom w:val="single" w:sz="8" w:color="5D6673"/>
            </w:tcBorders>
          </w:tcPr>
          <w:p>
            <w:pPr>
              <w:spacing w:after="0"/>
              <w:rPr>
                <w:sz w:val="14"/>
                <w:szCs w:val="14"/>
                <w:color w:val="auto"/>
              </w:rPr>
            </w:pPr>
          </w:p>
        </w:tc>
        <w:tc>
          <w:tcPr>
            <w:tcW w:w="800" w:type="dxa"/>
            <w:vAlign w:val="bottom"/>
            <w:tcBorders>
              <w:bottom w:val="single" w:sz="8" w:color="5D6673"/>
            </w:tcBorders>
          </w:tcPr>
          <w:p>
            <w:pPr>
              <w:spacing w:after="0"/>
              <w:rPr>
                <w:sz w:val="14"/>
                <w:szCs w:val="14"/>
                <w:color w:val="auto"/>
              </w:rPr>
            </w:pPr>
          </w:p>
        </w:tc>
        <w:tc>
          <w:tcPr>
            <w:tcW w:w="26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2/20/2020</w:t>
            </w:r>
          </w:p>
        </w:tc>
        <w:tc>
          <w:tcPr>
            <w:tcW w:w="87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28,069</w:t>
            </w: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$87.27</w:t>
            </w:r>
          </w:p>
        </w:tc>
        <w:tc>
          <w:tcPr>
            <w:tcW w:w="680" w:type="dxa"/>
            <w:vAlign w:val="bottom"/>
            <w:tcBorders>
              <w:bottom w:val="single" w:sz="8" w:color="5D6673"/>
            </w:tcBorders>
          </w:tcPr>
          <w:p>
            <w:pPr>
              <w:jc w:val="center"/>
              <w:spacing w:after="0"/>
              <w:rPr>
                <w:sz w:val="20"/>
                <w:szCs w:val="20"/>
                <w:color w:val="auto"/>
              </w:rPr>
            </w:pPr>
            <w:r>
              <w:rPr>
                <w:rFonts w:ascii="Arial" w:cs="Arial" w:eastAsia="Arial" w:hAnsi="Arial"/>
                <w:sz w:val="13"/>
                <w:szCs w:val="13"/>
                <w:color w:val="auto"/>
                <w:w w:val="96"/>
              </w:rPr>
              <w:t>2/20/2030</w:t>
            </w:r>
          </w:p>
        </w:tc>
        <w:tc>
          <w:tcPr>
            <w:tcW w:w="40" w:type="dxa"/>
            <w:vAlign w:val="bottom"/>
            <w:tcBorders>
              <w:bottom w:val="single" w:sz="8" w:color="5D6673"/>
            </w:tcBorders>
          </w:tcPr>
          <w:p>
            <w:pPr>
              <w:spacing w:after="0"/>
              <w:rPr>
                <w:sz w:val="14"/>
                <w:szCs w:val="14"/>
                <w:color w:val="auto"/>
              </w:rPr>
            </w:pPr>
          </w:p>
        </w:tc>
        <w:tc>
          <w:tcPr>
            <w:tcW w:w="800" w:type="dxa"/>
            <w:vAlign w:val="bottom"/>
            <w:tcBorders>
              <w:bottom w:val="single" w:sz="8" w:color="5D6673"/>
            </w:tcBorders>
          </w:tcPr>
          <w:p>
            <w:pPr>
              <w:spacing w:after="0"/>
              <w:rPr>
                <w:sz w:val="14"/>
                <w:szCs w:val="14"/>
                <w:color w:val="auto"/>
              </w:rPr>
            </w:pPr>
          </w:p>
        </w:tc>
        <w:tc>
          <w:tcPr>
            <w:tcW w:w="26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2,257</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209,585</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11,127</w:t>
            </w:r>
          </w:p>
        </w:tc>
        <w:tc>
          <w:tcPr>
            <w:tcW w:w="940" w:type="dxa"/>
            <w:vAlign w:val="bottom"/>
            <w:tcBorders>
              <w:bottom w:val="single" w:sz="8" w:color="5D6673"/>
            </w:tcBorders>
            <w:gridSpan w:val="2"/>
          </w:tcPr>
          <w:p>
            <w:pPr>
              <w:ind w:left="200"/>
              <w:spacing w:after="0"/>
              <w:rPr>
                <w:sz w:val="20"/>
                <w:szCs w:val="20"/>
                <w:color w:val="auto"/>
              </w:rPr>
            </w:pPr>
            <w:r>
              <w:rPr>
                <w:rFonts w:ascii="Arial" w:cs="Arial" w:eastAsia="Arial" w:hAnsi="Arial"/>
                <w:sz w:val="13"/>
                <w:szCs w:val="13"/>
                <w:color w:val="auto"/>
              </w:rPr>
              <w:t>$1,033,253</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8"/>
                <w:szCs w:val="18"/>
                <w:color w:val="auto"/>
              </w:rPr>
            </w:pPr>
          </w:p>
        </w:tc>
        <w:tc>
          <w:tcPr>
            <w:tcW w:w="940" w:type="dxa"/>
            <w:vAlign w:val="bottom"/>
            <w:tcBorders>
              <w:bottom w:val="single" w:sz="8" w:color="5D6673"/>
            </w:tcBorders>
          </w:tcPr>
          <w:p>
            <w:pPr>
              <w:spacing w:after="0"/>
              <w:rPr>
                <w:sz w:val="18"/>
                <w:szCs w:val="18"/>
                <w:color w:val="auto"/>
              </w:rPr>
            </w:pPr>
          </w:p>
        </w:tc>
        <w:tc>
          <w:tcPr>
            <w:tcW w:w="60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40" w:type="dxa"/>
            <w:vAlign w:val="bottom"/>
            <w:tcBorders>
              <w:bottom w:val="single" w:sz="8" w:color="5D6673"/>
            </w:tcBorders>
          </w:tcPr>
          <w:p>
            <w:pPr>
              <w:spacing w:after="0"/>
              <w:rPr>
                <w:sz w:val="18"/>
                <w:szCs w:val="18"/>
                <w:color w:val="auto"/>
              </w:rPr>
            </w:pPr>
          </w:p>
        </w:tc>
        <w:tc>
          <w:tcPr>
            <w:tcW w:w="800" w:type="dxa"/>
            <w:vAlign w:val="bottom"/>
            <w:tcBorders>
              <w:bottom w:val="single" w:sz="8" w:color="5D6673"/>
            </w:tcBorders>
          </w:tcPr>
          <w:p>
            <w:pPr>
              <w:spacing w:after="0"/>
              <w:rPr>
                <w:sz w:val="18"/>
                <w:szCs w:val="18"/>
                <w:color w:val="auto"/>
              </w:rPr>
            </w:pPr>
          </w:p>
        </w:tc>
        <w:tc>
          <w:tcPr>
            <w:tcW w:w="26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1120" w:type="dxa"/>
            <w:vAlign w:val="bottom"/>
            <w:tcBorders>
              <w:bottom w:val="single" w:sz="8" w:color="5D6673"/>
            </w:tcBorders>
          </w:tcPr>
          <w:p>
            <w:pPr>
              <w:jc w:val="right"/>
              <w:spacing w:after="0" w:line="214" w:lineRule="exact"/>
              <w:rPr>
                <w:sz w:val="20"/>
                <w:szCs w:val="20"/>
                <w:color w:val="auto"/>
              </w:rPr>
            </w:pPr>
            <w:r>
              <w:rPr>
                <w:rFonts w:ascii="Arial" w:cs="Arial" w:eastAsia="Arial" w:hAnsi="Arial"/>
                <w:sz w:val="13"/>
                <w:szCs w:val="13"/>
                <w:color w:val="auto"/>
              </w:rPr>
              <w:t>133,457</w:t>
            </w:r>
            <w:r>
              <w:rPr>
                <w:rFonts w:ascii="Arial" w:cs="Arial" w:eastAsia="Arial" w:hAnsi="Arial"/>
                <w:sz w:val="20"/>
                <w:szCs w:val="20"/>
                <w:color w:val="auto"/>
                <w:vertAlign w:val="superscript"/>
              </w:rPr>
              <w:t>(2)</w:t>
            </w:r>
          </w:p>
        </w:tc>
        <w:tc>
          <w:tcPr>
            <w:tcW w:w="122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$12,392,817</w:t>
            </w: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spacing w:after="0"/>
              <w:rPr>
                <w:sz w:val="20"/>
                <w:szCs w:val="20"/>
                <w:color w:val="auto"/>
              </w:rPr>
            </w:pPr>
            <w:r>
              <w:rPr>
                <w:rFonts w:ascii="Arial" w:cs="Arial" w:eastAsia="Arial" w:hAnsi="Arial"/>
                <w:sz w:val="13"/>
                <w:szCs w:val="13"/>
                <w:color w:val="auto"/>
              </w:rPr>
              <w:t>23,607</w:t>
            </w:r>
          </w:p>
        </w:tc>
        <w:tc>
          <w:tcPr>
            <w:tcW w:w="940" w:type="dxa"/>
            <w:vAlign w:val="bottom"/>
            <w:tcBorders>
              <w:bottom w:val="single" w:sz="8" w:color="5D6673"/>
            </w:tcBorders>
            <w:gridSpan w:val="2"/>
          </w:tcPr>
          <w:p>
            <w:pPr>
              <w:ind w:left="200"/>
              <w:spacing w:after="0"/>
              <w:rPr>
                <w:sz w:val="20"/>
                <w:szCs w:val="20"/>
                <w:color w:val="auto"/>
              </w:rPr>
            </w:pPr>
            <w:r>
              <w:rPr>
                <w:rFonts w:ascii="Arial" w:cs="Arial" w:eastAsia="Arial" w:hAnsi="Arial"/>
                <w:sz w:val="13"/>
                <w:szCs w:val="13"/>
                <w:color w:val="auto"/>
              </w:rPr>
              <w:t>$2,192,146</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0063A6"/>
            </w:tcBorders>
          </w:tcPr>
          <w:p>
            <w:pPr>
              <w:spacing w:after="0"/>
              <w:rPr>
                <w:sz w:val="18"/>
                <w:szCs w:val="18"/>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0063A6"/>
            </w:tcBorders>
          </w:tcPr>
          <w:p>
            <w:pPr>
              <w:spacing w:after="0"/>
              <w:rPr>
                <w:sz w:val="18"/>
                <w:szCs w:val="18"/>
                <w:color w:val="auto"/>
              </w:rPr>
            </w:pPr>
          </w:p>
        </w:tc>
        <w:tc>
          <w:tcPr>
            <w:tcW w:w="940" w:type="dxa"/>
            <w:vAlign w:val="bottom"/>
            <w:tcBorders>
              <w:bottom w:val="single" w:sz="8" w:color="0063A6"/>
            </w:tcBorders>
          </w:tcPr>
          <w:p>
            <w:pPr>
              <w:spacing w:after="0"/>
              <w:rPr>
                <w:sz w:val="18"/>
                <w:szCs w:val="18"/>
                <w:color w:val="auto"/>
              </w:rPr>
            </w:pPr>
          </w:p>
        </w:tc>
        <w:tc>
          <w:tcPr>
            <w:tcW w:w="600" w:type="dxa"/>
            <w:vAlign w:val="bottom"/>
            <w:tcBorders>
              <w:bottom w:val="single" w:sz="8" w:color="0063A6"/>
            </w:tcBorders>
          </w:tcPr>
          <w:p>
            <w:pPr>
              <w:spacing w:after="0"/>
              <w:rPr>
                <w:sz w:val="18"/>
                <w:szCs w:val="18"/>
                <w:color w:val="auto"/>
              </w:rPr>
            </w:pPr>
          </w:p>
        </w:tc>
        <w:tc>
          <w:tcPr>
            <w:tcW w:w="680" w:type="dxa"/>
            <w:vAlign w:val="bottom"/>
            <w:tcBorders>
              <w:bottom w:val="single" w:sz="8" w:color="0063A6"/>
            </w:tcBorders>
          </w:tcPr>
          <w:p>
            <w:pPr>
              <w:spacing w:after="0"/>
              <w:rPr>
                <w:sz w:val="18"/>
                <w:szCs w:val="18"/>
                <w:color w:val="auto"/>
              </w:rPr>
            </w:pPr>
          </w:p>
        </w:tc>
        <w:tc>
          <w:tcPr>
            <w:tcW w:w="40" w:type="dxa"/>
            <w:vAlign w:val="bottom"/>
            <w:tcBorders>
              <w:bottom w:val="single" w:sz="8" w:color="0063A6"/>
            </w:tcBorders>
          </w:tcPr>
          <w:p>
            <w:pPr>
              <w:spacing w:after="0"/>
              <w:rPr>
                <w:sz w:val="18"/>
                <w:szCs w:val="18"/>
                <w:color w:val="auto"/>
              </w:rPr>
            </w:pPr>
          </w:p>
        </w:tc>
        <w:tc>
          <w:tcPr>
            <w:tcW w:w="800" w:type="dxa"/>
            <w:vAlign w:val="bottom"/>
            <w:tcBorders>
              <w:bottom w:val="single" w:sz="8" w:color="0063A6"/>
            </w:tcBorders>
          </w:tcPr>
          <w:p>
            <w:pPr>
              <w:spacing w:after="0"/>
              <w:rPr>
                <w:sz w:val="18"/>
                <w:szCs w:val="18"/>
                <w:color w:val="auto"/>
              </w:rPr>
            </w:pPr>
          </w:p>
        </w:tc>
        <w:tc>
          <w:tcPr>
            <w:tcW w:w="260" w:type="dxa"/>
            <w:vAlign w:val="bottom"/>
            <w:tcBorders>
              <w:bottom w:val="single" w:sz="8" w:color="0063A6"/>
            </w:tcBorders>
          </w:tcPr>
          <w:p>
            <w:pPr>
              <w:spacing w:after="0"/>
              <w:rPr>
                <w:sz w:val="18"/>
                <w:szCs w:val="18"/>
                <w:color w:val="auto"/>
              </w:rPr>
            </w:pPr>
          </w:p>
        </w:tc>
        <w:tc>
          <w:tcPr>
            <w:tcW w:w="680" w:type="dxa"/>
            <w:vAlign w:val="bottom"/>
            <w:tcBorders>
              <w:bottom w:val="single" w:sz="8" w:color="0063A6"/>
            </w:tcBorders>
          </w:tcPr>
          <w:p>
            <w:pPr>
              <w:spacing w:after="0"/>
              <w:rPr>
                <w:sz w:val="18"/>
                <w:szCs w:val="18"/>
                <w:color w:val="auto"/>
              </w:rPr>
            </w:pPr>
          </w:p>
        </w:tc>
        <w:tc>
          <w:tcPr>
            <w:tcW w:w="1120" w:type="dxa"/>
            <w:vAlign w:val="bottom"/>
            <w:tcBorders>
              <w:bottom w:val="single" w:sz="8" w:color="0063A6"/>
            </w:tcBorders>
          </w:tcPr>
          <w:p>
            <w:pPr>
              <w:jc w:val="right"/>
              <w:spacing w:after="0" w:line="214" w:lineRule="exact"/>
              <w:rPr>
                <w:sz w:val="20"/>
                <w:szCs w:val="20"/>
                <w:color w:val="auto"/>
              </w:rPr>
            </w:pPr>
            <w:r>
              <w:rPr>
                <w:rFonts w:ascii="Arial" w:cs="Arial" w:eastAsia="Arial" w:hAnsi="Arial"/>
                <w:sz w:val="13"/>
                <w:szCs w:val="13"/>
                <w:color w:val="auto"/>
              </w:rPr>
              <w:t>119,825</w:t>
            </w:r>
            <w:r>
              <w:rPr>
                <w:rFonts w:ascii="Arial" w:cs="Arial" w:eastAsia="Arial" w:hAnsi="Arial"/>
                <w:sz w:val="20"/>
                <w:szCs w:val="20"/>
                <w:color w:val="auto"/>
                <w:vertAlign w:val="superscript"/>
              </w:rPr>
              <w:t>(3)</w:t>
            </w:r>
          </w:p>
        </w:tc>
        <w:tc>
          <w:tcPr>
            <w:tcW w:w="122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$11,126,950</w:t>
            </w:r>
          </w:p>
        </w:tc>
        <w:tc>
          <w:tcPr>
            <w:tcW w:w="0" w:type="dxa"/>
            <w:vAlign w:val="bottom"/>
          </w:tcPr>
          <w:p>
            <w:pPr>
              <w:spacing w:after="0"/>
              <w:rPr>
                <w:sz w:val="1"/>
                <w:szCs w:val="1"/>
                <w:color w:val="auto"/>
              </w:rPr>
            </w:pPr>
          </w:p>
        </w:tc>
      </w:tr>
      <w:tr>
        <w:trPr>
          <w:trHeight w:val="183"/>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Joan S. Hooper</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6/20/2017</w:t>
            </w:r>
          </w:p>
        </w:tc>
        <w:tc>
          <w:tcPr>
            <w:tcW w:w="87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rPr>
              <w:t>11,515</w:t>
            </w:r>
          </w:p>
        </w:tc>
        <w:tc>
          <w:tcPr>
            <w:tcW w:w="940" w:type="dxa"/>
            <w:vAlign w:val="bottom"/>
            <w:tcBorders>
              <w:bottom w:val="single" w:sz="8" w:color="5D6673"/>
            </w:tcBorders>
          </w:tcPr>
          <w:p>
            <w:pPr>
              <w:spacing w:after="0"/>
              <w:rPr>
                <w:sz w:val="15"/>
                <w:szCs w:val="15"/>
                <w:color w:val="auto"/>
              </w:rPr>
            </w:pP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$68.45</w:t>
            </w:r>
          </w:p>
        </w:tc>
        <w:tc>
          <w:tcPr>
            <w:tcW w:w="680" w:type="dxa"/>
            <w:vAlign w:val="bottom"/>
            <w:tcBorders>
              <w:bottom w:val="single" w:sz="8" w:color="5D6673"/>
            </w:tcBorders>
          </w:tcPr>
          <w:p>
            <w:pPr>
              <w:jc w:val="center"/>
              <w:spacing w:after="0"/>
              <w:rPr>
                <w:sz w:val="20"/>
                <w:szCs w:val="20"/>
                <w:color w:val="auto"/>
              </w:rPr>
            </w:pPr>
            <w:r>
              <w:rPr>
                <w:rFonts w:ascii="Arial" w:cs="Arial" w:eastAsia="Arial" w:hAnsi="Arial"/>
                <w:sz w:val="13"/>
                <w:szCs w:val="13"/>
                <w:color w:val="auto"/>
                <w:w w:val="96"/>
              </w:rPr>
              <w:t>6/20/2027</w:t>
            </w:r>
          </w:p>
        </w:tc>
        <w:tc>
          <w:tcPr>
            <w:tcW w:w="40" w:type="dxa"/>
            <w:vAlign w:val="bottom"/>
            <w:tcBorders>
              <w:bottom w:val="single" w:sz="8" w:color="5D6673"/>
            </w:tcBorders>
          </w:tcPr>
          <w:p>
            <w:pPr>
              <w:spacing w:after="0"/>
              <w:rPr>
                <w:sz w:val="15"/>
                <w:szCs w:val="15"/>
                <w:color w:val="auto"/>
              </w:rPr>
            </w:pPr>
          </w:p>
        </w:tc>
        <w:tc>
          <w:tcPr>
            <w:tcW w:w="80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spacing w:after="0"/>
              <w:rPr>
                <w:sz w:val="15"/>
                <w:szCs w:val="15"/>
                <w:color w:val="auto"/>
              </w:rPr>
            </w:pPr>
          </w:p>
        </w:tc>
        <w:tc>
          <w:tcPr>
            <w:tcW w:w="122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2/22/2018</w:t>
            </w:r>
          </w:p>
        </w:tc>
        <w:tc>
          <w:tcPr>
            <w:tcW w:w="87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10,058</w:t>
            </w: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$69.30</w:t>
            </w:r>
          </w:p>
        </w:tc>
        <w:tc>
          <w:tcPr>
            <w:tcW w:w="680" w:type="dxa"/>
            <w:vAlign w:val="bottom"/>
            <w:tcBorders>
              <w:bottom w:val="single" w:sz="8" w:color="5D6673"/>
            </w:tcBorders>
          </w:tcPr>
          <w:p>
            <w:pPr>
              <w:jc w:val="center"/>
              <w:spacing w:after="0"/>
              <w:rPr>
                <w:sz w:val="20"/>
                <w:szCs w:val="20"/>
                <w:color w:val="auto"/>
              </w:rPr>
            </w:pPr>
            <w:r>
              <w:rPr>
                <w:rFonts w:ascii="Arial" w:cs="Arial" w:eastAsia="Arial" w:hAnsi="Arial"/>
                <w:sz w:val="13"/>
                <w:szCs w:val="13"/>
                <w:color w:val="auto"/>
                <w:w w:val="96"/>
              </w:rPr>
              <w:t>2/22/2028</w:t>
            </w:r>
          </w:p>
        </w:tc>
        <w:tc>
          <w:tcPr>
            <w:tcW w:w="40" w:type="dxa"/>
            <w:vAlign w:val="bottom"/>
            <w:tcBorders>
              <w:bottom w:val="single" w:sz="8" w:color="5D6673"/>
            </w:tcBorders>
          </w:tcPr>
          <w:p>
            <w:pPr>
              <w:spacing w:after="0"/>
              <w:rPr>
                <w:sz w:val="14"/>
                <w:szCs w:val="14"/>
                <w:color w:val="auto"/>
              </w:rPr>
            </w:pPr>
          </w:p>
        </w:tc>
        <w:tc>
          <w:tcPr>
            <w:tcW w:w="800" w:type="dxa"/>
            <w:vAlign w:val="bottom"/>
            <w:tcBorders>
              <w:bottom w:val="single" w:sz="8" w:color="5D6673"/>
            </w:tcBorders>
          </w:tcPr>
          <w:p>
            <w:pPr>
              <w:spacing w:after="0"/>
              <w:rPr>
                <w:sz w:val="14"/>
                <w:szCs w:val="14"/>
                <w:color w:val="auto"/>
              </w:rPr>
            </w:pPr>
          </w:p>
        </w:tc>
        <w:tc>
          <w:tcPr>
            <w:tcW w:w="26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2/20/2020</w:t>
            </w:r>
          </w:p>
        </w:tc>
        <w:tc>
          <w:tcPr>
            <w:tcW w:w="87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rPr>
              <w:t>11,695</w:t>
            </w: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$87.27</w:t>
            </w:r>
          </w:p>
        </w:tc>
        <w:tc>
          <w:tcPr>
            <w:tcW w:w="680" w:type="dxa"/>
            <w:vAlign w:val="bottom"/>
            <w:tcBorders>
              <w:bottom w:val="single" w:sz="8" w:color="5D6673"/>
            </w:tcBorders>
          </w:tcPr>
          <w:p>
            <w:pPr>
              <w:jc w:val="center"/>
              <w:spacing w:after="0"/>
              <w:rPr>
                <w:sz w:val="20"/>
                <w:szCs w:val="20"/>
                <w:color w:val="auto"/>
              </w:rPr>
            </w:pPr>
            <w:r>
              <w:rPr>
                <w:rFonts w:ascii="Arial" w:cs="Arial" w:eastAsia="Arial" w:hAnsi="Arial"/>
                <w:sz w:val="13"/>
                <w:szCs w:val="13"/>
                <w:color w:val="auto"/>
                <w:w w:val="96"/>
              </w:rPr>
              <w:t>2/20/2030</w:t>
            </w:r>
          </w:p>
        </w:tc>
        <w:tc>
          <w:tcPr>
            <w:tcW w:w="40" w:type="dxa"/>
            <w:vAlign w:val="bottom"/>
            <w:tcBorders>
              <w:bottom w:val="single" w:sz="8" w:color="5D6673"/>
            </w:tcBorders>
          </w:tcPr>
          <w:p>
            <w:pPr>
              <w:spacing w:after="0"/>
              <w:rPr>
                <w:sz w:val="14"/>
                <w:szCs w:val="14"/>
                <w:color w:val="auto"/>
              </w:rPr>
            </w:pPr>
          </w:p>
        </w:tc>
        <w:tc>
          <w:tcPr>
            <w:tcW w:w="800" w:type="dxa"/>
            <w:vAlign w:val="bottom"/>
            <w:tcBorders>
              <w:bottom w:val="single" w:sz="8" w:color="5D6673"/>
            </w:tcBorders>
          </w:tcPr>
          <w:p>
            <w:pPr>
              <w:spacing w:after="0"/>
              <w:rPr>
                <w:sz w:val="14"/>
                <w:szCs w:val="14"/>
                <w:color w:val="auto"/>
              </w:rPr>
            </w:pPr>
          </w:p>
        </w:tc>
        <w:tc>
          <w:tcPr>
            <w:tcW w:w="26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1,201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77"/>
              <w:spacing w:after="0"/>
              <w:rPr>
                <w:sz w:val="20"/>
                <w:szCs w:val="20"/>
                <w:color w:val="auto"/>
              </w:rPr>
            </w:pPr>
            <w:r>
              <w:rPr>
                <w:rFonts w:ascii="Arial" w:cs="Arial" w:eastAsia="Arial" w:hAnsi="Arial"/>
                <w:sz w:val="13"/>
                <w:szCs w:val="13"/>
                <w:color w:val="auto"/>
              </w:rPr>
              <w:t>111,525</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5,286</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490,858</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8"/>
                <w:szCs w:val="18"/>
                <w:color w:val="auto"/>
              </w:rPr>
            </w:pPr>
          </w:p>
        </w:tc>
        <w:tc>
          <w:tcPr>
            <w:tcW w:w="940" w:type="dxa"/>
            <w:vAlign w:val="bottom"/>
            <w:tcBorders>
              <w:bottom w:val="single" w:sz="8" w:color="5D6673"/>
            </w:tcBorders>
          </w:tcPr>
          <w:p>
            <w:pPr>
              <w:spacing w:after="0"/>
              <w:rPr>
                <w:sz w:val="18"/>
                <w:szCs w:val="18"/>
                <w:color w:val="auto"/>
              </w:rPr>
            </w:pPr>
          </w:p>
        </w:tc>
        <w:tc>
          <w:tcPr>
            <w:tcW w:w="60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40" w:type="dxa"/>
            <w:vAlign w:val="bottom"/>
            <w:tcBorders>
              <w:bottom w:val="single" w:sz="8" w:color="5D6673"/>
            </w:tcBorders>
          </w:tcPr>
          <w:p>
            <w:pPr>
              <w:spacing w:after="0"/>
              <w:rPr>
                <w:sz w:val="18"/>
                <w:szCs w:val="18"/>
                <w:color w:val="auto"/>
              </w:rPr>
            </w:pPr>
          </w:p>
        </w:tc>
        <w:tc>
          <w:tcPr>
            <w:tcW w:w="800" w:type="dxa"/>
            <w:vAlign w:val="bottom"/>
            <w:tcBorders>
              <w:bottom w:val="single" w:sz="8" w:color="5D6673"/>
            </w:tcBorders>
          </w:tcPr>
          <w:p>
            <w:pPr>
              <w:spacing w:after="0"/>
              <w:rPr>
                <w:sz w:val="18"/>
                <w:szCs w:val="18"/>
                <w:color w:val="auto"/>
              </w:rPr>
            </w:pPr>
          </w:p>
        </w:tc>
        <w:tc>
          <w:tcPr>
            <w:tcW w:w="26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1120" w:type="dxa"/>
            <w:vAlign w:val="bottom"/>
            <w:tcBorders>
              <w:bottom w:val="single" w:sz="8" w:color="5D6673"/>
            </w:tcBorders>
          </w:tcPr>
          <w:p>
            <w:pPr>
              <w:jc w:val="right"/>
              <w:spacing w:after="0" w:line="214" w:lineRule="exact"/>
              <w:rPr>
                <w:sz w:val="20"/>
                <w:szCs w:val="20"/>
                <w:color w:val="auto"/>
              </w:rPr>
            </w:pPr>
            <w:r>
              <w:rPr>
                <w:rFonts w:ascii="Arial" w:cs="Arial" w:eastAsia="Arial" w:hAnsi="Arial"/>
                <w:sz w:val="13"/>
                <w:szCs w:val="13"/>
                <w:color w:val="auto"/>
              </w:rPr>
              <w:t>31,695</w:t>
            </w:r>
            <w:r>
              <w:rPr>
                <w:rFonts w:ascii="Arial" w:cs="Arial" w:eastAsia="Arial" w:hAnsi="Arial"/>
                <w:sz w:val="20"/>
                <w:szCs w:val="20"/>
                <w:color w:val="auto"/>
                <w:vertAlign w:val="superscript"/>
              </w:rPr>
              <w:t>(2)</w:t>
            </w:r>
          </w:p>
        </w:tc>
        <w:tc>
          <w:tcPr>
            <w:tcW w:w="122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$ 2,943,198</w:t>
            </w: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spacing w:after="0"/>
              <w:rPr>
                <w:sz w:val="20"/>
                <w:szCs w:val="20"/>
                <w:color w:val="auto"/>
              </w:rPr>
            </w:pPr>
            <w:r>
              <w:rPr>
                <w:rFonts w:ascii="Arial" w:cs="Arial" w:eastAsia="Arial" w:hAnsi="Arial"/>
                <w:sz w:val="13"/>
                <w:szCs w:val="13"/>
                <w:color w:val="auto"/>
              </w:rPr>
              <w:t>10,219</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948,936</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0063A6"/>
            </w:tcBorders>
          </w:tcPr>
          <w:p>
            <w:pPr>
              <w:spacing w:after="0"/>
              <w:rPr>
                <w:sz w:val="18"/>
                <w:szCs w:val="18"/>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0063A6"/>
            </w:tcBorders>
          </w:tcPr>
          <w:p>
            <w:pPr>
              <w:spacing w:after="0"/>
              <w:rPr>
                <w:sz w:val="18"/>
                <w:szCs w:val="18"/>
                <w:color w:val="auto"/>
              </w:rPr>
            </w:pPr>
          </w:p>
        </w:tc>
        <w:tc>
          <w:tcPr>
            <w:tcW w:w="940" w:type="dxa"/>
            <w:vAlign w:val="bottom"/>
            <w:tcBorders>
              <w:bottom w:val="single" w:sz="8" w:color="0063A6"/>
            </w:tcBorders>
          </w:tcPr>
          <w:p>
            <w:pPr>
              <w:spacing w:after="0"/>
              <w:rPr>
                <w:sz w:val="18"/>
                <w:szCs w:val="18"/>
                <w:color w:val="auto"/>
              </w:rPr>
            </w:pPr>
          </w:p>
        </w:tc>
        <w:tc>
          <w:tcPr>
            <w:tcW w:w="600" w:type="dxa"/>
            <w:vAlign w:val="bottom"/>
            <w:tcBorders>
              <w:bottom w:val="single" w:sz="8" w:color="0063A6"/>
            </w:tcBorders>
          </w:tcPr>
          <w:p>
            <w:pPr>
              <w:spacing w:after="0"/>
              <w:rPr>
                <w:sz w:val="18"/>
                <w:szCs w:val="18"/>
                <w:color w:val="auto"/>
              </w:rPr>
            </w:pPr>
          </w:p>
        </w:tc>
        <w:tc>
          <w:tcPr>
            <w:tcW w:w="680" w:type="dxa"/>
            <w:vAlign w:val="bottom"/>
            <w:tcBorders>
              <w:bottom w:val="single" w:sz="8" w:color="0063A6"/>
            </w:tcBorders>
          </w:tcPr>
          <w:p>
            <w:pPr>
              <w:spacing w:after="0"/>
              <w:rPr>
                <w:sz w:val="18"/>
                <w:szCs w:val="18"/>
                <w:color w:val="auto"/>
              </w:rPr>
            </w:pPr>
          </w:p>
        </w:tc>
        <w:tc>
          <w:tcPr>
            <w:tcW w:w="40" w:type="dxa"/>
            <w:vAlign w:val="bottom"/>
            <w:tcBorders>
              <w:bottom w:val="single" w:sz="8" w:color="0063A6"/>
            </w:tcBorders>
          </w:tcPr>
          <w:p>
            <w:pPr>
              <w:spacing w:after="0"/>
              <w:rPr>
                <w:sz w:val="18"/>
                <w:szCs w:val="18"/>
                <w:color w:val="auto"/>
              </w:rPr>
            </w:pPr>
          </w:p>
        </w:tc>
        <w:tc>
          <w:tcPr>
            <w:tcW w:w="800" w:type="dxa"/>
            <w:vAlign w:val="bottom"/>
            <w:tcBorders>
              <w:bottom w:val="single" w:sz="8" w:color="0063A6"/>
            </w:tcBorders>
          </w:tcPr>
          <w:p>
            <w:pPr>
              <w:spacing w:after="0"/>
              <w:rPr>
                <w:sz w:val="18"/>
                <w:szCs w:val="18"/>
                <w:color w:val="auto"/>
              </w:rPr>
            </w:pPr>
          </w:p>
        </w:tc>
        <w:tc>
          <w:tcPr>
            <w:tcW w:w="260" w:type="dxa"/>
            <w:vAlign w:val="bottom"/>
            <w:tcBorders>
              <w:bottom w:val="single" w:sz="8" w:color="0063A6"/>
            </w:tcBorders>
          </w:tcPr>
          <w:p>
            <w:pPr>
              <w:spacing w:after="0"/>
              <w:rPr>
                <w:sz w:val="18"/>
                <w:szCs w:val="18"/>
                <w:color w:val="auto"/>
              </w:rPr>
            </w:pPr>
          </w:p>
        </w:tc>
        <w:tc>
          <w:tcPr>
            <w:tcW w:w="680" w:type="dxa"/>
            <w:vAlign w:val="bottom"/>
            <w:tcBorders>
              <w:bottom w:val="single" w:sz="8" w:color="0063A6"/>
            </w:tcBorders>
          </w:tcPr>
          <w:p>
            <w:pPr>
              <w:spacing w:after="0"/>
              <w:rPr>
                <w:sz w:val="18"/>
                <w:szCs w:val="18"/>
                <w:color w:val="auto"/>
              </w:rPr>
            </w:pPr>
          </w:p>
        </w:tc>
        <w:tc>
          <w:tcPr>
            <w:tcW w:w="1120" w:type="dxa"/>
            <w:vAlign w:val="bottom"/>
            <w:tcBorders>
              <w:bottom w:val="single" w:sz="8" w:color="0063A6"/>
            </w:tcBorders>
          </w:tcPr>
          <w:p>
            <w:pPr>
              <w:jc w:val="right"/>
              <w:spacing w:after="0" w:line="214" w:lineRule="exact"/>
              <w:rPr>
                <w:sz w:val="20"/>
                <w:szCs w:val="20"/>
                <w:color w:val="auto"/>
              </w:rPr>
            </w:pPr>
            <w:r>
              <w:rPr>
                <w:rFonts w:ascii="Arial" w:cs="Arial" w:eastAsia="Arial" w:hAnsi="Arial"/>
                <w:sz w:val="13"/>
                <w:szCs w:val="13"/>
                <w:color w:val="auto"/>
              </w:rPr>
              <w:t>25,547</w:t>
            </w:r>
            <w:r>
              <w:rPr>
                <w:rFonts w:ascii="Arial" w:cs="Arial" w:eastAsia="Arial" w:hAnsi="Arial"/>
                <w:sz w:val="20"/>
                <w:szCs w:val="20"/>
                <w:color w:val="auto"/>
                <w:vertAlign w:val="superscript"/>
              </w:rPr>
              <w:t>(3)</w:t>
            </w:r>
          </w:p>
        </w:tc>
        <w:tc>
          <w:tcPr>
            <w:tcW w:w="122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$ 2,372,294</w:t>
            </w:r>
          </w:p>
        </w:tc>
        <w:tc>
          <w:tcPr>
            <w:tcW w:w="0" w:type="dxa"/>
            <w:vAlign w:val="bottom"/>
          </w:tcPr>
          <w:p>
            <w:pPr>
              <w:spacing w:after="0"/>
              <w:rPr>
                <w:sz w:val="1"/>
                <w:szCs w:val="1"/>
                <w:color w:val="auto"/>
              </w:rPr>
            </w:pPr>
          </w:p>
        </w:tc>
      </w:tr>
      <w:tr>
        <w:trPr>
          <w:trHeight w:val="183"/>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Donald L. Reeves</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70" w:type="dxa"/>
            <w:vAlign w:val="bottom"/>
            <w:tcBorders>
              <w:bottom w:val="single" w:sz="8" w:color="5D6673"/>
            </w:tcBorders>
          </w:tcPr>
          <w:p>
            <w:pPr>
              <w:spacing w:after="0"/>
              <w:rPr>
                <w:sz w:val="15"/>
                <w:szCs w:val="15"/>
                <w:color w:val="auto"/>
              </w:rPr>
            </w:pPr>
          </w:p>
        </w:tc>
        <w:tc>
          <w:tcPr>
            <w:tcW w:w="940" w:type="dxa"/>
            <w:vAlign w:val="bottom"/>
            <w:tcBorders>
              <w:bottom w:val="single" w:sz="8" w:color="5D6673"/>
            </w:tcBorders>
          </w:tcPr>
          <w:p>
            <w:pPr>
              <w:spacing w:after="0"/>
              <w:rPr>
                <w:sz w:val="15"/>
                <w:szCs w:val="15"/>
                <w:color w:val="auto"/>
              </w:rPr>
            </w:pPr>
          </w:p>
        </w:tc>
        <w:tc>
          <w:tcPr>
            <w:tcW w:w="60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451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41,880</w:t>
            </w:r>
          </w:p>
        </w:tc>
        <w:tc>
          <w:tcPr>
            <w:tcW w:w="1120" w:type="dxa"/>
            <w:vAlign w:val="bottom"/>
            <w:tcBorders>
              <w:bottom w:val="single" w:sz="8" w:color="5D6673"/>
            </w:tcBorders>
          </w:tcPr>
          <w:p>
            <w:pPr>
              <w:spacing w:after="0"/>
              <w:rPr>
                <w:sz w:val="15"/>
                <w:szCs w:val="15"/>
                <w:color w:val="auto"/>
              </w:rPr>
            </w:pPr>
          </w:p>
        </w:tc>
        <w:tc>
          <w:tcPr>
            <w:tcW w:w="122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3,061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284,244</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8"/>
                <w:szCs w:val="18"/>
                <w:color w:val="auto"/>
              </w:rPr>
            </w:pPr>
          </w:p>
        </w:tc>
        <w:tc>
          <w:tcPr>
            <w:tcW w:w="940" w:type="dxa"/>
            <w:vAlign w:val="bottom"/>
            <w:tcBorders>
              <w:bottom w:val="single" w:sz="8" w:color="5D6673"/>
            </w:tcBorders>
          </w:tcPr>
          <w:p>
            <w:pPr>
              <w:spacing w:after="0"/>
              <w:rPr>
                <w:sz w:val="18"/>
                <w:szCs w:val="18"/>
                <w:color w:val="auto"/>
              </w:rPr>
            </w:pPr>
          </w:p>
        </w:tc>
        <w:tc>
          <w:tcPr>
            <w:tcW w:w="60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40" w:type="dxa"/>
            <w:vAlign w:val="bottom"/>
            <w:tcBorders>
              <w:bottom w:val="single" w:sz="8" w:color="5D6673"/>
            </w:tcBorders>
          </w:tcPr>
          <w:p>
            <w:pPr>
              <w:spacing w:after="0"/>
              <w:rPr>
                <w:sz w:val="18"/>
                <w:szCs w:val="18"/>
                <w:color w:val="auto"/>
              </w:rPr>
            </w:pPr>
          </w:p>
        </w:tc>
        <w:tc>
          <w:tcPr>
            <w:tcW w:w="800" w:type="dxa"/>
            <w:vAlign w:val="bottom"/>
            <w:tcBorders>
              <w:bottom w:val="single" w:sz="8" w:color="5D6673"/>
            </w:tcBorders>
          </w:tcPr>
          <w:p>
            <w:pPr>
              <w:spacing w:after="0"/>
              <w:rPr>
                <w:sz w:val="18"/>
                <w:szCs w:val="18"/>
                <w:color w:val="auto"/>
              </w:rPr>
            </w:pPr>
          </w:p>
        </w:tc>
        <w:tc>
          <w:tcPr>
            <w:tcW w:w="26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1120" w:type="dxa"/>
            <w:vAlign w:val="bottom"/>
            <w:tcBorders>
              <w:bottom w:val="single" w:sz="8" w:color="5D6673"/>
            </w:tcBorders>
          </w:tcPr>
          <w:p>
            <w:pPr>
              <w:jc w:val="right"/>
              <w:spacing w:after="0" w:line="214" w:lineRule="exact"/>
              <w:rPr>
                <w:sz w:val="20"/>
                <w:szCs w:val="20"/>
                <w:color w:val="auto"/>
              </w:rPr>
            </w:pPr>
            <w:r>
              <w:rPr>
                <w:rFonts w:ascii="Arial" w:cs="Arial" w:eastAsia="Arial" w:hAnsi="Arial"/>
                <w:sz w:val="13"/>
                <w:szCs w:val="13"/>
                <w:color w:val="auto"/>
              </w:rPr>
              <w:t>18,350</w:t>
            </w:r>
            <w:r>
              <w:rPr>
                <w:rFonts w:ascii="Arial" w:cs="Arial" w:eastAsia="Arial" w:hAnsi="Arial"/>
                <w:sz w:val="20"/>
                <w:szCs w:val="20"/>
                <w:color w:val="auto"/>
                <w:vertAlign w:val="superscript"/>
              </w:rPr>
              <w:t>(2)</w:t>
            </w:r>
          </w:p>
        </w:tc>
        <w:tc>
          <w:tcPr>
            <w:tcW w:w="122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$ 1,703,981</w:t>
            </w: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6,387</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593,097</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0063A6"/>
            </w:tcBorders>
          </w:tcPr>
          <w:p>
            <w:pPr>
              <w:spacing w:after="0"/>
              <w:rPr>
                <w:sz w:val="18"/>
                <w:szCs w:val="18"/>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0063A6"/>
            </w:tcBorders>
          </w:tcPr>
          <w:p>
            <w:pPr>
              <w:spacing w:after="0"/>
              <w:rPr>
                <w:sz w:val="18"/>
                <w:szCs w:val="18"/>
                <w:color w:val="auto"/>
              </w:rPr>
            </w:pPr>
          </w:p>
        </w:tc>
        <w:tc>
          <w:tcPr>
            <w:tcW w:w="940" w:type="dxa"/>
            <w:vAlign w:val="bottom"/>
            <w:tcBorders>
              <w:bottom w:val="single" w:sz="8" w:color="0063A6"/>
            </w:tcBorders>
          </w:tcPr>
          <w:p>
            <w:pPr>
              <w:spacing w:after="0"/>
              <w:rPr>
                <w:sz w:val="18"/>
                <w:szCs w:val="18"/>
                <w:color w:val="auto"/>
              </w:rPr>
            </w:pPr>
          </w:p>
        </w:tc>
        <w:tc>
          <w:tcPr>
            <w:tcW w:w="600" w:type="dxa"/>
            <w:vAlign w:val="bottom"/>
            <w:tcBorders>
              <w:bottom w:val="single" w:sz="8" w:color="0063A6"/>
            </w:tcBorders>
          </w:tcPr>
          <w:p>
            <w:pPr>
              <w:spacing w:after="0"/>
              <w:rPr>
                <w:sz w:val="18"/>
                <w:szCs w:val="18"/>
                <w:color w:val="auto"/>
              </w:rPr>
            </w:pPr>
          </w:p>
        </w:tc>
        <w:tc>
          <w:tcPr>
            <w:tcW w:w="680" w:type="dxa"/>
            <w:vAlign w:val="bottom"/>
            <w:tcBorders>
              <w:bottom w:val="single" w:sz="8" w:color="0063A6"/>
            </w:tcBorders>
          </w:tcPr>
          <w:p>
            <w:pPr>
              <w:spacing w:after="0"/>
              <w:rPr>
                <w:sz w:val="18"/>
                <w:szCs w:val="18"/>
                <w:color w:val="auto"/>
              </w:rPr>
            </w:pPr>
          </w:p>
        </w:tc>
        <w:tc>
          <w:tcPr>
            <w:tcW w:w="40" w:type="dxa"/>
            <w:vAlign w:val="bottom"/>
            <w:tcBorders>
              <w:bottom w:val="single" w:sz="8" w:color="0063A6"/>
            </w:tcBorders>
          </w:tcPr>
          <w:p>
            <w:pPr>
              <w:spacing w:after="0"/>
              <w:rPr>
                <w:sz w:val="18"/>
                <w:szCs w:val="18"/>
                <w:color w:val="auto"/>
              </w:rPr>
            </w:pPr>
          </w:p>
        </w:tc>
        <w:tc>
          <w:tcPr>
            <w:tcW w:w="800" w:type="dxa"/>
            <w:vAlign w:val="bottom"/>
            <w:tcBorders>
              <w:bottom w:val="single" w:sz="8" w:color="0063A6"/>
            </w:tcBorders>
          </w:tcPr>
          <w:p>
            <w:pPr>
              <w:spacing w:after="0"/>
              <w:rPr>
                <w:sz w:val="18"/>
                <w:szCs w:val="18"/>
                <w:color w:val="auto"/>
              </w:rPr>
            </w:pPr>
          </w:p>
        </w:tc>
        <w:tc>
          <w:tcPr>
            <w:tcW w:w="260" w:type="dxa"/>
            <w:vAlign w:val="bottom"/>
            <w:tcBorders>
              <w:bottom w:val="single" w:sz="8" w:color="0063A6"/>
            </w:tcBorders>
          </w:tcPr>
          <w:p>
            <w:pPr>
              <w:spacing w:after="0"/>
              <w:rPr>
                <w:sz w:val="18"/>
                <w:szCs w:val="18"/>
                <w:color w:val="auto"/>
              </w:rPr>
            </w:pPr>
          </w:p>
        </w:tc>
        <w:tc>
          <w:tcPr>
            <w:tcW w:w="680" w:type="dxa"/>
            <w:vAlign w:val="bottom"/>
            <w:tcBorders>
              <w:bottom w:val="single" w:sz="8" w:color="0063A6"/>
            </w:tcBorders>
          </w:tcPr>
          <w:p>
            <w:pPr>
              <w:spacing w:after="0"/>
              <w:rPr>
                <w:sz w:val="18"/>
                <w:szCs w:val="18"/>
                <w:color w:val="auto"/>
              </w:rPr>
            </w:pPr>
          </w:p>
        </w:tc>
        <w:tc>
          <w:tcPr>
            <w:tcW w:w="1120" w:type="dxa"/>
            <w:vAlign w:val="bottom"/>
            <w:tcBorders>
              <w:bottom w:val="single" w:sz="8" w:color="0063A6"/>
            </w:tcBorders>
          </w:tcPr>
          <w:p>
            <w:pPr>
              <w:jc w:val="right"/>
              <w:spacing w:after="0" w:line="214" w:lineRule="exact"/>
              <w:rPr>
                <w:sz w:val="20"/>
                <w:szCs w:val="20"/>
                <w:color w:val="auto"/>
              </w:rPr>
            </w:pPr>
            <w:r>
              <w:rPr>
                <w:rFonts w:ascii="Arial" w:cs="Arial" w:eastAsia="Arial" w:hAnsi="Arial"/>
                <w:sz w:val="13"/>
                <w:szCs w:val="13"/>
                <w:color w:val="auto"/>
              </w:rPr>
              <w:t>15,967</w:t>
            </w:r>
            <w:r>
              <w:rPr>
                <w:rFonts w:ascii="Arial" w:cs="Arial" w:eastAsia="Arial" w:hAnsi="Arial"/>
                <w:sz w:val="20"/>
                <w:szCs w:val="20"/>
                <w:color w:val="auto"/>
                <w:vertAlign w:val="superscript"/>
              </w:rPr>
              <w:t>(3)</w:t>
            </w:r>
          </w:p>
        </w:tc>
        <w:tc>
          <w:tcPr>
            <w:tcW w:w="122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$ 1,482,696</w:t>
            </w:r>
          </w:p>
        </w:tc>
        <w:tc>
          <w:tcPr>
            <w:tcW w:w="0" w:type="dxa"/>
            <w:vAlign w:val="bottom"/>
          </w:tcPr>
          <w:p>
            <w:pPr>
              <w:spacing w:after="0"/>
              <w:rPr>
                <w:sz w:val="1"/>
                <w:szCs w:val="1"/>
                <w:color w:val="auto"/>
              </w:rPr>
            </w:pPr>
          </w:p>
        </w:tc>
      </w:tr>
      <w:tr>
        <w:trPr>
          <w:trHeight w:val="182"/>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John F. Marcolini</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70" w:type="dxa"/>
            <w:vAlign w:val="bottom"/>
            <w:tcBorders>
              <w:bottom w:val="single" w:sz="8" w:color="5D6673"/>
            </w:tcBorders>
          </w:tcPr>
          <w:p>
            <w:pPr>
              <w:spacing w:after="0"/>
              <w:rPr>
                <w:sz w:val="15"/>
                <w:szCs w:val="15"/>
                <w:color w:val="auto"/>
              </w:rPr>
            </w:pPr>
          </w:p>
        </w:tc>
        <w:tc>
          <w:tcPr>
            <w:tcW w:w="940" w:type="dxa"/>
            <w:vAlign w:val="bottom"/>
            <w:tcBorders>
              <w:bottom w:val="single" w:sz="8" w:color="5D6673"/>
            </w:tcBorders>
          </w:tcPr>
          <w:p>
            <w:pPr>
              <w:spacing w:after="0"/>
              <w:rPr>
                <w:sz w:val="15"/>
                <w:szCs w:val="15"/>
                <w:color w:val="auto"/>
              </w:rPr>
            </w:pPr>
          </w:p>
        </w:tc>
        <w:tc>
          <w:tcPr>
            <w:tcW w:w="60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451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41,880</w:t>
            </w:r>
          </w:p>
        </w:tc>
        <w:tc>
          <w:tcPr>
            <w:tcW w:w="1120" w:type="dxa"/>
            <w:vAlign w:val="bottom"/>
            <w:tcBorders>
              <w:bottom w:val="single" w:sz="8" w:color="5D6673"/>
            </w:tcBorders>
          </w:tcPr>
          <w:p>
            <w:pPr>
              <w:spacing w:after="0"/>
              <w:rPr>
                <w:sz w:val="15"/>
                <w:szCs w:val="15"/>
                <w:color w:val="auto"/>
              </w:rPr>
            </w:pPr>
          </w:p>
        </w:tc>
        <w:tc>
          <w:tcPr>
            <w:tcW w:w="122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3,199</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297,059</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8"/>
                <w:szCs w:val="18"/>
                <w:color w:val="auto"/>
              </w:rPr>
            </w:pPr>
          </w:p>
        </w:tc>
        <w:tc>
          <w:tcPr>
            <w:tcW w:w="940" w:type="dxa"/>
            <w:vAlign w:val="bottom"/>
            <w:tcBorders>
              <w:bottom w:val="single" w:sz="8" w:color="5D6673"/>
            </w:tcBorders>
          </w:tcPr>
          <w:p>
            <w:pPr>
              <w:spacing w:after="0"/>
              <w:rPr>
                <w:sz w:val="18"/>
                <w:szCs w:val="18"/>
                <w:color w:val="auto"/>
              </w:rPr>
            </w:pPr>
          </w:p>
        </w:tc>
        <w:tc>
          <w:tcPr>
            <w:tcW w:w="60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40" w:type="dxa"/>
            <w:vAlign w:val="bottom"/>
            <w:tcBorders>
              <w:bottom w:val="single" w:sz="8" w:color="5D6673"/>
            </w:tcBorders>
          </w:tcPr>
          <w:p>
            <w:pPr>
              <w:spacing w:after="0"/>
              <w:rPr>
                <w:sz w:val="18"/>
                <w:szCs w:val="18"/>
                <w:color w:val="auto"/>
              </w:rPr>
            </w:pPr>
          </w:p>
        </w:tc>
        <w:tc>
          <w:tcPr>
            <w:tcW w:w="800" w:type="dxa"/>
            <w:vAlign w:val="bottom"/>
            <w:tcBorders>
              <w:bottom w:val="single" w:sz="8" w:color="5D6673"/>
            </w:tcBorders>
          </w:tcPr>
          <w:p>
            <w:pPr>
              <w:spacing w:after="0"/>
              <w:rPr>
                <w:sz w:val="18"/>
                <w:szCs w:val="18"/>
                <w:color w:val="auto"/>
              </w:rPr>
            </w:pPr>
          </w:p>
        </w:tc>
        <w:tc>
          <w:tcPr>
            <w:tcW w:w="26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1120" w:type="dxa"/>
            <w:vAlign w:val="bottom"/>
            <w:tcBorders>
              <w:bottom w:val="single" w:sz="8" w:color="5D6673"/>
            </w:tcBorders>
          </w:tcPr>
          <w:p>
            <w:pPr>
              <w:jc w:val="right"/>
              <w:spacing w:after="0" w:line="214" w:lineRule="exact"/>
              <w:rPr>
                <w:sz w:val="20"/>
                <w:szCs w:val="20"/>
                <w:color w:val="auto"/>
              </w:rPr>
            </w:pPr>
            <w:r>
              <w:rPr>
                <w:rFonts w:ascii="Arial" w:cs="Arial" w:eastAsia="Arial" w:hAnsi="Arial"/>
                <w:sz w:val="13"/>
                <w:szCs w:val="13"/>
                <w:color w:val="auto"/>
              </w:rPr>
              <w:t>19,182</w:t>
            </w:r>
            <w:r>
              <w:rPr>
                <w:rFonts w:ascii="Arial" w:cs="Arial" w:eastAsia="Arial" w:hAnsi="Arial"/>
                <w:sz w:val="20"/>
                <w:szCs w:val="20"/>
                <w:color w:val="auto"/>
                <w:vertAlign w:val="superscript"/>
              </w:rPr>
              <w:t>(2)</w:t>
            </w:r>
          </w:p>
        </w:tc>
        <w:tc>
          <w:tcPr>
            <w:tcW w:w="122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$ 1,781,241</w:t>
            </w: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6,387</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593,097</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0063A6"/>
            </w:tcBorders>
          </w:tcPr>
          <w:p>
            <w:pPr>
              <w:spacing w:after="0"/>
              <w:rPr>
                <w:sz w:val="18"/>
                <w:szCs w:val="18"/>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0063A6"/>
            </w:tcBorders>
          </w:tcPr>
          <w:p>
            <w:pPr>
              <w:spacing w:after="0"/>
              <w:rPr>
                <w:sz w:val="18"/>
                <w:szCs w:val="18"/>
                <w:color w:val="auto"/>
              </w:rPr>
            </w:pPr>
          </w:p>
        </w:tc>
        <w:tc>
          <w:tcPr>
            <w:tcW w:w="940" w:type="dxa"/>
            <w:vAlign w:val="bottom"/>
            <w:tcBorders>
              <w:bottom w:val="single" w:sz="8" w:color="0063A6"/>
            </w:tcBorders>
          </w:tcPr>
          <w:p>
            <w:pPr>
              <w:spacing w:after="0"/>
              <w:rPr>
                <w:sz w:val="18"/>
                <w:szCs w:val="18"/>
                <w:color w:val="auto"/>
              </w:rPr>
            </w:pPr>
          </w:p>
        </w:tc>
        <w:tc>
          <w:tcPr>
            <w:tcW w:w="600" w:type="dxa"/>
            <w:vAlign w:val="bottom"/>
            <w:tcBorders>
              <w:bottom w:val="single" w:sz="8" w:color="0063A6"/>
            </w:tcBorders>
          </w:tcPr>
          <w:p>
            <w:pPr>
              <w:spacing w:after="0"/>
              <w:rPr>
                <w:sz w:val="18"/>
                <w:szCs w:val="18"/>
                <w:color w:val="auto"/>
              </w:rPr>
            </w:pPr>
          </w:p>
        </w:tc>
        <w:tc>
          <w:tcPr>
            <w:tcW w:w="680" w:type="dxa"/>
            <w:vAlign w:val="bottom"/>
            <w:tcBorders>
              <w:bottom w:val="single" w:sz="8" w:color="0063A6"/>
            </w:tcBorders>
          </w:tcPr>
          <w:p>
            <w:pPr>
              <w:spacing w:after="0"/>
              <w:rPr>
                <w:sz w:val="18"/>
                <w:szCs w:val="18"/>
                <w:color w:val="auto"/>
              </w:rPr>
            </w:pPr>
          </w:p>
        </w:tc>
        <w:tc>
          <w:tcPr>
            <w:tcW w:w="40" w:type="dxa"/>
            <w:vAlign w:val="bottom"/>
            <w:tcBorders>
              <w:bottom w:val="single" w:sz="8" w:color="0063A6"/>
            </w:tcBorders>
          </w:tcPr>
          <w:p>
            <w:pPr>
              <w:spacing w:after="0"/>
              <w:rPr>
                <w:sz w:val="18"/>
                <w:szCs w:val="18"/>
                <w:color w:val="auto"/>
              </w:rPr>
            </w:pPr>
          </w:p>
        </w:tc>
        <w:tc>
          <w:tcPr>
            <w:tcW w:w="800" w:type="dxa"/>
            <w:vAlign w:val="bottom"/>
            <w:tcBorders>
              <w:bottom w:val="single" w:sz="8" w:color="0063A6"/>
            </w:tcBorders>
          </w:tcPr>
          <w:p>
            <w:pPr>
              <w:spacing w:after="0"/>
              <w:rPr>
                <w:sz w:val="18"/>
                <w:szCs w:val="18"/>
                <w:color w:val="auto"/>
              </w:rPr>
            </w:pPr>
          </w:p>
        </w:tc>
        <w:tc>
          <w:tcPr>
            <w:tcW w:w="260" w:type="dxa"/>
            <w:vAlign w:val="bottom"/>
            <w:tcBorders>
              <w:bottom w:val="single" w:sz="8" w:color="0063A6"/>
            </w:tcBorders>
          </w:tcPr>
          <w:p>
            <w:pPr>
              <w:spacing w:after="0"/>
              <w:rPr>
                <w:sz w:val="18"/>
                <w:szCs w:val="18"/>
                <w:color w:val="auto"/>
              </w:rPr>
            </w:pPr>
          </w:p>
        </w:tc>
        <w:tc>
          <w:tcPr>
            <w:tcW w:w="680" w:type="dxa"/>
            <w:vAlign w:val="bottom"/>
            <w:tcBorders>
              <w:bottom w:val="single" w:sz="8" w:color="0063A6"/>
            </w:tcBorders>
          </w:tcPr>
          <w:p>
            <w:pPr>
              <w:spacing w:after="0"/>
              <w:rPr>
                <w:sz w:val="18"/>
                <w:szCs w:val="18"/>
                <w:color w:val="auto"/>
              </w:rPr>
            </w:pPr>
          </w:p>
        </w:tc>
        <w:tc>
          <w:tcPr>
            <w:tcW w:w="1120" w:type="dxa"/>
            <w:vAlign w:val="bottom"/>
            <w:tcBorders>
              <w:bottom w:val="single" w:sz="8" w:color="0063A6"/>
            </w:tcBorders>
          </w:tcPr>
          <w:p>
            <w:pPr>
              <w:jc w:val="right"/>
              <w:spacing w:after="0" w:line="214" w:lineRule="exact"/>
              <w:rPr>
                <w:sz w:val="20"/>
                <w:szCs w:val="20"/>
                <w:color w:val="auto"/>
              </w:rPr>
            </w:pPr>
            <w:r>
              <w:rPr>
                <w:rFonts w:ascii="Arial" w:cs="Arial" w:eastAsia="Arial" w:hAnsi="Arial"/>
                <w:sz w:val="13"/>
                <w:szCs w:val="13"/>
                <w:color w:val="auto"/>
              </w:rPr>
              <w:t>15,967</w:t>
            </w:r>
            <w:r>
              <w:rPr>
                <w:rFonts w:ascii="Arial" w:cs="Arial" w:eastAsia="Arial" w:hAnsi="Arial"/>
                <w:sz w:val="20"/>
                <w:szCs w:val="20"/>
                <w:color w:val="auto"/>
                <w:vertAlign w:val="superscript"/>
              </w:rPr>
              <w:t>(3)</w:t>
            </w:r>
          </w:p>
        </w:tc>
        <w:tc>
          <w:tcPr>
            <w:tcW w:w="122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$ 1,482,696</w:t>
            </w:r>
          </w:p>
        </w:tc>
        <w:tc>
          <w:tcPr>
            <w:tcW w:w="0" w:type="dxa"/>
            <w:vAlign w:val="bottom"/>
          </w:tcPr>
          <w:p>
            <w:pPr>
              <w:spacing w:after="0"/>
              <w:rPr>
                <w:sz w:val="1"/>
                <w:szCs w:val="1"/>
                <w:color w:val="auto"/>
              </w:rPr>
            </w:pPr>
          </w:p>
        </w:tc>
      </w:tr>
      <w:tr>
        <w:trPr>
          <w:trHeight w:val="183"/>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Justin K. Patrick</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2/20/2020</w:t>
            </w:r>
          </w:p>
        </w:tc>
        <w:tc>
          <w:tcPr>
            <w:tcW w:w="87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3,274</w:t>
            </w:r>
          </w:p>
        </w:tc>
        <w:tc>
          <w:tcPr>
            <w:tcW w:w="940" w:type="dxa"/>
            <w:vAlign w:val="bottom"/>
            <w:tcBorders>
              <w:bottom w:val="single" w:sz="8" w:color="5D6673"/>
            </w:tcBorders>
          </w:tcPr>
          <w:p>
            <w:pPr>
              <w:spacing w:after="0"/>
              <w:rPr>
                <w:sz w:val="15"/>
                <w:szCs w:val="15"/>
                <w:color w:val="auto"/>
              </w:rPr>
            </w:pP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$87.27</w:t>
            </w:r>
          </w:p>
        </w:tc>
        <w:tc>
          <w:tcPr>
            <w:tcW w:w="680" w:type="dxa"/>
            <w:vAlign w:val="bottom"/>
            <w:tcBorders>
              <w:bottom w:val="single" w:sz="8" w:color="5D6673"/>
            </w:tcBorders>
          </w:tcPr>
          <w:p>
            <w:pPr>
              <w:jc w:val="center"/>
              <w:spacing w:after="0"/>
              <w:rPr>
                <w:sz w:val="20"/>
                <w:szCs w:val="20"/>
                <w:color w:val="auto"/>
              </w:rPr>
            </w:pPr>
            <w:r>
              <w:rPr>
                <w:rFonts w:ascii="Arial" w:cs="Arial" w:eastAsia="Arial" w:hAnsi="Arial"/>
                <w:sz w:val="13"/>
                <w:szCs w:val="13"/>
                <w:color w:val="auto"/>
                <w:w w:val="96"/>
              </w:rPr>
              <w:t>2/20/2030</w:t>
            </w:r>
          </w:p>
        </w:tc>
        <w:tc>
          <w:tcPr>
            <w:tcW w:w="40" w:type="dxa"/>
            <w:vAlign w:val="bottom"/>
            <w:tcBorders>
              <w:bottom w:val="single" w:sz="8" w:color="5D6673"/>
            </w:tcBorders>
          </w:tcPr>
          <w:p>
            <w:pPr>
              <w:spacing w:after="0"/>
              <w:rPr>
                <w:sz w:val="15"/>
                <w:szCs w:val="15"/>
                <w:color w:val="auto"/>
              </w:rPr>
            </w:pPr>
          </w:p>
        </w:tc>
        <w:tc>
          <w:tcPr>
            <w:tcW w:w="80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spacing w:after="0"/>
              <w:rPr>
                <w:sz w:val="15"/>
                <w:szCs w:val="15"/>
                <w:color w:val="auto"/>
              </w:rPr>
            </w:pPr>
          </w:p>
        </w:tc>
        <w:tc>
          <w:tcPr>
            <w:tcW w:w="122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413</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38,351</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2,783</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258,429</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2/23/2024</w:t>
            </w:r>
          </w:p>
        </w:tc>
        <w:tc>
          <w:tcPr>
            <w:tcW w:w="870" w:type="dxa"/>
            <w:vAlign w:val="bottom"/>
            <w:tcBorders>
              <w:bottom w:val="single" w:sz="8" w:color="5D6673"/>
            </w:tcBorders>
          </w:tcPr>
          <w:p>
            <w:pPr>
              <w:spacing w:after="0"/>
              <w:rPr>
                <w:sz w:val="18"/>
                <w:szCs w:val="18"/>
                <w:color w:val="auto"/>
              </w:rPr>
            </w:pPr>
          </w:p>
        </w:tc>
        <w:tc>
          <w:tcPr>
            <w:tcW w:w="940" w:type="dxa"/>
            <w:vAlign w:val="bottom"/>
            <w:tcBorders>
              <w:bottom w:val="single" w:sz="8" w:color="5D6673"/>
            </w:tcBorders>
          </w:tcPr>
          <w:p>
            <w:pPr>
              <w:spacing w:after="0"/>
              <w:rPr>
                <w:sz w:val="18"/>
                <w:szCs w:val="18"/>
                <w:color w:val="auto"/>
              </w:rPr>
            </w:pPr>
          </w:p>
        </w:tc>
        <w:tc>
          <w:tcPr>
            <w:tcW w:w="60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40" w:type="dxa"/>
            <w:vAlign w:val="bottom"/>
            <w:tcBorders>
              <w:bottom w:val="single" w:sz="8" w:color="5D6673"/>
            </w:tcBorders>
          </w:tcPr>
          <w:p>
            <w:pPr>
              <w:spacing w:after="0"/>
              <w:rPr>
                <w:sz w:val="18"/>
                <w:szCs w:val="18"/>
                <w:color w:val="auto"/>
              </w:rPr>
            </w:pPr>
          </w:p>
        </w:tc>
        <w:tc>
          <w:tcPr>
            <w:tcW w:w="800" w:type="dxa"/>
            <w:vAlign w:val="bottom"/>
            <w:tcBorders>
              <w:bottom w:val="single" w:sz="8" w:color="5D6673"/>
            </w:tcBorders>
          </w:tcPr>
          <w:p>
            <w:pPr>
              <w:spacing w:after="0"/>
              <w:rPr>
                <w:sz w:val="18"/>
                <w:szCs w:val="18"/>
                <w:color w:val="auto"/>
              </w:rPr>
            </w:pPr>
          </w:p>
        </w:tc>
        <w:tc>
          <w:tcPr>
            <w:tcW w:w="260" w:type="dxa"/>
            <w:vAlign w:val="bottom"/>
            <w:tcBorders>
              <w:bottom w:val="single" w:sz="8" w:color="5D6673"/>
            </w:tcBorders>
          </w:tcPr>
          <w:p>
            <w:pPr>
              <w:spacing w:after="0"/>
              <w:rPr>
                <w:sz w:val="18"/>
                <w:szCs w:val="18"/>
                <w:color w:val="auto"/>
              </w:rPr>
            </w:pPr>
          </w:p>
        </w:tc>
        <w:tc>
          <w:tcPr>
            <w:tcW w:w="680" w:type="dxa"/>
            <w:vAlign w:val="bottom"/>
            <w:tcBorders>
              <w:bottom w:val="single" w:sz="8" w:color="5D6673"/>
            </w:tcBorders>
          </w:tcPr>
          <w:p>
            <w:pPr>
              <w:spacing w:after="0"/>
              <w:rPr>
                <w:sz w:val="18"/>
                <w:szCs w:val="18"/>
                <w:color w:val="auto"/>
              </w:rPr>
            </w:pPr>
          </w:p>
        </w:tc>
        <w:tc>
          <w:tcPr>
            <w:tcW w:w="1120" w:type="dxa"/>
            <w:vAlign w:val="bottom"/>
            <w:tcBorders>
              <w:bottom w:val="single" w:sz="8" w:color="5D6673"/>
            </w:tcBorders>
          </w:tcPr>
          <w:p>
            <w:pPr>
              <w:jc w:val="right"/>
              <w:spacing w:after="0" w:line="214" w:lineRule="exact"/>
              <w:rPr>
                <w:sz w:val="20"/>
                <w:szCs w:val="20"/>
                <w:color w:val="auto"/>
              </w:rPr>
            </w:pPr>
            <w:r>
              <w:rPr>
                <w:rFonts w:ascii="Arial" w:cs="Arial" w:eastAsia="Arial" w:hAnsi="Arial"/>
                <w:sz w:val="13"/>
                <w:szCs w:val="13"/>
                <w:color w:val="auto"/>
              </w:rPr>
              <w:t>16,680</w:t>
            </w:r>
            <w:r>
              <w:rPr>
                <w:rFonts w:ascii="Arial" w:cs="Arial" w:eastAsia="Arial" w:hAnsi="Arial"/>
                <w:sz w:val="20"/>
                <w:szCs w:val="20"/>
                <w:color w:val="auto"/>
                <w:vertAlign w:val="superscript"/>
              </w:rPr>
              <w:t>(2)</w:t>
            </w:r>
          </w:p>
        </w:tc>
        <w:tc>
          <w:tcPr>
            <w:tcW w:w="122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$ 1,548,905</w:t>
            </w: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600" w:type="dxa"/>
            <w:vAlign w:val="bottom"/>
            <w:tcBorders>
              <w:bottom w:val="single" w:sz="8" w:color="5D6673"/>
            </w:tcBorders>
          </w:tcPr>
          <w:p>
            <w:pPr>
              <w:spacing w:after="0"/>
              <w:rPr>
                <w:sz w:val="14"/>
                <w:szCs w:val="14"/>
                <w:color w:val="auto"/>
              </w:rPr>
            </w:pPr>
          </w:p>
        </w:tc>
        <w:tc>
          <w:tcPr>
            <w:tcW w:w="680" w:type="dxa"/>
            <w:vAlign w:val="bottom"/>
            <w:tcBorders>
              <w:bottom w:val="single" w:sz="8" w:color="5D6673"/>
            </w:tcBorders>
          </w:tcPr>
          <w:p>
            <w:pPr>
              <w:spacing w:after="0"/>
              <w:rPr>
                <w:sz w:val="14"/>
                <w:szCs w:val="14"/>
                <w:color w:val="auto"/>
              </w:rPr>
            </w:pPr>
          </w:p>
        </w:tc>
        <w:tc>
          <w:tcPr>
            <w:tcW w:w="840" w:type="dxa"/>
            <w:vAlign w:val="bottom"/>
            <w:tcBorders>
              <w:bottom w:val="single" w:sz="8" w:color="5D6673"/>
            </w:tcBorders>
            <w:gridSpan w:val="2"/>
          </w:tcPr>
          <w:p>
            <w:pPr>
              <w:jc w:val="right"/>
              <w:ind w:right="17"/>
              <w:spacing w:after="0"/>
              <w:rPr>
                <w:sz w:val="20"/>
                <w:szCs w:val="20"/>
                <w:color w:val="auto"/>
              </w:rPr>
            </w:pPr>
            <w:r>
              <w:rPr>
                <w:rFonts w:ascii="Arial" w:cs="Arial" w:eastAsia="Arial" w:hAnsi="Arial"/>
                <w:sz w:val="13"/>
                <w:szCs w:val="13"/>
                <w:color w:val="auto"/>
              </w:rPr>
              <w:t>6,387</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593,097</w:t>
            </w:r>
          </w:p>
        </w:tc>
        <w:tc>
          <w:tcPr>
            <w:tcW w:w="1120" w:type="dxa"/>
            <w:vAlign w:val="bottom"/>
            <w:tcBorders>
              <w:bottom w:val="single" w:sz="8" w:color="5D6673"/>
            </w:tcBorders>
          </w:tcPr>
          <w:p>
            <w:pPr>
              <w:spacing w:after="0"/>
              <w:rPr>
                <w:sz w:val="14"/>
                <w:szCs w:val="14"/>
                <w:color w:val="auto"/>
              </w:rPr>
            </w:pPr>
          </w:p>
        </w:tc>
        <w:tc>
          <w:tcPr>
            <w:tcW w:w="1220" w:type="dxa"/>
            <w:vAlign w:val="bottom"/>
            <w:tcBorders>
              <w:bottom w:val="single" w:sz="8" w:color="5D6673"/>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280" w:type="dxa"/>
            <w:vAlign w:val="bottom"/>
            <w:tcBorders>
              <w:bottom w:val="single" w:sz="8" w:color="0063A6"/>
            </w:tcBorders>
          </w:tcPr>
          <w:p>
            <w:pPr>
              <w:spacing w:after="0"/>
              <w:rPr>
                <w:sz w:val="17"/>
                <w:szCs w:val="17"/>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2/19/2025</w:t>
            </w:r>
          </w:p>
        </w:tc>
        <w:tc>
          <w:tcPr>
            <w:tcW w:w="870" w:type="dxa"/>
            <w:vAlign w:val="bottom"/>
            <w:tcBorders>
              <w:bottom w:val="single" w:sz="8" w:color="0063A6"/>
            </w:tcBorders>
          </w:tcPr>
          <w:p>
            <w:pPr>
              <w:spacing w:after="0"/>
              <w:rPr>
                <w:sz w:val="17"/>
                <w:szCs w:val="17"/>
                <w:color w:val="auto"/>
              </w:rPr>
            </w:pPr>
          </w:p>
        </w:tc>
        <w:tc>
          <w:tcPr>
            <w:tcW w:w="940" w:type="dxa"/>
            <w:vAlign w:val="bottom"/>
            <w:tcBorders>
              <w:bottom w:val="single" w:sz="8" w:color="0063A6"/>
            </w:tcBorders>
          </w:tcPr>
          <w:p>
            <w:pPr>
              <w:spacing w:after="0"/>
              <w:rPr>
                <w:sz w:val="17"/>
                <w:szCs w:val="17"/>
                <w:color w:val="auto"/>
              </w:rPr>
            </w:pPr>
          </w:p>
        </w:tc>
        <w:tc>
          <w:tcPr>
            <w:tcW w:w="600" w:type="dxa"/>
            <w:vAlign w:val="bottom"/>
            <w:tcBorders>
              <w:bottom w:val="single" w:sz="8" w:color="0063A6"/>
            </w:tcBorders>
          </w:tcPr>
          <w:p>
            <w:pPr>
              <w:spacing w:after="0"/>
              <w:rPr>
                <w:sz w:val="17"/>
                <w:szCs w:val="17"/>
                <w:color w:val="auto"/>
              </w:rPr>
            </w:pPr>
          </w:p>
        </w:tc>
        <w:tc>
          <w:tcPr>
            <w:tcW w:w="680" w:type="dxa"/>
            <w:vAlign w:val="bottom"/>
            <w:tcBorders>
              <w:bottom w:val="single" w:sz="8" w:color="0063A6"/>
            </w:tcBorders>
          </w:tcPr>
          <w:p>
            <w:pPr>
              <w:spacing w:after="0"/>
              <w:rPr>
                <w:sz w:val="17"/>
                <w:szCs w:val="17"/>
                <w:color w:val="auto"/>
              </w:rPr>
            </w:pPr>
          </w:p>
        </w:tc>
        <w:tc>
          <w:tcPr>
            <w:tcW w:w="40" w:type="dxa"/>
            <w:vAlign w:val="bottom"/>
            <w:tcBorders>
              <w:bottom w:val="single" w:sz="8" w:color="0063A6"/>
            </w:tcBorders>
          </w:tcPr>
          <w:p>
            <w:pPr>
              <w:spacing w:after="0"/>
              <w:rPr>
                <w:sz w:val="17"/>
                <w:szCs w:val="17"/>
                <w:color w:val="auto"/>
              </w:rPr>
            </w:pPr>
          </w:p>
        </w:tc>
        <w:tc>
          <w:tcPr>
            <w:tcW w:w="800" w:type="dxa"/>
            <w:vAlign w:val="bottom"/>
            <w:tcBorders>
              <w:bottom w:val="single" w:sz="8" w:color="0063A6"/>
            </w:tcBorders>
          </w:tcPr>
          <w:p>
            <w:pPr>
              <w:spacing w:after="0"/>
              <w:rPr>
                <w:sz w:val="17"/>
                <w:szCs w:val="17"/>
                <w:color w:val="auto"/>
              </w:rPr>
            </w:pPr>
          </w:p>
        </w:tc>
        <w:tc>
          <w:tcPr>
            <w:tcW w:w="260" w:type="dxa"/>
            <w:vAlign w:val="bottom"/>
            <w:tcBorders>
              <w:bottom w:val="single" w:sz="8" w:color="0063A6"/>
            </w:tcBorders>
          </w:tcPr>
          <w:p>
            <w:pPr>
              <w:spacing w:after="0"/>
              <w:rPr>
                <w:sz w:val="17"/>
                <w:szCs w:val="17"/>
                <w:color w:val="auto"/>
              </w:rPr>
            </w:pPr>
          </w:p>
        </w:tc>
        <w:tc>
          <w:tcPr>
            <w:tcW w:w="680" w:type="dxa"/>
            <w:vAlign w:val="bottom"/>
            <w:tcBorders>
              <w:bottom w:val="single" w:sz="8" w:color="0063A6"/>
            </w:tcBorders>
          </w:tcPr>
          <w:p>
            <w:pPr>
              <w:spacing w:after="0"/>
              <w:rPr>
                <w:sz w:val="17"/>
                <w:szCs w:val="17"/>
                <w:color w:val="auto"/>
              </w:rPr>
            </w:pPr>
          </w:p>
        </w:tc>
        <w:tc>
          <w:tcPr>
            <w:tcW w:w="1120" w:type="dxa"/>
            <w:vAlign w:val="bottom"/>
            <w:tcBorders>
              <w:bottom w:val="single" w:sz="8" w:color="0063A6"/>
            </w:tcBorders>
          </w:tcPr>
          <w:p>
            <w:pPr>
              <w:jc w:val="right"/>
              <w:spacing w:after="0" w:line="201" w:lineRule="exact"/>
              <w:rPr>
                <w:sz w:val="20"/>
                <w:szCs w:val="20"/>
                <w:color w:val="auto"/>
              </w:rPr>
            </w:pPr>
            <w:r>
              <w:rPr>
                <w:rFonts w:ascii="Arial" w:cs="Arial" w:eastAsia="Arial" w:hAnsi="Arial"/>
                <w:sz w:val="13"/>
                <w:szCs w:val="13"/>
                <w:color w:val="auto"/>
              </w:rPr>
              <w:t>15,967</w:t>
            </w:r>
            <w:r>
              <w:rPr>
                <w:rFonts w:ascii="Arial" w:cs="Arial" w:eastAsia="Arial" w:hAnsi="Arial"/>
                <w:sz w:val="20"/>
                <w:szCs w:val="20"/>
                <w:color w:val="auto"/>
                <w:vertAlign w:val="superscript"/>
              </w:rPr>
              <w:t>(3)</w:t>
            </w:r>
          </w:p>
        </w:tc>
        <w:tc>
          <w:tcPr>
            <w:tcW w:w="122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$ 1,482,696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-5005705</wp:posOffset>
            </wp:positionV>
            <wp:extent cx="45262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79" w:lineRule="exact"/>
        <w:rPr>
          <w:sz w:val="20"/>
          <w:szCs w:val="20"/>
          <w:color w:val="auto"/>
        </w:rPr>
      </w:pPr>
    </w:p>
    <w:p>
      <w:pPr>
        <w:jc w:val="both"/>
        <w:ind w:left="346" w:right="60" w:hanging="346"/>
        <w:spacing w:after="0" w:line="256" w:lineRule="auto"/>
        <w:tabs>
          <w:tab w:leader="none" w:pos="346"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RSUs granted under the LTIP. One-third of the RSUs granted on February 23, 2023 vested on February 23, 2024; the balance will vest quarterly thereafter for two years. One-third of the RSUs granted on February 23, 2024 vested on February 23, 2025; the balance will vest quarterly thereafter for two years. One-third of the RSUs granted on February 19, 2025 vested on February 19, 2026; the balance will vest quarterly thereafter for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7" w:name="page48"/>
    <w:bookmarkEnd w:id="4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82" w:lineRule="exact"/>
        <w:rPr>
          <w:sz w:val="20"/>
          <w:szCs w:val="20"/>
          <w:color w:val="auto"/>
        </w:rPr>
      </w:pPr>
    </w:p>
    <w:p>
      <w:pPr>
        <w:ind w:left="366"/>
        <w:spacing w:after="0"/>
        <w:rPr>
          <w:sz w:val="20"/>
          <w:szCs w:val="20"/>
          <w:color w:val="auto"/>
        </w:rPr>
      </w:pPr>
      <w:r>
        <w:rPr>
          <w:rFonts w:ascii="Arial" w:cs="Arial" w:eastAsia="Arial" w:hAnsi="Arial"/>
          <w:sz w:val="14"/>
          <w:szCs w:val="14"/>
          <w:color w:val="auto"/>
        </w:rPr>
        <w:t>Vesting information for each RSU award for the NEOs that is unvested as of December 31, 2025 is described in the table below.</w:t>
      </w:r>
    </w:p>
    <w:p>
      <w:pPr>
        <w:spacing w:after="0" w:line="132" w:lineRule="exact"/>
        <w:rPr>
          <w:sz w:val="20"/>
          <w:szCs w:val="20"/>
          <w:color w:val="auto"/>
        </w:rPr>
      </w:pPr>
    </w:p>
    <w:tbl>
      <w:tblPr>
        <w:tblLayout w:type="fixed"/>
        <w:tblInd w:w="366" w:type="dxa"/>
        <w:tblCellMar>
          <w:top w:w="0" w:type="dxa"/>
          <w:left w:w="0" w:type="dxa"/>
          <w:bottom w:w="0" w:type="dxa"/>
          <w:right w:w="0" w:type="dxa"/>
        </w:tblCellMar>
      </w:tblPr>
      <w:tr>
        <w:trPr>
          <w:trHeight w:val="220"/>
        </w:trPr>
        <w:tc>
          <w:tcPr>
            <w:tcW w:w="2420" w:type="dxa"/>
            <w:vAlign w:val="bottom"/>
          </w:tcPr>
          <w:p>
            <w:pPr>
              <w:spacing w:after="0"/>
              <w:rPr>
                <w:sz w:val="19"/>
                <w:szCs w:val="19"/>
                <w:color w:val="auto"/>
              </w:rPr>
            </w:pPr>
          </w:p>
        </w:tc>
        <w:tc>
          <w:tcPr>
            <w:tcW w:w="1460" w:type="dxa"/>
            <w:vAlign w:val="bottom"/>
            <w:shd w:val="clear" w:color="auto" w:fill="0063A6"/>
          </w:tcPr>
          <w:p>
            <w:pPr>
              <w:jc w:val="right"/>
              <w:ind w:right="268"/>
              <w:spacing w:after="0"/>
              <w:rPr>
                <w:sz w:val="20"/>
                <w:szCs w:val="20"/>
                <w:color w:val="auto"/>
              </w:rPr>
            </w:pPr>
            <w:r>
              <w:rPr>
                <w:rFonts w:ascii="Arial" w:cs="Arial" w:eastAsia="Arial" w:hAnsi="Arial"/>
                <w:sz w:val="14"/>
                <w:szCs w:val="14"/>
                <w:b w:val="1"/>
                <w:bCs w:val="1"/>
                <w:color w:val="FFFFFF"/>
              </w:rPr>
              <w:t>Thomas L.</w:t>
            </w:r>
          </w:p>
        </w:tc>
        <w:tc>
          <w:tcPr>
            <w:tcW w:w="1140" w:type="dxa"/>
            <w:vAlign w:val="bottom"/>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Joan S.</w:t>
            </w:r>
          </w:p>
        </w:tc>
        <w:tc>
          <w:tcPr>
            <w:tcW w:w="1240" w:type="dxa"/>
            <w:vAlign w:val="bottom"/>
            <w:shd w:val="clear" w:color="auto" w:fill="0063A6"/>
          </w:tcPr>
          <w:p>
            <w:pPr>
              <w:jc w:val="right"/>
              <w:ind w:right="248"/>
              <w:spacing w:after="0"/>
              <w:rPr>
                <w:sz w:val="20"/>
                <w:szCs w:val="20"/>
                <w:color w:val="auto"/>
              </w:rPr>
            </w:pPr>
            <w:r>
              <w:rPr>
                <w:rFonts w:ascii="Arial" w:cs="Arial" w:eastAsia="Arial" w:hAnsi="Arial"/>
                <w:sz w:val="14"/>
                <w:szCs w:val="14"/>
                <w:b w:val="1"/>
                <w:bCs w:val="1"/>
                <w:color w:val="FFFFFF"/>
              </w:rPr>
              <w:t>Donald L.</w:t>
            </w:r>
          </w:p>
        </w:tc>
        <w:tc>
          <w:tcPr>
            <w:tcW w:w="1220" w:type="dxa"/>
            <w:vAlign w:val="bottom"/>
            <w:shd w:val="clear" w:color="auto" w:fill="0063A6"/>
          </w:tcPr>
          <w:p>
            <w:pPr>
              <w:jc w:val="right"/>
              <w:ind w:right="268"/>
              <w:spacing w:after="0"/>
              <w:rPr>
                <w:sz w:val="20"/>
                <w:szCs w:val="20"/>
                <w:color w:val="auto"/>
              </w:rPr>
            </w:pPr>
            <w:r>
              <w:rPr>
                <w:rFonts w:ascii="Arial" w:cs="Arial" w:eastAsia="Arial" w:hAnsi="Arial"/>
                <w:sz w:val="14"/>
                <w:szCs w:val="14"/>
                <w:b w:val="1"/>
                <w:bCs w:val="1"/>
                <w:color w:val="FFFFFF"/>
              </w:rPr>
              <w:t>John F.</w:t>
            </w:r>
          </w:p>
        </w:tc>
        <w:tc>
          <w:tcPr>
            <w:tcW w:w="96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Justin K.</w:t>
            </w:r>
          </w:p>
        </w:tc>
      </w:tr>
      <w:tr>
        <w:trPr>
          <w:trHeight w:val="205"/>
        </w:trPr>
        <w:tc>
          <w:tcPr>
            <w:tcW w:w="2420" w:type="dxa"/>
            <w:vAlign w:val="bottom"/>
            <w:tcBorders>
              <w:bottom w:val="single" w:sz="8" w:color="0063A6"/>
            </w:tcBorders>
          </w:tcPr>
          <w:p>
            <w:pPr>
              <w:ind w:left="40"/>
              <w:spacing w:after="0"/>
              <w:rPr>
                <w:sz w:val="20"/>
                <w:szCs w:val="20"/>
                <w:color w:val="auto"/>
              </w:rPr>
            </w:pPr>
            <w:r>
              <w:rPr>
                <w:rFonts w:ascii="Arial" w:cs="Arial" w:eastAsia="Arial" w:hAnsi="Arial"/>
                <w:sz w:val="14"/>
                <w:szCs w:val="14"/>
                <w:b w:val="1"/>
                <w:bCs w:val="1"/>
                <w:color w:val="auto"/>
              </w:rPr>
              <w:t>Vesting Date</w:t>
            </w:r>
          </w:p>
        </w:tc>
        <w:tc>
          <w:tcPr>
            <w:tcW w:w="1460" w:type="dxa"/>
            <w:vAlign w:val="bottom"/>
            <w:tcBorders>
              <w:bottom w:val="single" w:sz="8" w:color="0063A6"/>
            </w:tcBorders>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Deitrich</w:t>
            </w:r>
          </w:p>
        </w:tc>
        <w:tc>
          <w:tcPr>
            <w:tcW w:w="1140" w:type="dxa"/>
            <w:vAlign w:val="bottom"/>
            <w:tcBorders>
              <w:bottom w:val="single" w:sz="8" w:color="0063A6"/>
            </w:tcBorders>
            <w:shd w:val="clear" w:color="auto" w:fill="0063A6"/>
          </w:tcPr>
          <w:p>
            <w:pPr>
              <w:jc w:val="right"/>
              <w:ind w:right="188"/>
              <w:spacing w:after="0"/>
              <w:rPr>
                <w:sz w:val="20"/>
                <w:szCs w:val="20"/>
                <w:color w:val="auto"/>
              </w:rPr>
            </w:pPr>
            <w:r>
              <w:rPr>
                <w:rFonts w:ascii="Arial" w:cs="Arial" w:eastAsia="Arial" w:hAnsi="Arial"/>
                <w:sz w:val="14"/>
                <w:szCs w:val="14"/>
                <w:b w:val="1"/>
                <w:bCs w:val="1"/>
                <w:color w:val="FFFFFF"/>
              </w:rPr>
              <w:t>Hooper</w:t>
            </w:r>
          </w:p>
        </w:tc>
        <w:tc>
          <w:tcPr>
            <w:tcW w:w="1240" w:type="dxa"/>
            <w:vAlign w:val="bottom"/>
            <w:tcBorders>
              <w:bottom w:val="single" w:sz="8" w:color="0063A6"/>
            </w:tcBorders>
            <w:shd w:val="clear" w:color="auto" w:fill="0063A6"/>
          </w:tcPr>
          <w:p>
            <w:pPr>
              <w:jc w:val="right"/>
              <w:ind w:right="208"/>
              <w:spacing w:after="0"/>
              <w:rPr>
                <w:sz w:val="20"/>
                <w:szCs w:val="20"/>
                <w:color w:val="auto"/>
              </w:rPr>
            </w:pPr>
            <w:r>
              <w:rPr>
                <w:rFonts w:ascii="Arial" w:cs="Arial" w:eastAsia="Arial" w:hAnsi="Arial"/>
                <w:sz w:val="14"/>
                <w:szCs w:val="14"/>
                <w:b w:val="1"/>
                <w:bCs w:val="1"/>
                <w:color w:val="FFFFFF"/>
              </w:rPr>
              <w:t>Reeves</w:t>
            </w:r>
          </w:p>
        </w:tc>
        <w:tc>
          <w:tcPr>
            <w:tcW w:w="1220" w:type="dxa"/>
            <w:vAlign w:val="bottom"/>
            <w:tcBorders>
              <w:bottom w:val="single" w:sz="8" w:color="0063A6"/>
            </w:tcBorders>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Marcolini</w:t>
            </w:r>
          </w:p>
        </w:tc>
        <w:tc>
          <w:tcPr>
            <w:tcW w:w="9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Patrick</w:t>
            </w:r>
          </w:p>
        </w:tc>
      </w:tr>
      <w:tr>
        <w:trPr>
          <w:trHeight w:val="237"/>
        </w:trPr>
        <w:tc>
          <w:tcPr>
            <w:tcW w:w="2420" w:type="dxa"/>
            <w:vAlign w:val="bottom"/>
            <w:tcBorders>
              <w:bottom w:val="single" w:sz="8" w:color="5D6673"/>
            </w:tcBorders>
          </w:tcPr>
          <w:p>
            <w:pPr>
              <w:ind w:left="40"/>
              <w:spacing w:after="0"/>
              <w:rPr>
                <w:sz w:val="20"/>
                <w:szCs w:val="20"/>
                <w:color w:val="auto"/>
              </w:rPr>
            </w:pPr>
            <w:r>
              <w:rPr>
                <w:rFonts w:ascii="Arial" w:cs="Arial" w:eastAsia="Arial" w:hAnsi="Arial"/>
                <w:sz w:val="14"/>
                <w:szCs w:val="14"/>
                <w:b w:val="1"/>
                <w:bCs w:val="1"/>
                <w:color w:val="auto"/>
              </w:rPr>
              <w:t>2026</w:t>
            </w:r>
          </w:p>
        </w:tc>
        <w:tc>
          <w:tcPr>
            <w:tcW w:w="1460" w:type="dxa"/>
            <w:vAlign w:val="bottom"/>
            <w:tcBorders>
              <w:bottom w:val="single" w:sz="8" w:color="5D6673"/>
            </w:tcBorders>
          </w:tcPr>
          <w:p>
            <w:pPr>
              <w:spacing w:after="0"/>
              <w:rPr>
                <w:sz w:val="20"/>
                <w:szCs w:val="20"/>
                <w:color w:val="auto"/>
              </w:rPr>
            </w:pPr>
          </w:p>
        </w:tc>
        <w:tc>
          <w:tcPr>
            <w:tcW w:w="1140" w:type="dxa"/>
            <w:vAlign w:val="bottom"/>
            <w:tcBorders>
              <w:bottom w:val="single" w:sz="8" w:color="5D6673"/>
            </w:tcBorders>
          </w:tcPr>
          <w:p>
            <w:pPr>
              <w:spacing w:after="0"/>
              <w:rPr>
                <w:sz w:val="20"/>
                <w:szCs w:val="20"/>
                <w:color w:val="auto"/>
              </w:rPr>
            </w:pPr>
          </w:p>
        </w:tc>
        <w:tc>
          <w:tcPr>
            <w:tcW w:w="1240" w:type="dxa"/>
            <w:vAlign w:val="bottom"/>
            <w:tcBorders>
              <w:bottom w:val="single" w:sz="8" w:color="5D6673"/>
            </w:tcBorders>
          </w:tcPr>
          <w:p>
            <w:pPr>
              <w:spacing w:after="0"/>
              <w:rPr>
                <w:sz w:val="20"/>
                <w:szCs w:val="20"/>
                <w:color w:val="auto"/>
              </w:rPr>
            </w:pPr>
          </w:p>
        </w:tc>
        <w:tc>
          <w:tcPr>
            <w:tcW w:w="1220" w:type="dxa"/>
            <w:vAlign w:val="bottom"/>
            <w:tcBorders>
              <w:bottom w:val="single" w:sz="8" w:color="5D6673"/>
            </w:tcBorders>
          </w:tcPr>
          <w:p>
            <w:pPr>
              <w:spacing w:after="0"/>
              <w:rPr>
                <w:sz w:val="20"/>
                <w:szCs w:val="20"/>
                <w:color w:val="auto"/>
              </w:rPr>
            </w:pPr>
          </w:p>
        </w:tc>
        <w:tc>
          <w:tcPr>
            <w:tcW w:w="960" w:type="dxa"/>
            <w:vAlign w:val="bottom"/>
            <w:tcBorders>
              <w:bottom w:val="single" w:sz="8" w:color="5D6673"/>
            </w:tcBorders>
          </w:tcPr>
          <w:p>
            <w:pPr>
              <w:spacing w:after="0"/>
              <w:rPr>
                <w:sz w:val="20"/>
                <w:szCs w:val="20"/>
                <w:color w:val="auto"/>
              </w:rPr>
            </w:pPr>
          </w:p>
        </w:tc>
      </w:tr>
      <w:tr>
        <w:trPr>
          <w:trHeight w:val="221"/>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2/19/2026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7,861</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3,402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2,126</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2,126</w:t>
            </w:r>
          </w:p>
        </w:tc>
        <w:tc>
          <w:tcPr>
            <w:tcW w:w="960" w:type="dxa"/>
            <w:vAlign w:val="bottom"/>
          </w:tcPr>
          <w:p>
            <w:pPr>
              <w:jc w:val="right"/>
              <w:spacing w:after="0"/>
              <w:rPr>
                <w:sz w:val="20"/>
                <w:szCs w:val="20"/>
                <w:color w:val="auto"/>
              </w:rPr>
            </w:pPr>
            <w:r>
              <w:rPr>
                <w:rFonts w:ascii="Arial" w:cs="Arial" w:eastAsia="Arial" w:hAnsi="Arial"/>
                <w:sz w:val="14"/>
                <w:szCs w:val="14"/>
                <w:color w:val="auto"/>
              </w:rPr>
              <w:t>2,126</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2/23/2026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2,225</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1,057</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612</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639</w:t>
            </w:r>
          </w:p>
        </w:tc>
        <w:tc>
          <w:tcPr>
            <w:tcW w:w="96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2/23/2026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2,257</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1,201</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451</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451</w:t>
            </w:r>
          </w:p>
        </w:tc>
        <w:tc>
          <w:tcPr>
            <w:tcW w:w="960" w:type="dxa"/>
            <w:vAlign w:val="bottom"/>
          </w:tcPr>
          <w:p>
            <w:pPr>
              <w:jc w:val="right"/>
              <w:spacing w:after="0"/>
              <w:rPr>
                <w:sz w:val="20"/>
                <w:szCs w:val="20"/>
                <w:color w:val="auto"/>
              </w:rPr>
            </w:pPr>
            <w:r>
              <w:rPr>
                <w:rFonts w:ascii="Arial" w:cs="Arial" w:eastAsia="Arial" w:hAnsi="Arial"/>
                <w:sz w:val="14"/>
                <w:szCs w:val="14"/>
                <w:color w:val="auto"/>
              </w:rPr>
              <w:t>413</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5/19/2026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1,968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852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532</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532</w:t>
            </w:r>
          </w:p>
        </w:tc>
        <w:tc>
          <w:tcPr>
            <w:tcW w:w="96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5/23/2026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2,225</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1,057</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612</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640</w:t>
            </w:r>
          </w:p>
        </w:tc>
        <w:tc>
          <w:tcPr>
            <w:tcW w:w="960" w:type="dxa"/>
            <w:vAlign w:val="bottom"/>
          </w:tcPr>
          <w:p>
            <w:pPr>
              <w:jc w:val="right"/>
              <w:spacing w:after="0"/>
              <w:rPr>
                <w:sz w:val="20"/>
                <w:szCs w:val="20"/>
                <w:color w:val="auto"/>
              </w:rPr>
            </w:pPr>
            <w:r>
              <w:rPr>
                <w:rFonts w:ascii="Arial" w:cs="Arial" w:eastAsia="Arial" w:hAnsi="Arial"/>
                <w:sz w:val="14"/>
                <w:szCs w:val="14"/>
                <w:color w:val="auto"/>
              </w:rPr>
              <w:t>556</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8/19/2026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1,968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852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533</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533</w:t>
            </w:r>
          </w:p>
        </w:tc>
        <w:tc>
          <w:tcPr>
            <w:tcW w:w="96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8/23/2026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2,226</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1,057</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612</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640</w:t>
            </w:r>
          </w:p>
        </w:tc>
        <w:tc>
          <w:tcPr>
            <w:tcW w:w="960" w:type="dxa"/>
            <w:vAlign w:val="bottom"/>
          </w:tcPr>
          <w:p>
            <w:pPr>
              <w:jc w:val="right"/>
              <w:spacing w:after="0"/>
              <w:rPr>
                <w:sz w:val="20"/>
                <w:szCs w:val="20"/>
                <w:color w:val="auto"/>
              </w:rPr>
            </w:pPr>
            <w:r>
              <w:rPr>
                <w:rFonts w:ascii="Arial" w:cs="Arial" w:eastAsia="Arial" w:hAnsi="Arial"/>
                <w:sz w:val="14"/>
                <w:szCs w:val="14"/>
                <w:color w:val="auto"/>
              </w:rPr>
              <w:t>556</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11/19/2026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1,968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852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532</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532</w:t>
            </w:r>
          </w:p>
        </w:tc>
        <w:tc>
          <w:tcPr>
            <w:tcW w:w="96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11/23/2026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2,225</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1,057</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612</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640</w:t>
            </w:r>
          </w:p>
        </w:tc>
        <w:tc>
          <w:tcPr>
            <w:tcW w:w="960" w:type="dxa"/>
            <w:vAlign w:val="bottom"/>
          </w:tcPr>
          <w:p>
            <w:pPr>
              <w:jc w:val="right"/>
              <w:spacing w:after="0"/>
              <w:rPr>
                <w:sz w:val="20"/>
                <w:szCs w:val="20"/>
                <w:color w:val="auto"/>
              </w:rPr>
            </w:pPr>
            <w:r>
              <w:rPr>
                <w:rFonts w:ascii="Arial" w:cs="Arial" w:eastAsia="Arial" w:hAnsi="Arial"/>
                <w:sz w:val="14"/>
                <w:szCs w:val="14"/>
                <w:color w:val="auto"/>
              </w:rPr>
              <w:t>556</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30"/>
        </w:trPr>
        <w:tc>
          <w:tcPr>
            <w:tcW w:w="2420" w:type="dxa"/>
            <w:vAlign w:val="bottom"/>
            <w:tcBorders>
              <w:bottom w:val="single" w:sz="8" w:color="5D6673"/>
            </w:tcBorders>
          </w:tcPr>
          <w:p>
            <w:pPr>
              <w:ind w:left="40"/>
              <w:spacing w:after="0"/>
              <w:rPr>
                <w:sz w:val="20"/>
                <w:szCs w:val="20"/>
                <w:color w:val="auto"/>
              </w:rPr>
            </w:pPr>
            <w:r>
              <w:rPr>
                <w:rFonts w:ascii="Arial" w:cs="Arial" w:eastAsia="Arial" w:hAnsi="Arial"/>
                <w:sz w:val="14"/>
                <w:szCs w:val="14"/>
                <w:b w:val="1"/>
                <w:bCs w:val="1"/>
                <w:color w:val="auto"/>
              </w:rPr>
              <w:t>2027</w:t>
            </w:r>
          </w:p>
        </w:tc>
        <w:tc>
          <w:tcPr>
            <w:tcW w:w="1460" w:type="dxa"/>
            <w:vAlign w:val="bottom"/>
            <w:tcBorders>
              <w:bottom w:val="single" w:sz="8" w:color="5D6673"/>
            </w:tcBorders>
          </w:tcPr>
          <w:p>
            <w:pPr>
              <w:spacing w:after="0"/>
              <w:rPr>
                <w:sz w:val="20"/>
                <w:szCs w:val="20"/>
                <w:color w:val="auto"/>
              </w:rPr>
            </w:pPr>
          </w:p>
        </w:tc>
        <w:tc>
          <w:tcPr>
            <w:tcW w:w="1140" w:type="dxa"/>
            <w:vAlign w:val="bottom"/>
            <w:tcBorders>
              <w:bottom w:val="single" w:sz="8" w:color="5D6673"/>
            </w:tcBorders>
          </w:tcPr>
          <w:p>
            <w:pPr>
              <w:spacing w:after="0"/>
              <w:rPr>
                <w:sz w:val="20"/>
                <w:szCs w:val="20"/>
                <w:color w:val="auto"/>
              </w:rPr>
            </w:pPr>
          </w:p>
        </w:tc>
        <w:tc>
          <w:tcPr>
            <w:tcW w:w="1240" w:type="dxa"/>
            <w:vAlign w:val="bottom"/>
            <w:tcBorders>
              <w:bottom w:val="single" w:sz="8" w:color="5D6673"/>
            </w:tcBorders>
          </w:tcPr>
          <w:p>
            <w:pPr>
              <w:spacing w:after="0"/>
              <w:rPr>
                <w:sz w:val="20"/>
                <w:szCs w:val="20"/>
                <w:color w:val="auto"/>
              </w:rPr>
            </w:pPr>
          </w:p>
        </w:tc>
        <w:tc>
          <w:tcPr>
            <w:tcW w:w="1220" w:type="dxa"/>
            <w:vAlign w:val="bottom"/>
            <w:tcBorders>
              <w:bottom w:val="single" w:sz="8" w:color="5D6673"/>
            </w:tcBorders>
          </w:tcPr>
          <w:p>
            <w:pPr>
              <w:spacing w:after="0"/>
              <w:rPr>
                <w:sz w:val="20"/>
                <w:szCs w:val="20"/>
                <w:color w:val="auto"/>
              </w:rPr>
            </w:pPr>
          </w:p>
        </w:tc>
        <w:tc>
          <w:tcPr>
            <w:tcW w:w="960" w:type="dxa"/>
            <w:vAlign w:val="bottom"/>
            <w:tcBorders>
              <w:bottom w:val="single" w:sz="8" w:color="5D6673"/>
            </w:tcBorders>
          </w:tcPr>
          <w:p>
            <w:pPr>
              <w:spacing w:after="0"/>
              <w:rPr>
                <w:sz w:val="20"/>
                <w:szCs w:val="20"/>
                <w:color w:val="auto"/>
              </w:rPr>
            </w:pPr>
          </w:p>
        </w:tc>
      </w:tr>
      <w:tr>
        <w:trPr>
          <w:trHeight w:val="222"/>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2/19/2027</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1,968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852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533</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533</w:t>
            </w:r>
          </w:p>
        </w:tc>
        <w:tc>
          <w:tcPr>
            <w:tcW w:w="96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2/23/2027</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2,226</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1,058</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613</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640</w:t>
            </w:r>
          </w:p>
        </w:tc>
        <w:tc>
          <w:tcPr>
            <w:tcW w:w="96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5/19/2027</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1,969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852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532</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532</w:t>
            </w:r>
          </w:p>
        </w:tc>
        <w:tc>
          <w:tcPr>
            <w:tcW w:w="96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8/19/2027</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1,968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852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533</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533</w:t>
            </w:r>
          </w:p>
        </w:tc>
        <w:tc>
          <w:tcPr>
            <w:tcW w:w="96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15"/>
        </w:trPr>
        <w:tc>
          <w:tcPr>
            <w:tcW w:w="2420" w:type="dxa"/>
            <w:vAlign w:val="bottom"/>
          </w:tcPr>
          <w:p>
            <w:pPr>
              <w:jc w:val="right"/>
              <w:ind w:right="1148"/>
              <w:spacing w:after="0"/>
              <w:rPr>
                <w:sz w:val="20"/>
                <w:szCs w:val="20"/>
                <w:color w:val="auto"/>
              </w:rPr>
            </w:pPr>
            <w:r>
              <w:rPr>
                <w:rFonts w:ascii="Arial" w:cs="Arial" w:eastAsia="Arial" w:hAnsi="Arial"/>
                <w:sz w:val="14"/>
                <w:szCs w:val="14"/>
                <w:color w:val="auto"/>
              </w:rPr>
              <w:t>11/19/2027</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1,968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852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532</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532</w:t>
            </w:r>
          </w:p>
        </w:tc>
        <w:tc>
          <w:tcPr>
            <w:tcW w:w="96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22"/>
        </w:trPr>
        <w:tc>
          <w:tcPr>
            <w:tcW w:w="2420" w:type="dxa"/>
            <w:vAlign w:val="bottom"/>
            <w:tcBorders>
              <w:bottom w:val="single" w:sz="8" w:color="5D6673"/>
            </w:tcBorders>
          </w:tcPr>
          <w:p>
            <w:pPr>
              <w:spacing w:after="0" w:line="20" w:lineRule="exact"/>
              <w:rPr>
                <w:sz w:val="1"/>
                <w:szCs w:val="1"/>
                <w:color w:val="auto"/>
              </w:rPr>
            </w:pPr>
          </w:p>
        </w:tc>
        <w:tc>
          <w:tcPr>
            <w:tcW w:w="1460" w:type="dxa"/>
            <w:vAlign w:val="bottom"/>
            <w:tcBorders>
              <w:bottom w:val="single" w:sz="8" w:color="5D6673"/>
            </w:tcBorders>
          </w:tcPr>
          <w:p>
            <w:pPr>
              <w:spacing w:after="0" w:line="20" w:lineRule="exact"/>
              <w:rPr>
                <w:sz w:val="1"/>
                <w:szCs w:val="1"/>
                <w:color w:val="auto"/>
              </w:rPr>
            </w:pPr>
          </w:p>
        </w:tc>
        <w:tc>
          <w:tcPr>
            <w:tcW w:w="114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r>
      <w:tr>
        <w:trPr>
          <w:trHeight w:val="230"/>
        </w:trPr>
        <w:tc>
          <w:tcPr>
            <w:tcW w:w="2420" w:type="dxa"/>
            <w:vAlign w:val="bottom"/>
            <w:tcBorders>
              <w:bottom w:val="single" w:sz="8" w:color="5D6673"/>
            </w:tcBorders>
          </w:tcPr>
          <w:p>
            <w:pPr>
              <w:ind w:left="40"/>
              <w:spacing w:after="0"/>
              <w:rPr>
                <w:sz w:val="20"/>
                <w:szCs w:val="20"/>
                <w:color w:val="auto"/>
              </w:rPr>
            </w:pPr>
            <w:r>
              <w:rPr>
                <w:rFonts w:ascii="Arial" w:cs="Arial" w:eastAsia="Arial" w:hAnsi="Arial"/>
                <w:sz w:val="14"/>
                <w:szCs w:val="14"/>
                <w:b w:val="1"/>
                <w:bCs w:val="1"/>
                <w:color w:val="auto"/>
              </w:rPr>
              <w:t>2028</w:t>
            </w:r>
          </w:p>
        </w:tc>
        <w:tc>
          <w:tcPr>
            <w:tcW w:w="1460" w:type="dxa"/>
            <w:vAlign w:val="bottom"/>
            <w:tcBorders>
              <w:bottom w:val="single" w:sz="8" w:color="5D6673"/>
            </w:tcBorders>
          </w:tcPr>
          <w:p>
            <w:pPr>
              <w:spacing w:after="0"/>
              <w:rPr>
                <w:sz w:val="20"/>
                <w:szCs w:val="20"/>
                <w:color w:val="auto"/>
              </w:rPr>
            </w:pPr>
          </w:p>
        </w:tc>
        <w:tc>
          <w:tcPr>
            <w:tcW w:w="1140" w:type="dxa"/>
            <w:vAlign w:val="bottom"/>
            <w:tcBorders>
              <w:bottom w:val="single" w:sz="8" w:color="5D6673"/>
            </w:tcBorders>
          </w:tcPr>
          <w:p>
            <w:pPr>
              <w:spacing w:after="0"/>
              <w:rPr>
                <w:sz w:val="20"/>
                <w:szCs w:val="20"/>
                <w:color w:val="auto"/>
              </w:rPr>
            </w:pPr>
          </w:p>
        </w:tc>
        <w:tc>
          <w:tcPr>
            <w:tcW w:w="1240" w:type="dxa"/>
            <w:vAlign w:val="bottom"/>
            <w:tcBorders>
              <w:bottom w:val="single" w:sz="8" w:color="5D6673"/>
            </w:tcBorders>
          </w:tcPr>
          <w:p>
            <w:pPr>
              <w:spacing w:after="0"/>
              <w:rPr>
                <w:sz w:val="20"/>
                <w:szCs w:val="20"/>
                <w:color w:val="auto"/>
              </w:rPr>
            </w:pPr>
          </w:p>
        </w:tc>
        <w:tc>
          <w:tcPr>
            <w:tcW w:w="1220" w:type="dxa"/>
            <w:vAlign w:val="bottom"/>
            <w:tcBorders>
              <w:bottom w:val="single" w:sz="8" w:color="5D6673"/>
            </w:tcBorders>
          </w:tcPr>
          <w:p>
            <w:pPr>
              <w:spacing w:after="0"/>
              <w:rPr>
                <w:sz w:val="20"/>
                <w:szCs w:val="20"/>
                <w:color w:val="auto"/>
              </w:rPr>
            </w:pPr>
          </w:p>
        </w:tc>
        <w:tc>
          <w:tcPr>
            <w:tcW w:w="960" w:type="dxa"/>
            <w:vAlign w:val="bottom"/>
            <w:tcBorders>
              <w:bottom w:val="single" w:sz="8" w:color="5D6673"/>
            </w:tcBorders>
          </w:tcPr>
          <w:p>
            <w:pPr>
              <w:spacing w:after="0"/>
              <w:rPr>
                <w:sz w:val="20"/>
                <w:szCs w:val="20"/>
                <w:color w:val="auto"/>
              </w:rPr>
            </w:pPr>
          </w:p>
        </w:tc>
      </w:tr>
      <w:tr>
        <w:trPr>
          <w:trHeight w:val="216"/>
        </w:trPr>
        <w:tc>
          <w:tcPr>
            <w:tcW w:w="2420" w:type="dxa"/>
            <w:vAlign w:val="bottom"/>
            <w:tcBorders>
              <w:bottom w:val="single" w:sz="8" w:color="0063A6"/>
            </w:tcBorders>
          </w:tcPr>
          <w:p>
            <w:pPr>
              <w:jc w:val="right"/>
              <w:ind w:right="1148"/>
              <w:spacing w:after="0"/>
              <w:rPr>
                <w:sz w:val="20"/>
                <w:szCs w:val="20"/>
                <w:color w:val="auto"/>
              </w:rPr>
            </w:pPr>
            <w:r>
              <w:rPr>
                <w:rFonts w:ascii="Arial" w:cs="Arial" w:eastAsia="Arial" w:hAnsi="Arial"/>
                <w:sz w:val="14"/>
                <w:szCs w:val="14"/>
                <w:color w:val="auto"/>
              </w:rPr>
              <w:t>2/19/2028</w:t>
            </w:r>
          </w:p>
        </w:tc>
        <w:tc>
          <w:tcPr>
            <w:tcW w:w="1460" w:type="dxa"/>
            <w:vAlign w:val="bottom"/>
            <w:tcBorders>
              <w:bottom w:val="single" w:sz="8" w:color="0063A6"/>
            </w:tcBorders>
          </w:tcPr>
          <w:p>
            <w:pPr>
              <w:jc w:val="right"/>
              <w:ind w:right="228"/>
              <w:spacing w:after="0"/>
              <w:rPr>
                <w:sz w:val="20"/>
                <w:szCs w:val="20"/>
                <w:color w:val="auto"/>
              </w:rPr>
            </w:pPr>
            <w:r>
              <w:rPr>
                <w:rFonts w:ascii="Arial" w:cs="Arial" w:eastAsia="Arial" w:hAnsi="Arial"/>
                <w:sz w:val="14"/>
                <w:szCs w:val="14"/>
                <w:color w:val="auto"/>
              </w:rPr>
              <w:t>1,969</w:t>
            </w:r>
          </w:p>
        </w:tc>
        <w:tc>
          <w:tcPr>
            <w:tcW w:w="1140" w:type="dxa"/>
            <w:vAlign w:val="bottom"/>
            <w:tcBorders>
              <w:bottom w:val="single" w:sz="8" w:color="0063A6"/>
            </w:tcBorders>
          </w:tcPr>
          <w:p>
            <w:pPr>
              <w:jc w:val="right"/>
              <w:ind w:right="208"/>
              <w:spacing w:after="0"/>
              <w:rPr>
                <w:sz w:val="20"/>
                <w:szCs w:val="20"/>
                <w:color w:val="auto"/>
              </w:rPr>
            </w:pPr>
            <w:r>
              <w:rPr>
                <w:rFonts w:ascii="Arial" w:cs="Arial" w:eastAsia="Arial" w:hAnsi="Arial"/>
                <w:sz w:val="14"/>
                <w:szCs w:val="14"/>
                <w:color w:val="auto"/>
              </w:rPr>
              <w:t>853</w:t>
            </w:r>
          </w:p>
        </w:tc>
        <w:tc>
          <w:tcPr>
            <w:tcW w:w="1240" w:type="dxa"/>
            <w:vAlign w:val="bottom"/>
            <w:tcBorders>
              <w:bottom w:val="single" w:sz="8" w:color="0063A6"/>
            </w:tcBorders>
          </w:tcPr>
          <w:p>
            <w:pPr>
              <w:jc w:val="right"/>
              <w:ind w:right="228"/>
              <w:spacing w:after="0"/>
              <w:rPr>
                <w:sz w:val="20"/>
                <w:szCs w:val="20"/>
                <w:color w:val="auto"/>
              </w:rPr>
            </w:pPr>
            <w:r>
              <w:rPr>
                <w:rFonts w:ascii="Arial" w:cs="Arial" w:eastAsia="Arial" w:hAnsi="Arial"/>
                <w:sz w:val="14"/>
                <w:szCs w:val="14"/>
                <w:color w:val="auto"/>
              </w:rPr>
              <w:t>534</w:t>
            </w:r>
          </w:p>
        </w:tc>
        <w:tc>
          <w:tcPr>
            <w:tcW w:w="1220" w:type="dxa"/>
            <w:vAlign w:val="bottom"/>
            <w:tcBorders>
              <w:bottom w:val="single" w:sz="8" w:color="0063A6"/>
            </w:tcBorders>
          </w:tcPr>
          <w:p>
            <w:pPr>
              <w:jc w:val="right"/>
              <w:ind w:right="228"/>
              <w:spacing w:after="0"/>
              <w:rPr>
                <w:sz w:val="20"/>
                <w:szCs w:val="20"/>
                <w:color w:val="auto"/>
              </w:rPr>
            </w:pPr>
            <w:r>
              <w:rPr>
                <w:rFonts w:ascii="Arial" w:cs="Arial" w:eastAsia="Arial" w:hAnsi="Arial"/>
                <w:sz w:val="14"/>
                <w:szCs w:val="14"/>
                <w:color w:val="auto"/>
              </w:rPr>
              <w:t>534</w:t>
            </w:r>
          </w:p>
        </w:tc>
        <w:tc>
          <w:tcPr>
            <w:tcW w:w="96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534</w:t>
            </w:r>
          </w:p>
        </w:tc>
      </w:tr>
    </w:tbl>
    <w:p>
      <w:pPr>
        <w:spacing w:after="0" w:line="99" w:lineRule="exact"/>
        <w:rPr>
          <w:sz w:val="20"/>
          <w:szCs w:val="20"/>
          <w:color w:val="auto"/>
        </w:rPr>
      </w:pPr>
    </w:p>
    <w:p>
      <w:pPr>
        <w:ind w:left="346" w:right="620" w:hanging="346"/>
        <w:spacing w:after="0" w:line="285" w:lineRule="auto"/>
        <w:tabs>
          <w:tab w:leader="none" w:pos="346"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2024 assuming achievement at maximum levels of performance (250% of target).</w:t>
      </w:r>
    </w:p>
    <w:p>
      <w:pPr>
        <w:spacing w:after="0" w:line="22" w:lineRule="exact"/>
        <w:rPr>
          <w:rFonts w:ascii="Arial" w:cs="Arial" w:eastAsia="Arial" w:hAnsi="Arial"/>
          <w:sz w:val="14"/>
          <w:szCs w:val="14"/>
          <w:color w:val="auto"/>
        </w:rPr>
      </w:pPr>
    </w:p>
    <w:p>
      <w:pPr>
        <w:ind w:left="346" w:right="620" w:hanging="346"/>
        <w:spacing w:after="0" w:line="285" w:lineRule="auto"/>
        <w:tabs>
          <w:tab w:leader="none" w:pos="346"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2025 assuming achievement at maximum levels of performance (250% of target).</w:t>
      </w:r>
    </w:p>
    <w:p>
      <w:pPr>
        <w:spacing w:after="0" w:line="9" w:lineRule="exact"/>
        <w:rPr>
          <w:rFonts w:ascii="Arial" w:cs="Arial" w:eastAsia="Arial" w:hAnsi="Arial"/>
          <w:sz w:val="14"/>
          <w:szCs w:val="14"/>
          <w:color w:val="auto"/>
        </w:rPr>
      </w:pPr>
    </w:p>
    <w:p>
      <w:pPr>
        <w:ind w:left="346" w:hanging="346"/>
        <w:spacing w:after="0"/>
        <w:tabs>
          <w:tab w:leader="none" w:pos="346"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2025 ($92.86).</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2025 Option Exercises and Stock Vested Table</w:t>
      </w:r>
    </w:p>
    <w:p>
      <w:pPr>
        <w:spacing w:after="0" w:line="293"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1660" w:type="dxa"/>
            <w:vAlign w:val="bottom"/>
            <w:tcBorders>
              <w:bottom w:val="single" w:sz="8" w:color="0063A6"/>
            </w:tcBorders>
          </w:tcPr>
          <w:p>
            <w:pPr>
              <w:spacing w:after="0"/>
              <w:rPr>
                <w:sz w:val="17"/>
                <w:szCs w:val="17"/>
                <w:color w:val="auto"/>
              </w:rPr>
            </w:pPr>
          </w:p>
        </w:tc>
        <w:tc>
          <w:tcPr>
            <w:tcW w:w="3020" w:type="dxa"/>
            <w:vAlign w:val="bottom"/>
            <w:tcBorders>
              <w:bottom w:val="single" w:sz="8" w:color="0063A6"/>
            </w:tcBorders>
            <w:gridSpan w:val="2"/>
          </w:tcPr>
          <w:p>
            <w:pPr>
              <w:jc w:val="right"/>
              <w:ind w:right="1262"/>
              <w:spacing w:after="0"/>
              <w:rPr>
                <w:sz w:val="20"/>
                <w:szCs w:val="20"/>
                <w:color w:val="auto"/>
              </w:rPr>
            </w:pPr>
            <w:r>
              <w:rPr>
                <w:rFonts w:ascii="Arial" w:cs="Arial" w:eastAsia="Arial" w:hAnsi="Arial"/>
                <w:sz w:val="14"/>
                <w:szCs w:val="14"/>
                <w:b w:val="1"/>
                <w:bCs w:val="1"/>
                <w:color w:val="auto"/>
              </w:rPr>
              <w:t>ITRON, INC.</w:t>
            </w:r>
          </w:p>
        </w:tc>
        <w:tc>
          <w:tcPr>
            <w:tcW w:w="1180" w:type="dxa"/>
            <w:vAlign w:val="bottom"/>
            <w:tcBorders>
              <w:bottom w:val="single" w:sz="8" w:color="0063A6"/>
            </w:tcBorders>
          </w:tcPr>
          <w:p>
            <w:pPr>
              <w:spacing w:after="0"/>
              <w:rPr>
                <w:sz w:val="17"/>
                <w:szCs w:val="17"/>
                <w:color w:val="auto"/>
              </w:rPr>
            </w:pPr>
          </w:p>
        </w:tc>
      </w:tr>
      <w:tr>
        <w:trPr>
          <w:trHeight w:val="235"/>
        </w:trPr>
        <w:tc>
          <w:tcPr>
            <w:tcW w:w="3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20" w:type="dxa"/>
            <w:vAlign w:val="bottom"/>
            <w:gridSpan w:val="2"/>
          </w:tcPr>
          <w:p>
            <w:pPr>
              <w:jc w:val="right"/>
              <w:ind w:right="462"/>
              <w:spacing w:after="0"/>
              <w:rPr>
                <w:sz w:val="20"/>
                <w:szCs w:val="20"/>
                <w:color w:val="auto"/>
              </w:rPr>
            </w:pPr>
            <w:r>
              <w:rPr>
                <w:rFonts w:ascii="Arial" w:cs="Arial" w:eastAsia="Arial" w:hAnsi="Arial"/>
                <w:sz w:val="14"/>
                <w:szCs w:val="14"/>
                <w:b w:val="1"/>
                <w:bCs w:val="1"/>
                <w:color w:val="auto"/>
              </w:rPr>
              <w:t>Option Exercises and Stock Vested</w:t>
            </w:r>
          </w:p>
        </w:tc>
        <w:tc>
          <w:tcPr>
            <w:tcW w:w="1180" w:type="dxa"/>
            <w:vAlign w:val="bottom"/>
          </w:tcPr>
          <w:p>
            <w:pPr>
              <w:spacing w:after="0"/>
              <w:rPr>
                <w:sz w:val="20"/>
                <w:szCs w:val="20"/>
                <w:color w:val="auto"/>
              </w:rPr>
            </w:pPr>
          </w:p>
        </w:tc>
      </w:tr>
      <w:tr>
        <w:trPr>
          <w:trHeight w:val="249"/>
        </w:trPr>
        <w:tc>
          <w:tcPr>
            <w:tcW w:w="3320" w:type="dxa"/>
            <w:vAlign w:val="bottom"/>
          </w:tcPr>
          <w:p>
            <w:pPr>
              <w:spacing w:after="0"/>
              <w:rPr>
                <w:sz w:val="21"/>
                <w:szCs w:val="21"/>
                <w:color w:val="auto"/>
              </w:rPr>
            </w:pPr>
          </w:p>
        </w:tc>
        <w:tc>
          <w:tcPr>
            <w:tcW w:w="1660" w:type="dxa"/>
            <w:vAlign w:val="bottom"/>
            <w:shd w:val="clear" w:color="auto" w:fill="0063A6"/>
          </w:tcPr>
          <w:p>
            <w:pPr>
              <w:spacing w:after="0"/>
              <w:rPr>
                <w:sz w:val="21"/>
                <w:szCs w:val="21"/>
                <w:color w:val="auto"/>
              </w:rPr>
            </w:pP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Option Awards</w:t>
            </w:r>
          </w:p>
        </w:tc>
        <w:tc>
          <w:tcPr>
            <w:tcW w:w="1780" w:type="dxa"/>
            <w:vAlign w:val="bottom"/>
            <w:shd w:val="clear" w:color="auto" w:fill="0063A6"/>
          </w:tcPr>
          <w:p>
            <w:pPr>
              <w:spacing w:after="0"/>
              <w:rPr>
                <w:sz w:val="21"/>
                <w:szCs w:val="21"/>
                <w:color w:val="auto"/>
              </w:rPr>
            </w:pPr>
          </w:p>
        </w:tc>
        <w:tc>
          <w:tcPr>
            <w:tcW w:w="11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Stock Awards</w:t>
            </w:r>
          </w:p>
        </w:tc>
      </w:tr>
      <w:tr>
        <w:trPr>
          <w:trHeight w:val="204"/>
        </w:trPr>
        <w:tc>
          <w:tcPr>
            <w:tcW w:w="3320" w:type="dxa"/>
            <w:vAlign w:val="bottom"/>
          </w:tcPr>
          <w:p>
            <w:pPr>
              <w:spacing w:after="0"/>
              <w:rPr>
                <w:sz w:val="17"/>
                <w:szCs w:val="17"/>
                <w:color w:val="auto"/>
              </w:rPr>
            </w:pPr>
          </w:p>
        </w:tc>
        <w:tc>
          <w:tcPr>
            <w:tcW w:w="16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Value Realized</w:t>
            </w:r>
          </w:p>
        </w:tc>
        <w:tc>
          <w:tcPr>
            <w:tcW w:w="1780" w:type="dxa"/>
            <w:vAlign w:val="bottom"/>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Number of Shares</w:t>
            </w:r>
          </w:p>
        </w:tc>
        <w:tc>
          <w:tcPr>
            <w:tcW w:w="11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Value Realized</w:t>
            </w:r>
          </w:p>
        </w:tc>
      </w:tr>
      <w:tr>
        <w:trPr>
          <w:trHeight w:val="162"/>
        </w:trPr>
        <w:tc>
          <w:tcPr>
            <w:tcW w:w="3320" w:type="dxa"/>
            <w:vAlign w:val="bottom"/>
          </w:tcPr>
          <w:p>
            <w:pPr>
              <w:spacing w:after="0"/>
              <w:rPr>
                <w:sz w:val="14"/>
                <w:szCs w:val="14"/>
                <w:color w:val="auto"/>
              </w:rPr>
            </w:pPr>
          </w:p>
        </w:tc>
        <w:tc>
          <w:tcPr>
            <w:tcW w:w="16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Acquired on Exercise</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Upon Exercise</w:t>
            </w:r>
          </w:p>
        </w:tc>
        <w:tc>
          <w:tcPr>
            <w:tcW w:w="1780" w:type="dxa"/>
            <w:vAlign w:val="bottom"/>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Acquired on Vesting</w:t>
            </w:r>
          </w:p>
        </w:tc>
        <w:tc>
          <w:tcPr>
            <w:tcW w:w="11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on Vesting</w:t>
            </w:r>
          </w:p>
        </w:tc>
      </w:tr>
      <w:tr>
        <w:trPr>
          <w:trHeight w:val="230"/>
        </w:trPr>
        <w:tc>
          <w:tcPr>
            <w:tcW w:w="33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63A6"/>
            </w:tcBorders>
            <w:shd w:val="clear" w:color="auto" w:fill="0063A6"/>
          </w:tcPr>
          <w:p>
            <w:pPr>
              <w:jc w:val="right"/>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780" w:type="dxa"/>
            <w:vAlign w:val="bottom"/>
            <w:tcBorders>
              <w:bottom w:val="single" w:sz="8" w:color="0063A6"/>
            </w:tcBorders>
            <w:shd w:val="clear" w:color="auto" w:fill="0063A6"/>
          </w:tcPr>
          <w:p>
            <w:pPr>
              <w:jc w:val="right"/>
              <w:ind w:right="62"/>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180" w:type="dxa"/>
            <w:vAlign w:val="bottom"/>
            <w:tcBorders>
              <w:bottom w:val="single" w:sz="8" w:color="0063A6"/>
            </w:tcBorders>
            <w:shd w:val="clear" w:color="auto" w:fill="0063A6"/>
          </w:tcPr>
          <w:p>
            <w:pPr>
              <w:jc w:val="right"/>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75,698</w:t>
            </w:r>
          </w:p>
        </w:tc>
        <w:tc>
          <w:tcPr>
            <w:tcW w:w="1240" w:type="dxa"/>
            <w:vAlign w:val="bottom"/>
          </w:tcPr>
          <w:p>
            <w:pPr>
              <w:jc w:val="right"/>
              <w:spacing w:after="0"/>
              <w:rPr>
                <w:sz w:val="20"/>
                <w:szCs w:val="20"/>
                <w:color w:val="auto"/>
              </w:rPr>
            </w:pPr>
            <w:r>
              <w:rPr>
                <w:rFonts w:ascii="Arial" w:cs="Arial" w:eastAsia="Arial" w:hAnsi="Arial"/>
                <w:sz w:val="16"/>
                <w:szCs w:val="16"/>
                <w:color w:val="auto"/>
              </w:rPr>
              <w:t>5,858,559</w:t>
            </w:r>
          </w:p>
        </w:tc>
        <w:tc>
          <w:tcPr>
            <w:tcW w:w="1780" w:type="dxa"/>
            <w:vAlign w:val="bottom"/>
          </w:tcPr>
          <w:p>
            <w:pPr>
              <w:jc w:val="right"/>
              <w:ind w:right="62"/>
              <w:spacing w:after="0"/>
              <w:rPr>
                <w:sz w:val="20"/>
                <w:szCs w:val="20"/>
                <w:color w:val="auto"/>
              </w:rPr>
            </w:pPr>
            <w:r>
              <w:rPr>
                <w:rFonts w:ascii="Arial" w:cs="Arial" w:eastAsia="Arial" w:hAnsi="Arial"/>
                <w:sz w:val="16"/>
                <w:szCs w:val="16"/>
                <w:color w:val="auto"/>
              </w:rPr>
              <w:t>177,584</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16,753,565</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80" w:type="dxa"/>
            <w:vAlign w:val="bottom"/>
          </w:tcPr>
          <w:p>
            <w:pPr>
              <w:jc w:val="right"/>
              <w:ind w:right="82"/>
              <w:spacing w:after="0"/>
              <w:rPr>
                <w:sz w:val="20"/>
                <w:szCs w:val="20"/>
                <w:color w:val="auto"/>
              </w:rPr>
            </w:pPr>
            <w:r>
              <w:rPr>
                <w:rFonts w:ascii="Arial" w:cs="Arial" w:eastAsia="Arial" w:hAnsi="Arial"/>
                <w:sz w:val="16"/>
                <w:szCs w:val="16"/>
                <w:color w:val="auto"/>
              </w:rPr>
              <w:t>52,802</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5,035,519</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80" w:type="dxa"/>
            <w:vAlign w:val="bottom"/>
          </w:tcPr>
          <w:p>
            <w:pPr>
              <w:jc w:val="right"/>
              <w:ind w:right="82"/>
              <w:spacing w:after="0"/>
              <w:rPr>
                <w:sz w:val="20"/>
                <w:szCs w:val="20"/>
                <w:color w:val="auto"/>
              </w:rPr>
            </w:pPr>
            <w:r>
              <w:rPr>
                <w:rFonts w:ascii="Arial" w:cs="Arial" w:eastAsia="Arial" w:hAnsi="Arial"/>
                <w:sz w:val="16"/>
                <w:szCs w:val="16"/>
                <w:color w:val="auto"/>
              </w:rPr>
              <w:t>20,960</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2,009,167</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3,783</w:t>
            </w:r>
          </w:p>
        </w:tc>
        <w:tc>
          <w:tcPr>
            <w:tcW w:w="1240" w:type="dxa"/>
            <w:vAlign w:val="bottom"/>
          </w:tcPr>
          <w:p>
            <w:pPr>
              <w:jc w:val="right"/>
              <w:spacing w:after="0"/>
              <w:rPr>
                <w:sz w:val="20"/>
                <w:szCs w:val="20"/>
                <w:color w:val="auto"/>
              </w:rPr>
            </w:pPr>
            <w:r>
              <w:rPr>
                <w:rFonts w:ascii="Arial" w:cs="Arial" w:eastAsia="Arial" w:hAnsi="Arial"/>
                <w:sz w:val="16"/>
                <w:szCs w:val="16"/>
                <w:color w:val="auto"/>
              </w:rPr>
              <w:t>223,386</w:t>
            </w:r>
          </w:p>
        </w:tc>
        <w:tc>
          <w:tcPr>
            <w:tcW w:w="1780" w:type="dxa"/>
            <w:vAlign w:val="bottom"/>
          </w:tcPr>
          <w:p>
            <w:pPr>
              <w:jc w:val="right"/>
              <w:ind w:right="82"/>
              <w:spacing w:after="0"/>
              <w:rPr>
                <w:sz w:val="20"/>
                <w:szCs w:val="20"/>
                <w:color w:val="auto"/>
              </w:rPr>
            </w:pPr>
            <w:r>
              <w:rPr>
                <w:rFonts w:ascii="Arial" w:cs="Arial" w:eastAsia="Arial" w:hAnsi="Arial"/>
                <w:sz w:val="16"/>
                <w:szCs w:val="16"/>
                <w:color w:val="auto"/>
              </w:rPr>
              <w:t>21,155</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2,028,979</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37"/>
        </w:trPr>
        <w:tc>
          <w:tcPr>
            <w:tcW w:w="332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1660" w:type="dxa"/>
            <w:vAlign w:val="bottom"/>
            <w:tcBorders>
              <w:bottom w:val="single" w:sz="8" w:color="0063A6"/>
            </w:tcBorders>
          </w:tcPr>
          <w:p>
            <w:pPr>
              <w:spacing w:after="0"/>
              <w:rPr>
                <w:sz w:val="20"/>
                <w:szCs w:val="20"/>
                <w:color w:val="auto"/>
              </w:rPr>
            </w:pPr>
          </w:p>
        </w:tc>
        <w:tc>
          <w:tcPr>
            <w:tcW w:w="1240" w:type="dxa"/>
            <w:vAlign w:val="bottom"/>
            <w:tcBorders>
              <w:bottom w:val="single" w:sz="8" w:color="0063A6"/>
            </w:tcBorders>
          </w:tcPr>
          <w:p>
            <w:pPr>
              <w:spacing w:after="0"/>
              <w:rPr>
                <w:sz w:val="20"/>
                <w:szCs w:val="20"/>
                <w:color w:val="auto"/>
              </w:rPr>
            </w:pPr>
          </w:p>
        </w:tc>
        <w:tc>
          <w:tcPr>
            <w:tcW w:w="1780" w:type="dxa"/>
            <w:vAlign w:val="bottom"/>
            <w:tcBorders>
              <w:bottom w:val="single" w:sz="8" w:color="0063A6"/>
            </w:tcBorders>
          </w:tcPr>
          <w:p>
            <w:pPr>
              <w:jc w:val="right"/>
              <w:ind w:right="82"/>
              <w:spacing w:after="0"/>
              <w:rPr>
                <w:sz w:val="20"/>
                <w:szCs w:val="20"/>
                <w:color w:val="auto"/>
              </w:rPr>
            </w:pPr>
            <w:r>
              <w:rPr>
                <w:rFonts w:ascii="Arial" w:cs="Arial" w:eastAsia="Arial" w:hAnsi="Arial"/>
                <w:sz w:val="16"/>
                <w:szCs w:val="16"/>
                <w:color w:val="auto"/>
              </w:rPr>
              <w:t>19,294</w:t>
            </w:r>
          </w:p>
        </w:tc>
        <w:tc>
          <w:tcPr>
            <w:tcW w:w="1180" w:type="dxa"/>
            <w:vAlign w:val="bottom"/>
            <w:tcBorders>
              <w:bottom w:val="single" w:sz="8" w:color="0063A6"/>
            </w:tcBorders>
          </w:tcPr>
          <w:p>
            <w:pPr>
              <w:jc w:val="right"/>
              <w:ind w:right="3"/>
              <w:spacing w:after="0"/>
              <w:rPr>
                <w:sz w:val="20"/>
                <w:szCs w:val="20"/>
                <w:color w:val="auto"/>
              </w:rPr>
            </w:pPr>
            <w:r>
              <w:rPr>
                <w:rFonts w:ascii="Arial" w:cs="Arial" w:eastAsia="Arial" w:hAnsi="Arial"/>
                <w:sz w:val="16"/>
                <w:szCs w:val="16"/>
                <w:color w:val="auto"/>
              </w:rPr>
              <w:t>1,848,917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-1268095</wp:posOffset>
            </wp:positionV>
            <wp:extent cx="36347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9" w:lineRule="exact"/>
        <w:rPr>
          <w:sz w:val="20"/>
          <w:szCs w:val="20"/>
          <w:color w:val="auto"/>
        </w:rPr>
      </w:pPr>
    </w:p>
    <w:p>
      <w:pPr>
        <w:ind w:left="346" w:hanging="346"/>
        <w:spacing w:after="0"/>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difference between the exercise price and the fair market value of our common stock on the date of exercise.</w:t>
      </w:r>
    </w:p>
    <w:p>
      <w:pPr>
        <w:spacing w:after="0" w:line="82" w:lineRule="exact"/>
        <w:rPr>
          <w:rFonts w:ascii="Arial" w:cs="Arial" w:eastAsia="Arial" w:hAnsi="Arial"/>
          <w:sz w:val="14"/>
          <w:szCs w:val="14"/>
          <w:color w:val="auto"/>
        </w:rPr>
      </w:pPr>
    </w:p>
    <w:p>
      <w:pPr>
        <w:ind w:left="346" w:right="220" w:hanging="346"/>
        <w:spacing w:after="0" w:line="285" w:lineRule="auto"/>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PRSUs earned based on financial results for the three-year performance cycle beginning in 2023 and vested on December 31, 2025.</w:t>
      </w:r>
    </w:p>
    <w:p>
      <w:pPr>
        <w:spacing w:after="0" w:line="36" w:lineRule="exact"/>
        <w:rPr>
          <w:rFonts w:ascii="Arial" w:cs="Arial" w:eastAsia="Arial" w:hAnsi="Arial"/>
          <w:sz w:val="14"/>
          <w:szCs w:val="14"/>
          <w:color w:val="auto"/>
        </w:rPr>
      </w:pPr>
    </w:p>
    <w:p>
      <w:pPr>
        <w:ind w:left="366"/>
        <w:spacing w:after="0"/>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Long-Term Incentives – A Closer Look at PRSUs</w:t>
      </w:r>
      <w:r>
        <w:rPr>
          <w:rFonts w:ascii="Arial" w:cs="Arial" w:eastAsia="Arial" w:hAnsi="Arial"/>
          <w:sz w:val="14"/>
          <w:szCs w:val="14"/>
          <w:color w:val="auto"/>
        </w:rPr>
        <w:t>” in this proxy statement for more detail.</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the fair market value of our common stock on the vest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8" w:name="page49"/>
    <w:bookmarkEnd w:id="4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2025 Nonqualified Deferred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1320" w:type="dxa"/>
            <w:vAlign w:val="bottom"/>
            <w:tcBorders>
              <w:bottom w:val="single" w:sz="8" w:color="0063A6"/>
            </w:tcBorders>
          </w:tcPr>
          <w:p>
            <w:pPr>
              <w:spacing w:after="0"/>
              <w:rPr>
                <w:sz w:val="17"/>
                <w:szCs w:val="17"/>
                <w:color w:val="auto"/>
              </w:rPr>
            </w:pPr>
          </w:p>
        </w:tc>
        <w:tc>
          <w:tcPr>
            <w:tcW w:w="1340" w:type="dxa"/>
            <w:vAlign w:val="bottom"/>
            <w:tcBorders>
              <w:bottom w:val="single" w:sz="8" w:color="0063A6"/>
            </w:tcBorders>
          </w:tcPr>
          <w:p>
            <w:pPr>
              <w:spacing w:after="0"/>
              <w:rPr>
                <w:sz w:val="17"/>
                <w:szCs w:val="17"/>
                <w:color w:val="auto"/>
              </w:rPr>
            </w:pPr>
          </w:p>
        </w:tc>
        <w:tc>
          <w:tcPr>
            <w:tcW w:w="1400" w:type="dxa"/>
            <w:vAlign w:val="bottom"/>
            <w:tcBorders>
              <w:bottom w:val="single" w:sz="8" w:color="0063A6"/>
            </w:tcBorders>
          </w:tcPr>
          <w:p>
            <w:pPr>
              <w:jc w:val="right"/>
              <w:ind w:right="324"/>
              <w:spacing w:after="0"/>
              <w:rPr>
                <w:sz w:val="20"/>
                <w:szCs w:val="20"/>
                <w:color w:val="auto"/>
              </w:rPr>
            </w:pPr>
            <w:r>
              <w:rPr>
                <w:rFonts w:ascii="Arial" w:cs="Arial" w:eastAsia="Arial" w:hAnsi="Arial"/>
                <w:sz w:val="14"/>
                <w:szCs w:val="14"/>
                <w:b w:val="1"/>
                <w:bCs w:val="1"/>
                <w:color w:val="auto"/>
              </w:rPr>
              <w:t>ITRON, INC.</w:t>
            </w:r>
          </w:p>
        </w:tc>
        <w:tc>
          <w:tcPr>
            <w:tcW w:w="1220" w:type="dxa"/>
            <w:vAlign w:val="bottom"/>
            <w:tcBorders>
              <w:bottom w:val="single" w:sz="8" w:color="0063A6"/>
            </w:tcBorders>
          </w:tcPr>
          <w:p>
            <w:pPr>
              <w:spacing w:after="0"/>
              <w:rPr>
                <w:sz w:val="17"/>
                <w:szCs w:val="17"/>
                <w:color w:val="auto"/>
              </w:rPr>
            </w:pPr>
          </w:p>
        </w:tc>
        <w:tc>
          <w:tcPr>
            <w:tcW w:w="1240" w:type="dxa"/>
            <w:vAlign w:val="bottom"/>
            <w:tcBorders>
              <w:bottom w:val="single" w:sz="8" w:color="0063A6"/>
            </w:tcBorders>
          </w:tcPr>
          <w:p>
            <w:pPr>
              <w:spacing w:after="0"/>
              <w:rPr>
                <w:sz w:val="17"/>
                <w:szCs w:val="17"/>
                <w:color w:val="auto"/>
              </w:rPr>
            </w:pPr>
          </w:p>
        </w:tc>
      </w:tr>
      <w:tr>
        <w:trPr>
          <w:trHeight w:val="235"/>
        </w:trPr>
        <w:tc>
          <w:tcPr>
            <w:tcW w:w="2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gridSpan w:val="3"/>
          </w:tcPr>
          <w:p>
            <w:pPr>
              <w:jc w:val="right"/>
              <w:ind w:right="683"/>
              <w:spacing w:after="0"/>
              <w:rPr>
                <w:sz w:val="20"/>
                <w:szCs w:val="20"/>
                <w:color w:val="auto"/>
              </w:rPr>
            </w:pPr>
            <w:r>
              <w:rPr>
                <w:rFonts w:ascii="Arial" w:cs="Arial" w:eastAsia="Arial" w:hAnsi="Arial"/>
                <w:sz w:val="14"/>
                <w:szCs w:val="14"/>
                <w:b w:val="1"/>
                <w:bCs w:val="1"/>
                <w:color w:val="auto"/>
              </w:rPr>
              <w:t>Nonqualified Deferred Compensation</w:t>
            </w:r>
          </w:p>
        </w:tc>
        <w:tc>
          <w:tcPr>
            <w:tcW w:w="1240" w:type="dxa"/>
            <w:vAlign w:val="bottom"/>
          </w:tcPr>
          <w:p>
            <w:pPr>
              <w:spacing w:after="0"/>
              <w:rPr>
                <w:sz w:val="20"/>
                <w:szCs w:val="20"/>
                <w:color w:val="auto"/>
              </w:rPr>
            </w:pPr>
          </w:p>
        </w:tc>
      </w:tr>
      <w:tr>
        <w:trPr>
          <w:trHeight w:val="224"/>
        </w:trPr>
        <w:tc>
          <w:tcPr>
            <w:tcW w:w="2660" w:type="dxa"/>
            <w:vAlign w:val="bottom"/>
          </w:tcPr>
          <w:p>
            <w:pPr>
              <w:spacing w:after="0"/>
              <w:rPr>
                <w:sz w:val="19"/>
                <w:szCs w:val="19"/>
                <w:color w:val="auto"/>
              </w:rPr>
            </w:pPr>
          </w:p>
        </w:tc>
        <w:tc>
          <w:tcPr>
            <w:tcW w:w="1320" w:type="dxa"/>
            <w:vAlign w:val="bottom"/>
            <w:shd w:val="clear" w:color="auto" w:fill="0063A6"/>
          </w:tcPr>
          <w:p>
            <w:pPr>
              <w:jc w:val="right"/>
              <w:ind w:right="3"/>
              <w:spacing w:after="0"/>
              <w:rPr>
                <w:sz w:val="20"/>
                <w:szCs w:val="20"/>
                <w:color w:val="auto"/>
              </w:rPr>
            </w:pPr>
            <w:r>
              <w:rPr>
                <w:rFonts w:ascii="Arial" w:cs="Arial" w:eastAsia="Arial" w:hAnsi="Arial"/>
                <w:sz w:val="14"/>
                <w:szCs w:val="14"/>
                <w:b w:val="1"/>
                <w:bCs w:val="1"/>
                <w:color w:val="FFFFFF"/>
              </w:rPr>
              <w:t>Executive</w:t>
            </w:r>
          </w:p>
        </w:tc>
        <w:tc>
          <w:tcPr>
            <w:tcW w:w="134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Registrant</w:t>
            </w:r>
          </w:p>
        </w:tc>
        <w:tc>
          <w:tcPr>
            <w:tcW w:w="140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Aggregate</w:t>
            </w:r>
          </w:p>
        </w:tc>
        <w:tc>
          <w:tcPr>
            <w:tcW w:w="12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Aggregate</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2660" w:type="dxa"/>
            <w:vAlign w:val="bottom"/>
          </w:tcPr>
          <w:p>
            <w:pPr>
              <w:spacing w:after="0"/>
              <w:rPr>
                <w:sz w:val="14"/>
                <w:szCs w:val="14"/>
                <w:color w:val="auto"/>
              </w:rPr>
            </w:pPr>
          </w:p>
        </w:tc>
        <w:tc>
          <w:tcPr>
            <w:tcW w:w="13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Contributions in</w:t>
            </w:r>
          </w:p>
        </w:tc>
        <w:tc>
          <w:tcPr>
            <w:tcW w:w="134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Contributions in</w:t>
            </w:r>
          </w:p>
        </w:tc>
        <w:tc>
          <w:tcPr>
            <w:tcW w:w="1400" w:type="dxa"/>
            <w:vAlign w:val="bottom"/>
            <w:shd w:val="clear" w:color="auto" w:fill="0063A6"/>
          </w:tcPr>
          <w:p>
            <w:pPr>
              <w:jc w:val="right"/>
              <w:ind w:right="164"/>
              <w:spacing w:after="0"/>
              <w:rPr>
                <w:sz w:val="20"/>
                <w:szCs w:val="20"/>
                <w:color w:val="auto"/>
              </w:rPr>
            </w:pPr>
            <w:r>
              <w:rPr>
                <w:rFonts w:ascii="Arial" w:cs="Arial" w:eastAsia="Arial" w:hAnsi="Arial"/>
                <w:sz w:val="14"/>
                <w:szCs w:val="14"/>
                <w:b w:val="1"/>
                <w:bCs w:val="1"/>
                <w:color w:val="FFFFFF"/>
              </w:rPr>
              <w:t>Earnings in</w:t>
            </w:r>
          </w:p>
        </w:tc>
        <w:tc>
          <w:tcPr>
            <w:tcW w:w="12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Withdrawals /</w:t>
            </w:r>
          </w:p>
        </w:tc>
        <w:tc>
          <w:tcPr>
            <w:tcW w:w="1240" w:type="dxa"/>
            <w:vAlign w:val="bottom"/>
            <w:shd w:val="clear" w:color="auto" w:fill="0063A6"/>
          </w:tcPr>
          <w:p>
            <w:pPr>
              <w:jc w:val="right"/>
              <w:ind w:right="23"/>
              <w:spacing w:after="0"/>
              <w:rPr>
                <w:sz w:val="20"/>
                <w:szCs w:val="20"/>
                <w:color w:val="auto"/>
              </w:rPr>
            </w:pPr>
            <w:r>
              <w:rPr>
                <w:rFonts w:ascii="Arial" w:cs="Arial" w:eastAsia="Arial" w:hAnsi="Arial"/>
                <w:sz w:val="14"/>
                <w:szCs w:val="14"/>
                <w:b w:val="1"/>
                <w:bCs w:val="1"/>
                <w:color w:val="FFFFFF"/>
              </w:rPr>
              <w:t>Balance at</w:t>
            </w:r>
          </w:p>
        </w:tc>
      </w:tr>
      <w:tr>
        <w:trPr>
          <w:trHeight w:val="162"/>
        </w:trPr>
        <w:tc>
          <w:tcPr>
            <w:tcW w:w="2660" w:type="dxa"/>
            <w:vAlign w:val="bottom"/>
          </w:tcPr>
          <w:p>
            <w:pPr>
              <w:spacing w:after="0"/>
              <w:rPr>
                <w:sz w:val="14"/>
                <w:szCs w:val="14"/>
                <w:color w:val="auto"/>
              </w:rPr>
            </w:pPr>
          </w:p>
        </w:tc>
        <w:tc>
          <w:tcPr>
            <w:tcW w:w="1320" w:type="dxa"/>
            <w:vAlign w:val="bottom"/>
            <w:shd w:val="clear" w:color="auto" w:fill="0063A6"/>
          </w:tcPr>
          <w:p>
            <w:pPr>
              <w:jc w:val="right"/>
              <w:ind w:right="3"/>
              <w:spacing w:after="0"/>
              <w:rPr>
                <w:sz w:val="20"/>
                <w:szCs w:val="20"/>
                <w:color w:val="auto"/>
              </w:rPr>
            </w:pPr>
            <w:r>
              <w:rPr>
                <w:rFonts w:ascii="Arial" w:cs="Arial" w:eastAsia="Arial" w:hAnsi="Arial"/>
                <w:sz w:val="14"/>
                <w:szCs w:val="14"/>
                <w:b w:val="1"/>
                <w:bCs w:val="1"/>
                <w:color w:val="FFFFFF"/>
              </w:rPr>
              <w:t>Last Fiscal Year</w:t>
            </w:r>
          </w:p>
        </w:tc>
        <w:tc>
          <w:tcPr>
            <w:tcW w:w="134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Last Fiscal Year</w:t>
            </w:r>
          </w:p>
        </w:tc>
        <w:tc>
          <w:tcPr>
            <w:tcW w:w="140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Last Fiscal Year</w:t>
            </w:r>
          </w:p>
        </w:tc>
        <w:tc>
          <w:tcPr>
            <w:tcW w:w="12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Distributions</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Fiscal Year End</w:t>
            </w:r>
          </w:p>
        </w:tc>
      </w:tr>
      <w:tr>
        <w:trPr>
          <w:trHeight w:val="229"/>
        </w:trPr>
        <w:tc>
          <w:tcPr>
            <w:tcW w:w="266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1320" w:type="dxa"/>
            <w:vAlign w:val="bottom"/>
            <w:tcBorders>
              <w:bottom w:val="single" w:sz="8" w:color="0063A6"/>
            </w:tcBorders>
            <w:shd w:val="clear" w:color="auto" w:fill="0063A6"/>
          </w:tcPr>
          <w:p>
            <w:pPr>
              <w:jc w:val="right"/>
              <w:ind w:right="3"/>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340" w:type="dxa"/>
            <w:vAlign w:val="bottom"/>
            <w:tcBorders>
              <w:bottom w:val="single" w:sz="8" w:color="0063A6"/>
            </w:tcBorders>
            <w:shd w:val="clear" w:color="auto" w:fill="0063A6"/>
          </w:tcPr>
          <w:p>
            <w:pPr>
              <w:jc w:val="right"/>
              <w:ind w:right="24"/>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400" w:type="dxa"/>
            <w:vAlign w:val="bottom"/>
            <w:tcBorders>
              <w:bottom w:val="single" w:sz="8" w:color="0063A6"/>
            </w:tcBorders>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63A6"/>
            </w:tcBorders>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r>
      <w:tr>
        <w:trPr>
          <w:trHeight w:val="243"/>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43"/>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84,912</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36,468</w:t>
            </w: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214,199</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1,830,558</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43"/>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42"/>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36"/>
        </w:trPr>
        <w:tc>
          <w:tcPr>
            <w:tcW w:w="266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1320" w:type="dxa"/>
            <w:vAlign w:val="bottom"/>
            <w:tcBorders>
              <w:bottom w:val="single" w:sz="8" w:color="0063A6"/>
            </w:tcBorders>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63A6"/>
            </w:tcBorders>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0063A6"/>
            </w:tcBorders>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63A6"/>
            </w:tcBorders>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r>
    </w:tbl>
    <w:p>
      <w:pPr>
        <w:spacing w:after="0" w:line="99" w:lineRule="exact"/>
        <w:rPr>
          <w:sz w:val="20"/>
          <w:szCs w:val="20"/>
          <w:color w:val="auto"/>
        </w:rPr>
      </w:pPr>
    </w:p>
    <w:p>
      <w:pPr>
        <w:ind w:left="346" w:hanging="346"/>
        <w:spacing w:after="0"/>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This deferred compensation represents amounts that are reported as compensation earned in 2025 in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This amount has been included in the “All Other Compensation” column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Potential Payments upon Termination</w:t>
      </w:r>
    </w:p>
    <w:p>
      <w:pPr>
        <w:spacing w:after="0" w:line="85" w:lineRule="exact"/>
        <w:rPr>
          <w:sz w:val="20"/>
          <w:szCs w:val="20"/>
          <w:color w:val="auto"/>
        </w:rPr>
      </w:pPr>
    </w:p>
    <w:p>
      <w:pPr>
        <w:ind w:left="6" w:right="520"/>
        <w:spacing w:after="0" w:line="286" w:lineRule="auto"/>
        <w:rPr>
          <w:sz w:val="20"/>
          <w:szCs w:val="20"/>
          <w:color w:val="auto"/>
        </w:rPr>
      </w:pPr>
      <w:r>
        <w:rPr>
          <w:rFonts w:ascii="Arial" w:cs="Arial" w:eastAsia="Arial" w:hAnsi="Arial"/>
          <w:sz w:val="16"/>
          <w:szCs w:val="16"/>
          <w:color w:val="auto"/>
        </w:rPr>
        <w:t>The following describes certain actions and payments upon termination in accordance with Company policies, the IIP, the provisions of our LTIP and the award agreements pursuant to which all of our equity awards are granted.</w:t>
      </w:r>
    </w:p>
    <w:p>
      <w:pPr>
        <w:spacing w:after="0" w:line="115" w:lineRule="exact"/>
        <w:rPr>
          <w:sz w:val="20"/>
          <w:szCs w:val="20"/>
          <w:color w:val="auto"/>
        </w:rPr>
      </w:pPr>
    </w:p>
    <w:p>
      <w:pPr>
        <w:ind w:left="6" w:right="100"/>
        <w:spacing w:after="0" w:line="286" w:lineRule="auto"/>
        <w:rPr>
          <w:sz w:val="20"/>
          <w:szCs w:val="20"/>
          <w:color w:val="auto"/>
        </w:rPr>
      </w:pPr>
      <w:r>
        <w:rPr>
          <w:rFonts w:ascii="Arial" w:cs="Arial" w:eastAsia="Arial" w:hAnsi="Arial"/>
          <w:sz w:val="16"/>
          <w:szCs w:val="16"/>
          <w:color w:val="auto"/>
        </w:rPr>
        <w:t>Upon any termination of employment, our NEOs are entitled to receive any accrued and unpaid base salary through the date of termination.</w:t>
      </w:r>
    </w:p>
    <w:p>
      <w:pPr>
        <w:spacing w:after="0" w:line="22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Termination for Cause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Any unpaid IIP award, any unvested RSU, any unvested PRSU, and all stock options would be forfeited.</w:t>
      </w:r>
    </w:p>
    <w:p>
      <w:pPr>
        <w:spacing w:after="0" w:line="29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Voluntary Termination</w:t>
      </w:r>
    </w:p>
    <w:p>
      <w:pPr>
        <w:spacing w:after="0" w:line="90" w:lineRule="exact"/>
        <w:rPr>
          <w:sz w:val="20"/>
          <w:szCs w:val="20"/>
          <w:color w:val="auto"/>
        </w:rPr>
      </w:pPr>
    </w:p>
    <w:p>
      <w:pPr>
        <w:ind w:left="6" w:right="40"/>
        <w:spacing w:after="0" w:line="286" w:lineRule="auto"/>
        <w:rPr>
          <w:sz w:val="20"/>
          <w:szCs w:val="20"/>
          <w:color w:val="auto"/>
        </w:rPr>
      </w:pPr>
      <w:r>
        <w:rPr>
          <w:rFonts w:ascii="Arial" w:cs="Arial" w:eastAsia="Arial" w:hAnsi="Arial"/>
          <w:sz w:val="16"/>
          <w:szCs w:val="16"/>
          <w:color w:val="auto"/>
        </w:rPr>
        <w:t>Any unpaid IIP award, any unvested RSU, any unvested PRSU, and any unvested stock option would be forfeited. Vested stock options expire 3 months after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1"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9" w:name="page50"/>
    <w:bookmarkEnd w:id="4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Termination Due to Death, Disability, or Retirement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What happens if termination is due to:</w:t>
      </w:r>
    </w:p>
    <w:p>
      <w:pPr>
        <w:spacing w:after="0" w:line="60" w:lineRule="exact"/>
        <w:rPr>
          <w:sz w:val="20"/>
          <w:szCs w:val="20"/>
          <w:color w:val="auto"/>
        </w:rPr>
      </w:pPr>
    </w:p>
    <w:tbl>
      <w:tblPr>
        <w:tblLayout w:type="fixed"/>
        <w:tblInd w:w="6" w:type="dxa"/>
        <w:tblCellMar>
          <w:top w:w="0" w:type="dxa"/>
          <w:left w:w="0" w:type="dxa"/>
          <w:bottom w:w="0" w:type="dxa"/>
          <w:right w:w="0" w:type="dxa"/>
        </w:tblCellMar>
      </w:tblPr>
      <w:tr>
        <w:trPr>
          <w:trHeight w:val="351"/>
        </w:trPr>
        <w:tc>
          <w:tcPr>
            <w:tcW w:w="40" w:type="dxa"/>
            <w:vAlign w:val="bottom"/>
            <w:shd w:val="clear" w:color="auto" w:fill="0063A6"/>
          </w:tcPr>
          <w:p>
            <w:pPr>
              <w:spacing w:after="0"/>
              <w:rPr>
                <w:sz w:val="24"/>
                <w:szCs w:val="24"/>
                <w:color w:val="auto"/>
              </w:rPr>
            </w:pPr>
          </w:p>
        </w:tc>
        <w:tc>
          <w:tcPr>
            <w:tcW w:w="2160" w:type="dxa"/>
            <w:vAlign w:val="bottom"/>
            <w:shd w:val="clear" w:color="auto" w:fill="0063A6"/>
          </w:tcPr>
          <w:p>
            <w:pPr>
              <w:ind w:left="40"/>
              <w:spacing w:after="0"/>
              <w:rPr>
                <w:sz w:val="20"/>
                <w:szCs w:val="20"/>
                <w:color w:val="auto"/>
              </w:rPr>
            </w:pPr>
            <w:r>
              <w:rPr>
                <w:rFonts w:ascii="Arial" w:cs="Arial" w:eastAsia="Arial" w:hAnsi="Arial"/>
                <w:sz w:val="16"/>
                <w:szCs w:val="16"/>
                <w:b w:val="1"/>
                <w:bCs w:val="1"/>
                <w:color w:val="FFFFFF"/>
              </w:rPr>
              <w:t>Compensation Element</w:t>
            </w:r>
          </w:p>
        </w:tc>
        <w:tc>
          <w:tcPr>
            <w:tcW w:w="3500" w:type="dxa"/>
            <w:vAlign w:val="bottom"/>
            <w:shd w:val="clear" w:color="auto" w:fill="0063A6"/>
          </w:tcPr>
          <w:p>
            <w:pPr>
              <w:ind w:left="220"/>
              <w:spacing w:after="0"/>
              <w:rPr>
                <w:sz w:val="20"/>
                <w:szCs w:val="20"/>
                <w:color w:val="auto"/>
              </w:rPr>
            </w:pPr>
            <w:r>
              <w:rPr>
                <w:rFonts w:ascii="Arial" w:cs="Arial" w:eastAsia="Arial" w:hAnsi="Arial"/>
                <w:sz w:val="16"/>
                <w:szCs w:val="16"/>
                <w:b w:val="1"/>
                <w:bCs w:val="1"/>
                <w:color w:val="FFFFFF"/>
              </w:rPr>
              <w:t>Death or Disability</w:t>
            </w:r>
          </w:p>
        </w:tc>
        <w:tc>
          <w:tcPr>
            <w:tcW w:w="3480" w:type="dxa"/>
            <w:vAlign w:val="bottom"/>
            <w:shd w:val="clear" w:color="auto" w:fill="0063A6"/>
          </w:tcPr>
          <w:p>
            <w:pPr>
              <w:ind w:left="180"/>
              <w:spacing w:after="0"/>
              <w:rPr>
                <w:sz w:val="20"/>
                <w:szCs w:val="20"/>
                <w:color w:val="auto"/>
              </w:rPr>
            </w:pPr>
            <w:r>
              <w:rPr>
                <w:rFonts w:ascii="Arial" w:cs="Arial" w:eastAsia="Arial" w:hAnsi="Arial"/>
                <w:sz w:val="16"/>
                <w:szCs w:val="16"/>
                <w:b w:val="1"/>
                <w:bCs w:val="1"/>
                <w:color w:val="FFFFFF"/>
              </w:rPr>
              <w:t>Retirement</w:t>
            </w:r>
            <w:r>
              <w:rPr>
                <w:rFonts w:ascii="Arial" w:cs="Arial" w:eastAsia="Arial" w:hAnsi="Arial"/>
                <w:sz w:val="26"/>
                <w:szCs w:val="26"/>
                <w:b w:val="1"/>
                <w:bCs w:val="1"/>
                <w:color w:val="FFFFFF"/>
                <w:vertAlign w:val="superscript"/>
              </w:rPr>
              <w:t>(1)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6"/>
                <w:szCs w:val="16"/>
                <w:color w:val="auto"/>
              </w:rPr>
              <w:t>Pro-rated payout based on the number of</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Arial" w:cs="Arial" w:eastAsia="Arial" w:hAnsi="Arial"/>
                <w:sz w:val="16"/>
                <w:szCs w:val="16"/>
                <w:color w:val="auto"/>
              </w:rPr>
              <w:t>calendar days employed during the</w:t>
            </w:r>
          </w:p>
        </w:tc>
        <w:tc>
          <w:tcPr>
            <w:tcW w:w="3480" w:type="dxa"/>
            <w:vAlign w:val="bottom"/>
            <w:vMerge w:val="restart"/>
          </w:tcPr>
          <w:p>
            <w:pPr>
              <w:ind w:left="180"/>
              <w:spacing w:after="0"/>
              <w:rPr>
                <w:sz w:val="20"/>
                <w:szCs w:val="20"/>
                <w:color w:val="auto"/>
              </w:rPr>
            </w:pPr>
            <w:r>
              <w:rPr>
                <w:rFonts w:ascii="Arial" w:cs="Arial" w:eastAsia="Arial" w:hAnsi="Arial"/>
                <w:sz w:val="16"/>
                <w:szCs w:val="16"/>
                <w:color w:val="auto"/>
              </w:rPr>
              <w:t>Forfeited in its entirety if not employed</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500" w:type="dxa"/>
            <w:vAlign w:val="bottom"/>
            <w:vMerge w:val="restart"/>
          </w:tcPr>
          <w:p>
            <w:pPr>
              <w:ind w:left="220"/>
              <w:spacing w:after="0"/>
              <w:rPr>
                <w:sz w:val="20"/>
                <w:szCs w:val="20"/>
                <w:color w:val="auto"/>
              </w:rPr>
            </w:pPr>
            <w:r>
              <w:rPr>
                <w:rFonts w:ascii="Arial" w:cs="Arial" w:eastAsia="Arial" w:hAnsi="Arial"/>
                <w:sz w:val="16"/>
                <w:szCs w:val="16"/>
                <w:color w:val="auto"/>
              </w:rPr>
              <w:t>performance period and subject to actual</w:t>
            </w: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2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Annual Incentive Plan</w:t>
            </w:r>
          </w:p>
        </w:tc>
        <w:tc>
          <w:tcPr>
            <w:tcW w:w="3500" w:type="dxa"/>
            <w:vAlign w:val="bottom"/>
            <w:vMerge w:val="continue"/>
          </w:tcPr>
          <w:p>
            <w:pPr>
              <w:spacing w:after="0"/>
              <w:rPr>
                <w:sz w:val="8"/>
                <w:szCs w:val="8"/>
                <w:color w:val="auto"/>
              </w:rPr>
            </w:pPr>
          </w:p>
        </w:tc>
        <w:tc>
          <w:tcPr>
            <w:tcW w:w="3480" w:type="dxa"/>
            <w:vAlign w:val="bottom"/>
            <w:vMerge w:val="restart"/>
          </w:tcPr>
          <w:p>
            <w:pPr>
              <w:ind w:left="180"/>
              <w:spacing w:after="0"/>
              <w:rPr>
                <w:sz w:val="20"/>
                <w:szCs w:val="20"/>
                <w:color w:val="auto"/>
              </w:rPr>
            </w:pPr>
            <w:r>
              <w:rPr>
                <w:rFonts w:ascii="Arial" w:cs="Arial" w:eastAsia="Arial" w:hAnsi="Arial"/>
                <w:sz w:val="16"/>
                <w:szCs w:val="16"/>
                <w:color w:val="auto"/>
              </w:rPr>
              <w:t>by the Company through the completion of</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3500" w:type="dxa"/>
            <w:vAlign w:val="bottom"/>
            <w:vMerge w:val="restart"/>
          </w:tcPr>
          <w:p>
            <w:pPr>
              <w:ind w:left="220"/>
              <w:spacing w:after="0"/>
              <w:rPr>
                <w:sz w:val="20"/>
                <w:szCs w:val="20"/>
                <w:color w:val="auto"/>
              </w:rPr>
            </w:pPr>
            <w:r>
              <w:rPr>
                <w:rFonts w:ascii="Arial" w:cs="Arial" w:eastAsia="Arial" w:hAnsi="Arial"/>
                <w:sz w:val="16"/>
                <w:szCs w:val="16"/>
                <w:color w:val="auto"/>
              </w:rPr>
              <w:t>attainment of performance results. The</w:t>
            </w: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500" w:type="dxa"/>
            <w:vAlign w:val="bottom"/>
            <w:vMerge w:val="continue"/>
          </w:tcPr>
          <w:p>
            <w:pPr>
              <w:spacing w:after="0"/>
              <w:rPr>
                <w:sz w:val="8"/>
                <w:szCs w:val="8"/>
                <w:color w:val="auto"/>
              </w:rPr>
            </w:pPr>
          </w:p>
        </w:tc>
        <w:tc>
          <w:tcPr>
            <w:tcW w:w="3480" w:type="dxa"/>
            <w:vAlign w:val="bottom"/>
            <w:vMerge w:val="restart"/>
          </w:tcPr>
          <w:p>
            <w:pPr>
              <w:ind w:left="180"/>
              <w:spacing w:after="0"/>
              <w:rPr>
                <w:sz w:val="20"/>
                <w:szCs w:val="20"/>
                <w:color w:val="auto"/>
              </w:rPr>
            </w:pPr>
            <w:r>
              <w:rPr>
                <w:rFonts w:ascii="Arial" w:cs="Arial" w:eastAsia="Arial" w:hAnsi="Arial"/>
                <w:sz w:val="16"/>
                <w:szCs w:val="16"/>
                <w:color w:val="auto"/>
              </w:rPr>
              <w:t>the performance period.</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500" w:type="dxa"/>
            <w:vAlign w:val="bottom"/>
            <w:vMerge w:val="restart"/>
          </w:tcPr>
          <w:p>
            <w:pPr>
              <w:ind w:left="220"/>
              <w:spacing w:after="0"/>
              <w:rPr>
                <w:sz w:val="20"/>
                <w:szCs w:val="20"/>
                <w:color w:val="auto"/>
              </w:rPr>
            </w:pPr>
            <w:r>
              <w:rPr>
                <w:rFonts w:ascii="Arial" w:cs="Arial" w:eastAsia="Arial" w:hAnsi="Arial"/>
                <w:sz w:val="16"/>
                <w:szCs w:val="16"/>
                <w:color w:val="auto"/>
              </w:rPr>
              <w:t>earned award, if any, will be paid at the</w:t>
            </w: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3500" w:type="dxa"/>
            <w:vAlign w:val="bottom"/>
            <w:vMerge w:val="continue"/>
          </w:tcPr>
          <w:p>
            <w:pPr>
              <w:spacing w:after="0"/>
              <w:rPr>
                <w:sz w:val="5"/>
                <w:szCs w:val="5"/>
                <w:color w:val="auto"/>
              </w:rPr>
            </w:pPr>
          </w:p>
        </w:tc>
        <w:tc>
          <w:tcPr>
            <w:tcW w:w="3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6"/>
                <w:szCs w:val="16"/>
                <w:color w:val="auto"/>
              </w:rPr>
              <w:t>same time as it is paid to other participants.</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 w:type="dxa"/>
            <w:vAlign w:val="bottom"/>
            <w:tcBorders>
              <w:bottom w:val="single" w:sz="8" w:color="5D6673"/>
            </w:tcBorders>
          </w:tcPr>
          <w:p>
            <w:pPr>
              <w:spacing w:after="0"/>
              <w:rPr>
                <w:sz w:val="2"/>
                <w:szCs w:val="2"/>
                <w:color w:val="auto"/>
              </w:rPr>
            </w:pPr>
          </w:p>
        </w:tc>
        <w:tc>
          <w:tcPr>
            <w:tcW w:w="2160" w:type="dxa"/>
            <w:vAlign w:val="bottom"/>
            <w:tcBorders>
              <w:bottom w:val="single" w:sz="8" w:color="5D6673"/>
            </w:tcBorders>
          </w:tcPr>
          <w:p>
            <w:pPr>
              <w:spacing w:after="0"/>
              <w:rPr>
                <w:sz w:val="2"/>
                <w:szCs w:val="2"/>
                <w:color w:val="auto"/>
              </w:rPr>
            </w:pPr>
          </w:p>
        </w:tc>
        <w:tc>
          <w:tcPr>
            <w:tcW w:w="3500" w:type="dxa"/>
            <w:vAlign w:val="bottom"/>
            <w:tcBorders>
              <w:bottom w:val="single" w:sz="8" w:color="5D6673"/>
            </w:tcBorders>
          </w:tcPr>
          <w:p>
            <w:pPr>
              <w:spacing w:after="0"/>
              <w:rPr>
                <w:sz w:val="2"/>
                <w:szCs w:val="2"/>
                <w:color w:val="auto"/>
              </w:rPr>
            </w:pPr>
          </w:p>
        </w:tc>
        <w:tc>
          <w:tcPr>
            <w:tcW w:w="34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If retirement occurs more than 12 months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following grant date, awards continue to vest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subject to a notice requirement and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compliance with certain covenants governing</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RSUs</w:t>
            </w:r>
          </w:p>
        </w:tc>
        <w:tc>
          <w:tcPr>
            <w:tcW w:w="3500" w:type="dxa"/>
            <w:vAlign w:val="bottom"/>
            <w:vMerge w:val="restart"/>
          </w:tcPr>
          <w:p>
            <w:pPr>
              <w:ind w:left="220"/>
              <w:spacing w:after="0"/>
              <w:rPr>
                <w:sz w:val="20"/>
                <w:szCs w:val="20"/>
                <w:color w:val="auto"/>
              </w:rPr>
            </w:pPr>
            <w:r>
              <w:rPr>
                <w:rFonts w:ascii="Arial" w:cs="Arial" w:eastAsia="Arial" w:hAnsi="Arial"/>
                <w:sz w:val="16"/>
                <w:szCs w:val="16"/>
                <w:color w:val="auto"/>
              </w:rPr>
              <w:t>Vesting of unvested RSUs will accelerate.</w:t>
            </w:r>
          </w:p>
        </w:tc>
        <w:tc>
          <w:tcPr>
            <w:tcW w:w="3480" w:type="dxa"/>
            <w:vAlign w:val="bottom"/>
          </w:tcPr>
          <w:p>
            <w:pPr>
              <w:ind w:left="180"/>
              <w:spacing w:after="0"/>
              <w:rPr>
                <w:sz w:val="20"/>
                <w:szCs w:val="20"/>
                <w:color w:val="auto"/>
              </w:rPr>
            </w:pPr>
            <w:r>
              <w:rPr>
                <w:rFonts w:ascii="Arial" w:cs="Arial" w:eastAsia="Arial" w:hAnsi="Arial"/>
                <w:sz w:val="16"/>
                <w:szCs w:val="16"/>
                <w:color w:val="auto"/>
              </w:rPr>
              <w:t>confidentiality, non-solicitation, and non-</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3500" w:type="dxa"/>
            <w:vAlign w:val="bottom"/>
            <w:vMerge w:val="continue"/>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6"/>
                <w:szCs w:val="16"/>
                <w:color w:val="auto"/>
              </w:rPr>
              <w:t>competition and settled in accordance with</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3500" w:type="dxa"/>
            <w:vAlign w:val="bottom"/>
          </w:tcPr>
          <w:p>
            <w:pPr>
              <w:spacing w:after="0"/>
              <w:rPr>
                <w:sz w:val="5"/>
                <w:szCs w:val="5"/>
                <w:color w:val="auto"/>
              </w:rPr>
            </w:pPr>
          </w:p>
        </w:tc>
        <w:tc>
          <w:tcPr>
            <w:tcW w:w="3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the provisions of Section 409A of the Internal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Revenue Code of 1986, as amended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(“Code”). RSUs granted within 12 months of</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retirement are forfeited.</w:t>
            </w:r>
          </w:p>
        </w:tc>
        <w:tc>
          <w:tcPr>
            <w:tcW w:w="0" w:type="dxa"/>
            <w:vAlign w:val="bottom"/>
          </w:tcPr>
          <w:p>
            <w:pPr>
              <w:spacing w:after="0"/>
              <w:rPr>
                <w:sz w:val="1"/>
                <w:szCs w:val="1"/>
                <w:color w:val="auto"/>
              </w:rPr>
            </w:pPr>
          </w:p>
        </w:tc>
      </w:tr>
      <w:tr>
        <w:trPr>
          <w:trHeight w:val="29"/>
        </w:trPr>
        <w:tc>
          <w:tcPr>
            <w:tcW w:w="40" w:type="dxa"/>
            <w:vAlign w:val="bottom"/>
            <w:tcBorders>
              <w:bottom w:val="single" w:sz="8" w:color="5D6673"/>
            </w:tcBorders>
          </w:tcPr>
          <w:p>
            <w:pPr>
              <w:spacing w:after="0"/>
              <w:rPr>
                <w:sz w:val="2"/>
                <w:szCs w:val="2"/>
                <w:color w:val="auto"/>
              </w:rPr>
            </w:pPr>
          </w:p>
        </w:tc>
        <w:tc>
          <w:tcPr>
            <w:tcW w:w="2160" w:type="dxa"/>
            <w:vAlign w:val="bottom"/>
            <w:tcBorders>
              <w:bottom w:val="single" w:sz="8" w:color="5D6673"/>
            </w:tcBorders>
          </w:tcPr>
          <w:p>
            <w:pPr>
              <w:spacing w:after="0"/>
              <w:rPr>
                <w:sz w:val="2"/>
                <w:szCs w:val="2"/>
                <w:color w:val="auto"/>
              </w:rPr>
            </w:pPr>
          </w:p>
        </w:tc>
        <w:tc>
          <w:tcPr>
            <w:tcW w:w="3500" w:type="dxa"/>
            <w:vAlign w:val="bottom"/>
            <w:tcBorders>
              <w:bottom w:val="single" w:sz="8" w:color="5D6673"/>
            </w:tcBorders>
          </w:tcPr>
          <w:p>
            <w:pPr>
              <w:spacing w:after="0"/>
              <w:rPr>
                <w:sz w:val="2"/>
                <w:szCs w:val="2"/>
                <w:color w:val="auto"/>
              </w:rPr>
            </w:pPr>
          </w:p>
        </w:tc>
        <w:tc>
          <w:tcPr>
            <w:tcW w:w="34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If retirement occurs more than 12 months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following grant date, executives are eligible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to receive that number of PRSUs that vest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based on the actual attainment of the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Arial" w:cs="Arial" w:eastAsia="Arial" w:hAnsi="Arial"/>
                <w:sz w:val="16"/>
                <w:szCs w:val="16"/>
                <w:color w:val="auto"/>
              </w:rPr>
              <w:t>The executive is eligible to receive that</w:t>
            </w:r>
          </w:p>
        </w:tc>
        <w:tc>
          <w:tcPr>
            <w:tcW w:w="3480" w:type="dxa"/>
            <w:vAlign w:val="bottom"/>
          </w:tcPr>
          <w:p>
            <w:pPr>
              <w:ind w:left="180"/>
              <w:spacing w:after="0"/>
              <w:rPr>
                <w:sz w:val="20"/>
                <w:szCs w:val="20"/>
                <w:color w:val="auto"/>
              </w:rPr>
            </w:pPr>
            <w:r>
              <w:rPr>
                <w:rFonts w:ascii="Arial" w:cs="Arial" w:eastAsia="Arial" w:hAnsi="Arial"/>
                <w:sz w:val="16"/>
                <w:szCs w:val="16"/>
                <w:color w:val="auto"/>
              </w:rPr>
              <w:t>performance goals as assessed after the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PRSUs</w:t>
            </w:r>
          </w:p>
        </w:tc>
        <w:tc>
          <w:tcPr>
            <w:tcW w:w="3500" w:type="dxa"/>
            <w:vAlign w:val="bottom"/>
          </w:tcPr>
          <w:p>
            <w:pPr>
              <w:ind w:left="220"/>
              <w:spacing w:after="0"/>
              <w:rPr>
                <w:sz w:val="20"/>
                <w:szCs w:val="20"/>
                <w:color w:val="auto"/>
              </w:rPr>
            </w:pPr>
            <w:r>
              <w:rPr>
                <w:rFonts w:ascii="Arial" w:cs="Arial" w:eastAsia="Arial" w:hAnsi="Arial"/>
                <w:sz w:val="16"/>
                <w:szCs w:val="16"/>
                <w:color w:val="auto"/>
              </w:rPr>
              <w:t>number of PRSUs that vest based on the</w:t>
            </w:r>
          </w:p>
        </w:tc>
        <w:tc>
          <w:tcPr>
            <w:tcW w:w="3480" w:type="dxa"/>
            <w:vAlign w:val="bottom"/>
          </w:tcPr>
          <w:p>
            <w:pPr>
              <w:ind w:left="180"/>
              <w:spacing w:after="0"/>
              <w:rPr>
                <w:sz w:val="20"/>
                <w:szCs w:val="20"/>
                <w:color w:val="auto"/>
              </w:rPr>
            </w:pPr>
            <w:r>
              <w:rPr>
                <w:rFonts w:ascii="Arial" w:cs="Arial" w:eastAsia="Arial" w:hAnsi="Arial"/>
                <w:sz w:val="16"/>
                <w:szCs w:val="16"/>
                <w:color w:val="auto"/>
              </w:rPr>
              <w:t>end of the performance period subject to a</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3500" w:type="dxa"/>
            <w:vAlign w:val="bottom"/>
            <w:vMerge w:val="restart"/>
          </w:tcPr>
          <w:p>
            <w:pPr>
              <w:ind w:left="220"/>
              <w:spacing w:after="0"/>
              <w:rPr>
                <w:sz w:val="20"/>
                <w:szCs w:val="20"/>
                <w:color w:val="auto"/>
              </w:rPr>
            </w:pPr>
            <w:r>
              <w:rPr>
                <w:rFonts w:ascii="Arial" w:cs="Arial" w:eastAsia="Arial" w:hAnsi="Arial"/>
                <w:sz w:val="16"/>
                <w:szCs w:val="16"/>
                <w:color w:val="auto"/>
              </w:rPr>
              <w:t>actual attainment of the performance goals</w:t>
            </w:r>
          </w:p>
        </w:tc>
        <w:tc>
          <w:tcPr>
            <w:tcW w:w="3480" w:type="dxa"/>
            <w:vAlign w:val="bottom"/>
            <w:vMerge w:val="restart"/>
          </w:tcPr>
          <w:p>
            <w:pPr>
              <w:ind w:left="180"/>
              <w:spacing w:after="0"/>
              <w:rPr>
                <w:sz w:val="20"/>
                <w:szCs w:val="20"/>
                <w:color w:val="auto"/>
              </w:rPr>
            </w:pPr>
            <w:r>
              <w:rPr>
                <w:rFonts w:ascii="Arial" w:cs="Arial" w:eastAsia="Arial" w:hAnsi="Arial"/>
                <w:sz w:val="16"/>
                <w:szCs w:val="16"/>
                <w:color w:val="auto"/>
              </w:rPr>
              <w:t>notice requirement and compliance with</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3500" w:type="dxa"/>
            <w:vAlign w:val="bottom"/>
            <w:vMerge w:val="continue"/>
          </w:tcPr>
          <w:p>
            <w:pPr>
              <w:spacing w:after="0"/>
              <w:rPr>
                <w:sz w:val="5"/>
                <w:szCs w:val="5"/>
                <w:color w:val="auto"/>
              </w:rPr>
            </w:pPr>
          </w:p>
        </w:tc>
        <w:tc>
          <w:tcPr>
            <w:tcW w:w="3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Arial" w:cs="Arial" w:eastAsia="Arial" w:hAnsi="Arial"/>
                <w:sz w:val="16"/>
                <w:szCs w:val="16"/>
                <w:color w:val="auto"/>
              </w:rPr>
              <w:t>as assessed after the performance period.</w:t>
            </w:r>
          </w:p>
        </w:tc>
        <w:tc>
          <w:tcPr>
            <w:tcW w:w="3480" w:type="dxa"/>
            <w:vAlign w:val="bottom"/>
          </w:tcPr>
          <w:p>
            <w:pPr>
              <w:ind w:left="180"/>
              <w:spacing w:after="0"/>
              <w:rPr>
                <w:sz w:val="20"/>
                <w:szCs w:val="20"/>
                <w:color w:val="auto"/>
              </w:rPr>
            </w:pPr>
            <w:r>
              <w:rPr>
                <w:rFonts w:ascii="Arial" w:cs="Arial" w:eastAsia="Arial" w:hAnsi="Arial"/>
                <w:sz w:val="16"/>
                <w:szCs w:val="16"/>
                <w:color w:val="auto"/>
              </w:rPr>
              <w:t>certain covenants governing confidentiality,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non-solicitation, and non-competition and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settled in accordance with the provisions of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Section 409A of the Code. PRSUs granted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within 12 months of retirement are forfeited.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5829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69" w:lineRule="exact"/>
        <w:rPr>
          <w:sz w:val="20"/>
          <w:szCs w:val="20"/>
          <w:color w:val="auto"/>
        </w:rPr>
      </w:pPr>
    </w:p>
    <w:tbl>
      <w:tblPr>
        <w:tblLayout w:type="fixed"/>
        <w:tblInd w:w="86" w:type="dxa"/>
        <w:tblCellMar>
          <w:top w:w="0" w:type="dxa"/>
          <w:left w:w="0" w:type="dxa"/>
          <w:bottom w:w="0" w:type="dxa"/>
          <w:right w:w="0" w:type="dxa"/>
        </w:tblCellMar>
      </w:tblPr>
      <w:tr>
        <w:trPr>
          <w:trHeight w:val="189"/>
        </w:trPr>
        <w:tc>
          <w:tcPr>
            <w:tcW w:w="1720" w:type="dxa"/>
            <w:vAlign w:val="bottom"/>
            <w:vMerge w:val="restart"/>
          </w:tcPr>
          <w:p>
            <w:pPr>
              <w:spacing w:after="0"/>
              <w:rPr>
                <w:sz w:val="20"/>
                <w:szCs w:val="20"/>
                <w:color w:val="auto"/>
              </w:rPr>
            </w:pPr>
            <w:r>
              <w:rPr>
                <w:rFonts w:ascii="Arial" w:cs="Arial" w:eastAsia="Arial" w:hAnsi="Arial"/>
                <w:sz w:val="16"/>
                <w:szCs w:val="16"/>
                <w:b w:val="1"/>
                <w:bCs w:val="1"/>
                <w:color w:val="auto"/>
              </w:rPr>
              <w:t>Stock Options</w:t>
            </w:r>
          </w:p>
        </w:tc>
        <w:tc>
          <w:tcPr>
            <w:tcW w:w="3600" w:type="dxa"/>
            <w:vAlign w:val="bottom"/>
          </w:tcPr>
          <w:p>
            <w:pPr>
              <w:ind w:left="620"/>
              <w:spacing w:after="0"/>
              <w:rPr>
                <w:sz w:val="20"/>
                <w:szCs w:val="20"/>
                <w:color w:val="auto"/>
              </w:rPr>
            </w:pPr>
            <w:r>
              <w:rPr>
                <w:rFonts w:ascii="Arial" w:cs="Arial" w:eastAsia="Arial" w:hAnsi="Arial"/>
                <w:sz w:val="16"/>
                <w:szCs w:val="16"/>
                <w:color w:val="auto"/>
              </w:rPr>
              <w:t>Vested stock options expire on the 1-year</w:t>
            </w:r>
          </w:p>
        </w:tc>
        <w:tc>
          <w:tcPr>
            <w:tcW w:w="0" w:type="dxa"/>
            <w:vAlign w:val="bottom"/>
          </w:tcPr>
          <w:p>
            <w:pPr>
              <w:spacing w:after="0"/>
              <w:rPr>
                <w:sz w:val="1"/>
                <w:szCs w:val="1"/>
                <w:color w:val="auto"/>
              </w:rPr>
            </w:pPr>
          </w:p>
        </w:tc>
      </w:tr>
      <w:tr>
        <w:trPr>
          <w:trHeight w:val="128"/>
        </w:trPr>
        <w:tc>
          <w:tcPr>
            <w:tcW w:w="1720" w:type="dxa"/>
            <w:vAlign w:val="bottom"/>
            <w:vMerge w:val="continue"/>
          </w:tcPr>
          <w:p>
            <w:pPr>
              <w:spacing w:after="0"/>
              <w:rPr>
                <w:sz w:val="11"/>
                <w:szCs w:val="11"/>
                <w:color w:val="auto"/>
              </w:rPr>
            </w:pPr>
          </w:p>
        </w:tc>
        <w:tc>
          <w:tcPr>
            <w:tcW w:w="3600" w:type="dxa"/>
            <w:vAlign w:val="bottom"/>
            <w:vMerge w:val="restart"/>
          </w:tcPr>
          <w:p>
            <w:pPr>
              <w:ind w:left="620"/>
              <w:spacing w:after="0"/>
              <w:rPr>
                <w:sz w:val="20"/>
                <w:szCs w:val="20"/>
                <w:color w:val="auto"/>
              </w:rPr>
            </w:pPr>
            <w:r>
              <w:rPr>
                <w:rFonts w:ascii="Arial" w:cs="Arial" w:eastAsia="Arial" w:hAnsi="Arial"/>
                <w:sz w:val="16"/>
                <w:szCs w:val="16"/>
                <w:color w:val="auto"/>
              </w:rPr>
              <w:t>anniversary of the date of termination.</w:t>
            </w: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58293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Vested stock options expire on the 1-year anniversary of the date of termination.</w:t>
      </w:r>
    </w:p>
    <w:p>
      <w:pPr>
        <w:spacing w:after="0" w:line="79" w:lineRule="exact"/>
        <w:rPr>
          <w:sz w:val="20"/>
          <w:szCs w:val="20"/>
          <w:color w:val="auto"/>
        </w:rPr>
      </w:pPr>
    </w:p>
    <w:p>
      <w:pPr>
        <w:sectPr>
          <w:pgSz w:w="11900" w:h="16838" w:orient="portrait"/>
          <w:cols w:equalWidth="0" w:num="2">
            <w:col w:w="5406" w:space="480"/>
            <w:col w:w="3300"/>
          </w:cols>
          <w:pgMar w:left="1354" w:top="114" w:right="1359" w:bottom="1440" w:gutter="0" w:footer="0" w:header="0"/>
          <w:type w:val="continuous"/>
        </w:sectPr>
      </w:pPr>
    </w:p>
    <w:p>
      <w:pPr>
        <w:ind w:left="346" w:right="40" w:hanging="346"/>
        <w:spacing w:after="0" w:line="252" w:lineRule="auto"/>
        <w:tabs>
          <w:tab w:leader="none" w:pos="346"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 xml:space="preserve">Definition of Retirement: </w:t>
      </w:r>
      <w:r>
        <w:rPr>
          <w:rFonts w:ascii="Arial" w:cs="Arial" w:eastAsia="Arial" w:hAnsi="Arial"/>
          <w:sz w:val="14"/>
          <w:szCs w:val="14"/>
          <w:color w:val="auto"/>
        </w:rPr>
        <w:t>For purposes of all outstanding awards granted under the IIP to NEOs located in the U.S., “retirement” means the</w:t>
      </w:r>
      <w:r>
        <w:rPr>
          <w:rFonts w:ascii="Arial" w:cs="Arial" w:eastAsia="Arial" w:hAnsi="Arial"/>
          <w:sz w:val="14"/>
          <w:szCs w:val="14"/>
          <w:i w:val="1"/>
          <w:iCs w:val="1"/>
          <w:color w:val="auto"/>
        </w:rPr>
        <w:t xml:space="preserve"> </w:t>
      </w:r>
      <w:r>
        <w:rPr>
          <w:rFonts w:ascii="Arial" w:cs="Arial" w:eastAsia="Arial" w:hAnsi="Arial"/>
          <w:sz w:val="14"/>
          <w:szCs w:val="14"/>
          <w:color w:val="auto"/>
        </w:rPr>
        <w:t>earlier of the age 65, or the age 55 with at least 10 years of service with Itron. For purposes of all outstanding awards granted under the LTIP to NEOs located in the U.S., “retirement” means voluntary termination of employment after the date on which the award recipient has reached (i) the age of 55 and has a total of at least 10 years of continuous employment with Itron or (ii) the age of 60 and has a total of at least five (5) years of continuous employment with Itron.</w:t>
      </w:r>
    </w:p>
    <w:p>
      <w:pPr>
        <w:spacing w:after="0" w:line="22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Termination without Cause</w:t>
      </w:r>
    </w:p>
    <w:p>
      <w:pPr>
        <w:spacing w:after="0" w:line="90" w:lineRule="exact"/>
        <w:rPr>
          <w:sz w:val="20"/>
          <w:szCs w:val="20"/>
          <w:color w:val="auto"/>
        </w:rPr>
      </w:pPr>
    </w:p>
    <w:p>
      <w:pPr>
        <w:ind w:left="6" w:right="20"/>
        <w:spacing w:after="0" w:line="253" w:lineRule="auto"/>
        <w:rPr>
          <w:sz w:val="20"/>
          <w:szCs w:val="20"/>
          <w:color w:val="auto"/>
        </w:rPr>
      </w:pPr>
      <w:r>
        <w:rPr>
          <w:rFonts w:ascii="Arial" w:cs="Arial" w:eastAsia="Arial" w:hAnsi="Arial"/>
          <w:sz w:val="16"/>
          <w:szCs w:val="16"/>
          <w:color w:val="auto"/>
        </w:rPr>
        <w:t>The Company maintains an Executive Officer Severance Pay Policy that provides transitional support to executive officers whose employment is terminated involuntarily, other than for disciplinary reasons. Under the policy, eligible executive officers will be entitled to receive severance benefits equal to one year’s base salary, continued employer benefit premium payments or reimbursements for up to one year, outplacement assistance, and prorated vesting of PRSUs based on the actual attainment of the performance goals as assessed after the end of the performance period, in each case subject to the executive officer’s execution of a release of claims and compliance with applicable restrictive covenants, including a one-year non-compete (where enforceable), a one-year non-solicitation, and a non-disparagement agreement.</w:t>
      </w:r>
    </w:p>
    <w:p>
      <w:pPr>
        <w:spacing w:after="0" w:line="141" w:lineRule="exact"/>
        <w:rPr>
          <w:sz w:val="20"/>
          <w:szCs w:val="20"/>
          <w:color w:val="auto"/>
        </w:rPr>
      </w:pPr>
    </w:p>
    <w:p>
      <w:pPr>
        <w:ind w:left="6" w:right="660"/>
        <w:spacing w:after="0" w:line="286" w:lineRule="auto"/>
        <w:rPr>
          <w:sz w:val="20"/>
          <w:szCs w:val="20"/>
          <w:color w:val="auto"/>
        </w:rPr>
      </w:pPr>
      <w:r>
        <w:rPr>
          <w:rFonts w:ascii="Arial" w:cs="Arial" w:eastAsia="Arial" w:hAnsi="Arial"/>
          <w:sz w:val="16"/>
          <w:szCs w:val="16"/>
          <w:color w:val="auto"/>
        </w:rPr>
        <w:t>Any unpaid IIP award and any unvested RSU would be forfeited. Vested stock options expire 3 months after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1"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Potential Payments upon Change-in-Control</w:t>
      </w:r>
    </w:p>
    <w:p>
      <w:pPr>
        <w:spacing w:after="0" w:line="7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Company has entered into a Change in Control Severance Agreement with each of our executive officers. The following summarizes the material provisions of the agreements applicable to each NEO. Under these agreements, if a change-in-control occurs and an NEO’s employment is terminated within 24 months other than (a) by the Company for cause, (b) by reason of death or disability, or (c) by the executive without “good reason,” the NEO is entitled to the following benefits:</w:t>
      </w:r>
    </w:p>
    <w:p>
      <w:pPr>
        <w:spacing w:after="0" w:line="56" w:lineRule="exact"/>
        <w:rPr>
          <w:sz w:val="20"/>
          <w:szCs w:val="20"/>
          <w:color w:val="auto"/>
        </w:rPr>
      </w:pPr>
    </w:p>
    <w:p>
      <w:pPr>
        <w:ind w:left="560" w:right="60" w:hanging="206"/>
        <w:spacing w:after="0" w:line="259"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Severance Benefit: </w:t>
      </w:r>
      <w:r>
        <w:rPr>
          <w:rFonts w:ascii="Arial" w:cs="Arial" w:eastAsia="Arial" w:hAnsi="Arial"/>
          <w:sz w:val="16"/>
          <w:szCs w:val="16"/>
          <w:color w:val="auto"/>
        </w:rPr>
        <w:t>The agreements provide Mr. Deitrich with a severance benefit equal to 2.5 times the sum of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salary and target annual incentive opportunity. For Ms. Hooper, Mr. Reeves, Mr. Marcolini, and Mr. Patrick, the benefit is equal to two (2) times the sum of base salary and target annual incentive opportunity. For all, the benefit is paid in cash in one lump sum.</w:t>
      </w:r>
    </w:p>
    <w:p>
      <w:pPr>
        <w:spacing w:after="0" w:line="69" w:lineRule="exact"/>
        <w:rPr>
          <w:rFonts w:ascii="Arial" w:cs="Arial" w:eastAsia="Arial" w:hAnsi="Arial"/>
          <w:sz w:val="16"/>
          <w:szCs w:val="16"/>
          <w:color w:val="auto"/>
        </w:rPr>
      </w:pPr>
    </w:p>
    <w:p>
      <w:pPr>
        <w:jc w:val="both"/>
        <w:ind w:left="560" w:right="60" w:hanging="206"/>
        <w:spacing w:after="0" w:line="266"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Pro-Rata Annual Incentive for Year of Termination: </w:t>
      </w:r>
      <w:r>
        <w:rPr>
          <w:rFonts w:ascii="Arial" w:cs="Arial" w:eastAsia="Arial" w:hAnsi="Arial"/>
          <w:sz w:val="16"/>
          <w:szCs w:val="16"/>
          <w:color w:val="auto"/>
        </w:rPr>
        <w:t>The agreements provide for an amount in respect of the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target annual cash bonus compensation for the fiscal year in which the date of termination occurs, which amount will be paid out pro-rata, based on the portion of the performance period which has elapsed as of the date of termination.</w:t>
      </w:r>
    </w:p>
    <w:p>
      <w:pPr>
        <w:spacing w:after="0" w:line="63" w:lineRule="exact"/>
        <w:rPr>
          <w:rFonts w:ascii="Arial" w:cs="Arial" w:eastAsia="Arial" w:hAnsi="Arial"/>
          <w:sz w:val="16"/>
          <w:szCs w:val="16"/>
          <w:color w:val="auto"/>
        </w:rPr>
      </w:pPr>
    </w:p>
    <w:p>
      <w:pPr>
        <w:jc w:val="both"/>
        <w:ind w:left="560" w:right="100" w:hanging="206"/>
        <w:spacing w:after="0" w:line="259"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Welfare Benefit Continuation: </w:t>
      </w:r>
      <w:r>
        <w:rPr>
          <w:rFonts w:ascii="Arial" w:cs="Arial" w:eastAsia="Arial" w:hAnsi="Arial"/>
          <w:sz w:val="16"/>
          <w:szCs w:val="16"/>
          <w:color w:val="auto"/>
        </w:rPr>
        <w:t>The agreements provide Mr. Deitrich and his dependents with 2.5 years of life, disability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health insurance coverage (with no tax gross-up). For Ms. Hooper, Mr. Reeves, Mr. Marcolini, and Mr. Patrick, and each executives’ dependents, this benefit is equal to two (2) years of life, disability and health insurance coverage (with no tax gross-up).</w:t>
      </w:r>
    </w:p>
    <w:p>
      <w:pPr>
        <w:spacing w:after="0" w:line="69" w:lineRule="exact"/>
        <w:rPr>
          <w:rFonts w:ascii="Arial" w:cs="Arial" w:eastAsia="Arial" w:hAnsi="Arial"/>
          <w:sz w:val="16"/>
          <w:szCs w:val="16"/>
          <w:color w:val="auto"/>
        </w:rPr>
      </w:pPr>
    </w:p>
    <w:p>
      <w:pPr>
        <w:ind w:left="560" w:right="20" w:hanging="206"/>
        <w:spacing w:after="0" w:line="266"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The agreements provide that any PRSU award outstanding as of the date of termination shall be vested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greater of target or actual performance for the year (if the date of termination occurs during the performance period applicable to such award). Other equity awards will be governed by the terms of the applicable award agreement.</w:t>
      </w:r>
    </w:p>
    <w:p>
      <w:pPr>
        <w:spacing w:after="0" w:line="63" w:lineRule="exact"/>
        <w:rPr>
          <w:rFonts w:ascii="Arial" w:cs="Arial" w:eastAsia="Arial" w:hAnsi="Arial"/>
          <w:sz w:val="16"/>
          <w:szCs w:val="16"/>
          <w:color w:val="auto"/>
        </w:rPr>
      </w:pPr>
    </w:p>
    <w:p>
      <w:pPr>
        <w:ind w:left="560" w:right="160" w:hanging="206"/>
        <w:spacing w:after="0" w:line="266"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Excise Tax Gross-Up: </w:t>
      </w:r>
      <w:r>
        <w:rPr>
          <w:rFonts w:ascii="Arial" w:cs="Arial" w:eastAsia="Arial" w:hAnsi="Arial"/>
          <w:sz w:val="16"/>
          <w:szCs w:val="16"/>
          <w:color w:val="auto"/>
        </w:rPr>
        <w:t>There are no effective provisions for an excise tax gross-up. The agreements provide that</w:t>
      </w:r>
      <w:r>
        <w:rPr>
          <w:rFonts w:ascii="Arial" w:cs="Arial" w:eastAsia="Arial" w:hAnsi="Arial"/>
          <w:sz w:val="16"/>
          <w:szCs w:val="16"/>
          <w:i w:val="1"/>
          <w:iCs w:val="1"/>
          <w:color w:val="auto"/>
        </w:rPr>
        <w:t xml:space="preserve"> </w:t>
      </w:r>
      <w:r>
        <w:rPr>
          <w:rFonts w:ascii="Arial" w:cs="Arial" w:eastAsia="Arial" w:hAnsi="Arial"/>
          <w:sz w:val="16"/>
          <w:szCs w:val="16"/>
          <w:color w:val="auto"/>
        </w:rPr>
        <w:t>change-in-control payments will be reduced, if necessary, to the level that results in the greater after-tax amount to the executive after taking the excise tax under Section 280G of the Code into account.</w:t>
      </w:r>
    </w:p>
    <w:p>
      <w:pPr>
        <w:spacing w:after="0" w:line="63" w:lineRule="exact"/>
        <w:rPr>
          <w:rFonts w:ascii="Arial" w:cs="Arial" w:eastAsia="Arial" w:hAnsi="Arial"/>
          <w:sz w:val="16"/>
          <w:szCs w:val="16"/>
          <w:color w:val="auto"/>
        </w:rPr>
      </w:pPr>
    </w:p>
    <w:p>
      <w:pPr>
        <w:ind w:left="560" w:right="200" w:hanging="206"/>
        <w:spacing w:after="0" w:line="286"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Legal Fees: </w:t>
      </w:r>
      <w:r>
        <w:rPr>
          <w:rFonts w:ascii="Arial" w:cs="Arial" w:eastAsia="Arial" w:hAnsi="Arial"/>
          <w:sz w:val="16"/>
          <w:szCs w:val="16"/>
          <w:color w:val="auto"/>
        </w:rPr>
        <w:t>The agreements provide that NEOs will be reimbursed for legal fees and expenses incurred in seeking to</w:t>
      </w:r>
      <w:r>
        <w:rPr>
          <w:rFonts w:ascii="Arial" w:cs="Arial" w:eastAsia="Arial" w:hAnsi="Arial"/>
          <w:sz w:val="16"/>
          <w:szCs w:val="16"/>
          <w:i w:val="1"/>
          <w:iCs w:val="1"/>
          <w:color w:val="auto"/>
        </w:rPr>
        <w:t xml:space="preserve"> </w:t>
      </w:r>
      <w:r>
        <w:rPr>
          <w:rFonts w:ascii="Arial" w:cs="Arial" w:eastAsia="Arial" w:hAnsi="Arial"/>
          <w:sz w:val="16"/>
          <w:szCs w:val="16"/>
          <w:color w:val="auto"/>
        </w:rPr>
        <w:t>enforce the agreement.</w:t>
      </w:r>
    </w:p>
    <w:p>
      <w:pPr>
        <w:spacing w:after="0" w:line="47" w:lineRule="exact"/>
        <w:rPr>
          <w:rFonts w:ascii="Arial" w:cs="Arial" w:eastAsia="Arial" w:hAnsi="Arial"/>
          <w:sz w:val="16"/>
          <w:szCs w:val="16"/>
          <w:color w:val="auto"/>
        </w:rPr>
      </w:pPr>
    </w:p>
    <w:p>
      <w:pPr>
        <w:ind w:left="560" w:right="420" w:hanging="206"/>
        <w:spacing w:after="0" w:line="266"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The agreements include restrictive covenants relating to non-solicitation (one-year), non-disparagement, and non-competition (one-year, where enforceable), and require a release of all claims against the Company.</w:t>
      </w:r>
    </w:p>
    <w:p>
      <w:pPr>
        <w:spacing w:after="0" w:line="63" w:lineRule="exact"/>
        <w:rPr>
          <w:rFonts w:ascii="Arial" w:cs="Arial" w:eastAsia="Arial" w:hAnsi="Arial"/>
          <w:sz w:val="16"/>
          <w:szCs w:val="16"/>
          <w:color w:val="auto"/>
        </w:rPr>
      </w:pPr>
    </w:p>
    <w:p>
      <w:pPr>
        <w:ind w:left="560" w:right="140" w:hanging="206"/>
        <w:spacing w:after="0" w:line="286"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Change-in-Control: </w:t>
      </w:r>
      <w:r>
        <w:rPr>
          <w:rFonts w:ascii="Arial" w:cs="Arial" w:eastAsia="Arial" w:hAnsi="Arial"/>
          <w:sz w:val="16"/>
          <w:szCs w:val="16"/>
          <w:color w:val="auto"/>
        </w:rPr>
        <w:t>For purposes of the agreements, a “change-in-control” generally consists of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w:t>
      </w:r>
    </w:p>
    <w:p>
      <w:pPr>
        <w:spacing w:after="0" w:line="20" w:lineRule="exact"/>
        <w:rPr>
          <w:rFonts w:ascii="Arial" w:cs="Arial" w:eastAsia="Arial" w:hAnsi="Arial"/>
          <w:sz w:val="16"/>
          <w:szCs w:val="16"/>
          <w:color w:val="auto"/>
        </w:rPr>
      </w:pPr>
    </w:p>
    <w:p>
      <w:pPr>
        <w:ind w:left="940" w:hanging="226"/>
        <w:spacing w:after="0"/>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 acquisition of 25 percent or more of our voting securities;</w:t>
      </w:r>
    </w:p>
    <w:p>
      <w:pPr>
        <w:spacing w:after="0" w:line="113" w:lineRule="exact"/>
        <w:rPr>
          <w:rFonts w:ascii="Arial" w:cs="Arial" w:eastAsia="Arial" w:hAnsi="Arial"/>
          <w:sz w:val="16"/>
          <w:szCs w:val="16"/>
          <w:color w:val="auto"/>
        </w:rPr>
      </w:pPr>
    </w:p>
    <w:p>
      <w:pPr>
        <w:ind w:left="940" w:hanging="226"/>
        <w:spacing w:after="0"/>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Our current Board of Directors (and their approved successors) ceasing to constitute a majority of the Board;</w:t>
      </w:r>
    </w:p>
    <w:p>
      <w:pPr>
        <w:spacing w:after="0" w:line="113" w:lineRule="exact"/>
        <w:rPr>
          <w:rFonts w:ascii="Arial" w:cs="Arial" w:eastAsia="Arial" w:hAnsi="Arial"/>
          <w:sz w:val="16"/>
          <w:szCs w:val="16"/>
          <w:color w:val="auto"/>
        </w:rPr>
      </w:pPr>
    </w:p>
    <w:p>
      <w:pPr>
        <w:ind w:left="940" w:right="260" w:hanging="226"/>
        <w:spacing w:after="0" w:line="266" w:lineRule="auto"/>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63" w:lineRule="exact"/>
        <w:rPr>
          <w:rFonts w:ascii="Arial" w:cs="Arial" w:eastAsia="Arial" w:hAnsi="Arial"/>
          <w:sz w:val="16"/>
          <w:szCs w:val="16"/>
          <w:color w:val="auto"/>
        </w:rPr>
      </w:pPr>
    </w:p>
    <w:p>
      <w:pPr>
        <w:ind w:left="940" w:right="980" w:hanging="226"/>
        <w:spacing w:after="0" w:line="286" w:lineRule="auto"/>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Consummation of any sale or disposition of all or substantially all of our assets, or the approval by our shareholders of a plan of complete liquidation or dissolution of the Company.</w:t>
      </w:r>
    </w:p>
    <w:p>
      <w:pPr>
        <w:spacing w:after="0" w:line="47" w:lineRule="exact"/>
        <w:rPr>
          <w:rFonts w:ascii="Arial" w:cs="Arial" w:eastAsia="Arial" w:hAnsi="Arial"/>
          <w:sz w:val="16"/>
          <w:szCs w:val="16"/>
          <w:color w:val="auto"/>
        </w:rPr>
      </w:pPr>
    </w:p>
    <w:p>
      <w:pPr>
        <w:ind w:left="560" w:right="360" w:hanging="206"/>
        <w:spacing w:after="0" w:line="286"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Good Reason: </w:t>
      </w:r>
      <w:r>
        <w:rPr>
          <w:rFonts w:ascii="Arial" w:cs="Arial" w:eastAsia="Arial" w:hAnsi="Arial"/>
          <w:sz w:val="16"/>
          <w:szCs w:val="16"/>
          <w:color w:val="auto"/>
        </w:rPr>
        <w:t>For purposes of the agreements, “good reason” for termination by the NEO of his or her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generally means any one of the following acts by the Company following a change-in-control:</w:t>
      </w:r>
    </w:p>
    <w:p>
      <w:pPr>
        <w:spacing w:after="0" w:line="47" w:lineRule="exact"/>
        <w:rPr>
          <w:rFonts w:ascii="Arial" w:cs="Arial" w:eastAsia="Arial" w:hAnsi="Arial"/>
          <w:sz w:val="16"/>
          <w:szCs w:val="16"/>
          <w:color w:val="auto"/>
        </w:rPr>
      </w:pPr>
    </w:p>
    <w:p>
      <w:pPr>
        <w:ind w:left="940" w:hanging="226"/>
        <w:spacing w:after="0"/>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 adverse change in the NEO’s duties, status or position as an executive officer;</w:t>
      </w:r>
    </w:p>
    <w:p>
      <w:pPr>
        <w:spacing w:after="0" w:line="113" w:lineRule="exact"/>
        <w:rPr>
          <w:rFonts w:ascii="Arial" w:cs="Arial" w:eastAsia="Arial" w:hAnsi="Arial"/>
          <w:sz w:val="16"/>
          <w:szCs w:val="16"/>
          <w:color w:val="auto"/>
        </w:rPr>
      </w:pPr>
    </w:p>
    <w:p>
      <w:pPr>
        <w:ind w:left="940" w:hanging="226"/>
        <w:spacing w:after="0"/>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reduction in the NEO’s base salary;</w:t>
      </w:r>
    </w:p>
    <w:p>
      <w:pPr>
        <w:spacing w:after="0" w:line="113" w:lineRule="exact"/>
        <w:rPr>
          <w:rFonts w:ascii="Arial" w:cs="Arial" w:eastAsia="Arial" w:hAnsi="Arial"/>
          <w:sz w:val="16"/>
          <w:szCs w:val="16"/>
          <w:color w:val="auto"/>
        </w:rPr>
      </w:pPr>
    </w:p>
    <w:p>
      <w:pPr>
        <w:ind w:left="940" w:hanging="226"/>
        <w:spacing w:after="0"/>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reduction in the NEO’s annual bonus or long-term incentive opportunity;</w:t>
      </w:r>
    </w:p>
    <w:p>
      <w:pPr>
        <w:spacing w:after="0" w:line="113" w:lineRule="exact"/>
        <w:rPr>
          <w:rFonts w:ascii="Arial" w:cs="Arial" w:eastAsia="Arial" w:hAnsi="Arial"/>
          <w:sz w:val="16"/>
          <w:szCs w:val="16"/>
          <w:color w:val="auto"/>
        </w:rPr>
      </w:pPr>
    </w:p>
    <w:p>
      <w:pPr>
        <w:ind w:left="940" w:right="880" w:hanging="226"/>
        <w:spacing w:after="0" w:line="286" w:lineRule="auto"/>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failure to continue to provide welfare, medical, and other fringe benefits which in the aggregate are substantially similar to those provided immediately prior to the change-in-control;</w:t>
      </w:r>
    </w:p>
    <w:p>
      <w:pPr>
        <w:spacing w:after="0" w:line="47" w:lineRule="exact"/>
        <w:rPr>
          <w:rFonts w:ascii="Arial" w:cs="Arial" w:eastAsia="Arial" w:hAnsi="Arial"/>
          <w:sz w:val="16"/>
          <w:szCs w:val="16"/>
          <w:color w:val="auto"/>
        </w:rPr>
      </w:pPr>
    </w:p>
    <w:p>
      <w:pPr>
        <w:ind w:left="940" w:right="620" w:hanging="226"/>
        <w:spacing w:after="0" w:line="286" w:lineRule="auto"/>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requirement for the NEO to be based at an office more than 50 miles from the NEO’s office prior to the change-in-control; or</w:t>
      </w:r>
    </w:p>
    <w:p>
      <w:pPr>
        <w:spacing w:after="0" w:line="47" w:lineRule="exact"/>
        <w:rPr>
          <w:rFonts w:ascii="Arial" w:cs="Arial" w:eastAsia="Arial" w:hAnsi="Arial"/>
          <w:sz w:val="16"/>
          <w:szCs w:val="16"/>
          <w:color w:val="auto"/>
        </w:rPr>
      </w:pPr>
    </w:p>
    <w:p>
      <w:pPr>
        <w:ind w:left="940" w:right="880" w:hanging="226"/>
        <w:spacing w:after="0" w:line="286" w:lineRule="auto"/>
        <w:tabs>
          <w:tab w:leader="none" w:pos="9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failure by the Company or successor company to assume or agree to perform the provisions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58293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1"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also “Termination Payment Tables for NEOs” below.</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LTIP Change-in-Control Provisions</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Pursuant to the terms of our LTIP and RSU award agreements, in the event of a change-in-control, generally as defined in our Change in Control Severance Agreements described above (except that the trigger for acquisition of our voting securities is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50 percent), if the award is not assumed or substituted for by the surviving corporation or if the acquiring company is not publicly traded, the award will fully accelerate in vesting. If the award is assumed or substituted for by a publicly traded company and the executive’s employment is terminated within 24 months following the change-in-control other than (a) for cause, (b) by reason of retirement, death or disability, or (c) by the executive without good reason, the award will fully accelerate in vesting as of the date of termination.</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Pursuant to the terms of our LTIP and PRSU award agreements, in the event of a change-in-control, generally as defined in our Change in Control Severance Agreements described above (except that the trigger for acquisition of our voting securities is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50 percent), if the award is not assumed or substituted for by the surviving corporation or if the acquiring company is not publicly traded, the award will fully accelerate in vesting. If the award is assumed or substituted for by a publicly traded company, the Change in Control Severance Agreements with each of our executive officers, as described above, govern the treatment of PRSU awards in the event of a termination of employment following a change-in-control.</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 Severance Pay Policy</w:t>
      </w:r>
    </w:p>
    <w:p>
      <w:pPr>
        <w:spacing w:after="0" w:line="8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outplacement assistance for one year, and pro-rated vesting of PRSUs based on the actual attainment of the performance goals as assessed after the applicable performance period, provided that the executive (1) releases all claims that he or she may have against the Company, (2) enters into a one year non-compete agreement (where enforceable), (3) agrees not to solicit employees for a period of one year, and (4) agrees not to disparage the Company. The Company, at its sole discretion, may elect to make the severance payment in equal payments over a 12-month period or in a single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58293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0"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48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2" w:name="page53"/>
    <w:bookmarkEnd w:id="5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Termination Payment Tables for NEOs</w:t>
      </w:r>
    </w:p>
    <w:p>
      <w:pPr>
        <w:spacing w:after="0" w:line="72" w:lineRule="exact"/>
        <w:rPr>
          <w:sz w:val="20"/>
          <w:szCs w:val="20"/>
          <w:color w:val="auto"/>
        </w:rPr>
      </w:pPr>
    </w:p>
    <w:p>
      <w:pPr>
        <w:ind w:left="6" w:right="140"/>
        <w:spacing w:after="0" w:line="256" w:lineRule="auto"/>
        <w:rPr>
          <w:sz w:val="20"/>
          <w:szCs w:val="20"/>
          <w:color w:val="auto"/>
        </w:rPr>
      </w:pPr>
      <w:r>
        <w:rPr>
          <w:rFonts w:ascii="Arial" w:cs="Arial" w:eastAsia="Arial" w:hAnsi="Arial"/>
          <w:sz w:val="16"/>
          <w:szCs w:val="16"/>
          <w:color w:val="auto"/>
        </w:rPr>
        <w:t>The tables below reflect the estimated amount of compensation payable to each of our NEOs in the event of termination of employment or change-in-control. The tables do not include benefits generally available to all employees on a non-discriminatory basis. The amounts shown assume that such termination or change-in-control was effective as of December 31, 2025. The actual amounts to be paid out can only be determined at the time of such executive’s termination or upon a change-in-control, as applicable.</w:t>
      </w:r>
    </w:p>
    <w:p>
      <w:pPr>
        <w:spacing w:after="0" w:line="77"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1720" w:type="dxa"/>
            <w:vAlign w:val="bottom"/>
          </w:tcPr>
          <w:p>
            <w:pPr>
              <w:spacing w:after="0"/>
              <w:rPr>
                <w:sz w:val="17"/>
                <w:szCs w:val="17"/>
                <w:color w:val="auto"/>
              </w:rPr>
            </w:pPr>
          </w:p>
        </w:tc>
        <w:tc>
          <w:tcPr>
            <w:tcW w:w="1040" w:type="dxa"/>
            <w:vAlign w:val="bottom"/>
            <w:tcBorders>
              <w:bottom w:val="single" w:sz="8" w:color="0063A6"/>
            </w:tcBorders>
          </w:tcPr>
          <w:p>
            <w:pPr>
              <w:spacing w:after="0"/>
              <w:rPr>
                <w:sz w:val="17"/>
                <w:szCs w:val="17"/>
                <w:color w:val="auto"/>
              </w:rPr>
            </w:pPr>
          </w:p>
        </w:tc>
        <w:tc>
          <w:tcPr>
            <w:tcW w:w="1040" w:type="dxa"/>
            <w:vAlign w:val="bottom"/>
            <w:tcBorders>
              <w:bottom w:val="single" w:sz="8" w:color="0063A6"/>
            </w:tcBorders>
          </w:tcPr>
          <w:p>
            <w:pPr>
              <w:spacing w:after="0"/>
              <w:rPr>
                <w:sz w:val="17"/>
                <w:szCs w:val="17"/>
                <w:color w:val="auto"/>
              </w:rPr>
            </w:pPr>
          </w:p>
        </w:tc>
        <w:tc>
          <w:tcPr>
            <w:tcW w:w="220" w:type="dxa"/>
            <w:vAlign w:val="bottom"/>
            <w:tcBorders>
              <w:bottom w:val="single" w:sz="8" w:color="0063A6"/>
            </w:tcBorders>
          </w:tcPr>
          <w:p>
            <w:pPr>
              <w:spacing w:after="0"/>
              <w:rPr>
                <w:sz w:val="17"/>
                <w:szCs w:val="17"/>
                <w:color w:val="auto"/>
              </w:rPr>
            </w:pPr>
          </w:p>
        </w:tc>
        <w:tc>
          <w:tcPr>
            <w:tcW w:w="760" w:type="dxa"/>
            <w:vAlign w:val="bottom"/>
            <w:tcBorders>
              <w:bottom w:val="single" w:sz="8" w:color="0063A6"/>
            </w:tcBorders>
          </w:tcPr>
          <w:p>
            <w:pPr>
              <w:spacing w:after="0"/>
              <w:rPr>
                <w:sz w:val="17"/>
                <w:szCs w:val="17"/>
                <w:color w:val="auto"/>
              </w:rPr>
            </w:pPr>
          </w:p>
        </w:tc>
        <w:tc>
          <w:tcPr>
            <w:tcW w:w="260" w:type="dxa"/>
            <w:vAlign w:val="bottom"/>
            <w:tcBorders>
              <w:bottom w:val="single" w:sz="8" w:color="0063A6"/>
            </w:tcBorders>
          </w:tcPr>
          <w:p>
            <w:pPr>
              <w:spacing w:after="0"/>
              <w:rPr>
                <w:sz w:val="17"/>
                <w:szCs w:val="17"/>
                <w:color w:val="auto"/>
              </w:rPr>
            </w:pPr>
          </w:p>
        </w:tc>
        <w:tc>
          <w:tcPr>
            <w:tcW w:w="880" w:type="dxa"/>
            <w:vAlign w:val="bottom"/>
            <w:tcBorders>
              <w:bottom w:val="single" w:sz="8" w:color="0063A6"/>
            </w:tcBorders>
          </w:tcPr>
          <w:p>
            <w:pPr>
              <w:jc w:val="center"/>
              <w:spacing w:after="0"/>
              <w:rPr>
                <w:sz w:val="20"/>
                <w:szCs w:val="20"/>
                <w:color w:val="auto"/>
              </w:rPr>
            </w:pPr>
            <w:r>
              <w:rPr>
                <w:rFonts w:ascii="Arial" w:cs="Arial" w:eastAsia="Arial" w:hAnsi="Arial"/>
                <w:sz w:val="14"/>
                <w:szCs w:val="14"/>
                <w:b w:val="1"/>
                <w:bCs w:val="1"/>
                <w:color w:val="auto"/>
              </w:rPr>
              <w:t>ITRON, INC.</w:t>
            </w:r>
          </w:p>
        </w:tc>
        <w:tc>
          <w:tcPr>
            <w:tcW w:w="160" w:type="dxa"/>
            <w:vAlign w:val="bottom"/>
            <w:tcBorders>
              <w:bottom w:val="single" w:sz="8" w:color="0063A6"/>
            </w:tcBorders>
          </w:tcPr>
          <w:p>
            <w:pPr>
              <w:spacing w:after="0"/>
              <w:rPr>
                <w:sz w:val="17"/>
                <w:szCs w:val="17"/>
                <w:color w:val="auto"/>
              </w:rPr>
            </w:pPr>
          </w:p>
        </w:tc>
        <w:tc>
          <w:tcPr>
            <w:tcW w:w="800" w:type="dxa"/>
            <w:vAlign w:val="bottom"/>
            <w:tcBorders>
              <w:bottom w:val="single" w:sz="8" w:color="0063A6"/>
            </w:tcBorders>
          </w:tcPr>
          <w:p>
            <w:pPr>
              <w:spacing w:after="0"/>
              <w:rPr>
                <w:sz w:val="17"/>
                <w:szCs w:val="17"/>
                <w:color w:val="auto"/>
              </w:rPr>
            </w:pPr>
          </w:p>
        </w:tc>
        <w:tc>
          <w:tcPr>
            <w:tcW w:w="240" w:type="dxa"/>
            <w:vAlign w:val="bottom"/>
            <w:tcBorders>
              <w:bottom w:val="single" w:sz="8" w:color="0063A6"/>
            </w:tcBorders>
          </w:tcPr>
          <w:p>
            <w:pPr>
              <w:spacing w:after="0"/>
              <w:rPr>
                <w:sz w:val="17"/>
                <w:szCs w:val="17"/>
                <w:color w:val="auto"/>
              </w:rPr>
            </w:pPr>
          </w:p>
        </w:tc>
        <w:tc>
          <w:tcPr>
            <w:tcW w:w="840" w:type="dxa"/>
            <w:vAlign w:val="bottom"/>
            <w:tcBorders>
              <w:bottom w:val="single" w:sz="8" w:color="0063A6"/>
            </w:tcBorders>
          </w:tcPr>
          <w:p>
            <w:pPr>
              <w:spacing w:after="0"/>
              <w:rPr>
                <w:sz w:val="17"/>
                <w:szCs w:val="17"/>
                <w:color w:val="auto"/>
              </w:rPr>
            </w:pPr>
          </w:p>
        </w:tc>
        <w:tc>
          <w:tcPr>
            <w:tcW w:w="400" w:type="dxa"/>
            <w:vAlign w:val="bottom"/>
            <w:tcBorders>
              <w:bottom w:val="single" w:sz="8" w:color="0063A6"/>
            </w:tcBorders>
          </w:tcPr>
          <w:p>
            <w:pPr>
              <w:spacing w:after="0"/>
              <w:rPr>
                <w:sz w:val="17"/>
                <w:szCs w:val="17"/>
                <w:color w:val="auto"/>
              </w:rPr>
            </w:pPr>
          </w:p>
        </w:tc>
        <w:tc>
          <w:tcPr>
            <w:tcW w:w="820" w:type="dxa"/>
            <w:vAlign w:val="bottom"/>
            <w:tcBorders>
              <w:bottom w:val="single" w:sz="8" w:color="0063A6"/>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040" w:type="dxa"/>
            <w:vAlign w:val="bottom"/>
            <w:tcBorders>
              <w:bottom w:val="single" w:sz="8" w:color="0063A6"/>
            </w:tcBorders>
          </w:tcPr>
          <w:p>
            <w:pPr>
              <w:spacing w:after="0"/>
              <w:rPr>
                <w:sz w:val="20"/>
                <w:szCs w:val="20"/>
                <w:color w:val="auto"/>
              </w:rPr>
            </w:pPr>
          </w:p>
        </w:tc>
        <w:tc>
          <w:tcPr>
            <w:tcW w:w="1040" w:type="dxa"/>
            <w:vAlign w:val="bottom"/>
            <w:tcBorders>
              <w:bottom w:val="single" w:sz="8" w:color="0063A6"/>
            </w:tcBorders>
          </w:tcPr>
          <w:p>
            <w:pPr>
              <w:spacing w:after="0"/>
              <w:rPr>
                <w:sz w:val="20"/>
                <w:szCs w:val="20"/>
                <w:color w:val="auto"/>
              </w:rPr>
            </w:pPr>
          </w:p>
        </w:tc>
        <w:tc>
          <w:tcPr>
            <w:tcW w:w="220" w:type="dxa"/>
            <w:vAlign w:val="bottom"/>
            <w:tcBorders>
              <w:bottom w:val="single" w:sz="8" w:color="0063A6"/>
            </w:tcBorders>
          </w:tcPr>
          <w:p>
            <w:pPr>
              <w:spacing w:after="0"/>
              <w:rPr>
                <w:sz w:val="20"/>
                <w:szCs w:val="20"/>
                <w:color w:val="auto"/>
              </w:rPr>
            </w:pPr>
          </w:p>
        </w:tc>
        <w:tc>
          <w:tcPr>
            <w:tcW w:w="2860" w:type="dxa"/>
            <w:vAlign w:val="bottom"/>
            <w:tcBorders>
              <w:bottom w:val="single" w:sz="8" w:color="0063A6"/>
            </w:tcBorders>
            <w:gridSpan w:val="5"/>
          </w:tcPr>
          <w:p>
            <w:pPr>
              <w:jc w:val="center"/>
              <w:spacing w:after="0"/>
              <w:rPr>
                <w:sz w:val="20"/>
                <w:szCs w:val="20"/>
                <w:color w:val="auto"/>
              </w:rPr>
            </w:pPr>
            <w:r>
              <w:rPr>
                <w:rFonts w:ascii="Arial" w:cs="Arial" w:eastAsia="Arial" w:hAnsi="Arial"/>
                <w:sz w:val="14"/>
                <w:szCs w:val="14"/>
                <w:b w:val="1"/>
                <w:bCs w:val="1"/>
                <w:color w:val="auto"/>
              </w:rPr>
              <w:t>Summary of Termination Payments</w:t>
            </w:r>
          </w:p>
        </w:tc>
        <w:tc>
          <w:tcPr>
            <w:tcW w:w="240" w:type="dxa"/>
            <w:vAlign w:val="bottom"/>
            <w:tcBorders>
              <w:bottom w:val="single" w:sz="8" w:color="0063A6"/>
            </w:tcBorders>
          </w:tcPr>
          <w:p>
            <w:pPr>
              <w:spacing w:after="0"/>
              <w:rPr>
                <w:sz w:val="20"/>
                <w:szCs w:val="20"/>
                <w:color w:val="auto"/>
              </w:rPr>
            </w:pPr>
          </w:p>
        </w:tc>
        <w:tc>
          <w:tcPr>
            <w:tcW w:w="840" w:type="dxa"/>
            <w:vAlign w:val="bottom"/>
            <w:tcBorders>
              <w:bottom w:val="single" w:sz="8" w:color="0063A6"/>
            </w:tcBorders>
          </w:tcPr>
          <w:p>
            <w:pPr>
              <w:spacing w:after="0"/>
              <w:rPr>
                <w:sz w:val="20"/>
                <w:szCs w:val="20"/>
                <w:color w:val="auto"/>
              </w:rPr>
            </w:pPr>
          </w:p>
        </w:tc>
        <w:tc>
          <w:tcPr>
            <w:tcW w:w="400" w:type="dxa"/>
            <w:vAlign w:val="bottom"/>
            <w:tcBorders>
              <w:bottom w:val="single" w:sz="8" w:color="0063A6"/>
            </w:tcBorders>
          </w:tcPr>
          <w:p>
            <w:pPr>
              <w:spacing w:after="0"/>
              <w:rPr>
                <w:sz w:val="20"/>
                <w:szCs w:val="20"/>
                <w:color w:val="auto"/>
              </w:rPr>
            </w:pPr>
          </w:p>
        </w:tc>
        <w:tc>
          <w:tcPr>
            <w:tcW w:w="8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00" w:type="dxa"/>
            <w:vAlign w:val="bottom"/>
            <w:gridSpan w:val="4"/>
          </w:tcPr>
          <w:p>
            <w:pPr>
              <w:jc w:val="center"/>
              <w:ind w:right="648"/>
              <w:spacing w:after="0"/>
              <w:rPr>
                <w:sz w:val="20"/>
                <w:szCs w:val="20"/>
                <w:color w:val="auto"/>
              </w:rPr>
            </w:pPr>
            <w:r>
              <w:rPr>
                <w:rFonts w:ascii="Arial" w:cs="Arial" w:eastAsia="Arial" w:hAnsi="Arial"/>
                <w:sz w:val="14"/>
                <w:szCs w:val="14"/>
                <w:b w:val="1"/>
                <w:bCs w:val="1"/>
                <w:color w:val="auto"/>
              </w:rPr>
              <w:t>Thomas L. Deitrich</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1040" w:type="dxa"/>
            <w:vAlign w:val="bottom"/>
            <w:shd w:val="clear" w:color="auto" w:fill="0063A6"/>
          </w:tcPr>
          <w:p>
            <w:pPr>
              <w:spacing w:after="0"/>
              <w:rPr>
                <w:sz w:val="18"/>
                <w:szCs w:val="18"/>
                <w:color w:val="auto"/>
              </w:rPr>
            </w:pPr>
          </w:p>
        </w:tc>
        <w:tc>
          <w:tcPr>
            <w:tcW w:w="104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76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880" w:type="dxa"/>
            <w:vAlign w:val="bottom"/>
            <w:shd w:val="clear" w:color="auto" w:fill="0063A6"/>
          </w:tcPr>
          <w:p>
            <w:pPr>
              <w:spacing w:after="0"/>
              <w:rPr>
                <w:sz w:val="18"/>
                <w:szCs w:val="18"/>
                <w:color w:val="auto"/>
              </w:rPr>
            </w:pPr>
          </w:p>
        </w:tc>
        <w:tc>
          <w:tcPr>
            <w:tcW w:w="160" w:type="dxa"/>
            <w:vAlign w:val="bottom"/>
            <w:shd w:val="clear" w:color="auto" w:fill="0063A6"/>
          </w:tcPr>
          <w:p>
            <w:pPr>
              <w:spacing w:after="0"/>
              <w:rPr>
                <w:sz w:val="18"/>
                <w:szCs w:val="18"/>
                <w:color w:val="auto"/>
              </w:rPr>
            </w:pPr>
          </w:p>
        </w:tc>
        <w:tc>
          <w:tcPr>
            <w:tcW w:w="800" w:type="dxa"/>
            <w:vAlign w:val="bottom"/>
            <w:shd w:val="clear" w:color="auto" w:fill="0063A6"/>
          </w:tcPr>
          <w:p>
            <w:pPr>
              <w:spacing w:after="0"/>
              <w:rPr>
                <w:sz w:val="18"/>
                <w:szCs w:val="18"/>
                <w:color w:val="auto"/>
              </w:rPr>
            </w:pPr>
          </w:p>
        </w:tc>
        <w:tc>
          <w:tcPr>
            <w:tcW w:w="240" w:type="dxa"/>
            <w:vAlign w:val="bottom"/>
            <w:shd w:val="clear" w:color="auto" w:fill="0063A6"/>
          </w:tcPr>
          <w:p>
            <w:pPr>
              <w:spacing w:after="0"/>
              <w:rPr>
                <w:sz w:val="18"/>
                <w:szCs w:val="18"/>
                <w:color w:val="auto"/>
              </w:rPr>
            </w:pPr>
          </w:p>
        </w:tc>
        <w:tc>
          <w:tcPr>
            <w:tcW w:w="84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4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40" w:type="dxa"/>
            <w:vAlign w:val="bottom"/>
            <w:shd w:val="clear" w:color="auto" w:fill="0063A6"/>
          </w:tcPr>
          <w:p>
            <w:pPr>
              <w:spacing w:after="0"/>
              <w:rPr>
                <w:sz w:val="14"/>
                <w:szCs w:val="14"/>
                <w:color w:val="auto"/>
              </w:rPr>
            </w:pPr>
          </w:p>
        </w:tc>
        <w:tc>
          <w:tcPr>
            <w:tcW w:w="400" w:type="dxa"/>
            <w:vAlign w:val="bottom"/>
            <w:shd w:val="clear" w:color="auto" w:fill="0063A6"/>
          </w:tcPr>
          <w:p>
            <w:pPr>
              <w:spacing w:after="0"/>
              <w:rPr>
                <w:sz w:val="14"/>
                <w:szCs w:val="14"/>
                <w:color w:val="auto"/>
              </w:rPr>
            </w:pPr>
          </w:p>
        </w:tc>
        <w:tc>
          <w:tcPr>
            <w:tcW w:w="8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the</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4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Executive for</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4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Good Reason</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1080" w:type="dxa"/>
            <w:vAlign w:val="bottom"/>
            <w:gridSpan w:val="2"/>
            <w:shd w:val="clear" w:color="auto" w:fill="0063A6"/>
          </w:tcPr>
          <w:p>
            <w:pPr>
              <w:jc w:val="right"/>
              <w:ind w:right="68"/>
              <w:spacing w:after="0"/>
              <w:rPr>
                <w:sz w:val="20"/>
                <w:szCs w:val="20"/>
                <w:color w:val="auto"/>
              </w:rPr>
            </w:pPr>
            <w:r>
              <w:rPr>
                <w:rFonts w:ascii="Arial" w:cs="Arial" w:eastAsia="Arial" w:hAnsi="Arial"/>
                <w:sz w:val="14"/>
                <w:szCs w:val="14"/>
                <w:b w:val="1"/>
                <w:bCs w:val="1"/>
                <w:color w:val="FFFFFF"/>
              </w:rPr>
              <w:t>Termination</w:t>
            </w: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04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1040" w:type="dxa"/>
            <w:vAlign w:val="bottom"/>
            <w:shd w:val="clear" w:color="auto" w:fill="0063A6"/>
          </w:tcPr>
          <w:p>
            <w:pPr>
              <w:jc w:val="right"/>
              <w:ind w:right="68"/>
              <w:spacing w:after="0"/>
              <w:rPr>
                <w:sz w:val="20"/>
                <w:szCs w:val="20"/>
                <w:color w:val="auto"/>
              </w:rPr>
            </w:pPr>
            <w:r>
              <w:rPr>
                <w:rFonts w:ascii="Arial" w:cs="Arial" w:eastAsia="Arial" w:hAnsi="Arial"/>
                <w:sz w:val="14"/>
                <w:szCs w:val="14"/>
                <w:b w:val="1"/>
                <w:bCs w:val="1"/>
                <w:color w:val="FFFFFF"/>
              </w:rPr>
              <w:t>Voluntary</w:t>
            </w:r>
          </w:p>
        </w:tc>
        <w:tc>
          <w:tcPr>
            <w:tcW w:w="22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40" w:type="dxa"/>
            <w:vAlign w:val="bottom"/>
            <w:shd w:val="clear" w:color="auto" w:fill="0063A6"/>
          </w:tcPr>
          <w:p>
            <w:pPr>
              <w:jc w:val="right"/>
              <w:ind w:right="68"/>
              <w:spacing w:after="0"/>
              <w:rPr>
                <w:sz w:val="20"/>
                <w:szCs w:val="20"/>
                <w:color w:val="auto"/>
              </w:rPr>
            </w:pPr>
            <w:r>
              <w:rPr>
                <w:rFonts w:ascii="Arial" w:cs="Arial" w:eastAsia="Arial" w:hAnsi="Arial"/>
                <w:sz w:val="14"/>
                <w:szCs w:val="14"/>
                <w:b w:val="1"/>
                <w:bCs w:val="1"/>
                <w:color w:val="FFFFFF"/>
              </w:rPr>
              <w:t>Without</w:t>
            </w:r>
          </w:p>
        </w:tc>
        <w:tc>
          <w:tcPr>
            <w:tcW w:w="400" w:type="dxa"/>
            <w:vAlign w:val="bottom"/>
            <w:shd w:val="clear" w:color="auto" w:fill="0063A6"/>
          </w:tcPr>
          <w:p>
            <w:pPr>
              <w:spacing w:after="0"/>
              <w:rPr>
                <w:sz w:val="14"/>
                <w:szCs w:val="14"/>
                <w:color w:val="auto"/>
              </w:rPr>
            </w:pPr>
          </w:p>
        </w:tc>
        <w:tc>
          <w:tcPr>
            <w:tcW w:w="82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720" w:type="dxa"/>
            <w:vAlign w:val="bottom"/>
            <w:tcBorders>
              <w:bottom w:val="single" w:sz="8" w:color="0063A6"/>
            </w:tcBorders>
            <w:vMerge w:val="continue"/>
          </w:tcPr>
          <w:p>
            <w:pPr>
              <w:spacing w:after="0"/>
              <w:rPr>
                <w:sz w:val="18"/>
                <w:szCs w:val="18"/>
                <w:color w:val="auto"/>
              </w:rPr>
            </w:pPr>
          </w:p>
        </w:tc>
        <w:tc>
          <w:tcPr>
            <w:tcW w:w="1040" w:type="dxa"/>
            <w:vAlign w:val="bottom"/>
            <w:tcBorders>
              <w:bottom w:val="single" w:sz="8" w:color="0063A6"/>
            </w:tcBorders>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for Cause</w:t>
            </w:r>
          </w:p>
        </w:tc>
        <w:tc>
          <w:tcPr>
            <w:tcW w:w="1040" w:type="dxa"/>
            <w:vAlign w:val="bottom"/>
            <w:tcBorders>
              <w:bottom w:val="single" w:sz="8" w:color="0063A6"/>
            </w:tcBorders>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220" w:type="dxa"/>
            <w:vAlign w:val="bottom"/>
            <w:tcBorders>
              <w:bottom w:val="single" w:sz="8" w:color="0063A6"/>
            </w:tcBorders>
            <w:shd w:val="clear" w:color="auto" w:fill="0063A6"/>
          </w:tcPr>
          <w:p>
            <w:pPr>
              <w:spacing w:after="0"/>
              <w:rPr>
                <w:sz w:val="18"/>
                <w:szCs w:val="18"/>
                <w:color w:val="auto"/>
              </w:rPr>
            </w:pPr>
          </w:p>
        </w:tc>
        <w:tc>
          <w:tcPr>
            <w:tcW w:w="7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Death</w:t>
            </w:r>
          </w:p>
        </w:tc>
        <w:tc>
          <w:tcPr>
            <w:tcW w:w="260" w:type="dxa"/>
            <w:vAlign w:val="bottom"/>
            <w:tcBorders>
              <w:bottom w:val="single" w:sz="8" w:color="0063A6"/>
            </w:tcBorders>
            <w:shd w:val="clear" w:color="auto" w:fill="0063A6"/>
          </w:tcPr>
          <w:p>
            <w:pPr>
              <w:spacing w:after="0"/>
              <w:rPr>
                <w:sz w:val="18"/>
                <w:szCs w:val="18"/>
                <w:color w:val="auto"/>
              </w:rPr>
            </w:pPr>
          </w:p>
        </w:tc>
        <w:tc>
          <w:tcPr>
            <w:tcW w:w="880" w:type="dxa"/>
            <w:vAlign w:val="bottom"/>
            <w:tcBorders>
              <w:bottom w:val="single" w:sz="8" w:color="0063A6"/>
            </w:tcBorders>
            <w:shd w:val="clear" w:color="auto" w:fill="0063A6"/>
          </w:tcPr>
          <w:p>
            <w:pPr>
              <w:jc w:val="right"/>
              <w:ind w:right="108"/>
              <w:spacing w:after="0"/>
              <w:rPr>
                <w:sz w:val="20"/>
                <w:szCs w:val="20"/>
                <w:color w:val="auto"/>
              </w:rPr>
            </w:pPr>
            <w:r>
              <w:rPr>
                <w:rFonts w:ascii="Arial" w:cs="Arial" w:eastAsia="Arial" w:hAnsi="Arial"/>
                <w:sz w:val="14"/>
                <w:szCs w:val="14"/>
                <w:b w:val="1"/>
                <w:bCs w:val="1"/>
                <w:color w:val="FFFFFF"/>
              </w:rPr>
              <w:t>Disability</w:t>
            </w:r>
          </w:p>
        </w:tc>
        <w:tc>
          <w:tcPr>
            <w:tcW w:w="960" w:type="dxa"/>
            <w:vAlign w:val="bottom"/>
            <w:tcBorders>
              <w:bottom w:val="single" w:sz="8" w:color="0063A6"/>
            </w:tcBorders>
            <w:gridSpan w:val="2"/>
            <w:shd w:val="clear" w:color="auto" w:fill="0063A6"/>
          </w:tcPr>
          <w:p>
            <w:pPr>
              <w:ind w:left="100"/>
              <w:spacing w:after="0"/>
              <w:rPr>
                <w:sz w:val="20"/>
                <w:szCs w:val="20"/>
                <w:color w:val="auto"/>
              </w:rPr>
            </w:pPr>
            <w:r>
              <w:rPr>
                <w:rFonts w:ascii="Arial" w:cs="Arial" w:eastAsia="Arial" w:hAnsi="Arial"/>
                <w:sz w:val="14"/>
                <w:szCs w:val="14"/>
                <w:b w:val="1"/>
                <w:bCs w:val="1"/>
                <w:color w:val="FFFFFF"/>
              </w:rPr>
              <w:t>Retirement</w:t>
            </w:r>
          </w:p>
        </w:tc>
        <w:tc>
          <w:tcPr>
            <w:tcW w:w="240" w:type="dxa"/>
            <w:vAlign w:val="bottom"/>
            <w:tcBorders>
              <w:bottom w:val="single" w:sz="8" w:color="0063A6"/>
            </w:tcBorders>
            <w:shd w:val="clear" w:color="auto" w:fill="0063A6"/>
          </w:tcPr>
          <w:p>
            <w:pPr>
              <w:spacing w:after="0"/>
              <w:rPr>
                <w:sz w:val="18"/>
                <w:szCs w:val="18"/>
                <w:color w:val="auto"/>
              </w:rPr>
            </w:pPr>
          </w:p>
        </w:tc>
        <w:tc>
          <w:tcPr>
            <w:tcW w:w="840" w:type="dxa"/>
            <w:vAlign w:val="bottom"/>
            <w:tcBorders>
              <w:bottom w:val="single" w:sz="8" w:color="0063A6"/>
            </w:tcBorders>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Cause</w:t>
            </w:r>
          </w:p>
        </w:tc>
        <w:tc>
          <w:tcPr>
            <w:tcW w:w="400" w:type="dxa"/>
            <w:vAlign w:val="bottom"/>
            <w:tcBorders>
              <w:bottom w:val="single" w:sz="8" w:color="0063A6"/>
            </w:tcBorders>
            <w:shd w:val="clear" w:color="auto" w:fill="0063A6"/>
          </w:tcPr>
          <w:p>
            <w:pPr>
              <w:spacing w:after="0"/>
              <w:rPr>
                <w:sz w:val="18"/>
                <w:szCs w:val="18"/>
                <w:color w:val="auto"/>
              </w:rPr>
            </w:pPr>
          </w:p>
        </w:tc>
        <w:tc>
          <w:tcPr>
            <w:tcW w:w="8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104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1,250,000</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104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1,000,000</w:t>
            </w:r>
          </w:p>
        </w:tc>
        <w:tc>
          <w:tcPr>
            <w:tcW w:w="40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5,625,000</w:t>
            </w:r>
          </w:p>
        </w:tc>
        <w:tc>
          <w:tcPr>
            <w:tcW w:w="0" w:type="dxa"/>
            <w:vAlign w:val="bottom"/>
          </w:tcPr>
          <w:p>
            <w:pPr>
              <w:spacing w:after="0"/>
              <w:rPr>
                <w:sz w:val="1"/>
                <w:szCs w:val="1"/>
                <w:color w:val="auto"/>
              </w:rPr>
            </w:pPr>
          </w:p>
        </w:tc>
      </w:tr>
      <w:tr>
        <w:trPr>
          <w:trHeight w:val="184"/>
        </w:trPr>
        <w:tc>
          <w:tcPr>
            <w:tcW w:w="1720" w:type="dxa"/>
            <w:vAlign w:val="bottom"/>
          </w:tcPr>
          <w:p>
            <w:pPr>
              <w:ind w:left="60"/>
              <w:spacing w:after="0"/>
              <w:rPr>
                <w:sz w:val="20"/>
                <w:szCs w:val="20"/>
                <w:color w:val="auto"/>
              </w:rPr>
            </w:pPr>
            <w:r>
              <w:rPr>
                <w:rFonts w:ascii="Arial" w:cs="Arial" w:eastAsia="Arial" w:hAnsi="Arial"/>
                <w:sz w:val="14"/>
                <w:szCs w:val="14"/>
                <w:color w:val="auto"/>
              </w:rPr>
              <w:t>Benefit Continuation</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20" w:type="dxa"/>
            <w:vAlign w:val="bottom"/>
            <w:tcBorders>
              <w:bottom w:val="single" w:sz="8" w:color="5D6673"/>
            </w:tcBorders>
          </w:tcPr>
          <w:p>
            <w:pPr>
              <w:ind w:left="60"/>
              <w:spacing w:after="0" w:line="242" w:lineRule="exact"/>
              <w:rPr>
                <w:sz w:val="20"/>
                <w:szCs w:val="20"/>
                <w:color w:val="auto"/>
              </w:rPr>
            </w:pPr>
            <w:r>
              <w:rPr>
                <w:rFonts w:ascii="Arial" w:cs="Arial" w:eastAsia="Arial" w:hAnsi="Arial"/>
                <w:sz w:val="14"/>
                <w:szCs w:val="14"/>
                <w:color w:val="auto"/>
              </w:rPr>
              <w:t>and Outplacement</w:t>
            </w:r>
            <w:r>
              <w:rPr>
                <w:rFonts w:ascii="Arial" w:cs="Arial" w:eastAsia="Arial" w:hAnsi="Arial"/>
                <w:sz w:val="23"/>
                <w:szCs w:val="23"/>
                <w:color w:val="auto"/>
                <w:vertAlign w:val="superscript"/>
              </w:rPr>
              <w:t>(3)</w:t>
            </w:r>
          </w:p>
        </w:tc>
        <w:tc>
          <w:tcPr>
            <w:tcW w:w="104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60,233</w:t>
            </w:r>
          </w:p>
        </w:tc>
        <w:tc>
          <w:tcPr>
            <w:tcW w:w="40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88,081</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104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3,434,984</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3,434,984</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1,242,838</w:t>
            </w:r>
          </w:p>
        </w:tc>
        <w:tc>
          <w:tcPr>
            <w:tcW w:w="24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3,434,984</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0063A6"/>
            </w:tcBorders>
          </w:tcPr>
          <w:p>
            <w:pPr>
              <w:ind w:left="6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1040" w:type="dxa"/>
            <w:vAlign w:val="bottom"/>
            <w:tcBorders>
              <w:bottom w:val="single" w:sz="8" w:color="0063A6"/>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63A6"/>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63A6"/>
            </w:tcBorders>
            <w:gridSpan w:val="2"/>
          </w:tcPr>
          <w:p>
            <w:pPr>
              <w:ind w:left="100"/>
              <w:spacing w:after="0"/>
              <w:rPr>
                <w:sz w:val="20"/>
                <w:szCs w:val="20"/>
                <w:color w:val="auto"/>
              </w:rPr>
            </w:pPr>
            <w:r>
              <w:rPr>
                <w:rFonts w:ascii="Arial" w:cs="Arial" w:eastAsia="Arial" w:hAnsi="Arial"/>
                <w:sz w:val="14"/>
                <w:szCs w:val="14"/>
                <w:color w:val="auto"/>
              </w:rPr>
              <w:t>$27,542,926</w:t>
            </w:r>
          </w:p>
        </w:tc>
        <w:tc>
          <w:tcPr>
            <w:tcW w:w="1140" w:type="dxa"/>
            <w:vAlign w:val="bottom"/>
            <w:tcBorders>
              <w:bottom w:val="single" w:sz="8" w:color="0063A6"/>
            </w:tcBorders>
            <w:gridSpan w:val="2"/>
          </w:tcPr>
          <w:p>
            <w:pPr>
              <w:ind w:left="160"/>
              <w:spacing w:after="0"/>
              <w:rPr>
                <w:sz w:val="20"/>
                <w:szCs w:val="20"/>
                <w:color w:val="auto"/>
              </w:rPr>
            </w:pPr>
            <w:r>
              <w:rPr>
                <w:rFonts w:ascii="Arial" w:cs="Arial" w:eastAsia="Arial" w:hAnsi="Arial"/>
                <w:sz w:val="14"/>
                <w:szCs w:val="14"/>
                <w:color w:val="auto"/>
              </w:rPr>
              <w:t>$27,542,926</w:t>
            </w:r>
          </w:p>
        </w:tc>
        <w:tc>
          <w:tcPr>
            <w:tcW w:w="960" w:type="dxa"/>
            <w:vAlign w:val="bottom"/>
            <w:tcBorders>
              <w:bottom w:val="single" w:sz="8" w:color="0063A6"/>
            </w:tcBorders>
            <w:gridSpan w:val="2"/>
          </w:tcPr>
          <w:p>
            <w:pPr>
              <w:ind w:left="40"/>
              <w:spacing w:after="0"/>
              <w:rPr>
                <w:sz w:val="20"/>
                <w:szCs w:val="20"/>
                <w:color w:val="auto"/>
              </w:rPr>
            </w:pPr>
            <w:r>
              <w:rPr>
                <w:rFonts w:ascii="Arial" w:cs="Arial" w:eastAsia="Arial" w:hAnsi="Arial"/>
                <w:sz w:val="14"/>
                <w:szCs w:val="14"/>
                <w:color w:val="auto"/>
              </w:rPr>
              <w:t>$21,608,615</w:t>
            </w:r>
          </w:p>
        </w:tc>
        <w:tc>
          <w:tcPr>
            <w:tcW w:w="1080" w:type="dxa"/>
            <w:vAlign w:val="bottom"/>
            <w:tcBorders>
              <w:bottom w:val="single" w:sz="8" w:color="0063A6"/>
            </w:tcBorders>
            <w:gridSpan w:val="2"/>
          </w:tcPr>
          <w:p>
            <w:pPr>
              <w:ind w:left="140"/>
              <w:spacing w:after="0"/>
              <w:rPr>
                <w:sz w:val="20"/>
                <w:szCs w:val="20"/>
                <w:color w:val="auto"/>
              </w:rPr>
            </w:pPr>
            <w:r>
              <w:rPr>
                <w:rFonts w:ascii="Arial" w:cs="Arial" w:eastAsia="Arial" w:hAnsi="Arial"/>
                <w:sz w:val="14"/>
                <w:szCs w:val="14"/>
                <w:color w:val="auto"/>
              </w:rPr>
              <w:t>$20,835,282</w:t>
            </w:r>
          </w:p>
        </w:tc>
        <w:tc>
          <w:tcPr>
            <w:tcW w:w="1220" w:type="dxa"/>
            <w:vAlign w:val="bottom"/>
            <w:tcBorders>
              <w:bottom w:val="single" w:sz="8" w:color="0063A6"/>
            </w:tcBorders>
            <w:gridSpan w:val="2"/>
          </w:tcPr>
          <w:p>
            <w:pPr>
              <w:ind w:left="320"/>
              <w:spacing w:after="0"/>
              <w:rPr>
                <w:sz w:val="20"/>
                <w:szCs w:val="20"/>
                <w:color w:val="auto"/>
              </w:rPr>
            </w:pPr>
            <w:r>
              <w:rPr>
                <w:rFonts w:ascii="Arial" w:cs="Arial" w:eastAsia="Arial" w:hAnsi="Arial"/>
                <w:sz w:val="14"/>
                <w:szCs w:val="14"/>
                <w:color w:val="auto"/>
              </w:rPr>
              <w:t>$27,542,926</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40" w:hanging="346"/>
        <w:spacing w:after="0" w:line="246" w:lineRule="auto"/>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above table excludes amounts under our Executive Deferred Compensation Plan, stock option awards that are fully vested, earned salary, and accrued vacation as those items are earned and due to the employee regardless of such termination events. It also excludes amounts payable under life insurance coverage, our accidental death &amp; dismemberment coverage or our business travel accident coverage, which are programs available to all employees. Each form of payment is mutually exclusive based on the individual circumstances or events and therefore represents a single payment and should not be added together. On a termination without cause or by the executive for good reason following a change-in-control, payments do not contemplate any payment reduction that would potentially provide the executive with a greater after-tax payment. Upon a change-in-control only in which outstanding equity awards are not assumed, substituted for, or converted or the acquiring company is not publicly-traded, the vesting of all outstanding RSUs and PRSUs will accelerate; values as shown in this table presume that the acquirer assumes applicable outstanding awards.</w:t>
      </w:r>
    </w:p>
    <w:p>
      <w:pPr>
        <w:spacing w:after="0" w:line="40" w:lineRule="exact"/>
        <w:rPr>
          <w:rFonts w:ascii="Arial" w:cs="Arial" w:eastAsia="Arial" w:hAnsi="Arial"/>
          <w:sz w:val="14"/>
          <w:szCs w:val="14"/>
          <w:color w:val="auto"/>
        </w:rPr>
      </w:pPr>
    </w:p>
    <w:p>
      <w:pPr>
        <w:ind w:left="346" w:right="160" w:hanging="346"/>
        <w:spacing w:after="0" w:line="263" w:lineRule="auto"/>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Change in Control Severance Agreement with this executive provides for an amount in respect of the executive’s target annual cash bonus compensation for the fiscal year in which the date of termination occurs, which amount will be paid out pro-rata, based on the portion of the performance period which has elapsed as of the date of termination.</w:t>
      </w:r>
    </w:p>
    <w:p>
      <w:pPr>
        <w:spacing w:after="0" w:line="24" w:lineRule="exact"/>
        <w:rPr>
          <w:rFonts w:ascii="Arial" w:cs="Arial" w:eastAsia="Arial" w:hAnsi="Arial"/>
          <w:sz w:val="14"/>
          <w:szCs w:val="14"/>
          <w:color w:val="auto"/>
        </w:rPr>
      </w:pPr>
    </w:p>
    <w:p>
      <w:pPr>
        <w:ind w:left="346" w:right="20" w:hanging="346"/>
        <w:spacing w:after="0" w:line="258" w:lineRule="auto"/>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with an estimated value of $25,000. The Change in Control Severance Agreement for this executive provides for a severance payment equal to 2.5 times the sum of base salary and target annual bonus plus 30 months of continued benefits.</w:t>
      </w:r>
    </w:p>
    <w:p>
      <w:pPr>
        <w:spacing w:after="0" w:line="209" w:lineRule="exact"/>
        <w:rPr>
          <w:rFonts w:ascii="Arial" w:cs="Arial" w:eastAsia="Arial" w:hAnsi="Arial"/>
          <w:sz w:val="14"/>
          <w:szCs w:val="14"/>
          <w:color w:val="auto"/>
        </w:rPr>
      </w:pPr>
    </w:p>
    <w:p>
      <w:pPr>
        <w:ind w:left="346" w:right="40" w:hanging="346"/>
        <w:spacing w:after="0" w:line="252" w:lineRule="auto"/>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the RSUs, upon termination due to death, disability, or termination without cause or for good reason following a change-in-control, represents the accelerated value of the RSUs based on the closing price of our common stock on December 31, 2025 ($92.86). Upon a termination due to retirement after the first anniversary of the grant date, RSUs will continue to vest subject to non-compete/non-solicit and reasonable notice restrictions. Awards granted in 2025 are assumed to be forfeited, as retirement at December 31, 2025 is before the first anniversary of the grant date.</w:t>
      </w:r>
    </w:p>
    <w:p>
      <w:pPr>
        <w:spacing w:after="0" w:line="32" w:lineRule="exact"/>
        <w:rPr>
          <w:rFonts w:ascii="Arial" w:cs="Arial" w:eastAsia="Arial" w:hAnsi="Arial"/>
          <w:sz w:val="14"/>
          <w:szCs w:val="14"/>
          <w:color w:val="auto"/>
        </w:rPr>
      </w:pPr>
    </w:p>
    <w:p>
      <w:pPr>
        <w:ind w:left="346" w:right="40" w:hanging="346"/>
        <w:spacing w:after="0" w:line="245" w:lineRule="auto"/>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Upon a termination due to death or disability, the executive is eligible to receive that number of PRSUs that vest based on the actual attainment of the performance goals as assessed after the performance period. Upon a qualified retirement that occurs at least 12 months after grant, the executive is eligible to receive that number of PRSUs that vest based on the actual attainment of the performance goals as assessed after the end of the performance period. Awards granted in the 12 months prior to retirement are forfeited. Upon an involuntary termination without cause, the executive will be entitled to receive pro-rated vesting of PRSUs based on the actual attainment of the performance goals as assessed after the performance period. Upon termination without cause or by the executive for good reason following a change-in-control, the unvested PRSUs shall become immediately and fully vested as of the date of termination at the greater of target or actual performance if the termination occurs during the performance period. For death, disability, retirement, termination without cause, and termination without cause or for good reason following a change-in-control, the tabular values reflect (1) the actual payout for the 2023-2025 performance cycle which was above target and (2) for the 2024-2026 and 2025-2027 performance cycles, actual funding for completed years in the cycle and target funding for future years in the cycle without application of the rTSR multiplier. Values are based on the closing price of our common stock on December 31, 2025 ($92.86).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8293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8"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3" w:name="page54"/>
    <w:bookmarkEnd w:id="53"/>
    <w:tbl>
      <w:tblPr>
        <w:tblLayout w:type="fixed"/>
        <w:tblInd w:w="6"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820" w:type="dxa"/>
            <w:vAlign w:val="bottom"/>
            <w:gridSpan w:val="3"/>
          </w:tcPr>
          <w:p>
            <w:pPr>
              <w:spacing w:after="0"/>
              <w:rPr>
                <w:sz w:val="20"/>
                <w:szCs w:val="20"/>
                <w:color w:val="auto"/>
              </w:rPr>
            </w:pPr>
            <w:r>
              <w:rPr>
                <w:rFonts w:ascii="Arial" w:cs="Arial" w:eastAsia="Arial" w:hAnsi="Arial"/>
                <w:sz w:val="14"/>
                <w:szCs w:val="14"/>
                <w:color w:val="5D6673"/>
              </w:rPr>
              <w:t>EXECUTIVE COMPENSATION</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20" w:type="dxa"/>
            <w:vAlign w:val="bottom"/>
            <w:gridSpan w:val="3"/>
          </w:tcPr>
          <w:p>
            <w:pPr>
              <w:spacing w:after="0"/>
              <w:rPr>
                <w:sz w:val="20"/>
                <w:szCs w:val="20"/>
                <w:color w:val="auto"/>
              </w:rPr>
            </w:pPr>
            <w:r>
              <w:rPr>
                <w:rFonts w:ascii="Arial" w:cs="Arial" w:eastAsia="Arial" w:hAnsi="Arial"/>
                <w:sz w:val="14"/>
                <w:szCs w:val="14"/>
                <w:color w:val="0063A6"/>
              </w:rPr>
              <w:t>Executive Compensation Tables</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bottom w:val="single" w:sz="8" w:color="0063A6"/>
            </w:tcBorders>
          </w:tcPr>
          <w:p>
            <w:pPr>
              <w:spacing w:after="0"/>
              <w:rPr>
                <w:sz w:val="24"/>
                <w:szCs w:val="24"/>
                <w:color w:val="auto"/>
              </w:rPr>
            </w:pPr>
          </w:p>
        </w:tc>
        <w:tc>
          <w:tcPr>
            <w:tcW w:w="1060" w:type="dxa"/>
            <w:vAlign w:val="bottom"/>
            <w:tcBorders>
              <w:bottom w:val="single" w:sz="8" w:color="0063A6"/>
            </w:tcBorders>
          </w:tcPr>
          <w:p>
            <w:pPr>
              <w:spacing w:after="0"/>
              <w:rPr>
                <w:sz w:val="24"/>
                <w:szCs w:val="24"/>
                <w:color w:val="auto"/>
              </w:rPr>
            </w:pPr>
          </w:p>
        </w:tc>
        <w:tc>
          <w:tcPr>
            <w:tcW w:w="300" w:type="dxa"/>
            <w:vAlign w:val="bottom"/>
            <w:tcBorders>
              <w:bottom w:val="single" w:sz="8" w:color="0063A6"/>
            </w:tcBorders>
          </w:tcPr>
          <w:p>
            <w:pPr>
              <w:spacing w:after="0"/>
              <w:rPr>
                <w:sz w:val="24"/>
                <w:szCs w:val="24"/>
                <w:color w:val="auto"/>
              </w:rPr>
            </w:pPr>
          </w:p>
        </w:tc>
        <w:tc>
          <w:tcPr>
            <w:tcW w:w="680" w:type="dxa"/>
            <w:vAlign w:val="bottom"/>
            <w:tcBorders>
              <w:bottom w:val="single" w:sz="8" w:color="0063A6"/>
            </w:tcBorders>
          </w:tcPr>
          <w:p>
            <w:pPr>
              <w:spacing w:after="0"/>
              <w:rPr>
                <w:sz w:val="24"/>
                <w:szCs w:val="24"/>
                <w:color w:val="auto"/>
              </w:rPr>
            </w:pPr>
          </w:p>
        </w:tc>
        <w:tc>
          <w:tcPr>
            <w:tcW w:w="200" w:type="dxa"/>
            <w:vAlign w:val="bottom"/>
            <w:tcBorders>
              <w:bottom w:val="single" w:sz="8" w:color="0063A6"/>
            </w:tcBorders>
          </w:tcPr>
          <w:p>
            <w:pPr>
              <w:spacing w:after="0"/>
              <w:rPr>
                <w:sz w:val="24"/>
                <w:szCs w:val="24"/>
                <w:color w:val="auto"/>
              </w:rPr>
            </w:pPr>
          </w:p>
        </w:tc>
        <w:tc>
          <w:tcPr>
            <w:tcW w:w="880" w:type="dxa"/>
            <w:vAlign w:val="bottom"/>
            <w:tcBorders>
              <w:bottom w:val="single" w:sz="8" w:color="0063A6"/>
            </w:tcBorders>
          </w:tcPr>
          <w:p>
            <w:pPr>
              <w:jc w:val="center"/>
              <w:spacing w:after="0"/>
              <w:rPr>
                <w:sz w:val="20"/>
                <w:szCs w:val="20"/>
                <w:color w:val="auto"/>
              </w:rPr>
            </w:pPr>
            <w:r>
              <w:rPr>
                <w:rFonts w:ascii="Arial" w:cs="Arial" w:eastAsia="Arial" w:hAnsi="Arial"/>
                <w:sz w:val="14"/>
                <w:szCs w:val="14"/>
                <w:b w:val="1"/>
                <w:bCs w:val="1"/>
                <w:color w:val="auto"/>
              </w:rPr>
              <w:t>ITRON, INC.</w:t>
            </w:r>
          </w:p>
        </w:tc>
        <w:tc>
          <w:tcPr>
            <w:tcW w:w="18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360" w:type="dxa"/>
            <w:vAlign w:val="bottom"/>
            <w:tcBorders>
              <w:bottom w:val="single" w:sz="8" w:color="0063A6"/>
            </w:tcBorders>
          </w:tcPr>
          <w:p>
            <w:pPr>
              <w:spacing w:after="0"/>
              <w:rPr>
                <w:sz w:val="24"/>
                <w:szCs w:val="24"/>
                <w:color w:val="auto"/>
              </w:rPr>
            </w:pPr>
          </w:p>
        </w:tc>
        <w:tc>
          <w:tcPr>
            <w:tcW w:w="740" w:type="dxa"/>
            <w:vAlign w:val="bottom"/>
            <w:tcBorders>
              <w:bottom w:val="single" w:sz="8" w:color="0063A6"/>
            </w:tcBorders>
          </w:tcPr>
          <w:p>
            <w:pPr>
              <w:spacing w:after="0"/>
              <w:rPr>
                <w:sz w:val="24"/>
                <w:szCs w:val="24"/>
                <w:color w:val="auto"/>
              </w:rPr>
            </w:pPr>
          </w:p>
        </w:tc>
        <w:tc>
          <w:tcPr>
            <w:tcW w:w="52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bottom w:val="single" w:sz="8" w:color="0063A6"/>
            </w:tcBorders>
          </w:tcPr>
          <w:p>
            <w:pPr>
              <w:spacing w:after="0"/>
              <w:rPr>
                <w:sz w:val="20"/>
                <w:szCs w:val="20"/>
                <w:color w:val="auto"/>
              </w:rPr>
            </w:pPr>
          </w:p>
        </w:tc>
        <w:tc>
          <w:tcPr>
            <w:tcW w:w="1060" w:type="dxa"/>
            <w:vAlign w:val="bottom"/>
            <w:tcBorders>
              <w:bottom w:val="single" w:sz="8" w:color="0063A6"/>
            </w:tcBorders>
          </w:tcPr>
          <w:p>
            <w:pPr>
              <w:spacing w:after="0"/>
              <w:rPr>
                <w:sz w:val="20"/>
                <w:szCs w:val="20"/>
                <w:color w:val="auto"/>
              </w:rPr>
            </w:pPr>
          </w:p>
        </w:tc>
        <w:tc>
          <w:tcPr>
            <w:tcW w:w="300" w:type="dxa"/>
            <w:vAlign w:val="bottom"/>
            <w:tcBorders>
              <w:bottom w:val="single" w:sz="8" w:color="0063A6"/>
            </w:tcBorders>
          </w:tcPr>
          <w:p>
            <w:pPr>
              <w:spacing w:after="0"/>
              <w:rPr>
                <w:sz w:val="20"/>
                <w:szCs w:val="20"/>
                <w:color w:val="auto"/>
              </w:rPr>
            </w:pPr>
          </w:p>
        </w:tc>
        <w:tc>
          <w:tcPr>
            <w:tcW w:w="2660" w:type="dxa"/>
            <w:vAlign w:val="bottom"/>
            <w:tcBorders>
              <w:bottom w:val="single" w:sz="8" w:color="0063A6"/>
            </w:tcBorders>
            <w:gridSpan w:val="5"/>
          </w:tcPr>
          <w:p>
            <w:pPr>
              <w:jc w:val="center"/>
              <w:spacing w:after="0"/>
              <w:rPr>
                <w:sz w:val="20"/>
                <w:szCs w:val="20"/>
                <w:color w:val="auto"/>
              </w:rPr>
            </w:pPr>
            <w:r>
              <w:rPr>
                <w:rFonts w:ascii="Arial" w:cs="Arial" w:eastAsia="Arial" w:hAnsi="Arial"/>
                <w:sz w:val="14"/>
                <w:szCs w:val="14"/>
                <w:b w:val="1"/>
                <w:bCs w:val="1"/>
                <w:color w:val="auto"/>
              </w:rPr>
              <w:t>Summary of Termination Payments</w:t>
            </w:r>
          </w:p>
        </w:tc>
        <w:tc>
          <w:tcPr>
            <w:tcW w:w="360" w:type="dxa"/>
            <w:vAlign w:val="bottom"/>
            <w:tcBorders>
              <w:bottom w:val="single" w:sz="8" w:color="0063A6"/>
            </w:tcBorders>
          </w:tcPr>
          <w:p>
            <w:pPr>
              <w:spacing w:after="0"/>
              <w:rPr>
                <w:sz w:val="20"/>
                <w:szCs w:val="20"/>
                <w:color w:val="auto"/>
              </w:rPr>
            </w:pPr>
          </w:p>
        </w:tc>
        <w:tc>
          <w:tcPr>
            <w:tcW w:w="740" w:type="dxa"/>
            <w:vAlign w:val="bottom"/>
            <w:tcBorders>
              <w:bottom w:val="single" w:sz="8" w:color="0063A6"/>
            </w:tcBorders>
          </w:tcPr>
          <w:p>
            <w:pPr>
              <w:spacing w:after="0"/>
              <w:rPr>
                <w:sz w:val="20"/>
                <w:szCs w:val="20"/>
                <w:color w:val="auto"/>
              </w:rPr>
            </w:pPr>
          </w:p>
        </w:tc>
        <w:tc>
          <w:tcPr>
            <w:tcW w:w="52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Joan S. Hooper</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shd w:val="clear" w:color="auto" w:fill="0063A6"/>
          </w:tcPr>
          <w:p>
            <w:pPr>
              <w:spacing w:after="0"/>
              <w:rPr>
                <w:sz w:val="18"/>
                <w:szCs w:val="18"/>
                <w:color w:val="auto"/>
              </w:rPr>
            </w:pPr>
          </w:p>
        </w:tc>
        <w:tc>
          <w:tcPr>
            <w:tcW w:w="1060" w:type="dxa"/>
            <w:vAlign w:val="bottom"/>
            <w:shd w:val="clear" w:color="auto" w:fill="0063A6"/>
          </w:tcPr>
          <w:p>
            <w:pPr>
              <w:spacing w:after="0"/>
              <w:rPr>
                <w:sz w:val="18"/>
                <w:szCs w:val="18"/>
                <w:color w:val="auto"/>
              </w:rPr>
            </w:pPr>
          </w:p>
        </w:tc>
        <w:tc>
          <w:tcPr>
            <w:tcW w:w="300" w:type="dxa"/>
            <w:vAlign w:val="bottom"/>
            <w:shd w:val="clear" w:color="auto" w:fill="0063A6"/>
          </w:tcPr>
          <w:p>
            <w:pPr>
              <w:spacing w:after="0"/>
              <w:rPr>
                <w:sz w:val="18"/>
                <w:szCs w:val="18"/>
                <w:color w:val="auto"/>
              </w:rPr>
            </w:pPr>
          </w:p>
        </w:tc>
        <w:tc>
          <w:tcPr>
            <w:tcW w:w="680" w:type="dxa"/>
            <w:vAlign w:val="bottom"/>
            <w:shd w:val="clear" w:color="auto" w:fill="0063A6"/>
          </w:tcPr>
          <w:p>
            <w:pPr>
              <w:spacing w:after="0"/>
              <w:rPr>
                <w:sz w:val="18"/>
                <w:szCs w:val="18"/>
                <w:color w:val="auto"/>
              </w:rPr>
            </w:pPr>
          </w:p>
        </w:tc>
        <w:tc>
          <w:tcPr>
            <w:tcW w:w="200" w:type="dxa"/>
            <w:vAlign w:val="bottom"/>
            <w:shd w:val="clear" w:color="auto" w:fill="0063A6"/>
          </w:tcPr>
          <w:p>
            <w:pPr>
              <w:spacing w:after="0"/>
              <w:rPr>
                <w:sz w:val="18"/>
                <w:szCs w:val="18"/>
                <w:color w:val="auto"/>
              </w:rPr>
            </w:pPr>
          </w:p>
        </w:tc>
        <w:tc>
          <w:tcPr>
            <w:tcW w:w="880" w:type="dxa"/>
            <w:vAlign w:val="bottom"/>
            <w:shd w:val="clear" w:color="auto" w:fill="0063A6"/>
          </w:tcPr>
          <w:p>
            <w:pPr>
              <w:spacing w:after="0"/>
              <w:rPr>
                <w:sz w:val="18"/>
                <w:szCs w:val="18"/>
                <w:color w:val="auto"/>
              </w:rPr>
            </w:pPr>
          </w:p>
        </w:tc>
        <w:tc>
          <w:tcPr>
            <w:tcW w:w="180" w:type="dxa"/>
            <w:vAlign w:val="bottom"/>
            <w:shd w:val="clear" w:color="auto" w:fill="0063A6"/>
          </w:tcPr>
          <w:p>
            <w:pPr>
              <w:spacing w:after="0"/>
              <w:rPr>
                <w:sz w:val="18"/>
                <w:szCs w:val="18"/>
                <w:color w:val="auto"/>
              </w:rPr>
            </w:pPr>
          </w:p>
        </w:tc>
        <w:tc>
          <w:tcPr>
            <w:tcW w:w="720" w:type="dxa"/>
            <w:vAlign w:val="bottom"/>
            <w:shd w:val="clear" w:color="auto" w:fill="0063A6"/>
          </w:tcPr>
          <w:p>
            <w:pPr>
              <w:spacing w:after="0"/>
              <w:rPr>
                <w:sz w:val="18"/>
                <w:szCs w:val="18"/>
                <w:color w:val="auto"/>
              </w:rPr>
            </w:pPr>
          </w:p>
        </w:tc>
        <w:tc>
          <w:tcPr>
            <w:tcW w:w="360" w:type="dxa"/>
            <w:vAlign w:val="bottom"/>
            <w:shd w:val="clear" w:color="auto" w:fill="0063A6"/>
          </w:tcPr>
          <w:p>
            <w:pPr>
              <w:spacing w:after="0"/>
              <w:rPr>
                <w:sz w:val="18"/>
                <w:szCs w:val="18"/>
                <w:color w:val="auto"/>
              </w:rPr>
            </w:pPr>
          </w:p>
        </w:tc>
        <w:tc>
          <w:tcPr>
            <w:tcW w:w="740" w:type="dxa"/>
            <w:vAlign w:val="bottom"/>
            <w:shd w:val="clear" w:color="auto" w:fill="0063A6"/>
          </w:tcPr>
          <w:p>
            <w:pPr>
              <w:spacing w:after="0"/>
              <w:rPr>
                <w:sz w:val="18"/>
                <w:szCs w:val="18"/>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8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8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52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the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8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Executive for</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8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Good 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8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100" w:type="dxa"/>
            <w:vAlign w:val="bottom"/>
            <w:gridSpan w:val="2"/>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Termination</w:t>
            </w: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0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106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Voluntary</w:t>
            </w:r>
          </w:p>
        </w:tc>
        <w:tc>
          <w:tcPr>
            <w:tcW w:w="3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8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Without</w:t>
            </w:r>
          </w:p>
        </w:tc>
        <w:tc>
          <w:tcPr>
            <w:tcW w:w="124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740" w:type="dxa"/>
            <w:vAlign w:val="bottom"/>
            <w:tcBorders>
              <w:bottom w:val="single" w:sz="8" w:color="0063A6"/>
            </w:tcBorders>
            <w:gridSpan w:val="2"/>
            <w:vMerge w:val="continue"/>
          </w:tcPr>
          <w:p>
            <w:pPr>
              <w:spacing w:after="0"/>
              <w:rPr>
                <w:sz w:val="18"/>
                <w:szCs w:val="18"/>
                <w:color w:val="auto"/>
              </w:rPr>
            </w:pPr>
          </w:p>
        </w:tc>
        <w:tc>
          <w:tcPr>
            <w:tcW w:w="108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for Cause</w:t>
            </w:r>
          </w:p>
        </w:tc>
        <w:tc>
          <w:tcPr>
            <w:tcW w:w="106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300" w:type="dxa"/>
            <w:vAlign w:val="bottom"/>
            <w:tcBorders>
              <w:bottom w:val="single" w:sz="8" w:color="0063A6"/>
            </w:tcBorders>
            <w:shd w:val="clear" w:color="auto" w:fill="0063A6"/>
          </w:tcPr>
          <w:p>
            <w:pPr>
              <w:spacing w:after="0"/>
              <w:rPr>
                <w:sz w:val="18"/>
                <w:szCs w:val="18"/>
                <w:color w:val="auto"/>
              </w:rPr>
            </w:pPr>
          </w:p>
        </w:tc>
        <w:tc>
          <w:tcPr>
            <w:tcW w:w="680" w:type="dxa"/>
            <w:vAlign w:val="bottom"/>
            <w:tcBorders>
              <w:bottom w:val="single" w:sz="8" w:color="0063A6"/>
            </w:tcBorders>
            <w:shd w:val="clear" w:color="auto" w:fill="0063A6"/>
          </w:tcPr>
          <w:p>
            <w:pPr>
              <w:ind w:left="160"/>
              <w:spacing w:after="0"/>
              <w:rPr>
                <w:sz w:val="20"/>
                <w:szCs w:val="20"/>
                <w:color w:val="auto"/>
              </w:rPr>
            </w:pPr>
            <w:r>
              <w:rPr>
                <w:rFonts w:ascii="Arial" w:cs="Arial" w:eastAsia="Arial" w:hAnsi="Arial"/>
                <w:sz w:val="14"/>
                <w:szCs w:val="14"/>
                <w:b w:val="1"/>
                <w:bCs w:val="1"/>
                <w:color w:val="FFFFFF"/>
              </w:rPr>
              <w:t>Death</w:t>
            </w:r>
          </w:p>
        </w:tc>
        <w:tc>
          <w:tcPr>
            <w:tcW w:w="200" w:type="dxa"/>
            <w:vAlign w:val="bottom"/>
            <w:tcBorders>
              <w:bottom w:val="single" w:sz="8" w:color="0063A6"/>
            </w:tcBorders>
            <w:shd w:val="clear" w:color="auto" w:fill="0063A6"/>
          </w:tcPr>
          <w:p>
            <w:pPr>
              <w:spacing w:after="0"/>
              <w:rPr>
                <w:sz w:val="18"/>
                <w:szCs w:val="18"/>
                <w:color w:val="auto"/>
              </w:rPr>
            </w:pPr>
          </w:p>
        </w:tc>
        <w:tc>
          <w:tcPr>
            <w:tcW w:w="88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Disability</w:t>
            </w:r>
          </w:p>
        </w:tc>
        <w:tc>
          <w:tcPr>
            <w:tcW w:w="900" w:type="dxa"/>
            <w:vAlign w:val="bottom"/>
            <w:tcBorders>
              <w:bottom w:val="single" w:sz="8" w:color="0063A6"/>
            </w:tcBorders>
            <w:gridSpan w:val="2"/>
            <w:shd w:val="clear" w:color="auto" w:fill="0063A6"/>
          </w:tcPr>
          <w:p>
            <w:pPr>
              <w:ind w:left="20"/>
              <w:spacing w:after="0"/>
              <w:rPr>
                <w:sz w:val="20"/>
                <w:szCs w:val="20"/>
                <w:color w:val="auto"/>
              </w:rPr>
            </w:pPr>
            <w:r>
              <w:rPr>
                <w:rFonts w:ascii="Arial" w:cs="Arial" w:eastAsia="Arial" w:hAnsi="Arial"/>
                <w:sz w:val="14"/>
                <w:szCs w:val="14"/>
                <w:b w:val="1"/>
                <w:bCs w:val="1"/>
                <w:color w:val="FFFFFF"/>
              </w:rPr>
              <w:t>Retirement</w:t>
            </w:r>
          </w:p>
        </w:tc>
        <w:tc>
          <w:tcPr>
            <w:tcW w:w="360" w:type="dxa"/>
            <w:vAlign w:val="bottom"/>
            <w:tcBorders>
              <w:bottom w:val="single" w:sz="8" w:color="0063A6"/>
            </w:tcBorders>
            <w:shd w:val="clear" w:color="auto" w:fill="0063A6"/>
          </w:tcPr>
          <w:p>
            <w:pPr>
              <w:spacing w:after="0"/>
              <w:rPr>
                <w:sz w:val="18"/>
                <w:szCs w:val="18"/>
                <w:color w:val="auto"/>
              </w:rPr>
            </w:pPr>
          </w:p>
        </w:tc>
        <w:tc>
          <w:tcPr>
            <w:tcW w:w="74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Cause</w:t>
            </w:r>
          </w:p>
        </w:tc>
        <w:tc>
          <w:tcPr>
            <w:tcW w:w="52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429,000</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572,000</w:t>
            </w:r>
          </w:p>
        </w:tc>
        <w:tc>
          <w:tcPr>
            <w:tcW w:w="124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$2,002,000</w:t>
            </w:r>
          </w:p>
        </w:tc>
        <w:tc>
          <w:tcPr>
            <w:tcW w:w="0" w:type="dxa"/>
            <w:vAlign w:val="bottom"/>
          </w:tcPr>
          <w:p>
            <w:pPr>
              <w:spacing w:after="0"/>
              <w:rPr>
                <w:sz w:val="1"/>
                <w:szCs w:val="1"/>
                <w:color w:val="auto"/>
              </w:rPr>
            </w:pPr>
          </w:p>
        </w:tc>
      </w:tr>
      <w:tr>
        <w:trPr>
          <w:trHeight w:val="18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Benefit Continuation</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40" w:type="dxa"/>
            <w:vAlign w:val="bottom"/>
            <w:tcBorders>
              <w:bottom w:val="single" w:sz="8" w:color="5D6673"/>
            </w:tcBorders>
            <w:gridSpan w:val="2"/>
          </w:tcPr>
          <w:p>
            <w:pPr>
              <w:ind w:left="80"/>
              <w:spacing w:after="0" w:line="242" w:lineRule="exact"/>
              <w:rPr>
                <w:sz w:val="20"/>
                <w:szCs w:val="20"/>
                <w:color w:val="auto"/>
              </w:rPr>
            </w:pPr>
            <w:r>
              <w:rPr>
                <w:rFonts w:ascii="Arial" w:cs="Arial" w:eastAsia="Arial" w:hAnsi="Arial"/>
                <w:sz w:val="14"/>
                <w:szCs w:val="14"/>
                <w:color w:val="auto"/>
              </w:rPr>
              <w:t>and Outplacement</w:t>
            </w:r>
            <w:r>
              <w:rPr>
                <w:rFonts w:ascii="Arial" w:cs="Arial" w:eastAsia="Arial" w:hAnsi="Arial"/>
                <w:sz w:val="23"/>
                <w:szCs w:val="23"/>
                <w:color w:val="auto"/>
                <w:vertAlign w:val="superscript"/>
              </w:rPr>
              <w:t>(3)</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49,514</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49,028</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5D6673"/>
            </w:tcBorders>
            <w:gridSpan w:val="2"/>
          </w:tcPr>
          <w:p>
            <w:pPr>
              <w:ind w:left="120"/>
              <w:spacing w:after="0"/>
              <w:rPr>
                <w:sz w:val="20"/>
                <w:szCs w:val="20"/>
                <w:color w:val="auto"/>
              </w:rPr>
            </w:pPr>
            <w:r>
              <w:rPr>
                <w:rFonts w:ascii="Arial" w:cs="Arial" w:eastAsia="Arial" w:hAnsi="Arial"/>
                <w:sz w:val="14"/>
                <w:szCs w:val="14"/>
                <w:color w:val="auto"/>
              </w:rPr>
              <w:t>$1,551,319</w:t>
            </w:r>
          </w:p>
        </w:tc>
        <w:tc>
          <w:tcPr>
            <w:tcW w:w="1080" w:type="dxa"/>
            <w:vAlign w:val="bottom"/>
            <w:tcBorders>
              <w:bottom w:val="single" w:sz="8" w:color="5D6673"/>
            </w:tcBorders>
            <w:gridSpan w:val="2"/>
          </w:tcPr>
          <w:p>
            <w:pPr>
              <w:ind w:left="120"/>
              <w:spacing w:after="0"/>
              <w:rPr>
                <w:sz w:val="20"/>
                <w:szCs w:val="20"/>
                <w:color w:val="auto"/>
              </w:rPr>
            </w:pPr>
            <w:r>
              <w:rPr>
                <w:rFonts w:ascii="Arial" w:cs="Arial" w:eastAsia="Arial" w:hAnsi="Arial"/>
                <w:sz w:val="14"/>
                <w:szCs w:val="14"/>
                <w:color w:val="auto"/>
              </w:rPr>
              <w:t>$1,551,319</w:t>
            </w:r>
          </w:p>
        </w:tc>
        <w:tc>
          <w:tcPr>
            <w:tcW w:w="18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602,383</w:t>
            </w:r>
          </w:p>
        </w:tc>
        <w:tc>
          <w:tcPr>
            <w:tcW w:w="36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$1,551,319</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108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63A6"/>
            </w:tcBorders>
            <w:gridSpan w:val="2"/>
          </w:tcPr>
          <w:p>
            <w:pPr>
              <w:ind w:left="120"/>
              <w:spacing w:after="0"/>
              <w:rPr>
                <w:sz w:val="20"/>
                <w:szCs w:val="20"/>
                <w:color w:val="auto"/>
              </w:rPr>
            </w:pPr>
            <w:r>
              <w:rPr>
                <w:rFonts w:ascii="Arial" w:cs="Arial" w:eastAsia="Arial" w:hAnsi="Arial"/>
                <w:sz w:val="14"/>
                <w:szCs w:val="14"/>
                <w:color w:val="auto"/>
              </w:rPr>
              <w:t>$6,568,174</w:t>
            </w:r>
          </w:p>
        </w:tc>
        <w:tc>
          <w:tcPr>
            <w:tcW w:w="1080" w:type="dxa"/>
            <w:vAlign w:val="bottom"/>
            <w:tcBorders>
              <w:bottom w:val="single" w:sz="8" w:color="0063A6"/>
            </w:tcBorders>
            <w:gridSpan w:val="2"/>
          </w:tcPr>
          <w:p>
            <w:pPr>
              <w:ind w:left="120"/>
              <w:spacing w:after="0"/>
              <w:rPr>
                <w:sz w:val="20"/>
                <w:szCs w:val="20"/>
                <w:color w:val="auto"/>
              </w:rPr>
            </w:pPr>
            <w:r>
              <w:rPr>
                <w:rFonts w:ascii="Arial" w:cs="Arial" w:eastAsia="Arial" w:hAnsi="Arial"/>
                <w:sz w:val="14"/>
                <w:szCs w:val="14"/>
                <w:color w:val="auto"/>
              </w:rPr>
              <w:t>$6,568,174</w:t>
            </w:r>
          </w:p>
        </w:tc>
        <w:tc>
          <w:tcPr>
            <w:tcW w:w="900" w:type="dxa"/>
            <w:vAlign w:val="bottom"/>
            <w:tcBorders>
              <w:bottom w:val="single" w:sz="8" w:color="0063A6"/>
            </w:tcBorders>
            <w:gridSpan w:val="2"/>
          </w:tcPr>
          <w:p>
            <w:pPr>
              <w:ind w:left="40"/>
              <w:spacing w:after="0"/>
              <w:rPr>
                <w:sz w:val="20"/>
                <w:szCs w:val="20"/>
                <w:color w:val="auto"/>
              </w:rPr>
            </w:pPr>
            <w:r>
              <w:rPr>
                <w:rFonts w:ascii="Arial" w:cs="Arial" w:eastAsia="Arial" w:hAnsi="Arial"/>
                <w:sz w:val="14"/>
                <w:szCs w:val="14"/>
                <w:color w:val="auto"/>
              </w:rPr>
              <w:t>$5,302,956</w:t>
            </w:r>
          </w:p>
        </w:tc>
        <w:tc>
          <w:tcPr>
            <w:tcW w:w="1100" w:type="dxa"/>
            <w:vAlign w:val="bottom"/>
            <w:tcBorders>
              <w:bottom w:val="single" w:sz="8" w:color="0063A6"/>
            </w:tcBorders>
            <w:gridSpan w:val="2"/>
          </w:tcPr>
          <w:p>
            <w:pPr>
              <w:ind w:left="220"/>
              <w:spacing w:after="0"/>
              <w:rPr>
                <w:sz w:val="20"/>
                <w:szCs w:val="20"/>
                <w:color w:val="auto"/>
              </w:rPr>
            </w:pPr>
            <w:r>
              <w:rPr>
                <w:rFonts w:ascii="Arial" w:cs="Arial" w:eastAsia="Arial" w:hAnsi="Arial"/>
                <w:sz w:val="14"/>
                <w:szCs w:val="14"/>
                <w:color w:val="auto"/>
              </w:rPr>
              <w:t>$5,071,248</w:t>
            </w:r>
          </w:p>
        </w:tc>
        <w:tc>
          <w:tcPr>
            <w:tcW w:w="124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$6,568,174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40" w:hanging="346"/>
        <w:spacing w:after="0" w:line="246" w:lineRule="auto"/>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above table excludes amounts under our Executive Deferred Compensation Plan, stock option awards that are fully vested, earned salary, and accrued vacation as those items are earned and due to the employee regardless of such termination events. It also excludes amounts payable under life insurance coverage, our accidental death &amp; dismemberment coverage or our business travel accident coverage, which are programs available to all employees. Each form of payment is mutually exclusive based on the individual circumstances or events and therefore represents a single payment and should not be added together. On a termination without cause or by the executive for good reason following a change-in-control, payments do not contemplate any payment reduction that would potentially provide the executive with a greater after-tax payment. Upon a change-in-control only in which outstanding equity awards are not assumed, substituted for, or converted or the acquiring company is not publicly-traded, the vesting of all outstanding RSUs and PRSUs will accelerate; values as shown in this table presume that the acquirer assumes applicable outstanding awards.</w:t>
      </w:r>
    </w:p>
    <w:p>
      <w:pPr>
        <w:spacing w:after="0" w:line="40" w:lineRule="exact"/>
        <w:rPr>
          <w:rFonts w:ascii="Arial" w:cs="Arial" w:eastAsia="Arial" w:hAnsi="Arial"/>
          <w:sz w:val="14"/>
          <w:szCs w:val="14"/>
          <w:color w:val="auto"/>
        </w:rPr>
      </w:pPr>
    </w:p>
    <w:p>
      <w:pPr>
        <w:ind w:left="346" w:right="160" w:hanging="346"/>
        <w:spacing w:after="0" w:line="263" w:lineRule="auto"/>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Change in Control Severance Agreement with this executive provides for an amount in respect of the executive’s target annual cash bonus compensation for the fiscal year in which the date of termination occurs, which amount will be paid out pro-rata, based on the portion of the performance period which has elapsed as of the date of termination.</w:t>
      </w:r>
    </w:p>
    <w:p>
      <w:pPr>
        <w:spacing w:after="0" w:line="37" w:lineRule="exact"/>
        <w:rPr>
          <w:rFonts w:ascii="Arial" w:cs="Arial" w:eastAsia="Arial" w:hAnsi="Arial"/>
          <w:sz w:val="14"/>
          <w:szCs w:val="14"/>
          <w:color w:val="auto"/>
        </w:rPr>
      </w:pPr>
    </w:p>
    <w:p>
      <w:pPr>
        <w:ind w:left="346" w:right="20" w:hanging="346"/>
        <w:spacing w:after="0" w:line="258" w:lineRule="auto"/>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with an estimated value of $25,000. The Change in Control Severance Agreement for this executive provides for a severance payment equal to 2.0 times the sum of base salary and target annual bonus plus 24 months of continued benefits.</w:t>
      </w:r>
    </w:p>
    <w:p>
      <w:pPr>
        <w:spacing w:after="0" w:line="196" w:lineRule="exact"/>
        <w:rPr>
          <w:rFonts w:ascii="Arial" w:cs="Arial" w:eastAsia="Arial" w:hAnsi="Arial"/>
          <w:sz w:val="14"/>
          <w:szCs w:val="14"/>
          <w:color w:val="auto"/>
        </w:rPr>
      </w:pPr>
    </w:p>
    <w:p>
      <w:pPr>
        <w:ind w:left="346" w:right="40" w:hanging="346"/>
        <w:spacing w:after="0" w:line="252" w:lineRule="auto"/>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the RSUs, upon termination due to death, disability, or termination without cause or for good reason following a change-in-control, represents the accelerated value of the RSUs based on the closing price of our common stock on December 31, 2025 ($92.86). Upon a termination due to retirement after the first anniversary of the grant date, RSUs will continue to vest subject to non-compete/non-solicit and reasonable notice restrictions. Awards granted in 2025 are assumed to be forfeited, as retirement at December 31, 2025 is before the first anniversary of the grant date.</w:t>
      </w:r>
    </w:p>
    <w:p>
      <w:pPr>
        <w:spacing w:after="0" w:line="32" w:lineRule="exact"/>
        <w:rPr>
          <w:rFonts w:ascii="Arial" w:cs="Arial" w:eastAsia="Arial" w:hAnsi="Arial"/>
          <w:sz w:val="14"/>
          <w:szCs w:val="14"/>
          <w:color w:val="auto"/>
        </w:rPr>
      </w:pPr>
    </w:p>
    <w:p>
      <w:pPr>
        <w:ind w:left="346" w:right="40" w:hanging="346"/>
        <w:spacing w:after="0" w:line="245" w:lineRule="auto"/>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Upon a termination due to death or disability, the executive is eligible to receive that number of PRSUs that vest based on the actual attainment of the performance goals as assessed after the performance period. Upon a qualified retirement that occurs at least 12 months after grant, the executive is eligible to receive that number of PRSUs that vest based on the actual attainment of the performance goals as assessed after the end of the performance period. Awards granted in the 12 months prior to retirement are forfeited. Upon an involuntary termination without cause, the executive will be entitled to receive pro-rated vesting of PRSUs based on the actual attainment of the performance goals as assessed after the performance period. Upon termination without cause or by the executive for good reason following a change-in-control, the unvested PRSUs shall become immediately and fully vested as of the date of termination at the greater of target or actual performance if the termination occurs during the performance period. For death, disability, retirement, termination without cause, and termination without cause or for good reason following a change-in-control, the tabular values reflect (1) the actual payout for the 2023-2025 performance cycle which was above target and (2) for the 2024-2026 and 2025-2027 performance cycles, actual funding for completed years in the cycle and target funding for future years in the cycle without application of the rTSR multiplier. Values are based on the closing price of our common stock on December 31, 2025 ($92.86).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8293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8"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50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4" w:name="page55"/>
    <w:bookmarkEnd w:id="54"/>
    <w:tbl>
      <w:tblPr>
        <w:tblLayout w:type="fixed"/>
        <w:tblInd w:w="6" w:type="dxa"/>
        <w:tblCellMar>
          <w:top w:w="0" w:type="dxa"/>
          <w:left w:w="0" w:type="dxa"/>
          <w:bottom w:w="0" w:type="dxa"/>
          <w:right w:w="0" w:type="dxa"/>
        </w:tblCellMar>
      </w:tblPr>
      <w:tr>
        <w:trPr>
          <w:trHeight w:val="161"/>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5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color w:val="0063A6"/>
              </w:rPr>
              <w:t>Executive Compensation Tables</w:t>
            </w: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bottom w:val="single" w:sz="8" w:color="0063A6"/>
            </w:tcBorders>
          </w:tcPr>
          <w:p>
            <w:pPr>
              <w:spacing w:after="0"/>
              <w:rPr>
                <w:sz w:val="24"/>
                <w:szCs w:val="24"/>
                <w:color w:val="auto"/>
              </w:rPr>
            </w:pPr>
          </w:p>
        </w:tc>
        <w:tc>
          <w:tcPr>
            <w:tcW w:w="106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680" w:type="dxa"/>
            <w:vAlign w:val="bottom"/>
            <w:tcBorders>
              <w:bottom w:val="single" w:sz="8" w:color="0063A6"/>
            </w:tcBorders>
          </w:tcPr>
          <w:p>
            <w:pPr>
              <w:spacing w:after="0"/>
              <w:rPr>
                <w:sz w:val="24"/>
                <w:szCs w:val="24"/>
                <w:color w:val="auto"/>
              </w:rPr>
            </w:pPr>
          </w:p>
        </w:tc>
        <w:tc>
          <w:tcPr>
            <w:tcW w:w="240" w:type="dxa"/>
            <w:vAlign w:val="bottom"/>
            <w:tcBorders>
              <w:bottom w:val="single" w:sz="8" w:color="0063A6"/>
            </w:tcBorders>
          </w:tcPr>
          <w:p>
            <w:pPr>
              <w:spacing w:after="0"/>
              <w:rPr>
                <w:sz w:val="24"/>
                <w:szCs w:val="24"/>
                <w:color w:val="auto"/>
              </w:rPr>
            </w:pPr>
          </w:p>
        </w:tc>
        <w:tc>
          <w:tcPr>
            <w:tcW w:w="880" w:type="dxa"/>
            <w:vAlign w:val="bottom"/>
            <w:tcBorders>
              <w:bottom w:val="single" w:sz="8" w:color="0063A6"/>
            </w:tcBorders>
          </w:tcPr>
          <w:p>
            <w:pPr>
              <w:jc w:val="center"/>
              <w:spacing w:after="0"/>
              <w:rPr>
                <w:sz w:val="20"/>
                <w:szCs w:val="20"/>
                <w:color w:val="auto"/>
              </w:rPr>
            </w:pPr>
            <w:r>
              <w:rPr>
                <w:rFonts w:ascii="Arial" w:cs="Arial" w:eastAsia="Arial" w:hAnsi="Arial"/>
                <w:sz w:val="14"/>
                <w:szCs w:val="14"/>
                <w:b w:val="1"/>
                <w:bCs w:val="1"/>
                <w:color w:val="auto"/>
              </w:rPr>
              <w:t>ITRON, INC.</w:t>
            </w:r>
          </w:p>
        </w:tc>
        <w:tc>
          <w:tcPr>
            <w:tcW w:w="200" w:type="dxa"/>
            <w:vAlign w:val="bottom"/>
            <w:tcBorders>
              <w:bottom w:val="single" w:sz="8" w:color="0063A6"/>
            </w:tcBorders>
          </w:tcPr>
          <w:p>
            <w:pPr>
              <w:spacing w:after="0"/>
              <w:rPr>
                <w:sz w:val="24"/>
                <w:szCs w:val="24"/>
                <w:color w:val="auto"/>
              </w:rPr>
            </w:pPr>
          </w:p>
        </w:tc>
        <w:tc>
          <w:tcPr>
            <w:tcW w:w="700" w:type="dxa"/>
            <w:vAlign w:val="bottom"/>
            <w:tcBorders>
              <w:bottom w:val="single" w:sz="8" w:color="0063A6"/>
            </w:tcBorders>
          </w:tcPr>
          <w:p>
            <w:pPr>
              <w:spacing w:after="0"/>
              <w:rPr>
                <w:sz w:val="24"/>
                <w:szCs w:val="24"/>
                <w:color w:val="auto"/>
              </w:rPr>
            </w:pPr>
          </w:p>
        </w:tc>
        <w:tc>
          <w:tcPr>
            <w:tcW w:w="320" w:type="dxa"/>
            <w:vAlign w:val="bottom"/>
            <w:tcBorders>
              <w:bottom w:val="single" w:sz="8" w:color="0063A6"/>
            </w:tcBorders>
          </w:tcPr>
          <w:p>
            <w:pPr>
              <w:spacing w:after="0"/>
              <w:rPr>
                <w:sz w:val="24"/>
                <w:szCs w:val="24"/>
                <w:color w:val="auto"/>
              </w:rPr>
            </w:pPr>
          </w:p>
        </w:tc>
        <w:tc>
          <w:tcPr>
            <w:tcW w:w="780" w:type="dxa"/>
            <w:vAlign w:val="bottom"/>
            <w:tcBorders>
              <w:bottom w:val="single" w:sz="8" w:color="0063A6"/>
            </w:tcBorders>
          </w:tcPr>
          <w:p>
            <w:pPr>
              <w:spacing w:after="0"/>
              <w:rPr>
                <w:sz w:val="24"/>
                <w:szCs w:val="24"/>
                <w:color w:val="auto"/>
              </w:rPr>
            </w:pPr>
          </w:p>
        </w:tc>
        <w:tc>
          <w:tcPr>
            <w:tcW w:w="52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bottom w:val="single" w:sz="8" w:color="0063A6"/>
            </w:tcBorders>
          </w:tcPr>
          <w:p>
            <w:pPr>
              <w:spacing w:after="0"/>
              <w:rPr>
                <w:sz w:val="20"/>
                <w:szCs w:val="20"/>
                <w:color w:val="auto"/>
              </w:rPr>
            </w:pPr>
          </w:p>
        </w:tc>
        <w:tc>
          <w:tcPr>
            <w:tcW w:w="106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2700" w:type="dxa"/>
            <w:vAlign w:val="bottom"/>
            <w:tcBorders>
              <w:bottom w:val="single" w:sz="8" w:color="0063A6"/>
            </w:tcBorders>
            <w:gridSpan w:val="5"/>
          </w:tcPr>
          <w:p>
            <w:pPr>
              <w:jc w:val="center"/>
              <w:spacing w:after="0"/>
              <w:rPr>
                <w:sz w:val="20"/>
                <w:szCs w:val="20"/>
                <w:color w:val="auto"/>
              </w:rPr>
            </w:pPr>
            <w:r>
              <w:rPr>
                <w:rFonts w:ascii="Arial" w:cs="Arial" w:eastAsia="Arial" w:hAnsi="Arial"/>
                <w:sz w:val="14"/>
                <w:szCs w:val="14"/>
                <w:b w:val="1"/>
                <w:bCs w:val="1"/>
                <w:color w:val="auto"/>
              </w:rPr>
              <w:t>Summary of Termination Payments</w:t>
            </w:r>
          </w:p>
        </w:tc>
        <w:tc>
          <w:tcPr>
            <w:tcW w:w="320" w:type="dxa"/>
            <w:vAlign w:val="bottom"/>
            <w:tcBorders>
              <w:bottom w:val="single" w:sz="8" w:color="0063A6"/>
            </w:tcBorders>
          </w:tcPr>
          <w:p>
            <w:pPr>
              <w:spacing w:after="0"/>
              <w:rPr>
                <w:sz w:val="20"/>
                <w:szCs w:val="20"/>
                <w:color w:val="auto"/>
              </w:rPr>
            </w:pPr>
          </w:p>
        </w:tc>
        <w:tc>
          <w:tcPr>
            <w:tcW w:w="780" w:type="dxa"/>
            <w:vAlign w:val="bottom"/>
            <w:tcBorders>
              <w:bottom w:val="single" w:sz="8" w:color="0063A6"/>
            </w:tcBorders>
          </w:tcPr>
          <w:p>
            <w:pPr>
              <w:spacing w:after="0"/>
              <w:rPr>
                <w:sz w:val="20"/>
                <w:szCs w:val="20"/>
                <w:color w:val="auto"/>
              </w:rPr>
            </w:pPr>
          </w:p>
        </w:tc>
        <w:tc>
          <w:tcPr>
            <w:tcW w:w="52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rPr>
              <w:t>Donald L. Reeves</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shd w:val="clear" w:color="auto" w:fill="0063A6"/>
          </w:tcPr>
          <w:p>
            <w:pPr>
              <w:spacing w:after="0"/>
              <w:rPr>
                <w:sz w:val="18"/>
                <w:szCs w:val="18"/>
                <w:color w:val="auto"/>
              </w:rPr>
            </w:pPr>
          </w:p>
        </w:tc>
        <w:tc>
          <w:tcPr>
            <w:tcW w:w="106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680" w:type="dxa"/>
            <w:vAlign w:val="bottom"/>
            <w:shd w:val="clear" w:color="auto" w:fill="0063A6"/>
          </w:tcPr>
          <w:p>
            <w:pPr>
              <w:spacing w:after="0"/>
              <w:rPr>
                <w:sz w:val="18"/>
                <w:szCs w:val="18"/>
                <w:color w:val="auto"/>
              </w:rPr>
            </w:pPr>
          </w:p>
        </w:tc>
        <w:tc>
          <w:tcPr>
            <w:tcW w:w="240" w:type="dxa"/>
            <w:vAlign w:val="bottom"/>
            <w:shd w:val="clear" w:color="auto" w:fill="0063A6"/>
          </w:tcPr>
          <w:p>
            <w:pPr>
              <w:spacing w:after="0"/>
              <w:rPr>
                <w:sz w:val="18"/>
                <w:szCs w:val="18"/>
                <w:color w:val="auto"/>
              </w:rPr>
            </w:pPr>
          </w:p>
        </w:tc>
        <w:tc>
          <w:tcPr>
            <w:tcW w:w="880" w:type="dxa"/>
            <w:vAlign w:val="bottom"/>
            <w:shd w:val="clear" w:color="auto" w:fill="0063A6"/>
          </w:tcPr>
          <w:p>
            <w:pPr>
              <w:spacing w:after="0"/>
              <w:rPr>
                <w:sz w:val="18"/>
                <w:szCs w:val="18"/>
                <w:color w:val="auto"/>
              </w:rPr>
            </w:pPr>
          </w:p>
        </w:tc>
        <w:tc>
          <w:tcPr>
            <w:tcW w:w="20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320" w:type="dxa"/>
            <w:vAlign w:val="bottom"/>
            <w:shd w:val="clear" w:color="auto" w:fill="0063A6"/>
          </w:tcPr>
          <w:p>
            <w:pPr>
              <w:spacing w:after="0"/>
              <w:rPr>
                <w:sz w:val="18"/>
                <w:szCs w:val="18"/>
                <w:color w:val="auto"/>
              </w:rPr>
            </w:pPr>
          </w:p>
        </w:tc>
        <w:tc>
          <w:tcPr>
            <w:tcW w:w="780" w:type="dxa"/>
            <w:vAlign w:val="bottom"/>
            <w:shd w:val="clear" w:color="auto" w:fill="0063A6"/>
          </w:tcPr>
          <w:p>
            <w:pPr>
              <w:spacing w:after="0"/>
              <w:rPr>
                <w:sz w:val="18"/>
                <w:szCs w:val="18"/>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52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the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Executive for</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Good 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1100" w:type="dxa"/>
            <w:vAlign w:val="bottom"/>
            <w:gridSpan w:val="2"/>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Termination</w:t>
            </w: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0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106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Without</w:t>
            </w:r>
          </w:p>
        </w:tc>
        <w:tc>
          <w:tcPr>
            <w:tcW w:w="124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740" w:type="dxa"/>
            <w:vAlign w:val="bottom"/>
            <w:tcBorders>
              <w:bottom w:val="single" w:sz="8" w:color="0063A6"/>
            </w:tcBorders>
            <w:gridSpan w:val="2"/>
            <w:vMerge w:val="continue"/>
          </w:tcPr>
          <w:p>
            <w:pPr>
              <w:spacing w:after="0"/>
              <w:rPr>
                <w:sz w:val="18"/>
                <w:szCs w:val="18"/>
                <w:color w:val="auto"/>
              </w:rPr>
            </w:pPr>
          </w:p>
        </w:tc>
        <w:tc>
          <w:tcPr>
            <w:tcW w:w="108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for Cause</w:t>
            </w:r>
          </w:p>
        </w:tc>
        <w:tc>
          <w:tcPr>
            <w:tcW w:w="106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680" w:type="dxa"/>
            <w:vAlign w:val="bottom"/>
            <w:tcBorders>
              <w:bottom w:val="single" w:sz="8" w:color="0063A6"/>
            </w:tcBorders>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Death</w:t>
            </w:r>
          </w:p>
        </w:tc>
        <w:tc>
          <w:tcPr>
            <w:tcW w:w="240" w:type="dxa"/>
            <w:vAlign w:val="bottom"/>
            <w:tcBorders>
              <w:bottom w:val="single" w:sz="8" w:color="0063A6"/>
            </w:tcBorders>
            <w:shd w:val="clear" w:color="auto" w:fill="0063A6"/>
          </w:tcPr>
          <w:p>
            <w:pPr>
              <w:spacing w:after="0"/>
              <w:rPr>
                <w:sz w:val="18"/>
                <w:szCs w:val="18"/>
                <w:color w:val="auto"/>
              </w:rPr>
            </w:pPr>
          </w:p>
        </w:tc>
        <w:tc>
          <w:tcPr>
            <w:tcW w:w="880" w:type="dxa"/>
            <w:vAlign w:val="bottom"/>
            <w:tcBorders>
              <w:bottom w:val="single" w:sz="8" w:color="0063A6"/>
            </w:tcBorders>
            <w:shd w:val="clear" w:color="auto" w:fill="0063A6"/>
          </w:tcPr>
          <w:p>
            <w:pPr>
              <w:jc w:val="right"/>
              <w:ind w:right="168"/>
              <w:spacing w:after="0"/>
              <w:rPr>
                <w:sz w:val="20"/>
                <w:szCs w:val="20"/>
                <w:color w:val="auto"/>
              </w:rPr>
            </w:pPr>
            <w:r>
              <w:rPr>
                <w:rFonts w:ascii="Arial" w:cs="Arial" w:eastAsia="Arial" w:hAnsi="Arial"/>
                <w:sz w:val="14"/>
                <w:szCs w:val="14"/>
                <w:b w:val="1"/>
                <w:bCs w:val="1"/>
                <w:color w:val="FFFFFF"/>
                <w:w w:val="99"/>
              </w:rPr>
              <w:t>Disability</w:t>
            </w:r>
          </w:p>
        </w:tc>
        <w:tc>
          <w:tcPr>
            <w:tcW w:w="900" w:type="dxa"/>
            <w:vAlign w:val="bottom"/>
            <w:tcBorders>
              <w:bottom w:val="single" w:sz="8" w:color="0063A6"/>
            </w:tcBorders>
            <w:gridSpan w:val="2"/>
            <w:shd w:val="clear" w:color="auto" w:fill="0063A6"/>
          </w:tcPr>
          <w:p>
            <w:pPr>
              <w:ind w:left="20"/>
              <w:spacing w:after="0"/>
              <w:rPr>
                <w:sz w:val="20"/>
                <w:szCs w:val="20"/>
                <w:color w:val="auto"/>
              </w:rPr>
            </w:pPr>
            <w:r>
              <w:rPr>
                <w:rFonts w:ascii="Arial" w:cs="Arial" w:eastAsia="Arial" w:hAnsi="Arial"/>
                <w:sz w:val="14"/>
                <w:szCs w:val="14"/>
                <w:b w:val="1"/>
                <w:bCs w:val="1"/>
                <w:color w:val="FFFFFF"/>
              </w:rPr>
              <w:t>Retirement</w:t>
            </w:r>
          </w:p>
        </w:tc>
        <w:tc>
          <w:tcPr>
            <w:tcW w:w="320" w:type="dxa"/>
            <w:vAlign w:val="bottom"/>
            <w:tcBorders>
              <w:bottom w:val="single" w:sz="8" w:color="0063A6"/>
            </w:tcBorders>
            <w:shd w:val="clear" w:color="auto" w:fill="0063A6"/>
          </w:tcPr>
          <w:p>
            <w:pPr>
              <w:spacing w:after="0"/>
              <w:rPr>
                <w:sz w:val="18"/>
                <w:szCs w:val="18"/>
                <w:color w:val="auto"/>
              </w:rPr>
            </w:pPr>
          </w:p>
        </w:tc>
        <w:tc>
          <w:tcPr>
            <w:tcW w:w="78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Cause</w:t>
            </w:r>
          </w:p>
        </w:tc>
        <w:tc>
          <w:tcPr>
            <w:tcW w:w="52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366,750</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489,000</w:t>
            </w:r>
          </w:p>
        </w:tc>
        <w:tc>
          <w:tcPr>
            <w:tcW w:w="124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$1,711,500</w:t>
            </w:r>
          </w:p>
        </w:tc>
        <w:tc>
          <w:tcPr>
            <w:tcW w:w="0" w:type="dxa"/>
            <w:vAlign w:val="bottom"/>
          </w:tcPr>
          <w:p>
            <w:pPr>
              <w:spacing w:after="0"/>
              <w:rPr>
                <w:sz w:val="1"/>
                <w:szCs w:val="1"/>
                <w:color w:val="auto"/>
              </w:rPr>
            </w:pPr>
          </w:p>
        </w:tc>
      </w:tr>
      <w:tr>
        <w:trPr>
          <w:trHeight w:val="18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Benefit Continuation</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40" w:type="dxa"/>
            <w:vAlign w:val="bottom"/>
            <w:tcBorders>
              <w:bottom w:val="single" w:sz="8" w:color="5D6673"/>
            </w:tcBorders>
            <w:gridSpan w:val="2"/>
          </w:tcPr>
          <w:p>
            <w:pPr>
              <w:ind w:left="80"/>
              <w:spacing w:after="0" w:line="242" w:lineRule="exact"/>
              <w:rPr>
                <w:sz w:val="20"/>
                <w:szCs w:val="20"/>
                <w:color w:val="auto"/>
              </w:rPr>
            </w:pPr>
            <w:r>
              <w:rPr>
                <w:rFonts w:ascii="Arial" w:cs="Arial" w:eastAsia="Arial" w:hAnsi="Arial"/>
                <w:sz w:val="14"/>
                <w:szCs w:val="14"/>
                <w:color w:val="auto"/>
              </w:rPr>
              <w:t>and Outplacement</w:t>
            </w:r>
            <w:r>
              <w:rPr>
                <w:rFonts w:ascii="Arial" w:cs="Arial" w:eastAsia="Arial" w:hAnsi="Arial"/>
                <w:sz w:val="23"/>
                <w:szCs w:val="23"/>
                <w:color w:val="auto"/>
                <w:vertAlign w:val="superscript"/>
              </w:rPr>
              <w:t>(3)</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57,656</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65,311</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919,221</w:t>
            </w:r>
          </w:p>
        </w:tc>
        <w:tc>
          <w:tcPr>
            <w:tcW w:w="24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919,221</w:t>
            </w:r>
          </w:p>
        </w:tc>
        <w:tc>
          <w:tcPr>
            <w:tcW w:w="2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326,124</w:t>
            </w:r>
          </w:p>
        </w:tc>
        <w:tc>
          <w:tcPr>
            <w:tcW w:w="32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919,221</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108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63A6"/>
            </w:tcBorders>
            <w:gridSpan w:val="2"/>
          </w:tcPr>
          <w:p>
            <w:pPr>
              <w:ind w:left="120"/>
              <w:spacing w:after="0"/>
              <w:rPr>
                <w:sz w:val="20"/>
                <w:szCs w:val="20"/>
                <w:color w:val="auto"/>
              </w:rPr>
            </w:pPr>
            <w:r>
              <w:rPr>
                <w:rFonts w:ascii="Arial" w:cs="Arial" w:eastAsia="Arial" w:hAnsi="Arial"/>
                <w:sz w:val="14"/>
                <w:szCs w:val="14"/>
                <w:color w:val="auto"/>
              </w:rPr>
              <w:t>$3,179,434</w:t>
            </w:r>
          </w:p>
        </w:tc>
        <w:tc>
          <w:tcPr>
            <w:tcW w:w="1120" w:type="dxa"/>
            <w:vAlign w:val="bottom"/>
            <w:tcBorders>
              <w:bottom w:val="single" w:sz="8" w:color="0063A6"/>
            </w:tcBorders>
            <w:gridSpan w:val="2"/>
          </w:tcPr>
          <w:p>
            <w:pPr>
              <w:ind w:left="160"/>
              <w:spacing w:after="0"/>
              <w:rPr>
                <w:sz w:val="20"/>
                <w:szCs w:val="20"/>
                <w:color w:val="auto"/>
              </w:rPr>
            </w:pPr>
            <w:r>
              <w:rPr>
                <w:rFonts w:ascii="Arial" w:cs="Arial" w:eastAsia="Arial" w:hAnsi="Arial"/>
                <w:sz w:val="14"/>
                <w:szCs w:val="14"/>
                <w:color w:val="auto"/>
              </w:rPr>
              <w:t>$3,179,434</w:t>
            </w:r>
          </w:p>
        </w:tc>
        <w:tc>
          <w:tcPr>
            <w:tcW w:w="900" w:type="dxa"/>
            <w:vAlign w:val="bottom"/>
            <w:tcBorders>
              <w:bottom w:val="single" w:sz="8" w:color="0063A6"/>
            </w:tcBorders>
            <w:gridSpan w:val="2"/>
          </w:tcPr>
          <w:p>
            <w:pPr>
              <w:ind w:left="40"/>
              <w:spacing w:after="0"/>
              <w:rPr>
                <w:sz w:val="20"/>
                <w:szCs w:val="20"/>
                <w:color w:val="auto"/>
              </w:rPr>
            </w:pPr>
            <w:r>
              <w:rPr>
                <w:rFonts w:ascii="Arial" w:cs="Arial" w:eastAsia="Arial" w:hAnsi="Arial"/>
                <w:sz w:val="14"/>
                <w:szCs w:val="14"/>
                <w:color w:val="auto"/>
              </w:rPr>
              <w:t>$2,388,638</w:t>
            </w:r>
          </w:p>
        </w:tc>
        <w:tc>
          <w:tcPr>
            <w:tcW w:w="1100" w:type="dxa"/>
            <w:vAlign w:val="bottom"/>
            <w:tcBorders>
              <w:bottom w:val="single" w:sz="8" w:color="0063A6"/>
            </w:tcBorders>
            <w:gridSpan w:val="2"/>
          </w:tcPr>
          <w:p>
            <w:pPr>
              <w:ind w:left="220"/>
              <w:spacing w:after="0"/>
              <w:rPr>
                <w:sz w:val="20"/>
                <w:szCs w:val="20"/>
                <w:color w:val="auto"/>
              </w:rPr>
            </w:pPr>
            <w:r>
              <w:rPr>
                <w:rFonts w:ascii="Arial" w:cs="Arial" w:eastAsia="Arial" w:hAnsi="Arial"/>
                <w:sz w:val="14"/>
                <w:szCs w:val="14"/>
                <w:color w:val="auto"/>
              </w:rPr>
              <w:t>$2,273,930</w:t>
            </w:r>
          </w:p>
        </w:tc>
        <w:tc>
          <w:tcPr>
            <w:tcW w:w="124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$3,179,434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40" w:hanging="346"/>
        <w:spacing w:after="0" w:line="246"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above table excludes amounts under our Executive Deferred Compensation Plan, stock option awards that are fully vested, earned salary, and accrued vacation as those items are earned and due to the employee regardless of such termination events. It also excludes amounts payable under life insurance coverage, our accidental death &amp; dismemberment coverage or our business travel accident coverage, which are programs available to all employees. Each form of payment is mutually exclusive based on the individual circumstances or events and therefore represents a single payment and should not be added together. On a termination without cause or by the executive for good reason following a change-in-control, payments do not contemplate any payment reduction that would potentially provide the executive with a greater after-tax payment. Upon a change-in-control only in which outstanding equity awards are not assumed, substituted for, or converted or the acquiring company is not publicly-traded, the vesting of all outstanding RSUs and PRSUs will accelerate; values as shown in this table presume that the acquirer assumes applicable outstanding awards.</w:t>
      </w:r>
    </w:p>
    <w:p>
      <w:pPr>
        <w:spacing w:after="0" w:line="40" w:lineRule="exact"/>
        <w:rPr>
          <w:rFonts w:ascii="Arial" w:cs="Arial" w:eastAsia="Arial" w:hAnsi="Arial"/>
          <w:sz w:val="14"/>
          <w:szCs w:val="14"/>
          <w:color w:val="auto"/>
        </w:rPr>
      </w:pPr>
    </w:p>
    <w:p>
      <w:pPr>
        <w:ind w:left="346" w:right="160" w:hanging="346"/>
        <w:spacing w:after="0" w:line="263"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Change in Control Severance Agreement with this executive provides for an amount in respect of the executive’s target annual cash bonus compensation for the fiscal year in which the date of termination occurs, which amount will be paid out pro-rata, based on the portion of the performance period which has elapsed as of the date of termination.</w:t>
      </w:r>
    </w:p>
    <w:p>
      <w:pPr>
        <w:spacing w:after="0" w:line="37" w:lineRule="exact"/>
        <w:rPr>
          <w:rFonts w:ascii="Arial" w:cs="Arial" w:eastAsia="Arial" w:hAnsi="Arial"/>
          <w:sz w:val="14"/>
          <w:szCs w:val="14"/>
          <w:color w:val="auto"/>
        </w:rPr>
      </w:pPr>
    </w:p>
    <w:p>
      <w:pPr>
        <w:ind w:left="346" w:right="20" w:hanging="346"/>
        <w:spacing w:after="0" w:line="258"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with an estimated value of $25,000. The Change in Control Severance Agreement for this executive provides for a severance payment equal to 2.0 times the sum of base salary and target annual bonus plus 24 months of continued benefits.</w:t>
      </w:r>
    </w:p>
    <w:p>
      <w:pPr>
        <w:spacing w:after="0" w:line="196" w:lineRule="exact"/>
        <w:rPr>
          <w:rFonts w:ascii="Arial" w:cs="Arial" w:eastAsia="Arial" w:hAnsi="Arial"/>
          <w:sz w:val="14"/>
          <w:szCs w:val="14"/>
          <w:color w:val="auto"/>
        </w:rPr>
      </w:pPr>
    </w:p>
    <w:p>
      <w:pPr>
        <w:ind w:left="346" w:right="40" w:hanging="346"/>
        <w:spacing w:after="0" w:line="252"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the RSUs, upon termination due to death, disability, or termination without cause or for good reason following a change-in-control, represents the accelerated value of the RSUs based on the closing price of our common stock on December 31, 2025 ($92.86). Upon a termination due to retirement after the first anniversary of the grant date, RSUs will continue to vest subject to non-compete/non-solicit and reasonable notice restrictions. Awards granted in 2025 are assumed to be forfeited, as retirement at December 31, 2025 is before the first anniversary of the grant date.</w:t>
      </w:r>
    </w:p>
    <w:p>
      <w:pPr>
        <w:spacing w:after="0" w:line="32" w:lineRule="exact"/>
        <w:rPr>
          <w:rFonts w:ascii="Arial" w:cs="Arial" w:eastAsia="Arial" w:hAnsi="Arial"/>
          <w:sz w:val="14"/>
          <w:szCs w:val="14"/>
          <w:color w:val="auto"/>
        </w:rPr>
      </w:pPr>
    </w:p>
    <w:p>
      <w:pPr>
        <w:ind w:left="346" w:right="40" w:hanging="346"/>
        <w:spacing w:after="0" w:line="245"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color w:val="auto"/>
        </w:rPr>
        <w:t>Upon a termination due to death or disability, the executive is eligible to receive that number of PRSUs that vest based on the actual attainment of the performance goals as assessed after the performance period. Upon a qualified retirement that occurs at least 12 months after grant, the executive is eligible to receive that number of PRSUs that vest based on the actual attainment of the performance goals as assessed after the end of the performance period. Awards granted in the 12 months prior to retirement are forfeited. Upon an involuntary termination without cause, the executive will be entitled to receive pro-rated vesting of PRSUs based on the actual attainment of the performance goals as assessed after the performance period. Upon termination without cause or by the executive for good reason following a change-in-control, the unvested PRSUs shall become immediately and fully vested as of the date of termination at the greater of target or actual performance if the termination occurs during the performance period. For death, disability, retirement, termination without cause, and termination without cause or for good reason following a change-in-control, the tabular values reflect (1) the actual payout for the 2023-2025 performance cycle which was above target and (2) for the 2024-2026 and 2025-2027 performance cycles, actual funding for completed years in the cycle and target funding for future years in the cycle without application of the rTSR multiplier. Values are based on the closing price of our common stock on December 31, 2025 ($92.86).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8293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8"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5" w:name="page56"/>
    <w:bookmarkEnd w:id="55"/>
    <w:tbl>
      <w:tblPr>
        <w:tblLayout w:type="fixed"/>
        <w:tblInd w:w="6"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820" w:type="dxa"/>
            <w:vAlign w:val="bottom"/>
            <w:gridSpan w:val="3"/>
          </w:tcPr>
          <w:p>
            <w:pPr>
              <w:spacing w:after="0"/>
              <w:rPr>
                <w:sz w:val="20"/>
                <w:szCs w:val="20"/>
                <w:color w:val="auto"/>
              </w:rPr>
            </w:pPr>
            <w:r>
              <w:rPr>
                <w:rFonts w:ascii="Arial" w:cs="Arial" w:eastAsia="Arial" w:hAnsi="Arial"/>
                <w:sz w:val="14"/>
                <w:szCs w:val="14"/>
                <w:color w:val="5D6673"/>
              </w:rPr>
              <w:t>EXECUTIVE COMPENSATION</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20" w:type="dxa"/>
            <w:vAlign w:val="bottom"/>
            <w:gridSpan w:val="3"/>
          </w:tcPr>
          <w:p>
            <w:pPr>
              <w:spacing w:after="0"/>
              <w:rPr>
                <w:sz w:val="20"/>
                <w:szCs w:val="20"/>
                <w:color w:val="auto"/>
              </w:rPr>
            </w:pPr>
            <w:r>
              <w:rPr>
                <w:rFonts w:ascii="Arial" w:cs="Arial" w:eastAsia="Arial" w:hAnsi="Arial"/>
                <w:sz w:val="14"/>
                <w:szCs w:val="14"/>
                <w:color w:val="0063A6"/>
              </w:rPr>
              <w:t>Executive Compensation Tables</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bottom w:val="single" w:sz="8" w:color="0063A6"/>
            </w:tcBorders>
          </w:tcPr>
          <w:p>
            <w:pPr>
              <w:spacing w:after="0"/>
              <w:rPr>
                <w:sz w:val="24"/>
                <w:szCs w:val="24"/>
                <w:color w:val="auto"/>
              </w:rPr>
            </w:pPr>
          </w:p>
        </w:tc>
        <w:tc>
          <w:tcPr>
            <w:tcW w:w="106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680" w:type="dxa"/>
            <w:vAlign w:val="bottom"/>
            <w:tcBorders>
              <w:bottom w:val="single" w:sz="8" w:color="0063A6"/>
            </w:tcBorders>
          </w:tcPr>
          <w:p>
            <w:pPr>
              <w:spacing w:after="0"/>
              <w:rPr>
                <w:sz w:val="24"/>
                <w:szCs w:val="24"/>
                <w:color w:val="auto"/>
              </w:rPr>
            </w:pPr>
          </w:p>
        </w:tc>
        <w:tc>
          <w:tcPr>
            <w:tcW w:w="240" w:type="dxa"/>
            <w:vAlign w:val="bottom"/>
            <w:tcBorders>
              <w:bottom w:val="single" w:sz="8" w:color="0063A6"/>
            </w:tcBorders>
          </w:tcPr>
          <w:p>
            <w:pPr>
              <w:spacing w:after="0"/>
              <w:rPr>
                <w:sz w:val="24"/>
                <w:szCs w:val="24"/>
                <w:color w:val="auto"/>
              </w:rPr>
            </w:pPr>
          </w:p>
        </w:tc>
        <w:tc>
          <w:tcPr>
            <w:tcW w:w="880" w:type="dxa"/>
            <w:vAlign w:val="bottom"/>
            <w:tcBorders>
              <w:bottom w:val="single" w:sz="8" w:color="0063A6"/>
            </w:tcBorders>
          </w:tcPr>
          <w:p>
            <w:pPr>
              <w:jc w:val="center"/>
              <w:spacing w:after="0"/>
              <w:rPr>
                <w:sz w:val="20"/>
                <w:szCs w:val="20"/>
                <w:color w:val="auto"/>
              </w:rPr>
            </w:pPr>
            <w:r>
              <w:rPr>
                <w:rFonts w:ascii="Arial" w:cs="Arial" w:eastAsia="Arial" w:hAnsi="Arial"/>
                <w:sz w:val="14"/>
                <w:szCs w:val="14"/>
                <w:b w:val="1"/>
                <w:bCs w:val="1"/>
                <w:color w:val="auto"/>
              </w:rPr>
              <w:t>ITRON, INC.</w:t>
            </w:r>
          </w:p>
        </w:tc>
        <w:tc>
          <w:tcPr>
            <w:tcW w:w="900" w:type="dxa"/>
            <w:vAlign w:val="bottom"/>
            <w:tcBorders>
              <w:bottom w:val="single" w:sz="8" w:color="0063A6"/>
            </w:tcBorders>
          </w:tcPr>
          <w:p>
            <w:pPr>
              <w:spacing w:after="0"/>
              <w:rPr>
                <w:sz w:val="24"/>
                <w:szCs w:val="24"/>
                <w:color w:val="auto"/>
              </w:rPr>
            </w:pPr>
          </w:p>
        </w:tc>
        <w:tc>
          <w:tcPr>
            <w:tcW w:w="360" w:type="dxa"/>
            <w:vAlign w:val="bottom"/>
            <w:tcBorders>
              <w:bottom w:val="single" w:sz="8" w:color="0063A6"/>
            </w:tcBorders>
          </w:tcPr>
          <w:p>
            <w:pPr>
              <w:spacing w:after="0"/>
              <w:rPr>
                <w:sz w:val="24"/>
                <w:szCs w:val="24"/>
                <w:color w:val="auto"/>
              </w:rPr>
            </w:pPr>
          </w:p>
        </w:tc>
        <w:tc>
          <w:tcPr>
            <w:tcW w:w="740" w:type="dxa"/>
            <w:vAlign w:val="bottom"/>
            <w:tcBorders>
              <w:bottom w:val="single" w:sz="8" w:color="0063A6"/>
            </w:tcBorders>
          </w:tcPr>
          <w:p>
            <w:pPr>
              <w:spacing w:after="0"/>
              <w:rPr>
                <w:sz w:val="24"/>
                <w:szCs w:val="24"/>
                <w:color w:val="auto"/>
              </w:rPr>
            </w:pPr>
          </w:p>
        </w:tc>
        <w:tc>
          <w:tcPr>
            <w:tcW w:w="52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bottom w:val="single" w:sz="8" w:color="0063A6"/>
            </w:tcBorders>
          </w:tcPr>
          <w:p>
            <w:pPr>
              <w:spacing w:after="0"/>
              <w:rPr>
                <w:sz w:val="20"/>
                <w:szCs w:val="20"/>
                <w:color w:val="auto"/>
              </w:rPr>
            </w:pPr>
          </w:p>
        </w:tc>
        <w:tc>
          <w:tcPr>
            <w:tcW w:w="106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2700" w:type="dxa"/>
            <w:vAlign w:val="bottom"/>
            <w:tcBorders>
              <w:bottom w:val="single" w:sz="8" w:color="0063A6"/>
            </w:tcBorders>
            <w:gridSpan w:val="4"/>
          </w:tcPr>
          <w:p>
            <w:pPr>
              <w:jc w:val="center"/>
              <w:spacing w:after="0"/>
              <w:rPr>
                <w:sz w:val="20"/>
                <w:szCs w:val="20"/>
                <w:color w:val="auto"/>
              </w:rPr>
            </w:pPr>
            <w:r>
              <w:rPr>
                <w:rFonts w:ascii="Arial" w:cs="Arial" w:eastAsia="Arial" w:hAnsi="Arial"/>
                <w:sz w:val="14"/>
                <w:szCs w:val="14"/>
                <w:b w:val="1"/>
                <w:bCs w:val="1"/>
                <w:color w:val="auto"/>
              </w:rPr>
              <w:t>Summary of Termination Payments</w:t>
            </w:r>
          </w:p>
        </w:tc>
        <w:tc>
          <w:tcPr>
            <w:tcW w:w="360" w:type="dxa"/>
            <w:vAlign w:val="bottom"/>
            <w:tcBorders>
              <w:bottom w:val="single" w:sz="8" w:color="0063A6"/>
            </w:tcBorders>
          </w:tcPr>
          <w:p>
            <w:pPr>
              <w:spacing w:after="0"/>
              <w:rPr>
                <w:sz w:val="20"/>
                <w:szCs w:val="20"/>
                <w:color w:val="auto"/>
              </w:rPr>
            </w:pPr>
          </w:p>
        </w:tc>
        <w:tc>
          <w:tcPr>
            <w:tcW w:w="740" w:type="dxa"/>
            <w:vAlign w:val="bottom"/>
            <w:tcBorders>
              <w:bottom w:val="single" w:sz="8" w:color="0063A6"/>
            </w:tcBorders>
          </w:tcPr>
          <w:p>
            <w:pPr>
              <w:spacing w:after="0"/>
              <w:rPr>
                <w:sz w:val="20"/>
                <w:szCs w:val="20"/>
                <w:color w:val="auto"/>
              </w:rPr>
            </w:pPr>
          </w:p>
        </w:tc>
        <w:tc>
          <w:tcPr>
            <w:tcW w:w="52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20" w:type="dxa"/>
            <w:vAlign w:val="bottom"/>
            <w:gridSpan w:val="3"/>
          </w:tcPr>
          <w:p>
            <w:pPr>
              <w:jc w:val="center"/>
              <w:ind w:right="588"/>
              <w:spacing w:after="0"/>
              <w:rPr>
                <w:sz w:val="20"/>
                <w:szCs w:val="20"/>
                <w:color w:val="auto"/>
              </w:rPr>
            </w:pPr>
            <w:r>
              <w:rPr>
                <w:rFonts w:ascii="Arial" w:cs="Arial" w:eastAsia="Arial" w:hAnsi="Arial"/>
                <w:sz w:val="14"/>
                <w:szCs w:val="14"/>
                <w:b w:val="1"/>
                <w:bCs w:val="1"/>
                <w:color w:val="auto"/>
              </w:rPr>
              <w:t>John F. Marcolini</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shd w:val="clear" w:color="auto" w:fill="0063A6"/>
          </w:tcPr>
          <w:p>
            <w:pPr>
              <w:spacing w:after="0"/>
              <w:rPr>
                <w:sz w:val="18"/>
                <w:szCs w:val="18"/>
                <w:color w:val="auto"/>
              </w:rPr>
            </w:pPr>
          </w:p>
        </w:tc>
        <w:tc>
          <w:tcPr>
            <w:tcW w:w="106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680" w:type="dxa"/>
            <w:vAlign w:val="bottom"/>
            <w:shd w:val="clear" w:color="auto" w:fill="0063A6"/>
          </w:tcPr>
          <w:p>
            <w:pPr>
              <w:spacing w:after="0"/>
              <w:rPr>
                <w:sz w:val="18"/>
                <w:szCs w:val="18"/>
                <w:color w:val="auto"/>
              </w:rPr>
            </w:pPr>
          </w:p>
        </w:tc>
        <w:tc>
          <w:tcPr>
            <w:tcW w:w="240" w:type="dxa"/>
            <w:vAlign w:val="bottom"/>
            <w:shd w:val="clear" w:color="auto" w:fill="0063A6"/>
          </w:tcPr>
          <w:p>
            <w:pPr>
              <w:spacing w:after="0"/>
              <w:rPr>
                <w:sz w:val="18"/>
                <w:szCs w:val="18"/>
                <w:color w:val="auto"/>
              </w:rPr>
            </w:pPr>
          </w:p>
        </w:tc>
        <w:tc>
          <w:tcPr>
            <w:tcW w:w="880" w:type="dxa"/>
            <w:vAlign w:val="bottom"/>
            <w:shd w:val="clear" w:color="auto" w:fill="0063A6"/>
          </w:tcPr>
          <w:p>
            <w:pPr>
              <w:spacing w:after="0"/>
              <w:rPr>
                <w:sz w:val="18"/>
                <w:szCs w:val="18"/>
                <w:color w:val="auto"/>
              </w:rPr>
            </w:pPr>
          </w:p>
        </w:tc>
        <w:tc>
          <w:tcPr>
            <w:tcW w:w="900" w:type="dxa"/>
            <w:vAlign w:val="bottom"/>
            <w:shd w:val="clear" w:color="auto" w:fill="0063A6"/>
          </w:tcPr>
          <w:p>
            <w:pPr>
              <w:spacing w:after="0"/>
              <w:rPr>
                <w:sz w:val="18"/>
                <w:szCs w:val="18"/>
                <w:color w:val="auto"/>
              </w:rPr>
            </w:pPr>
          </w:p>
        </w:tc>
        <w:tc>
          <w:tcPr>
            <w:tcW w:w="360" w:type="dxa"/>
            <w:vAlign w:val="bottom"/>
            <w:shd w:val="clear" w:color="auto" w:fill="0063A6"/>
          </w:tcPr>
          <w:p>
            <w:pPr>
              <w:spacing w:after="0"/>
              <w:rPr>
                <w:sz w:val="18"/>
                <w:szCs w:val="18"/>
                <w:color w:val="auto"/>
              </w:rPr>
            </w:pPr>
          </w:p>
        </w:tc>
        <w:tc>
          <w:tcPr>
            <w:tcW w:w="740" w:type="dxa"/>
            <w:vAlign w:val="bottom"/>
            <w:shd w:val="clear" w:color="auto" w:fill="0063A6"/>
          </w:tcPr>
          <w:p>
            <w:pPr>
              <w:spacing w:after="0"/>
              <w:rPr>
                <w:sz w:val="18"/>
                <w:szCs w:val="18"/>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52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the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Executive for</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Good 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100" w:type="dxa"/>
            <w:vAlign w:val="bottom"/>
            <w:gridSpan w:val="2"/>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Termination</w:t>
            </w: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0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106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74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Without</w:t>
            </w:r>
          </w:p>
        </w:tc>
        <w:tc>
          <w:tcPr>
            <w:tcW w:w="124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740" w:type="dxa"/>
            <w:vAlign w:val="bottom"/>
            <w:tcBorders>
              <w:bottom w:val="single" w:sz="8" w:color="0063A6"/>
            </w:tcBorders>
            <w:gridSpan w:val="2"/>
            <w:vMerge w:val="continue"/>
          </w:tcPr>
          <w:p>
            <w:pPr>
              <w:spacing w:after="0"/>
              <w:rPr>
                <w:sz w:val="18"/>
                <w:szCs w:val="18"/>
                <w:color w:val="auto"/>
              </w:rPr>
            </w:pPr>
          </w:p>
        </w:tc>
        <w:tc>
          <w:tcPr>
            <w:tcW w:w="108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for Cause</w:t>
            </w:r>
          </w:p>
        </w:tc>
        <w:tc>
          <w:tcPr>
            <w:tcW w:w="106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680" w:type="dxa"/>
            <w:vAlign w:val="bottom"/>
            <w:tcBorders>
              <w:bottom w:val="single" w:sz="8" w:color="0063A6"/>
            </w:tcBorders>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Death</w:t>
            </w:r>
          </w:p>
        </w:tc>
        <w:tc>
          <w:tcPr>
            <w:tcW w:w="240" w:type="dxa"/>
            <w:vAlign w:val="bottom"/>
            <w:tcBorders>
              <w:bottom w:val="single" w:sz="8" w:color="0063A6"/>
            </w:tcBorders>
            <w:shd w:val="clear" w:color="auto" w:fill="0063A6"/>
          </w:tcPr>
          <w:p>
            <w:pPr>
              <w:spacing w:after="0"/>
              <w:rPr>
                <w:sz w:val="18"/>
                <w:szCs w:val="18"/>
                <w:color w:val="auto"/>
              </w:rPr>
            </w:pPr>
          </w:p>
        </w:tc>
        <w:tc>
          <w:tcPr>
            <w:tcW w:w="880" w:type="dxa"/>
            <w:vAlign w:val="bottom"/>
            <w:tcBorders>
              <w:bottom w:val="single" w:sz="8" w:color="0063A6"/>
            </w:tcBorders>
            <w:shd w:val="clear" w:color="auto" w:fill="0063A6"/>
          </w:tcPr>
          <w:p>
            <w:pPr>
              <w:jc w:val="right"/>
              <w:ind w:right="168"/>
              <w:spacing w:after="0"/>
              <w:rPr>
                <w:sz w:val="20"/>
                <w:szCs w:val="20"/>
                <w:color w:val="auto"/>
              </w:rPr>
            </w:pPr>
            <w:r>
              <w:rPr>
                <w:rFonts w:ascii="Arial" w:cs="Arial" w:eastAsia="Arial" w:hAnsi="Arial"/>
                <w:sz w:val="14"/>
                <w:szCs w:val="14"/>
                <w:b w:val="1"/>
                <w:bCs w:val="1"/>
                <w:color w:val="FFFFFF"/>
                <w:w w:val="99"/>
              </w:rPr>
              <w:t>Disability</w:t>
            </w:r>
          </w:p>
        </w:tc>
        <w:tc>
          <w:tcPr>
            <w:tcW w:w="90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Retirement</w:t>
            </w:r>
          </w:p>
        </w:tc>
        <w:tc>
          <w:tcPr>
            <w:tcW w:w="360" w:type="dxa"/>
            <w:vAlign w:val="bottom"/>
            <w:tcBorders>
              <w:bottom w:val="single" w:sz="8" w:color="0063A6"/>
            </w:tcBorders>
            <w:shd w:val="clear" w:color="auto" w:fill="0063A6"/>
          </w:tcPr>
          <w:p>
            <w:pPr>
              <w:spacing w:after="0"/>
              <w:rPr>
                <w:sz w:val="18"/>
                <w:szCs w:val="18"/>
                <w:color w:val="auto"/>
              </w:rPr>
            </w:pPr>
          </w:p>
        </w:tc>
        <w:tc>
          <w:tcPr>
            <w:tcW w:w="74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Cause</w:t>
            </w:r>
          </w:p>
        </w:tc>
        <w:tc>
          <w:tcPr>
            <w:tcW w:w="52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ind w:left="5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358,500</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ind w:left="5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478,000</w:t>
            </w:r>
          </w:p>
        </w:tc>
        <w:tc>
          <w:tcPr>
            <w:tcW w:w="124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$1,673,000</w:t>
            </w:r>
          </w:p>
        </w:tc>
        <w:tc>
          <w:tcPr>
            <w:tcW w:w="0" w:type="dxa"/>
            <w:vAlign w:val="bottom"/>
          </w:tcPr>
          <w:p>
            <w:pPr>
              <w:spacing w:after="0"/>
              <w:rPr>
                <w:sz w:val="1"/>
                <w:szCs w:val="1"/>
                <w:color w:val="auto"/>
              </w:rPr>
            </w:pPr>
          </w:p>
        </w:tc>
      </w:tr>
      <w:tr>
        <w:trPr>
          <w:trHeight w:val="18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Benefit Continuation</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40" w:type="dxa"/>
            <w:vAlign w:val="bottom"/>
            <w:tcBorders>
              <w:bottom w:val="single" w:sz="8" w:color="5D6673"/>
            </w:tcBorders>
            <w:gridSpan w:val="2"/>
          </w:tcPr>
          <w:p>
            <w:pPr>
              <w:ind w:left="80"/>
              <w:spacing w:after="0" w:line="242" w:lineRule="exact"/>
              <w:rPr>
                <w:sz w:val="20"/>
                <w:szCs w:val="20"/>
                <w:color w:val="auto"/>
              </w:rPr>
            </w:pPr>
            <w:r>
              <w:rPr>
                <w:rFonts w:ascii="Arial" w:cs="Arial" w:eastAsia="Arial" w:hAnsi="Arial"/>
                <w:sz w:val="14"/>
                <w:szCs w:val="14"/>
                <w:color w:val="auto"/>
              </w:rPr>
              <w:t>and Outplacement</w:t>
            </w:r>
            <w:r>
              <w:rPr>
                <w:rFonts w:ascii="Arial" w:cs="Arial" w:eastAsia="Arial" w:hAnsi="Arial"/>
                <w:sz w:val="23"/>
                <w:szCs w:val="23"/>
                <w:color w:val="auto"/>
                <w:vertAlign w:val="superscript"/>
              </w:rPr>
              <w:t>(3)</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ind w:left="5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55,456</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60,911</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932,036</w:t>
            </w:r>
          </w:p>
        </w:tc>
        <w:tc>
          <w:tcPr>
            <w:tcW w:w="24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932,036</w:t>
            </w:r>
          </w:p>
        </w:tc>
        <w:tc>
          <w:tcPr>
            <w:tcW w:w="900" w:type="dxa"/>
            <w:vAlign w:val="bottom"/>
            <w:tcBorders>
              <w:bottom w:val="single" w:sz="8" w:color="5D6673"/>
            </w:tcBorders>
          </w:tcPr>
          <w:p>
            <w:pPr>
              <w:ind w:left="5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932,036</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108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63A6"/>
            </w:tcBorders>
            <w:gridSpan w:val="2"/>
          </w:tcPr>
          <w:p>
            <w:pPr>
              <w:ind w:left="120"/>
              <w:spacing w:after="0"/>
              <w:rPr>
                <w:sz w:val="20"/>
                <w:szCs w:val="20"/>
                <w:color w:val="auto"/>
              </w:rPr>
            </w:pPr>
            <w:r>
              <w:rPr>
                <w:rFonts w:ascii="Arial" w:cs="Arial" w:eastAsia="Arial" w:hAnsi="Arial"/>
                <w:sz w:val="14"/>
                <w:szCs w:val="14"/>
                <w:color w:val="auto"/>
              </w:rPr>
              <w:t>$3,230,971</w:t>
            </w:r>
          </w:p>
        </w:tc>
        <w:tc>
          <w:tcPr>
            <w:tcW w:w="1120" w:type="dxa"/>
            <w:vAlign w:val="bottom"/>
            <w:tcBorders>
              <w:bottom w:val="single" w:sz="8" w:color="0063A6"/>
            </w:tcBorders>
            <w:gridSpan w:val="2"/>
          </w:tcPr>
          <w:p>
            <w:pPr>
              <w:ind w:left="160"/>
              <w:spacing w:after="0"/>
              <w:rPr>
                <w:sz w:val="20"/>
                <w:szCs w:val="20"/>
                <w:color w:val="auto"/>
              </w:rPr>
            </w:pPr>
            <w:r>
              <w:rPr>
                <w:rFonts w:ascii="Arial" w:cs="Arial" w:eastAsia="Arial" w:hAnsi="Arial"/>
                <w:sz w:val="14"/>
                <w:szCs w:val="14"/>
                <w:color w:val="auto"/>
              </w:rPr>
              <w:t>$3,230,971</w:t>
            </w:r>
          </w:p>
        </w:tc>
        <w:tc>
          <w:tcPr>
            <w:tcW w:w="900" w:type="dxa"/>
            <w:vAlign w:val="bottom"/>
            <w:tcBorders>
              <w:bottom w:val="single" w:sz="8" w:color="0063A6"/>
            </w:tcBorders>
          </w:tcPr>
          <w:p>
            <w:pPr>
              <w:ind w:left="5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63A6"/>
            </w:tcBorders>
            <w:gridSpan w:val="2"/>
          </w:tcPr>
          <w:p>
            <w:pPr>
              <w:ind w:left="220"/>
              <w:spacing w:after="0"/>
              <w:rPr>
                <w:sz w:val="20"/>
                <w:szCs w:val="20"/>
                <w:color w:val="auto"/>
              </w:rPr>
            </w:pPr>
            <w:r>
              <w:rPr>
                <w:rFonts w:ascii="Arial" w:cs="Arial" w:eastAsia="Arial" w:hAnsi="Arial"/>
                <w:sz w:val="14"/>
                <w:szCs w:val="14"/>
                <w:color w:val="auto"/>
              </w:rPr>
              <w:t>$2,308,304</w:t>
            </w:r>
          </w:p>
        </w:tc>
        <w:tc>
          <w:tcPr>
            <w:tcW w:w="124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$3,230,971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20" w:hanging="346"/>
        <w:spacing w:after="0" w:line="245" w:lineRule="auto"/>
        <w:tabs>
          <w:tab w:leader="none" w:pos="346"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above table excludes amounts under our Executive Deferred Compensation Plan, stock option awards that are fully vested, earned salary, and accrued vacation as those items are earned and due to the employee regardless of such termination events. It also excludes amounts payable under life insurance coverage, our accidental death &amp; dismemberment coverage or our business travel accident coverage, which are programs available to all employees. Each form of payment is mutually exclusive based on the individual circumstances or events and therefore represents a single payment and should not be added together. The executive was not retirement eligible as of December 31, 2025, as he did not satisfy the applicable age and service requirements. Accordingly, all unvested equity would be forfeited on a retirement. The executive will become retirement eligible in 2027 assuming continued service. On a termination without cause or by the executive for good reason following a change-in-control, payments do not contemplate any payment reduction that would potentially provide the executive with a greater after-tax payment. Upon a change-in-control only in which outstanding equity awards are not assumed, substituted for, or converted or the acquiring company is not publicly-traded, the vesting of all outstanding RSUs and PRSUs will accelerate; values as shown in this table presume that the acquirer assumes applicable outstanding awards.</w:t>
      </w:r>
    </w:p>
    <w:p>
      <w:pPr>
        <w:spacing w:after="0" w:line="41" w:lineRule="exact"/>
        <w:rPr>
          <w:rFonts w:ascii="Arial" w:cs="Arial" w:eastAsia="Arial" w:hAnsi="Arial"/>
          <w:sz w:val="14"/>
          <w:szCs w:val="14"/>
          <w:color w:val="auto"/>
        </w:rPr>
      </w:pPr>
    </w:p>
    <w:p>
      <w:pPr>
        <w:ind w:left="346" w:right="160" w:hanging="346"/>
        <w:spacing w:after="0" w:line="263" w:lineRule="auto"/>
        <w:tabs>
          <w:tab w:leader="none" w:pos="346"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Change in Control Severance Agreement with this executive provides for an amount in respect of the executive’s target annual cash bonus compensation for the fiscal year in which the date of termination occurs, which amount will be paid out pro-rata, based on the portion of the performance period which has elapsed as of the date of termination.</w:t>
      </w:r>
    </w:p>
    <w:p>
      <w:pPr>
        <w:spacing w:after="0" w:line="37" w:lineRule="exact"/>
        <w:rPr>
          <w:rFonts w:ascii="Arial" w:cs="Arial" w:eastAsia="Arial" w:hAnsi="Arial"/>
          <w:sz w:val="14"/>
          <w:szCs w:val="14"/>
          <w:color w:val="auto"/>
        </w:rPr>
      </w:pPr>
    </w:p>
    <w:p>
      <w:pPr>
        <w:ind w:left="346" w:right="20" w:hanging="346"/>
        <w:spacing w:after="0" w:line="258" w:lineRule="auto"/>
        <w:tabs>
          <w:tab w:leader="none" w:pos="346"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with an estimated value of $25,000. The Change in Control Severance Agreement for this executive provides for a severance payment equal to 2.0 times the sum of base salary and target annual bonus plus 24 months of continued benefits.</w:t>
      </w:r>
    </w:p>
    <w:p>
      <w:pPr>
        <w:spacing w:after="0" w:line="196" w:lineRule="exact"/>
        <w:rPr>
          <w:rFonts w:ascii="Arial" w:cs="Arial" w:eastAsia="Arial" w:hAnsi="Arial"/>
          <w:sz w:val="14"/>
          <w:szCs w:val="14"/>
          <w:color w:val="auto"/>
        </w:rPr>
      </w:pPr>
    </w:p>
    <w:p>
      <w:pPr>
        <w:ind w:left="346" w:right="340" w:hanging="346"/>
        <w:spacing w:after="0" w:line="285" w:lineRule="auto"/>
        <w:tabs>
          <w:tab w:leader="none" w:pos="346"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For the RSUs, upon termination due to death, disability, or termination without cause or for good reason following a change-in-control, represents the accelerated value of the RSUs based on the closing price of our common stock on December 31, 2025 ($92.86).</w:t>
      </w:r>
    </w:p>
    <w:p>
      <w:pPr>
        <w:spacing w:after="0" w:line="9" w:lineRule="exact"/>
        <w:rPr>
          <w:rFonts w:ascii="Arial" w:cs="Arial" w:eastAsia="Arial" w:hAnsi="Arial"/>
          <w:sz w:val="14"/>
          <w:szCs w:val="14"/>
          <w:color w:val="auto"/>
        </w:rPr>
      </w:pPr>
    </w:p>
    <w:p>
      <w:pPr>
        <w:ind w:left="346" w:right="20" w:hanging="346"/>
        <w:spacing w:after="0" w:line="246" w:lineRule="auto"/>
        <w:tabs>
          <w:tab w:leader="none" w:pos="346" w:val="left"/>
        </w:tabs>
        <w:numPr>
          <w:ilvl w:val="0"/>
          <w:numId w:val="39"/>
        </w:numPr>
        <w:rPr>
          <w:rFonts w:ascii="Arial" w:cs="Arial" w:eastAsia="Arial" w:hAnsi="Arial"/>
          <w:sz w:val="14"/>
          <w:szCs w:val="14"/>
          <w:color w:val="auto"/>
        </w:rPr>
      </w:pPr>
      <w:r>
        <w:rPr>
          <w:rFonts w:ascii="Arial" w:cs="Arial" w:eastAsia="Arial" w:hAnsi="Arial"/>
          <w:sz w:val="14"/>
          <w:szCs w:val="14"/>
          <w:color w:val="auto"/>
        </w:rPr>
        <w:t>Upon a termination due to death or disability, the executive is eligible to receive that number of PRSUs that vest based on the actual attainment of the performance goals as assessed after the performance period. Upon an involuntary termination without cause, the executive will be entitled to receive pro-rated vesting of PRSUs based on the actual attainment of the performance goals as assessed after the performance period. Upon termination without cause or by the executive for good reason following a change-in-control, the unvested PRSUs shall become immediately and fully vested as of the date of termination at the greater of target or actual performance if the termination occurs during the performance period. For death, disability, retirement, termination without cause, and termination without cause or for good reason following a change-in-control, the tabular values reflect (1) the actual payout for the 2023-2025 performance cycle which was above target and (2) for the 2024-2026 and 2025-2027 performance cycles, actual funding for completed years in the cycle and target funding for future years in the cycle without application of the rTSR multiplier. Values are based on the closing price of our common stock on December 31, 2025 ($92.86).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8293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52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6" w:name="page57"/>
    <w:bookmarkEnd w:id="56"/>
    <w:tbl>
      <w:tblPr>
        <w:tblLayout w:type="fixed"/>
        <w:tblInd w:w="6" w:type="dxa"/>
        <w:tblCellMar>
          <w:top w:w="0" w:type="dxa"/>
          <w:left w:w="0" w:type="dxa"/>
          <w:bottom w:w="0" w:type="dxa"/>
          <w:right w:w="0" w:type="dxa"/>
        </w:tblCellMar>
      </w:tblPr>
      <w:tr>
        <w:trPr>
          <w:trHeight w:val="161"/>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5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color w:val="0063A6"/>
              </w:rPr>
              <w:t>Executive Compensation Tables</w:t>
            </w: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bottom w:val="single" w:sz="8" w:color="0063A6"/>
            </w:tcBorders>
          </w:tcPr>
          <w:p>
            <w:pPr>
              <w:spacing w:after="0"/>
              <w:rPr>
                <w:sz w:val="24"/>
                <w:szCs w:val="24"/>
                <w:color w:val="auto"/>
              </w:rPr>
            </w:pPr>
          </w:p>
        </w:tc>
        <w:tc>
          <w:tcPr>
            <w:tcW w:w="106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700" w:type="dxa"/>
            <w:vAlign w:val="bottom"/>
            <w:tcBorders>
              <w:bottom w:val="single" w:sz="8" w:color="0063A6"/>
            </w:tcBorders>
          </w:tcPr>
          <w:p>
            <w:pPr>
              <w:spacing w:after="0"/>
              <w:rPr>
                <w:sz w:val="24"/>
                <w:szCs w:val="24"/>
                <w:color w:val="auto"/>
              </w:rPr>
            </w:pPr>
          </w:p>
        </w:tc>
        <w:tc>
          <w:tcPr>
            <w:tcW w:w="220" w:type="dxa"/>
            <w:vAlign w:val="bottom"/>
            <w:tcBorders>
              <w:bottom w:val="single" w:sz="8" w:color="0063A6"/>
            </w:tcBorders>
          </w:tcPr>
          <w:p>
            <w:pPr>
              <w:spacing w:after="0"/>
              <w:rPr>
                <w:sz w:val="24"/>
                <w:szCs w:val="24"/>
                <w:color w:val="auto"/>
              </w:rPr>
            </w:pPr>
          </w:p>
        </w:tc>
        <w:tc>
          <w:tcPr>
            <w:tcW w:w="880" w:type="dxa"/>
            <w:vAlign w:val="bottom"/>
            <w:tcBorders>
              <w:bottom w:val="single" w:sz="8" w:color="0063A6"/>
            </w:tcBorders>
          </w:tcPr>
          <w:p>
            <w:pPr>
              <w:jc w:val="center"/>
              <w:spacing w:after="0"/>
              <w:rPr>
                <w:sz w:val="20"/>
                <w:szCs w:val="20"/>
                <w:color w:val="auto"/>
              </w:rPr>
            </w:pPr>
            <w:r>
              <w:rPr>
                <w:rFonts w:ascii="Arial" w:cs="Arial" w:eastAsia="Arial" w:hAnsi="Arial"/>
                <w:sz w:val="14"/>
                <w:szCs w:val="14"/>
                <w:b w:val="1"/>
                <w:bCs w:val="1"/>
                <w:color w:val="auto"/>
              </w:rPr>
              <w:t>ITRON, INC.</w:t>
            </w:r>
          </w:p>
        </w:tc>
        <w:tc>
          <w:tcPr>
            <w:tcW w:w="900" w:type="dxa"/>
            <w:vAlign w:val="bottom"/>
            <w:tcBorders>
              <w:bottom w:val="single" w:sz="8" w:color="0063A6"/>
            </w:tcBorders>
          </w:tcPr>
          <w:p>
            <w:pPr>
              <w:spacing w:after="0"/>
              <w:rPr>
                <w:sz w:val="24"/>
                <w:szCs w:val="24"/>
                <w:color w:val="auto"/>
              </w:rPr>
            </w:pPr>
          </w:p>
        </w:tc>
        <w:tc>
          <w:tcPr>
            <w:tcW w:w="320" w:type="dxa"/>
            <w:vAlign w:val="bottom"/>
            <w:tcBorders>
              <w:bottom w:val="single" w:sz="8" w:color="0063A6"/>
            </w:tcBorders>
          </w:tcPr>
          <w:p>
            <w:pPr>
              <w:spacing w:after="0"/>
              <w:rPr>
                <w:sz w:val="24"/>
                <w:szCs w:val="24"/>
                <w:color w:val="auto"/>
              </w:rPr>
            </w:pPr>
          </w:p>
        </w:tc>
        <w:tc>
          <w:tcPr>
            <w:tcW w:w="780" w:type="dxa"/>
            <w:vAlign w:val="bottom"/>
            <w:tcBorders>
              <w:bottom w:val="single" w:sz="8" w:color="0063A6"/>
            </w:tcBorders>
          </w:tcPr>
          <w:p>
            <w:pPr>
              <w:spacing w:after="0"/>
              <w:rPr>
                <w:sz w:val="24"/>
                <w:szCs w:val="24"/>
                <w:color w:val="auto"/>
              </w:rPr>
            </w:pPr>
          </w:p>
        </w:tc>
        <w:tc>
          <w:tcPr>
            <w:tcW w:w="52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bottom w:val="single" w:sz="8" w:color="0063A6"/>
            </w:tcBorders>
          </w:tcPr>
          <w:p>
            <w:pPr>
              <w:spacing w:after="0"/>
              <w:rPr>
                <w:sz w:val="20"/>
                <w:szCs w:val="20"/>
                <w:color w:val="auto"/>
              </w:rPr>
            </w:pPr>
          </w:p>
        </w:tc>
        <w:tc>
          <w:tcPr>
            <w:tcW w:w="106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2700" w:type="dxa"/>
            <w:vAlign w:val="bottom"/>
            <w:tcBorders>
              <w:bottom w:val="single" w:sz="8" w:color="0063A6"/>
            </w:tcBorders>
            <w:gridSpan w:val="4"/>
          </w:tcPr>
          <w:p>
            <w:pPr>
              <w:jc w:val="center"/>
              <w:spacing w:after="0"/>
              <w:rPr>
                <w:sz w:val="20"/>
                <w:szCs w:val="20"/>
                <w:color w:val="auto"/>
              </w:rPr>
            </w:pPr>
            <w:r>
              <w:rPr>
                <w:rFonts w:ascii="Arial" w:cs="Arial" w:eastAsia="Arial" w:hAnsi="Arial"/>
                <w:sz w:val="14"/>
                <w:szCs w:val="14"/>
                <w:b w:val="1"/>
                <w:bCs w:val="1"/>
                <w:color w:val="auto"/>
              </w:rPr>
              <w:t>Summary of Termination Payments</w:t>
            </w:r>
          </w:p>
        </w:tc>
        <w:tc>
          <w:tcPr>
            <w:tcW w:w="320" w:type="dxa"/>
            <w:vAlign w:val="bottom"/>
            <w:tcBorders>
              <w:bottom w:val="single" w:sz="8" w:color="0063A6"/>
            </w:tcBorders>
          </w:tcPr>
          <w:p>
            <w:pPr>
              <w:spacing w:after="0"/>
              <w:rPr>
                <w:sz w:val="20"/>
                <w:szCs w:val="20"/>
                <w:color w:val="auto"/>
              </w:rPr>
            </w:pPr>
          </w:p>
        </w:tc>
        <w:tc>
          <w:tcPr>
            <w:tcW w:w="780" w:type="dxa"/>
            <w:vAlign w:val="bottom"/>
            <w:tcBorders>
              <w:bottom w:val="single" w:sz="8" w:color="0063A6"/>
            </w:tcBorders>
          </w:tcPr>
          <w:p>
            <w:pPr>
              <w:spacing w:after="0"/>
              <w:rPr>
                <w:sz w:val="20"/>
                <w:szCs w:val="20"/>
                <w:color w:val="auto"/>
              </w:rPr>
            </w:pPr>
          </w:p>
        </w:tc>
        <w:tc>
          <w:tcPr>
            <w:tcW w:w="52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0" w:type="dxa"/>
            <w:vAlign w:val="bottom"/>
            <w:gridSpan w:val="3"/>
          </w:tcPr>
          <w:p>
            <w:pPr>
              <w:jc w:val="center"/>
              <w:ind w:right="608"/>
              <w:spacing w:after="0"/>
              <w:rPr>
                <w:sz w:val="20"/>
                <w:szCs w:val="20"/>
                <w:color w:val="auto"/>
              </w:rPr>
            </w:pPr>
            <w:r>
              <w:rPr>
                <w:rFonts w:ascii="Arial" w:cs="Arial" w:eastAsia="Arial" w:hAnsi="Arial"/>
                <w:sz w:val="14"/>
                <w:szCs w:val="14"/>
                <w:b w:val="1"/>
                <w:bCs w:val="1"/>
                <w:color w:val="auto"/>
              </w:rPr>
              <w:t>Justin K. Patrick</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shd w:val="clear" w:color="auto" w:fill="0063A6"/>
          </w:tcPr>
          <w:p>
            <w:pPr>
              <w:spacing w:after="0"/>
              <w:rPr>
                <w:sz w:val="18"/>
                <w:szCs w:val="18"/>
                <w:color w:val="auto"/>
              </w:rPr>
            </w:pPr>
          </w:p>
        </w:tc>
        <w:tc>
          <w:tcPr>
            <w:tcW w:w="106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880" w:type="dxa"/>
            <w:vAlign w:val="bottom"/>
            <w:shd w:val="clear" w:color="auto" w:fill="0063A6"/>
          </w:tcPr>
          <w:p>
            <w:pPr>
              <w:spacing w:after="0"/>
              <w:rPr>
                <w:sz w:val="18"/>
                <w:szCs w:val="18"/>
                <w:color w:val="auto"/>
              </w:rPr>
            </w:pPr>
          </w:p>
        </w:tc>
        <w:tc>
          <w:tcPr>
            <w:tcW w:w="900" w:type="dxa"/>
            <w:vAlign w:val="bottom"/>
            <w:shd w:val="clear" w:color="auto" w:fill="0063A6"/>
          </w:tcPr>
          <w:p>
            <w:pPr>
              <w:spacing w:after="0"/>
              <w:rPr>
                <w:sz w:val="18"/>
                <w:szCs w:val="18"/>
                <w:color w:val="auto"/>
              </w:rPr>
            </w:pPr>
          </w:p>
        </w:tc>
        <w:tc>
          <w:tcPr>
            <w:tcW w:w="320" w:type="dxa"/>
            <w:vAlign w:val="bottom"/>
            <w:shd w:val="clear" w:color="auto" w:fill="0063A6"/>
          </w:tcPr>
          <w:p>
            <w:pPr>
              <w:spacing w:after="0"/>
              <w:rPr>
                <w:sz w:val="18"/>
                <w:szCs w:val="18"/>
                <w:color w:val="auto"/>
              </w:rPr>
            </w:pPr>
          </w:p>
        </w:tc>
        <w:tc>
          <w:tcPr>
            <w:tcW w:w="780" w:type="dxa"/>
            <w:vAlign w:val="bottom"/>
            <w:shd w:val="clear" w:color="auto" w:fill="0063A6"/>
          </w:tcPr>
          <w:p>
            <w:pPr>
              <w:spacing w:after="0"/>
              <w:rPr>
                <w:sz w:val="18"/>
                <w:szCs w:val="18"/>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52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the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Executive for</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Good 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100" w:type="dxa"/>
            <w:vAlign w:val="bottom"/>
            <w:gridSpan w:val="2"/>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Termination</w:t>
            </w:r>
          </w:p>
        </w:tc>
        <w:tc>
          <w:tcPr>
            <w:tcW w:w="124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0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106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Without</w:t>
            </w:r>
          </w:p>
        </w:tc>
        <w:tc>
          <w:tcPr>
            <w:tcW w:w="124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740" w:type="dxa"/>
            <w:vAlign w:val="bottom"/>
            <w:tcBorders>
              <w:bottom w:val="single" w:sz="8" w:color="0063A6"/>
            </w:tcBorders>
            <w:gridSpan w:val="2"/>
            <w:vMerge w:val="continue"/>
          </w:tcPr>
          <w:p>
            <w:pPr>
              <w:spacing w:after="0"/>
              <w:rPr>
                <w:sz w:val="18"/>
                <w:szCs w:val="18"/>
                <w:color w:val="auto"/>
              </w:rPr>
            </w:pPr>
          </w:p>
        </w:tc>
        <w:tc>
          <w:tcPr>
            <w:tcW w:w="108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for Cause</w:t>
            </w:r>
          </w:p>
        </w:tc>
        <w:tc>
          <w:tcPr>
            <w:tcW w:w="106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Death</w:t>
            </w:r>
          </w:p>
        </w:tc>
        <w:tc>
          <w:tcPr>
            <w:tcW w:w="220" w:type="dxa"/>
            <w:vAlign w:val="bottom"/>
            <w:tcBorders>
              <w:bottom w:val="single" w:sz="8" w:color="0063A6"/>
            </w:tcBorders>
            <w:shd w:val="clear" w:color="auto" w:fill="0063A6"/>
          </w:tcPr>
          <w:p>
            <w:pPr>
              <w:spacing w:after="0"/>
              <w:rPr>
                <w:sz w:val="18"/>
                <w:szCs w:val="18"/>
                <w:color w:val="auto"/>
              </w:rPr>
            </w:pPr>
          </w:p>
        </w:tc>
        <w:tc>
          <w:tcPr>
            <w:tcW w:w="880" w:type="dxa"/>
            <w:vAlign w:val="bottom"/>
            <w:tcBorders>
              <w:bottom w:val="single" w:sz="8" w:color="0063A6"/>
            </w:tcBorders>
            <w:shd w:val="clear" w:color="auto" w:fill="0063A6"/>
          </w:tcPr>
          <w:p>
            <w:pPr>
              <w:jc w:val="right"/>
              <w:ind w:right="168"/>
              <w:spacing w:after="0"/>
              <w:rPr>
                <w:sz w:val="20"/>
                <w:szCs w:val="20"/>
                <w:color w:val="auto"/>
              </w:rPr>
            </w:pPr>
            <w:r>
              <w:rPr>
                <w:rFonts w:ascii="Arial" w:cs="Arial" w:eastAsia="Arial" w:hAnsi="Arial"/>
                <w:sz w:val="14"/>
                <w:szCs w:val="14"/>
                <w:b w:val="1"/>
                <w:bCs w:val="1"/>
                <w:color w:val="FFFFFF"/>
                <w:w w:val="99"/>
              </w:rPr>
              <w:t>Disability</w:t>
            </w:r>
          </w:p>
        </w:tc>
        <w:tc>
          <w:tcPr>
            <w:tcW w:w="90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Retirement</w:t>
            </w:r>
          </w:p>
        </w:tc>
        <w:tc>
          <w:tcPr>
            <w:tcW w:w="320" w:type="dxa"/>
            <w:vAlign w:val="bottom"/>
            <w:tcBorders>
              <w:bottom w:val="single" w:sz="8" w:color="0063A6"/>
            </w:tcBorders>
            <w:shd w:val="clear" w:color="auto" w:fill="0063A6"/>
          </w:tcPr>
          <w:p>
            <w:pPr>
              <w:spacing w:after="0"/>
              <w:rPr>
                <w:sz w:val="18"/>
                <w:szCs w:val="18"/>
                <w:color w:val="auto"/>
              </w:rPr>
            </w:pPr>
          </w:p>
        </w:tc>
        <w:tc>
          <w:tcPr>
            <w:tcW w:w="78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Cause</w:t>
            </w:r>
          </w:p>
        </w:tc>
        <w:tc>
          <w:tcPr>
            <w:tcW w:w="52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ind w:left="5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330,000</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ind w:left="5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440,000</w:t>
            </w:r>
          </w:p>
        </w:tc>
        <w:tc>
          <w:tcPr>
            <w:tcW w:w="124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$1,540,000</w:t>
            </w:r>
          </w:p>
        </w:tc>
        <w:tc>
          <w:tcPr>
            <w:tcW w:w="0" w:type="dxa"/>
            <w:vAlign w:val="bottom"/>
          </w:tcPr>
          <w:p>
            <w:pPr>
              <w:spacing w:after="0"/>
              <w:rPr>
                <w:sz w:val="1"/>
                <w:szCs w:val="1"/>
                <w:color w:val="auto"/>
              </w:rPr>
            </w:pPr>
          </w:p>
        </w:tc>
      </w:tr>
      <w:tr>
        <w:trPr>
          <w:trHeight w:val="18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Benefit Continuation</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40" w:type="dxa"/>
            <w:vAlign w:val="bottom"/>
            <w:tcBorders>
              <w:bottom w:val="single" w:sz="8" w:color="5D6673"/>
            </w:tcBorders>
            <w:gridSpan w:val="2"/>
          </w:tcPr>
          <w:p>
            <w:pPr>
              <w:ind w:left="80"/>
              <w:spacing w:after="0" w:line="242" w:lineRule="exact"/>
              <w:rPr>
                <w:sz w:val="20"/>
                <w:szCs w:val="20"/>
                <w:color w:val="auto"/>
              </w:rPr>
            </w:pPr>
            <w:r>
              <w:rPr>
                <w:rFonts w:ascii="Arial" w:cs="Arial" w:eastAsia="Arial" w:hAnsi="Arial"/>
                <w:sz w:val="14"/>
                <w:szCs w:val="14"/>
                <w:color w:val="auto"/>
              </w:rPr>
              <w:t>and Outplacement</w:t>
            </w:r>
            <w:r>
              <w:rPr>
                <w:rFonts w:ascii="Arial" w:cs="Arial" w:eastAsia="Arial" w:hAnsi="Arial"/>
                <w:sz w:val="23"/>
                <w:szCs w:val="23"/>
                <w:color w:val="auto"/>
                <w:vertAlign w:val="superscript"/>
              </w:rPr>
              <w:t>(3)</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ind w:left="5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55,922</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61,845</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10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889,877</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5D6673"/>
            </w:tcBorders>
          </w:tcPr>
          <w:p>
            <w:pPr>
              <w:jc w:val="right"/>
              <w:ind w:right="188"/>
              <w:spacing w:after="0"/>
              <w:rPr>
                <w:sz w:val="20"/>
                <w:szCs w:val="20"/>
                <w:color w:val="auto"/>
              </w:rPr>
            </w:pPr>
            <w:r>
              <w:rPr>
                <w:rFonts w:ascii="Arial" w:cs="Arial" w:eastAsia="Arial" w:hAnsi="Arial"/>
                <w:sz w:val="14"/>
                <w:szCs w:val="14"/>
                <w:color w:val="auto"/>
              </w:rPr>
              <w:t>889,877</w:t>
            </w:r>
          </w:p>
        </w:tc>
        <w:tc>
          <w:tcPr>
            <w:tcW w:w="900" w:type="dxa"/>
            <w:vAlign w:val="bottom"/>
            <w:tcBorders>
              <w:bottom w:val="single" w:sz="8" w:color="5D6673"/>
            </w:tcBorders>
          </w:tcPr>
          <w:p>
            <w:pPr>
              <w:ind w:left="5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889,877</w:t>
            </w:r>
          </w:p>
        </w:tc>
        <w:tc>
          <w:tcPr>
            <w:tcW w:w="0" w:type="dxa"/>
            <w:vAlign w:val="bottom"/>
          </w:tcPr>
          <w:p>
            <w:pPr>
              <w:spacing w:after="0"/>
              <w:rPr>
                <w:sz w:val="1"/>
                <w:szCs w:val="1"/>
                <w:color w:val="auto"/>
              </w:rPr>
            </w:pPr>
          </w:p>
        </w:tc>
      </w:tr>
      <w:tr>
        <w:trPr>
          <w:trHeight w:val="236"/>
        </w:trPr>
        <w:tc>
          <w:tcPr>
            <w:tcW w:w="174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108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63A6"/>
            </w:tcBorders>
            <w:gridSpan w:val="2"/>
          </w:tcPr>
          <w:p>
            <w:pPr>
              <w:ind w:left="120"/>
              <w:spacing w:after="0"/>
              <w:rPr>
                <w:sz w:val="20"/>
                <w:szCs w:val="20"/>
                <w:color w:val="auto"/>
              </w:rPr>
            </w:pPr>
            <w:r>
              <w:rPr>
                <w:rFonts w:ascii="Arial" w:cs="Arial" w:eastAsia="Arial" w:hAnsi="Arial"/>
                <w:sz w:val="14"/>
                <w:szCs w:val="14"/>
                <w:color w:val="auto"/>
              </w:rPr>
              <w:t>$2,971,613</w:t>
            </w:r>
          </w:p>
        </w:tc>
        <w:tc>
          <w:tcPr>
            <w:tcW w:w="1100" w:type="dxa"/>
            <w:vAlign w:val="bottom"/>
            <w:tcBorders>
              <w:bottom w:val="single" w:sz="8" w:color="0063A6"/>
            </w:tcBorders>
            <w:gridSpan w:val="2"/>
          </w:tcPr>
          <w:p>
            <w:pPr>
              <w:ind w:left="140"/>
              <w:spacing w:after="0"/>
              <w:rPr>
                <w:sz w:val="20"/>
                <w:szCs w:val="20"/>
                <w:color w:val="auto"/>
              </w:rPr>
            </w:pPr>
            <w:r>
              <w:rPr>
                <w:rFonts w:ascii="Arial" w:cs="Arial" w:eastAsia="Arial" w:hAnsi="Arial"/>
                <w:sz w:val="14"/>
                <w:szCs w:val="14"/>
                <w:color w:val="auto"/>
              </w:rPr>
              <w:t>$2,971,613</w:t>
            </w:r>
          </w:p>
        </w:tc>
        <w:tc>
          <w:tcPr>
            <w:tcW w:w="900" w:type="dxa"/>
            <w:vAlign w:val="bottom"/>
            <w:tcBorders>
              <w:bottom w:val="single" w:sz="8" w:color="0063A6"/>
            </w:tcBorders>
          </w:tcPr>
          <w:p>
            <w:pPr>
              <w:ind w:left="5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63A6"/>
            </w:tcBorders>
            <w:gridSpan w:val="2"/>
          </w:tcPr>
          <w:p>
            <w:pPr>
              <w:ind w:left="220"/>
              <w:spacing w:after="0"/>
              <w:rPr>
                <w:sz w:val="20"/>
                <w:szCs w:val="20"/>
                <w:color w:val="auto"/>
              </w:rPr>
            </w:pPr>
            <w:r>
              <w:rPr>
                <w:rFonts w:ascii="Arial" w:cs="Arial" w:eastAsia="Arial" w:hAnsi="Arial"/>
                <w:sz w:val="14"/>
                <w:szCs w:val="14"/>
                <w:color w:val="auto"/>
              </w:rPr>
              <w:t>$2,100,529</w:t>
            </w:r>
          </w:p>
        </w:tc>
        <w:tc>
          <w:tcPr>
            <w:tcW w:w="124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$2,971,613</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20" w:hanging="346"/>
        <w:spacing w:after="0" w:line="245" w:lineRule="auto"/>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above table excludes amounts under our Executive Deferred Compensation Plan, stock option awards that are fully vested, earned salary, and accrued vacation as those items are earned and due to the employee regardless of such termination events. It also excludes amounts payable under life insurance coverage, our accidental death &amp; dismemberment coverage or our business travel accident coverage, which are programs available to all employees. Each form of payment is mutually exclusive based on the individual circumstances or events and therefore represents a single payment and should not be added together. The executive was not retirement eligible as of December 31, 2025, as he did not satisfy the applicable age and service requirements. Accordingly, all unvested equity would be forfeited on a retirement. The executive will become retirement eligible in 2027 assuming continued service. On a termination without cause or by the executive for good reason following a change-in-control, payments do not contemplate any payment reduction that would potentially provide the executive with a greater after-tax payment. Upon a change-in-control only in which outstanding equity awards are not assumed, substituted for, or converted or the acquiring company is not publicly-traded, the vesting of all outstanding RSUs and PRSUs will accelerate; values as shown in this table presume that the acquirer assumes applicable outstanding awards.</w:t>
      </w:r>
    </w:p>
    <w:p>
      <w:pPr>
        <w:spacing w:after="0" w:line="41" w:lineRule="exact"/>
        <w:rPr>
          <w:rFonts w:ascii="Arial" w:cs="Arial" w:eastAsia="Arial" w:hAnsi="Arial"/>
          <w:sz w:val="14"/>
          <w:szCs w:val="14"/>
          <w:color w:val="auto"/>
        </w:rPr>
      </w:pPr>
    </w:p>
    <w:p>
      <w:pPr>
        <w:ind w:left="346" w:right="160" w:hanging="346"/>
        <w:spacing w:after="0" w:line="263" w:lineRule="auto"/>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Change in Control Severance Agreement with this executive provides for an amount in respect of the executive’s target annual cash bonus compensation for the fiscal year in which the date of termination occurs, which amount will be paid out pro-rata, based on the portion of the performance period which has elapsed as of the date of termination.</w:t>
      </w:r>
    </w:p>
    <w:p>
      <w:pPr>
        <w:spacing w:after="0" w:line="37" w:lineRule="exact"/>
        <w:rPr>
          <w:rFonts w:ascii="Arial" w:cs="Arial" w:eastAsia="Arial" w:hAnsi="Arial"/>
          <w:sz w:val="14"/>
          <w:szCs w:val="14"/>
          <w:color w:val="auto"/>
        </w:rPr>
      </w:pPr>
    </w:p>
    <w:p>
      <w:pPr>
        <w:ind w:left="346" w:right="20" w:hanging="346"/>
        <w:spacing w:after="0" w:line="258" w:lineRule="auto"/>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with an estimated value of $25,000. The Change in Control Severance Agreement for this executive provides for a severance payment equal to 2.0 times the sum of base salary and target annual bonus plus 24 months of continued benefits.</w:t>
      </w:r>
    </w:p>
    <w:p>
      <w:pPr>
        <w:spacing w:after="0" w:line="196" w:lineRule="exact"/>
        <w:rPr>
          <w:rFonts w:ascii="Arial" w:cs="Arial" w:eastAsia="Arial" w:hAnsi="Arial"/>
          <w:sz w:val="14"/>
          <w:szCs w:val="14"/>
          <w:color w:val="auto"/>
        </w:rPr>
      </w:pPr>
    </w:p>
    <w:p>
      <w:pPr>
        <w:ind w:left="346" w:right="340" w:hanging="346"/>
        <w:spacing w:after="0" w:line="285" w:lineRule="auto"/>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the RSUs, upon termination due to death, disability, or termination without cause or for good reason following a change-in-control, represents the accelerated value of the RSUs based on the closing price of our common stock on December 31, 2025 ($92.86).</w:t>
      </w:r>
    </w:p>
    <w:p>
      <w:pPr>
        <w:spacing w:after="0" w:line="9" w:lineRule="exact"/>
        <w:rPr>
          <w:rFonts w:ascii="Arial" w:cs="Arial" w:eastAsia="Arial" w:hAnsi="Arial"/>
          <w:sz w:val="14"/>
          <w:szCs w:val="14"/>
          <w:color w:val="auto"/>
        </w:rPr>
      </w:pPr>
    </w:p>
    <w:p>
      <w:pPr>
        <w:ind w:left="346" w:right="20" w:hanging="346"/>
        <w:spacing w:after="0" w:line="246" w:lineRule="auto"/>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Upon a termination due to death or disability, the executive is eligible to receive that number of PRSUs that vest based on the actual attainment of the performance goals as assessed after the performance period. Upon an involuntary termination without cause, the executive will be entitled to receive pro-rated vesting of PRSUs based on the actual attainment of the performance goals as assessed after the performance period. Upon termination without cause or by the executive for good reason following a change-in-control, the unvested PRSUs shall become immediately and fully vested as of the date of termination at the greater of target or actual performance if the termination occurs during the performance period. For death, disability, retirement, termination without cause, and termination without cause or for good reason following a change-in-control, the tabular values reflect (1) the actual payout for the 2023-2025 performance cycle which was above target and (2) for the 2024-2026 and 2025-2027 performance cycles, actual funding for completed years in the cycle and target funding for future years in the cycle without application of the rTSR multiplier. Values are based on the closing price of our common stock on December 31, 2025 ($92.86).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8293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2025 Compensation Risk Assessment</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It is our belief that a majority of an NEO’s total compensation should be variable “at risk” compensation, meaning it is tied to the Company’s financial performance. However, because performance-based incentives play a large role in our overall compensation program, we strive to ensure that incentives do not result in actions that may conflict with the long-term best interests of the Company and our shareholders. Therefore, the Committee evaluated the compensation plans and policies (applicable to all employees including executive officers) in February 2025 for attributes that could cause excessive risk 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 officers with those of our shareholders; (c) NEOs are subject to our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for executive officers encourage a longer-term focus through multi-year performance periods, (iii) our risk-mitigating policies in place such as insider trading and hedging prohibitions and clawbacks, and (iv) review and approval of executive officers’ final awards by our Committee (and the independent members of the full Board in the case of the CEO), which is composed entirely of independent directors who have discretion under our plans to approve, modify, or eliminate any award earned.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CEO Pay Ratio</w:t>
      </w:r>
    </w:p>
    <w:p>
      <w:pPr>
        <w:spacing w:after="0" w:line="7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employees and the annual total compensation of our CEO:</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For 2025, our last completed fiscal year:</w:t>
      </w:r>
    </w:p>
    <w:p>
      <w:pPr>
        <w:spacing w:after="0" w:line="113" w:lineRule="exact"/>
        <w:rPr>
          <w:sz w:val="20"/>
          <w:szCs w:val="20"/>
          <w:color w:val="auto"/>
        </w:rPr>
      </w:pPr>
    </w:p>
    <w:p>
      <w:pPr>
        <w:ind w:left="560" w:hanging="206"/>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our company (other than our CEO) was $72,460; and</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annual total compensation of our CEO was $11,208,405.</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For fiscal 2025, the ratio of the annual total compensation of our CEO to the median of the annual total compensation of all employees was approximately 155 to 1.</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SEC rules permit companies to use the same median employee for up to three years if there have been no changes in the company’s employee population or compensation arrangements that the company reasonably believes would significantly affect the pay ratio disclosure. We reviewed our employee population and compensation practices since our prior determination and concluded that there have been no changes that would result in a significant change to the pay ratio. As a result, we have used the same median employee identified in 2024 to calculate the CEO pay ratio for 2025.</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median employee was identified using base pay, overtime pay, short-term incentives, and long-term incentive grant date fair values for the twelve months ended December 31, 2024.</w:t>
      </w:r>
    </w:p>
    <w:p>
      <w:pPr>
        <w:spacing w:after="0" w:line="12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annual total compensation for each of the CEO and the median employee for 2025 was calculated in accordance with Item 402(c)(2)(x) of Regulation S-K. 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58293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8"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54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8" w:name="page59"/>
    <w:bookmarkEnd w:id="5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Pay Versus Performance</w:t>
      </w:r>
    </w:p>
    <w:p>
      <w:pPr>
        <w:spacing w:after="0" w:line="85" w:lineRule="exact"/>
        <w:rPr>
          <w:sz w:val="20"/>
          <w:szCs w:val="20"/>
          <w:color w:val="auto"/>
        </w:rPr>
      </w:pPr>
    </w:p>
    <w:p>
      <w:pPr>
        <w:ind w:left="6" w:right="40"/>
        <w:spacing w:after="0" w:line="256" w:lineRule="auto"/>
        <w:rPr>
          <w:sz w:val="20"/>
          <w:szCs w:val="20"/>
          <w:color w:val="auto"/>
        </w:rPr>
      </w:pPr>
      <w:r>
        <w:rPr>
          <w:rFonts w:ascii="Arial" w:cs="Arial" w:eastAsia="Arial" w:hAnsi="Arial"/>
          <w:sz w:val="16"/>
          <w:szCs w:val="16"/>
          <w:color w:val="auto"/>
        </w:rPr>
        <w:t>In accordance with rules adopted by the SEC, we provide the following disclosure regarding executive “Compensation Actually Paid” or “CAP” (as calculated in accordance with SEC rules) and certain Company performance for the fiscal years listed below. You should refer to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this proxy statement for a complete description of how executive compensation relates to Company performance and how the Compensation Committee makes its decisions.</w:t>
      </w:r>
    </w:p>
    <w:p>
      <w:pPr>
        <w:spacing w:after="0" w:line="59"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1180" w:type="dxa"/>
            <w:vAlign w:val="bottom"/>
            <w:shd w:val="clear" w:color="auto" w:fill="0063A6"/>
          </w:tcPr>
          <w:p>
            <w:pPr>
              <w:spacing w:after="0"/>
              <w:rPr>
                <w:sz w:val="19"/>
                <w:szCs w:val="19"/>
                <w:color w:val="auto"/>
              </w:rPr>
            </w:pPr>
          </w:p>
        </w:tc>
        <w:tc>
          <w:tcPr>
            <w:tcW w:w="1180" w:type="dxa"/>
            <w:vAlign w:val="bottom"/>
            <w:shd w:val="clear" w:color="auto" w:fill="0063A6"/>
          </w:tcPr>
          <w:p>
            <w:pPr>
              <w:spacing w:after="0"/>
              <w:rPr>
                <w:sz w:val="19"/>
                <w:szCs w:val="19"/>
                <w:color w:val="auto"/>
              </w:rPr>
            </w:pPr>
          </w:p>
        </w:tc>
        <w:tc>
          <w:tcPr>
            <w:tcW w:w="1180" w:type="dxa"/>
            <w:vAlign w:val="bottom"/>
            <w:shd w:val="clear" w:color="auto" w:fill="0063A6"/>
          </w:tcPr>
          <w:p>
            <w:pPr>
              <w:spacing w:after="0"/>
              <w:rPr>
                <w:sz w:val="19"/>
                <w:szCs w:val="19"/>
                <w:color w:val="auto"/>
              </w:rPr>
            </w:pPr>
          </w:p>
        </w:tc>
        <w:tc>
          <w:tcPr>
            <w:tcW w:w="1200" w:type="dxa"/>
            <w:vAlign w:val="bottom"/>
            <w:shd w:val="clear" w:color="auto" w:fill="0063A6"/>
          </w:tcPr>
          <w:p>
            <w:pPr>
              <w:spacing w:after="0"/>
              <w:rPr>
                <w:sz w:val="19"/>
                <w:szCs w:val="19"/>
                <w:color w:val="auto"/>
              </w:rPr>
            </w:pPr>
          </w:p>
        </w:tc>
        <w:tc>
          <w:tcPr>
            <w:tcW w:w="2020" w:type="dxa"/>
            <w:vAlign w:val="bottom"/>
            <w:gridSpan w:val="2"/>
            <w:shd w:val="clear" w:color="auto" w:fill="0063A6"/>
          </w:tcPr>
          <w:p>
            <w:pPr>
              <w:jc w:val="right"/>
              <w:ind w:right="215"/>
              <w:spacing w:after="0"/>
              <w:rPr>
                <w:sz w:val="20"/>
                <w:szCs w:val="20"/>
                <w:color w:val="auto"/>
              </w:rPr>
            </w:pPr>
            <w:r>
              <w:rPr>
                <w:rFonts w:ascii="Arial" w:cs="Arial" w:eastAsia="Arial" w:hAnsi="Arial"/>
                <w:sz w:val="14"/>
                <w:szCs w:val="14"/>
                <w:b w:val="1"/>
                <w:bCs w:val="1"/>
                <w:color w:val="FFFFFF"/>
              </w:rPr>
              <w:t>Year-end value of $100</w:t>
            </w:r>
          </w:p>
        </w:tc>
        <w:tc>
          <w:tcPr>
            <w:tcW w:w="960" w:type="dxa"/>
            <w:vAlign w:val="bottom"/>
            <w:shd w:val="clear" w:color="auto" w:fill="0063A6"/>
          </w:tcPr>
          <w:p>
            <w:pPr>
              <w:spacing w:after="0"/>
              <w:rPr>
                <w:sz w:val="19"/>
                <w:szCs w:val="19"/>
                <w:color w:val="auto"/>
              </w:rPr>
            </w:pPr>
          </w:p>
        </w:tc>
        <w:tc>
          <w:tcPr>
            <w:tcW w:w="900" w:type="dxa"/>
            <w:vAlign w:val="bottom"/>
            <w:shd w:val="clear" w:color="auto" w:fill="0063A6"/>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1180" w:type="dxa"/>
            <w:vAlign w:val="bottom"/>
            <w:shd w:val="clear" w:color="auto" w:fill="0063A6"/>
          </w:tcPr>
          <w:p>
            <w:pPr>
              <w:spacing w:after="0"/>
              <w:rPr>
                <w:sz w:val="16"/>
                <w:szCs w:val="16"/>
                <w:color w:val="auto"/>
              </w:rPr>
            </w:pPr>
          </w:p>
        </w:tc>
        <w:tc>
          <w:tcPr>
            <w:tcW w:w="1180" w:type="dxa"/>
            <w:vAlign w:val="bottom"/>
            <w:shd w:val="clear" w:color="auto" w:fill="0063A6"/>
          </w:tcPr>
          <w:p>
            <w:pPr>
              <w:spacing w:after="0"/>
              <w:rPr>
                <w:sz w:val="16"/>
                <w:szCs w:val="16"/>
                <w:color w:val="auto"/>
              </w:rPr>
            </w:pPr>
          </w:p>
        </w:tc>
        <w:tc>
          <w:tcPr>
            <w:tcW w:w="1180" w:type="dxa"/>
            <w:vAlign w:val="bottom"/>
            <w:vMerge w:val="restart"/>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Average</w:t>
            </w:r>
          </w:p>
        </w:tc>
        <w:tc>
          <w:tcPr>
            <w:tcW w:w="1200" w:type="dxa"/>
            <w:vAlign w:val="bottom"/>
            <w:shd w:val="clear" w:color="auto" w:fill="0063A6"/>
          </w:tcPr>
          <w:p>
            <w:pPr>
              <w:spacing w:after="0"/>
              <w:rPr>
                <w:sz w:val="16"/>
                <w:szCs w:val="16"/>
                <w:color w:val="auto"/>
              </w:rPr>
            </w:pPr>
          </w:p>
        </w:tc>
        <w:tc>
          <w:tcPr>
            <w:tcW w:w="2020" w:type="dxa"/>
            <w:vAlign w:val="bottom"/>
            <w:gridSpan w:val="2"/>
            <w:shd w:val="clear" w:color="auto" w:fill="0063A6"/>
          </w:tcPr>
          <w:p>
            <w:pPr>
              <w:jc w:val="right"/>
              <w:ind w:right="75"/>
              <w:spacing w:after="0"/>
              <w:rPr>
                <w:sz w:val="20"/>
                <w:szCs w:val="20"/>
                <w:color w:val="auto"/>
              </w:rPr>
            </w:pPr>
            <w:r>
              <w:rPr>
                <w:rFonts w:ascii="Arial" w:cs="Arial" w:eastAsia="Arial" w:hAnsi="Arial"/>
                <w:sz w:val="14"/>
                <w:szCs w:val="14"/>
                <w:b w:val="1"/>
                <w:bCs w:val="1"/>
                <w:color w:val="FFFFFF"/>
              </w:rPr>
              <w:t>invested on 12/31/2020 in:</w:t>
            </w:r>
          </w:p>
        </w:tc>
        <w:tc>
          <w:tcPr>
            <w:tcW w:w="960" w:type="dxa"/>
            <w:vAlign w:val="bottom"/>
            <w:shd w:val="clear" w:color="auto" w:fill="0063A6"/>
          </w:tcPr>
          <w:p>
            <w:pPr>
              <w:spacing w:after="0"/>
              <w:rPr>
                <w:sz w:val="16"/>
                <w:szCs w:val="16"/>
                <w:color w:val="auto"/>
              </w:rPr>
            </w:pPr>
          </w:p>
        </w:tc>
        <w:tc>
          <w:tcPr>
            <w:tcW w:w="90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1180" w:type="dxa"/>
            <w:vAlign w:val="bottom"/>
            <w:shd w:val="clear" w:color="auto" w:fill="0063A6"/>
          </w:tcPr>
          <w:p>
            <w:pPr>
              <w:spacing w:after="0"/>
              <w:rPr>
                <w:sz w:val="14"/>
                <w:szCs w:val="14"/>
                <w:color w:val="auto"/>
              </w:rPr>
            </w:pPr>
          </w:p>
        </w:tc>
        <w:tc>
          <w:tcPr>
            <w:tcW w:w="1180" w:type="dxa"/>
            <w:vAlign w:val="bottom"/>
            <w:shd w:val="clear" w:color="auto" w:fill="0063A6"/>
          </w:tcPr>
          <w:p>
            <w:pPr>
              <w:spacing w:after="0"/>
              <w:rPr>
                <w:sz w:val="14"/>
                <w:szCs w:val="14"/>
                <w:color w:val="auto"/>
              </w:rPr>
            </w:pPr>
          </w:p>
        </w:tc>
        <w:tc>
          <w:tcPr>
            <w:tcW w:w="1180" w:type="dxa"/>
            <w:vAlign w:val="bottom"/>
            <w:vMerge w:val="continue"/>
            <w:shd w:val="clear" w:color="auto" w:fill="0063A6"/>
          </w:tcPr>
          <w:p>
            <w:pPr>
              <w:spacing w:after="0"/>
              <w:rPr>
                <w:sz w:val="14"/>
                <w:szCs w:val="14"/>
                <w:color w:val="auto"/>
              </w:rPr>
            </w:pPr>
          </w:p>
        </w:tc>
        <w:tc>
          <w:tcPr>
            <w:tcW w:w="120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Summary</w:t>
            </w:r>
          </w:p>
        </w:tc>
        <w:tc>
          <w:tcPr>
            <w:tcW w:w="1180" w:type="dxa"/>
            <w:vAlign w:val="bottom"/>
            <w:shd w:val="clear" w:color="auto" w:fill="0063A6"/>
          </w:tcPr>
          <w:p>
            <w:pPr>
              <w:spacing w:after="0"/>
              <w:rPr>
                <w:sz w:val="14"/>
                <w:szCs w:val="14"/>
                <w:color w:val="auto"/>
              </w:rPr>
            </w:pP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Summary</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12"/>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shd w:val="clear" w:color="auto" w:fill="0063A6"/>
          </w:tcPr>
          <w:p>
            <w:pPr>
              <w:jc w:val="right"/>
              <w:ind w:right="33"/>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shd w:val="clear" w:color="auto" w:fill="0063A6"/>
          </w:tcPr>
          <w:p>
            <w:pPr>
              <w:jc w:val="right"/>
              <w:ind w:right="32"/>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3A6"/>
          </w:tcPr>
          <w:p>
            <w:pPr>
              <w:jc w:val="right"/>
              <w:ind w:right="54"/>
              <w:spacing w:after="0"/>
              <w:rPr>
                <w:sz w:val="20"/>
                <w:szCs w:val="20"/>
                <w:color w:val="auto"/>
              </w:rPr>
            </w:pPr>
            <w:r>
              <w:rPr>
                <w:rFonts w:ascii="Arial" w:cs="Arial" w:eastAsia="Arial" w:hAnsi="Arial"/>
                <w:sz w:val="14"/>
                <w:szCs w:val="14"/>
                <w:b w:val="1"/>
                <w:bCs w:val="1"/>
                <w:color w:val="FFFFFF"/>
              </w:rPr>
              <w:t>Compensation</w:t>
            </w:r>
          </w:p>
        </w:tc>
        <w:tc>
          <w:tcPr>
            <w:tcW w:w="106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Table</w:t>
            </w:r>
          </w:p>
        </w:tc>
        <w:tc>
          <w:tcPr>
            <w:tcW w:w="1180" w:type="dxa"/>
            <w:vAlign w:val="bottom"/>
            <w:shd w:val="clear" w:color="auto" w:fill="0063A6"/>
          </w:tcPr>
          <w:p>
            <w:pPr>
              <w:jc w:val="right"/>
              <w:ind w:right="73"/>
              <w:spacing w:after="0"/>
              <w:rPr>
                <w:sz w:val="20"/>
                <w:szCs w:val="20"/>
                <w:color w:val="auto"/>
              </w:rPr>
            </w:pPr>
            <w:r>
              <w:rPr>
                <w:rFonts w:ascii="Arial" w:cs="Arial" w:eastAsia="Arial" w:hAnsi="Arial"/>
                <w:sz w:val="14"/>
                <w:szCs w:val="14"/>
                <w:b w:val="1"/>
                <w:bCs w:val="1"/>
                <w:color w:val="FFFFFF"/>
              </w:rPr>
              <w:t>Actually</w:t>
            </w: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Table</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Actually</w:t>
            </w:r>
          </w:p>
        </w:tc>
        <w:tc>
          <w:tcPr>
            <w:tcW w:w="106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900" w:type="dxa"/>
            <w:vAlign w:val="bottom"/>
            <w:shd w:val="clear" w:color="auto" w:fill="0063A6"/>
          </w:tcPr>
          <w:p>
            <w:pPr>
              <w:jc w:val="right"/>
              <w:ind w:right="53"/>
              <w:spacing w:after="0"/>
              <w:rPr>
                <w:sz w:val="20"/>
                <w:szCs w:val="20"/>
                <w:color w:val="auto"/>
              </w:rPr>
            </w:pPr>
            <w:r>
              <w:rPr>
                <w:rFonts w:ascii="Arial" w:cs="Arial" w:eastAsia="Arial" w:hAnsi="Arial"/>
                <w:sz w:val="14"/>
                <w:szCs w:val="14"/>
                <w:b w:val="1"/>
                <w:bCs w:val="1"/>
                <w:color w:val="FFFFFF"/>
              </w:rPr>
              <w:t>Adj.</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Total for</w:t>
            </w:r>
          </w:p>
        </w:tc>
        <w:tc>
          <w:tcPr>
            <w:tcW w:w="1180" w:type="dxa"/>
            <w:vAlign w:val="bottom"/>
            <w:shd w:val="clear" w:color="auto" w:fill="0063A6"/>
          </w:tcPr>
          <w:p>
            <w:pPr>
              <w:jc w:val="right"/>
              <w:ind w:right="73"/>
              <w:spacing w:after="0"/>
              <w:rPr>
                <w:sz w:val="20"/>
                <w:szCs w:val="20"/>
                <w:color w:val="auto"/>
              </w:rPr>
            </w:pPr>
            <w:r>
              <w:rPr>
                <w:rFonts w:ascii="Arial" w:cs="Arial" w:eastAsia="Arial" w:hAnsi="Arial"/>
                <w:sz w:val="14"/>
                <w:szCs w:val="14"/>
                <w:b w:val="1"/>
                <w:bCs w:val="1"/>
                <w:color w:val="FFFFFF"/>
              </w:rPr>
              <w:t>Paid to</w:t>
            </w: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Total for</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Paid to</w:t>
            </w:r>
          </w:p>
        </w:tc>
        <w:tc>
          <w:tcPr>
            <w:tcW w:w="106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960" w:type="dxa"/>
            <w:vAlign w:val="bottom"/>
            <w:shd w:val="clear" w:color="auto" w:fill="0063A6"/>
          </w:tcPr>
          <w:p>
            <w:pPr>
              <w:jc w:val="right"/>
              <w:ind w:right="34"/>
              <w:spacing w:after="0"/>
              <w:rPr>
                <w:sz w:val="20"/>
                <w:szCs w:val="20"/>
                <w:color w:val="auto"/>
              </w:rPr>
            </w:pPr>
            <w:r>
              <w:rPr>
                <w:rFonts w:ascii="Arial" w:cs="Arial" w:eastAsia="Arial" w:hAnsi="Arial"/>
                <w:sz w:val="14"/>
                <w:szCs w:val="14"/>
                <w:b w:val="1"/>
                <w:bCs w:val="1"/>
                <w:color w:val="FFFFFF"/>
              </w:rPr>
              <w:t>Net Income</w:t>
            </w:r>
          </w:p>
        </w:tc>
        <w:tc>
          <w:tcPr>
            <w:tcW w:w="900" w:type="dxa"/>
            <w:vAlign w:val="bottom"/>
            <w:shd w:val="clear" w:color="auto" w:fill="0063A6"/>
          </w:tcPr>
          <w:p>
            <w:pPr>
              <w:jc w:val="right"/>
              <w:ind w:right="53"/>
              <w:spacing w:after="0"/>
              <w:rPr>
                <w:sz w:val="20"/>
                <w:szCs w:val="20"/>
                <w:color w:val="auto"/>
              </w:rPr>
            </w:pPr>
            <w:r>
              <w:rPr>
                <w:rFonts w:ascii="Arial" w:cs="Arial" w:eastAsia="Arial" w:hAnsi="Arial"/>
                <w:sz w:val="14"/>
                <w:szCs w:val="14"/>
                <w:b w:val="1"/>
                <w:bCs w:val="1"/>
                <w:color w:val="FFFFFF"/>
              </w:rPr>
              <w:t>EBITDA</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Thomas L.</w:t>
            </w:r>
          </w:p>
        </w:tc>
        <w:tc>
          <w:tcPr>
            <w:tcW w:w="1180" w:type="dxa"/>
            <w:vAlign w:val="bottom"/>
            <w:shd w:val="clear" w:color="auto" w:fill="0063A6"/>
          </w:tcPr>
          <w:p>
            <w:pPr>
              <w:jc w:val="right"/>
              <w:ind w:right="73"/>
              <w:spacing w:after="0"/>
              <w:rPr>
                <w:sz w:val="20"/>
                <w:szCs w:val="20"/>
                <w:color w:val="auto"/>
              </w:rPr>
            </w:pPr>
            <w:r>
              <w:rPr>
                <w:rFonts w:ascii="Arial" w:cs="Arial" w:eastAsia="Arial" w:hAnsi="Arial"/>
                <w:sz w:val="14"/>
                <w:szCs w:val="14"/>
                <w:b w:val="1"/>
                <w:bCs w:val="1"/>
                <w:color w:val="FFFFFF"/>
              </w:rPr>
              <w:t>Thomas L.</w:t>
            </w: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Non-CEO</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Non-CEO</w:t>
            </w:r>
          </w:p>
        </w:tc>
        <w:tc>
          <w:tcPr>
            <w:tcW w:w="1060" w:type="dxa"/>
            <w:vAlign w:val="bottom"/>
            <w:shd w:val="clear" w:color="auto" w:fill="0063A6"/>
          </w:tcPr>
          <w:p>
            <w:pPr>
              <w:spacing w:after="0"/>
              <w:rPr>
                <w:sz w:val="14"/>
                <w:szCs w:val="14"/>
                <w:color w:val="auto"/>
              </w:rPr>
            </w:pPr>
          </w:p>
        </w:tc>
        <w:tc>
          <w:tcPr>
            <w:tcW w:w="960" w:type="dxa"/>
            <w:vAlign w:val="bottom"/>
            <w:shd w:val="clear" w:color="auto" w:fill="0063A6"/>
          </w:tcPr>
          <w:p>
            <w:pPr>
              <w:jc w:val="right"/>
              <w:ind w:right="55"/>
              <w:spacing w:after="0"/>
              <w:rPr>
                <w:sz w:val="20"/>
                <w:szCs w:val="20"/>
                <w:color w:val="auto"/>
              </w:rPr>
            </w:pPr>
            <w:r>
              <w:rPr>
                <w:rFonts w:ascii="Arial" w:cs="Arial" w:eastAsia="Arial" w:hAnsi="Arial"/>
                <w:sz w:val="14"/>
                <w:szCs w:val="14"/>
                <w:b w:val="1"/>
                <w:bCs w:val="1"/>
                <w:color w:val="FFFFFF"/>
              </w:rPr>
              <w:t>Peer</w:t>
            </w:r>
          </w:p>
        </w:tc>
        <w:tc>
          <w:tcPr>
            <w:tcW w:w="960" w:type="dxa"/>
            <w:vAlign w:val="bottom"/>
            <w:shd w:val="clear" w:color="auto" w:fill="0063A6"/>
          </w:tcPr>
          <w:p>
            <w:pPr>
              <w:jc w:val="right"/>
              <w:ind w:right="74"/>
              <w:spacing w:after="0"/>
              <w:rPr>
                <w:sz w:val="20"/>
                <w:szCs w:val="20"/>
                <w:color w:val="auto"/>
              </w:rPr>
            </w:pPr>
            <w:r>
              <w:rPr>
                <w:rFonts w:ascii="Arial" w:cs="Arial" w:eastAsia="Arial" w:hAnsi="Arial"/>
                <w:sz w:val="14"/>
                <w:szCs w:val="14"/>
                <w:b w:val="1"/>
                <w:bCs w:val="1"/>
                <w:color w:val="FFFFFF"/>
              </w:rPr>
              <w:t>(in</w:t>
            </w:r>
          </w:p>
        </w:tc>
        <w:tc>
          <w:tcPr>
            <w:tcW w:w="900" w:type="dxa"/>
            <w:vAlign w:val="bottom"/>
            <w:shd w:val="clear" w:color="auto" w:fill="0063A6"/>
          </w:tcPr>
          <w:p>
            <w:pPr>
              <w:jc w:val="right"/>
              <w:ind w:right="53"/>
              <w:spacing w:after="0"/>
              <w:rPr>
                <w:sz w:val="20"/>
                <w:szCs w:val="20"/>
                <w:color w:val="auto"/>
              </w:rPr>
            </w:pPr>
            <w:r>
              <w:rPr>
                <w:rFonts w:ascii="Arial" w:cs="Arial" w:eastAsia="Arial" w:hAnsi="Arial"/>
                <w:sz w:val="14"/>
                <w:szCs w:val="14"/>
                <w:b w:val="1"/>
                <w:bCs w:val="1"/>
                <w:color w:val="FFFFFF"/>
              </w:rPr>
              <w:t>(in</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1180" w:type="dxa"/>
            <w:vAlign w:val="bottom"/>
            <w:shd w:val="clear" w:color="auto" w:fill="0063A6"/>
          </w:tcPr>
          <w:p>
            <w:pPr>
              <w:jc w:val="right"/>
              <w:ind w:right="12"/>
              <w:spacing w:after="0"/>
              <w:rPr>
                <w:sz w:val="20"/>
                <w:szCs w:val="20"/>
                <w:color w:val="auto"/>
              </w:rPr>
            </w:pPr>
            <w:r>
              <w:rPr>
                <w:rFonts w:ascii="Arial" w:cs="Arial" w:eastAsia="Arial" w:hAnsi="Arial"/>
                <w:sz w:val="14"/>
                <w:szCs w:val="14"/>
                <w:b w:val="1"/>
                <w:bCs w:val="1"/>
                <w:color w:val="FFFFFF"/>
              </w:rPr>
              <w:t>Deitrich</w:t>
            </w:r>
          </w:p>
        </w:tc>
        <w:tc>
          <w:tcPr>
            <w:tcW w:w="1180" w:type="dxa"/>
            <w:vAlign w:val="bottom"/>
            <w:shd w:val="clear" w:color="auto" w:fill="0063A6"/>
          </w:tcPr>
          <w:p>
            <w:pPr>
              <w:jc w:val="right"/>
              <w:ind w:right="73"/>
              <w:spacing w:after="0" w:line="180" w:lineRule="exact"/>
              <w:rPr>
                <w:sz w:val="20"/>
                <w:szCs w:val="20"/>
                <w:color w:val="auto"/>
              </w:rPr>
            </w:pPr>
            <w:r>
              <w:rPr>
                <w:rFonts w:ascii="Arial" w:cs="Arial" w:eastAsia="Arial" w:hAnsi="Arial"/>
                <w:sz w:val="13"/>
                <w:szCs w:val="13"/>
                <w:b w:val="1"/>
                <w:bCs w:val="1"/>
                <w:color w:val="FFFFFF"/>
              </w:rPr>
              <w:t>Deitrich</w:t>
            </w:r>
            <w:r>
              <w:rPr>
                <w:rFonts w:ascii="Arial" w:cs="Arial" w:eastAsia="Arial" w:hAnsi="Arial"/>
                <w:sz w:val="20"/>
                <w:szCs w:val="20"/>
                <w:b w:val="1"/>
                <w:bCs w:val="1"/>
                <w:color w:val="FFFFFF"/>
                <w:vertAlign w:val="superscript"/>
              </w:rPr>
              <w:t>(1)(2)</w:t>
            </w:r>
          </w:p>
        </w:tc>
        <w:tc>
          <w:tcPr>
            <w:tcW w:w="1180" w:type="dxa"/>
            <w:vAlign w:val="bottom"/>
            <w:shd w:val="clear" w:color="auto" w:fill="0063A6"/>
          </w:tcPr>
          <w:p>
            <w:pPr>
              <w:jc w:val="right"/>
              <w:ind w:right="72"/>
              <w:spacing w:after="0" w:line="180" w:lineRule="exact"/>
              <w:rPr>
                <w:sz w:val="20"/>
                <w:szCs w:val="20"/>
                <w:color w:val="auto"/>
              </w:rPr>
            </w:pPr>
            <w:r>
              <w:rPr>
                <w:rFonts w:ascii="Arial" w:cs="Arial" w:eastAsia="Arial" w:hAnsi="Arial"/>
                <w:sz w:val="13"/>
                <w:szCs w:val="13"/>
                <w:b w:val="1"/>
                <w:bCs w:val="1"/>
                <w:color w:val="FFFFFF"/>
              </w:rPr>
              <w:t>NEOs</w:t>
            </w:r>
            <w:r>
              <w:rPr>
                <w:rFonts w:ascii="Arial" w:cs="Arial" w:eastAsia="Arial" w:hAnsi="Arial"/>
                <w:sz w:val="20"/>
                <w:szCs w:val="20"/>
                <w:b w:val="1"/>
                <w:bCs w:val="1"/>
                <w:color w:val="FFFFFF"/>
                <w:vertAlign w:val="superscript"/>
              </w:rPr>
              <w:t>(3)</w:t>
            </w:r>
          </w:p>
        </w:tc>
        <w:tc>
          <w:tcPr>
            <w:tcW w:w="1200" w:type="dxa"/>
            <w:vAlign w:val="bottom"/>
            <w:shd w:val="clear" w:color="auto" w:fill="0063A6"/>
          </w:tcPr>
          <w:p>
            <w:pPr>
              <w:jc w:val="right"/>
              <w:ind w:right="94"/>
              <w:spacing w:after="0" w:line="180" w:lineRule="exact"/>
              <w:rPr>
                <w:sz w:val="20"/>
                <w:szCs w:val="20"/>
                <w:color w:val="auto"/>
              </w:rPr>
            </w:pPr>
            <w:r>
              <w:rPr>
                <w:rFonts w:ascii="Arial" w:cs="Arial" w:eastAsia="Arial" w:hAnsi="Arial"/>
                <w:sz w:val="20"/>
                <w:szCs w:val="20"/>
                <w:b w:val="1"/>
                <w:bCs w:val="1"/>
                <w:color w:val="FFFFFF"/>
                <w:vertAlign w:val="subscript"/>
              </w:rPr>
              <w:t>NEOs</w:t>
            </w:r>
            <w:r>
              <w:rPr>
                <w:rFonts w:ascii="Arial" w:cs="Arial" w:eastAsia="Arial" w:hAnsi="Arial"/>
                <w:sz w:val="10"/>
                <w:szCs w:val="10"/>
                <w:b w:val="1"/>
                <w:bCs w:val="1"/>
                <w:color w:val="FFFFFF"/>
              </w:rPr>
              <w:t>(1)(2)(3)</w:t>
            </w:r>
          </w:p>
        </w:tc>
        <w:tc>
          <w:tcPr>
            <w:tcW w:w="1060" w:type="dxa"/>
            <w:vAlign w:val="bottom"/>
            <w:shd w:val="clear" w:color="auto" w:fill="0063A6"/>
          </w:tcPr>
          <w:p>
            <w:pPr>
              <w:jc w:val="right"/>
              <w:ind w:right="213"/>
              <w:spacing w:after="0"/>
              <w:rPr>
                <w:sz w:val="20"/>
                <w:szCs w:val="20"/>
                <w:color w:val="auto"/>
              </w:rPr>
            </w:pPr>
            <w:r>
              <w:rPr>
                <w:rFonts w:ascii="Arial" w:cs="Arial" w:eastAsia="Arial" w:hAnsi="Arial"/>
                <w:sz w:val="14"/>
                <w:szCs w:val="14"/>
                <w:b w:val="1"/>
                <w:bCs w:val="1"/>
                <w:color w:val="FFFFFF"/>
              </w:rPr>
              <w:t>ITRI</w:t>
            </w:r>
          </w:p>
        </w:tc>
        <w:tc>
          <w:tcPr>
            <w:tcW w:w="960" w:type="dxa"/>
            <w:vAlign w:val="bottom"/>
            <w:shd w:val="clear" w:color="auto" w:fill="0063A6"/>
          </w:tcPr>
          <w:p>
            <w:pPr>
              <w:jc w:val="right"/>
              <w:ind w:right="55"/>
              <w:spacing w:after="0" w:line="180" w:lineRule="exact"/>
              <w:rPr>
                <w:sz w:val="20"/>
                <w:szCs w:val="20"/>
                <w:color w:val="auto"/>
              </w:rPr>
            </w:pPr>
            <w:r>
              <w:rPr>
                <w:rFonts w:ascii="Arial" w:cs="Arial" w:eastAsia="Arial" w:hAnsi="Arial"/>
                <w:sz w:val="13"/>
                <w:szCs w:val="13"/>
                <w:b w:val="1"/>
                <w:bCs w:val="1"/>
                <w:color w:val="FFFFFF"/>
              </w:rPr>
              <w:t>Group</w:t>
            </w:r>
            <w:r>
              <w:rPr>
                <w:rFonts w:ascii="Arial" w:cs="Arial" w:eastAsia="Arial" w:hAnsi="Arial"/>
                <w:sz w:val="20"/>
                <w:szCs w:val="20"/>
                <w:b w:val="1"/>
                <w:bCs w:val="1"/>
                <w:color w:val="FFFFFF"/>
                <w:vertAlign w:val="superscript"/>
              </w:rPr>
              <w:t>(4)</w:t>
            </w:r>
          </w:p>
        </w:tc>
        <w:tc>
          <w:tcPr>
            <w:tcW w:w="960" w:type="dxa"/>
            <w:vAlign w:val="bottom"/>
            <w:shd w:val="clear" w:color="auto" w:fill="0063A6"/>
          </w:tcPr>
          <w:p>
            <w:pPr>
              <w:jc w:val="right"/>
              <w:ind w:right="74"/>
              <w:spacing w:after="0" w:line="180" w:lineRule="exact"/>
              <w:rPr>
                <w:sz w:val="20"/>
                <w:szCs w:val="20"/>
                <w:color w:val="auto"/>
              </w:rPr>
            </w:pPr>
            <w:r>
              <w:rPr>
                <w:rFonts w:ascii="Arial" w:cs="Arial" w:eastAsia="Arial" w:hAnsi="Arial"/>
                <w:sz w:val="13"/>
                <w:szCs w:val="13"/>
                <w:b w:val="1"/>
                <w:bCs w:val="1"/>
                <w:color w:val="FFFFFF"/>
              </w:rPr>
              <w:t>millions)</w:t>
            </w:r>
            <w:r>
              <w:rPr>
                <w:rFonts w:ascii="Arial" w:cs="Arial" w:eastAsia="Arial" w:hAnsi="Arial"/>
                <w:sz w:val="20"/>
                <w:szCs w:val="20"/>
                <w:b w:val="1"/>
                <w:bCs w:val="1"/>
                <w:color w:val="FFFFFF"/>
                <w:vertAlign w:val="superscript"/>
              </w:rPr>
              <w:t>(5)</w:t>
            </w:r>
          </w:p>
        </w:tc>
        <w:tc>
          <w:tcPr>
            <w:tcW w:w="900" w:type="dxa"/>
            <w:vAlign w:val="bottom"/>
            <w:shd w:val="clear" w:color="auto" w:fill="0063A6"/>
          </w:tcPr>
          <w:p>
            <w:pPr>
              <w:jc w:val="right"/>
              <w:ind w:right="13"/>
              <w:spacing w:after="0" w:line="180" w:lineRule="exact"/>
              <w:rPr>
                <w:sz w:val="20"/>
                <w:szCs w:val="20"/>
                <w:color w:val="auto"/>
              </w:rPr>
            </w:pPr>
            <w:r>
              <w:rPr>
                <w:rFonts w:ascii="Arial" w:cs="Arial" w:eastAsia="Arial" w:hAnsi="Arial"/>
                <w:sz w:val="13"/>
                <w:szCs w:val="13"/>
                <w:b w:val="1"/>
                <w:bCs w:val="1"/>
                <w:color w:val="FFFFFF"/>
              </w:rPr>
              <w:t>millions)</w:t>
            </w:r>
            <w:r>
              <w:rPr>
                <w:rFonts w:ascii="Arial" w:cs="Arial" w:eastAsia="Arial" w:hAnsi="Arial"/>
                <w:sz w:val="20"/>
                <w:szCs w:val="20"/>
                <w:b w:val="1"/>
                <w:bCs w:val="1"/>
                <w:color w:val="FFFFFF"/>
                <w:vertAlign w:val="superscript"/>
              </w:rPr>
              <w:t>(6)</w:t>
            </w:r>
          </w:p>
        </w:tc>
        <w:tc>
          <w:tcPr>
            <w:tcW w:w="0" w:type="dxa"/>
            <w:vAlign w:val="bottom"/>
          </w:tcPr>
          <w:p>
            <w:pPr>
              <w:spacing w:after="0"/>
              <w:rPr>
                <w:sz w:val="1"/>
                <w:szCs w:val="1"/>
                <w:color w:val="auto"/>
              </w:rPr>
            </w:pPr>
          </w:p>
        </w:tc>
      </w:tr>
      <w:tr>
        <w:trPr>
          <w:trHeight w:val="197"/>
        </w:trPr>
        <w:tc>
          <w:tcPr>
            <w:tcW w:w="56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Year</w:t>
            </w:r>
          </w:p>
        </w:tc>
        <w:tc>
          <w:tcPr>
            <w:tcW w:w="1180" w:type="dxa"/>
            <w:vAlign w:val="bottom"/>
            <w:tcBorders>
              <w:bottom w:val="single" w:sz="8" w:color="0063A6"/>
            </w:tcBorders>
            <w:shd w:val="clear" w:color="auto" w:fill="0063A6"/>
          </w:tcPr>
          <w:p>
            <w:pPr>
              <w:jc w:val="right"/>
              <w:ind w:right="12"/>
              <w:spacing w:after="0"/>
              <w:rPr>
                <w:sz w:val="20"/>
                <w:szCs w:val="20"/>
                <w:color w:val="auto"/>
              </w:rPr>
            </w:pPr>
            <w:r>
              <w:rPr>
                <w:rFonts w:ascii="Arial" w:cs="Arial" w:eastAsia="Arial" w:hAnsi="Arial"/>
                <w:sz w:val="14"/>
                <w:szCs w:val="14"/>
                <w:b w:val="1"/>
                <w:bCs w:val="1"/>
                <w:color w:val="FFFFFF"/>
              </w:rPr>
              <w:t>$</w:t>
            </w:r>
          </w:p>
        </w:tc>
        <w:tc>
          <w:tcPr>
            <w:tcW w:w="1180" w:type="dxa"/>
            <w:vAlign w:val="bottom"/>
            <w:tcBorders>
              <w:bottom w:val="single" w:sz="8" w:color="0063A6"/>
            </w:tcBorders>
            <w:shd w:val="clear" w:color="auto" w:fill="0063A6"/>
          </w:tcPr>
          <w:p>
            <w:pPr>
              <w:jc w:val="right"/>
              <w:ind w:right="33"/>
              <w:spacing w:after="0"/>
              <w:rPr>
                <w:sz w:val="20"/>
                <w:szCs w:val="20"/>
                <w:color w:val="auto"/>
              </w:rPr>
            </w:pPr>
            <w:r>
              <w:rPr>
                <w:rFonts w:ascii="Arial" w:cs="Arial" w:eastAsia="Arial" w:hAnsi="Arial"/>
                <w:sz w:val="14"/>
                <w:szCs w:val="14"/>
                <w:b w:val="1"/>
                <w:bCs w:val="1"/>
                <w:color w:val="FFFFFF"/>
              </w:rPr>
              <w:t>$</w:t>
            </w:r>
          </w:p>
        </w:tc>
        <w:tc>
          <w:tcPr>
            <w:tcW w:w="1180" w:type="dxa"/>
            <w:vAlign w:val="bottom"/>
            <w:tcBorders>
              <w:bottom w:val="single" w:sz="8" w:color="0063A6"/>
            </w:tcBorders>
            <w:shd w:val="clear" w:color="auto" w:fill="0063A6"/>
          </w:tcPr>
          <w:p>
            <w:pPr>
              <w:jc w:val="right"/>
              <w:ind w:right="32"/>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jc w:val="right"/>
              <w:ind w:right="54"/>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0063A6"/>
            </w:tcBorders>
            <w:shd w:val="clear" w:color="auto" w:fill="0063A6"/>
          </w:tcPr>
          <w:p>
            <w:pPr>
              <w:jc w:val="right"/>
              <w:ind w:right="173"/>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0063A6"/>
            </w:tcBorders>
            <w:shd w:val="clear" w:color="auto" w:fill="0063A6"/>
          </w:tcPr>
          <w:p>
            <w:pPr>
              <w:jc w:val="right"/>
              <w:ind w:right="35"/>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0063A6"/>
            </w:tcBorders>
            <w:shd w:val="clear" w:color="auto" w:fill="0063A6"/>
          </w:tcPr>
          <w:p>
            <w:pPr>
              <w:jc w:val="right"/>
              <w:ind w:right="34"/>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0063A6"/>
            </w:tcBorders>
            <w:shd w:val="clear" w:color="auto" w:fill="0063A6"/>
          </w:tcPr>
          <w:p>
            <w:pPr>
              <w:jc w:val="right"/>
              <w:ind w:right="13"/>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7"/>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2025</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11,208,405</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11,378,023</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2,598,143</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2,574,670</w:t>
            </w:r>
          </w:p>
        </w:tc>
        <w:tc>
          <w:tcPr>
            <w:tcW w:w="106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96.83</w:t>
            </w:r>
          </w:p>
        </w:tc>
        <w:tc>
          <w:tcPr>
            <w:tcW w:w="96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110.21</w:t>
            </w:r>
          </w:p>
        </w:tc>
        <w:tc>
          <w:tcPr>
            <w:tcW w:w="960" w:type="dxa"/>
            <w:vAlign w:val="bottom"/>
            <w:tcBorders>
              <w:bottom w:val="single" w:sz="8" w:color="5D6673"/>
            </w:tcBorders>
          </w:tcPr>
          <w:p>
            <w:pPr>
              <w:jc w:val="right"/>
              <w:ind w:right="34"/>
              <w:spacing w:after="0"/>
              <w:rPr>
                <w:sz w:val="20"/>
                <w:szCs w:val="20"/>
                <w:color w:val="auto"/>
              </w:rPr>
            </w:pPr>
            <w:r>
              <w:rPr>
                <w:rFonts w:ascii="Arial" w:cs="Arial" w:eastAsia="Arial" w:hAnsi="Arial"/>
                <w:sz w:val="13"/>
                <w:szCs w:val="13"/>
                <w:color w:val="auto"/>
              </w:rPr>
              <w:t>303.3</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375.8</w:t>
            </w:r>
          </w:p>
        </w:tc>
        <w:tc>
          <w:tcPr>
            <w:tcW w:w="0" w:type="dxa"/>
            <w:vAlign w:val="bottom"/>
          </w:tcPr>
          <w:p>
            <w:pPr>
              <w:spacing w:after="0"/>
              <w:rPr>
                <w:sz w:val="1"/>
                <w:szCs w:val="1"/>
                <w:color w:val="auto"/>
              </w:rPr>
            </w:pPr>
          </w:p>
        </w:tc>
      </w:tr>
      <w:tr>
        <w:trPr>
          <w:trHeight w:val="171"/>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2024</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9,395,744</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25,612,917</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2,310,381</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4,984,227</w:t>
            </w:r>
          </w:p>
        </w:tc>
        <w:tc>
          <w:tcPr>
            <w:tcW w:w="106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113.22</w:t>
            </w:r>
          </w:p>
        </w:tc>
        <w:tc>
          <w:tcPr>
            <w:tcW w:w="96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88.69</w:t>
            </w:r>
          </w:p>
        </w:tc>
        <w:tc>
          <w:tcPr>
            <w:tcW w:w="960" w:type="dxa"/>
            <w:vAlign w:val="bottom"/>
            <w:tcBorders>
              <w:bottom w:val="single" w:sz="8" w:color="5D6673"/>
            </w:tcBorders>
          </w:tcPr>
          <w:p>
            <w:pPr>
              <w:jc w:val="right"/>
              <w:ind w:right="34"/>
              <w:spacing w:after="0"/>
              <w:rPr>
                <w:sz w:val="20"/>
                <w:szCs w:val="20"/>
                <w:color w:val="auto"/>
              </w:rPr>
            </w:pPr>
            <w:r>
              <w:rPr>
                <w:rFonts w:ascii="Arial" w:cs="Arial" w:eastAsia="Arial" w:hAnsi="Arial"/>
                <w:sz w:val="13"/>
                <w:szCs w:val="13"/>
                <w:color w:val="auto"/>
              </w:rPr>
              <w:t>241.1</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323.6</w:t>
            </w:r>
          </w:p>
        </w:tc>
        <w:tc>
          <w:tcPr>
            <w:tcW w:w="0" w:type="dxa"/>
            <w:vAlign w:val="bottom"/>
          </w:tcPr>
          <w:p>
            <w:pPr>
              <w:spacing w:after="0"/>
              <w:rPr>
                <w:sz w:val="1"/>
                <w:szCs w:val="1"/>
                <w:color w:val="auto"/>
              </w:rPr>
            </w:pPr>
          </w:p>
        </w:tc>
      </w:tr>
      <w:tr>
        <w:trPr>
          <w:trHeight w:val="169"/>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2023</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6,167,366</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14,985,547</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1,720,203</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3,088,428</w:t>
            </w:r>
          </w:p>
        </w:tc>
        <w:tc>
          <w:tcPr>
            <w:tcW w:w="106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78.74</w:t>
            </w:r>
          </w:p>
        </w:tc>
        <w:tc>
          <w:tcPr>
            <w:tcW w:w="96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78.91</w:t>
            </w:r>
          </w:p>
        </w:tc>
        <w:tc>
          <w:tcPr>
            <w:tcW w:w="960" w:type="dxa"/>
            <w:vAlign w:val="bottom"/>
            <w:tcBorders>
              <w:bottom w:val="single" w:sz="8" w:color="5D6673"/>
            </w:tcBorders>
          </w:tcPr>
          <w:p>
            <w:pPr>
              <w:jc w:val="right"/>
              <w:ind w:right="34"/>
              <w:spacing w:after="0"/>
              <w:rPr>
                <w:sz w:val="20"/>
                <w:szCs w:val="20"/>
                <w:color w:val="auto"/>
              </w:rPr>
            </w:pPr>
            <w:r>
              <w:rPr>
                <w:rFonts w:ascii="Arial" w:cs="Arial" w:eastAsia="Arial" w:hAnsi="Arial"/>
                <w:sz w:val="13"/>
                <w:szCs w:val="13"/>
                <w:color w:val="auto"/>
              </w:rPr>
              <w:t>98.3</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225.6</w:t>
            </w:r>
          </w:p>
        </w:tc>
        <w:tc>
          <w:tcPr>
            <w:tcW w:w="0" w:type="dxa"/>
            <w:vAlign w:val="bottom"/>
          </w:tcPr>
          <w:p>
            <w:pPr>
              <w:spacing w:after="0"/>
              <w:rPr>
                <w:sz w:val="1"/>
                <w:szCs w:val="1"/>
                <w:color w:val="auto"/>
              </w:rPr>
            </w:pPr>
          </w:p>
        </w:tc>
      </w:tr>
      <w:tr>
        <w:trPr>
          <w:trHeight w:val="169"/>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2022</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3,902,881</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2,219,992</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1,168,312</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718,317</w:t>
            </w:r>
          </w:p>
        </w:tc>
        <w:tc>
          <w:tcPr>
            <w:tcW w:w="106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52.82</w:t>
            </w:r>
          </w:p>
        </w:tc>
        <w:tc>
          <w:tcPr>
            <w:tcW w:w="96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71.79</w:t>
            </w:r>
          </w:p>
        </w:tc>
        <w:tc>
          <w:tcPr>
            <w:tcW w:w="960" w:type="dxa"/>
            <w:vAlign w:val="bottom"/>
            <w:tcBorders>
              <w:bottom w:val="single" w:sz="8" w:color="5D6673"/>
            </w:tcBorders>
          </w:tcPr>
          <w:p>
            <w:pPr>
              <w:jc w:val="right"/>
              <w:ind w:right="34"/>
              <w:spacing w:after="0"/>
              <w:rPr>
                <w:sz w:val="20"/>
                <w:szCs w:val="20"/>
                <w:color w:val="auto"/>
              </w:rPr>
            </w:pPr>
            <w:r>
              <w:rPr>
                <w:rFonts w:ascii="Arial" w:cs="Arial" w:eastAsia="Arial" w:hAnsi="Arial"/>
                <w:sz w:val="13"/>
                <w:szCs w:val="13"/>
                <w:color w:val="auto"/>
              </w:rPr>
              <w:t>-9.5</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60"/>
        </w:trPr>
        <w:tc>
          <w:tcPr>
            <w:tcW w:w="560" w:type="dxa"/>
            <w:vAlign w:val="bottom"/>
            <w:tcBorders>
              <w:bottom w:val="single" w:sz="8" w:color="0063A6"/>
            </w:tcBorders>
          </w:tcPr>
          <w:p>
            <w:pPr>
              <w:ind w:left="80"/>
              <w:spacing w:after="0"/>
              <w:rPr>
                <w:sz w:val="20"/>
                <w:szCs w:val="20"/>
                <w:color w:val="auto"/>
              </w:rPr>
            </w:pPr>
            <w:r>
              <w:rPr>
                <w:rFonts w:ascii="Arial" w:cs="Arial" w:eastAsia="Arial" w:hAnsi="Arial"/>
                <w:sz w:val="13"/>
                <w:szCs w:val="13"/>
                <w:color w:val="auto"/>
              </w:rPr>
              <w:t>2021</w:t>
            </w:r>
          </w:p>
        </w:tc>
        <w:tc>
          <w:tcPr>
            <w:tcW w:w="1180" w:type="dxa"/>
            <w:vAlign w:val="bottom"/>
            <w:tcBorders>
              <w:bottom w:val="single" w:sz="8" w:color="0063A6"/>
            </w:tcBorders>
          </w:tcPr>
          <w:p>
            <w:pPr>
              <w:jc w:val="right"/>
              <w:ind w:right="12"/>
              <w:spacing w:after="0"/>
              <w:rPr>
                <w:sz w:val="20"/>
                <w:szCs w:val="20"/>
                <w:color w:val="auto"/>
              </w:rPr>
            </w:pPr>
            <w:r>
              <w:rPr>
                <w:rFonts w:ascii="Arial" w:cs="Arial" w:eastAsia="Arial" w:hAnsi="Arial"/>
                <w:sz w:val="13"/>
                <w:szCs w:val="13"/>
                <w:color w:val="auto"/>
              </w:rPr>
              <w:t>4,540,331</w:t>
            </w:r>
          </w:p>
        </w:tc>
        <w:tc>
          <w:tcPr>
            <w:tcW w:w="1180" w:type="dxa"/>
            <w:vAlign w:val="bottom"/>
            <w:tcBorders>
              <w:bottom w:val="single" w:sz="8" w:color="0063A6"/>
            </w:tcBorders>
          </w:tcPr>
          <w:p>
            <w:pPr>
              <w:jc w:val="right"/>
              <w:ind w:right="33"/>
              <w:spacing w:after="0"/>
              <w:rPr>
                <w:sz w:val="20"/>
                <w:szCs w:val="20"/>
                <w:color w:val="auto"/>
              </w:rPr>
            </w:pPr>
            <w:r>
              <w:rPr>
                <w:rFonts w:ascii="Arial" w:cs="Arial" w:eastAsia="Arial" w:hAnsi="Arial"/>
                <w:sz w:val="13"/>
                <w:szCs w:val="13"/>
                <w:color w:val="auto"/>
              </w:rPr>
              <w:t>1,543,572</w:t>
            </w:r>
          </w:p>
        </w:tc>
        <w:tc>
          <w:tcPr>
            <w:tcW w:w="1180" w:type="dxa"/>
            <w:vAlign w:val="bottom"/>
            <w:tcBorders>
              <w:bottom w:val="single" w:sz="8" w:color="0063A6"/>
            </w:tcBorders>
          </w:tcPr>
          <w:p>
            <w:pPr>
              <w:jc w:val="right"/>
              <w:ind w:right="32"/>
              <w:spacing w:after="0"/>
              <w:rPr>
                <w:sz w:val="20"/>
                <w:szCs w:val="20"/>
                <w:color w:val="auto"/>
              </w:rPr>
            </w:pPr>
            <w:r>
              <w:rPr>
                <w:rFonts w:ascii="Arial" w:cs="Arial" w:eastAsia="Arial" w:hAnsi="Arial"/>
                <w:sz w:val="13"/>
                <w:szCs w:val="13"/>
                <w:color w:val="auto"/>
              </w:rPr>
              <w:t>1,712,738</w:t>
            </w:r>
          </w:p>
        </w:tc>
        <w:tc>
          <w:tcPr>
            <w:tcW w:w="1200" w:type="dxa"/>
            <w:vAlign w:val="bottom"/>
            <w:tcBorders>
              <w:bottom w:val="single" w:sz="8" w:color="0063A6"/>
            </w:tcBorders>
          </w:tcPr>
          <w:p>
            <w:pPr>
              <w:jc w:val="right"/>
              <w:ind w:right="54"/>
              <w:spacing w:after="0"/>
              <w:rPr>
                <w:sz w:val="20"/>
                <w:szCs w:val="20"/>
                <w:color w:val="auto"/>
              </w:rPr>
            </w:pPr>
            <w:r>
              <w:rPr>
                <w:rFonts w:ascii="Arial" w:cs="Arial" w:eastAsia="Arial" w:hAnsi="Arial"/>
                <w:sz w:val="13"/>
                <w:szCs w:val="13"/>
                <w:color w:val="auto"/>
              </w:rPr>
              <w:t>1,006,326</w:t>
            </w:r>
          </w:p>
        </w:tc>
        <w:tc>
          <w:tcPr>
            <w:tcW w:w="1060" w:type="dxa"/>
            <w:vAlign w:val="bottom"/>
            <w:tcBorders>
              <w:bottom w:val="single" w:sz="8" w:color="0063A6"/>
            </w:tcBorders>
          </w:tcPr>
          <w:p>
            <w:pPr>
              <w:jc w:val="right"/>
              <w:ind w:right="173"/>
              <w:spacing w:after="0"/>
              <w:rPr>
                <w:sz w:val="20"/>
                <w:szCs w:val="20"/>
                <w:color w:val="auto"/>
              </w:rPr>
            </w:pPr>
            <w:r>
              <w:rPr>
                <w:rFonts w:ascii="Arial" w:cs="Arial" w:eastAsia="Arial" w:hAnsi="Arial"/>
                <w:sz w:val="13"/>
                <w:szCs w:val="13"/>
                <w:color w:val="auto"/>
              </w:rPr>
              <w:t>71.45</w:t>
            </w:r>
          </w:p>
        </w:tc>
        <w:tc>
          <w:tcPr>
            <w:tcW w:w="960" w:type="dxa"/>
            <w:vAlign w:val="bottom"/>
            <w:tcBorders>
              <w:bottom w:val="single" w:sz="8" w:color="0063A6"/>
            </w:tcBorders>
          </w:tcPr>
          <w:p>
            <w:pPr>
              <w:jc w:val="right"/>
              <w:ind w:right="15"/>
              <w:spacing w:after="0"/>
              <w:rPr>
                <w:sz w:val="20"/>
                <w:szCs w:val="20"/>
                <w:color w:val="auto"/>
              </w:rPr>
            </w:pPr>
            <w:r>
              <w:rPr>
                <w:rFonts w:ascii="Arial" w:cs="Arial" w:eastAsia="Arial" w:hAnsi="Arial"/>
                <w:sz w:val="13"/>
                <w:szCs w:val="13"/>
                <w:color w:val="auto"/>
              </w:rPr>
              <w:t>99.92</w:t>
            </w:r>
          </w:p>
        </w:tc>
        <w:tc>
          <w:tcPr>
            <w:tcW w:w="960" w:type="dxa"/>
            <w:vAlign w:val="bottom"/>
            <w:tcBorders>
              <w:bottom w:val="single" w:sz="8" w:color="0063A6"/>
            </w:tcBorders>
          </w:tcPr>
          <w:p>
            <w:pPr>
              <w:jc w:val="right"/>
              <w:ind w:right="34"/>
              <w:spacing w:after="0"/>
              <w:rPr>
                <w:sz w:val="20"/>
                <w:szCs w:val="20"/>
                <w:color w:val="auto"/>
              </w:rPr>
            </w:pPr>
            <w:r>
              <w:rPr>
                <w:rFonts w:ascii="Arial" w:cs="Arial" w:eastAsia="Arial" w:hAnsi="Arial"/>
                <w:sz w:val="13"/>
                <w:szCs w:val="13"/>
                <w:color w:val="auto"/>
              </w:rPr>
              <w:t>-78.3</w:t>
            </w:r>
          </w:p>
        </w:tc>
        <w:tc>
          <w:tcPr>
            <w:tcW w:w="900" w:type="dxa"/>
            <w:vAlign w:val="bottom"/>
            <w:tcBorders>
              <w:bottom w:val="single" w:sz="8" w:color="0063A6"/>
            </w:tcBorders>
          </w:tcPr>
          <w:p>
            <w:pPr>
              <w:jc w:val="right"/>
              <w:ind w:right="13"/>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-1473835</wp:posOffset>
            </wp:positionV>
            <wp:extent cx="12001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79" w:lineRule="exact"/>
        <w:rPr>
          <w:sz w:val="20"/>
          <w:szCs w:val="20"/>
          <w:color w:val="auto"/>
        </w:rPr>
      </w:pPr>
    </w:p>
    <w:p>
      <w:pPr>
        <w:ind w:left="346" w:right="160" w:hanging="346"/>
        <w:spacing w:after="0" w:line="285"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Deductions from, and additions to, total compensation in the Summary Compensation Table for 2025 to calculate Compensation Actually Paid include:</w:t>
      </w:r>
    </w:p>
    <w:p>
      <w:pPr>
        <w:spacing w:after="0" w:line="72" w:lineRule="exact"/>
        <w:rPr>
          <w:sz w:val="20"/>
          <w:szCs w:val="20"/>
          <w:color w:val="auto"/>
        </w:rPr>
      </w:pPr>
    </w:p>
    <w:tbl>
      <w:tblPr>
        <w:tblLayout w:type="fixed"/>
        <w:tblInd w:w="366" w:type="dxa"/>
        <w:tblCellMar>
          <w:top w:w="0" w:type="dxa"/>
          <w:left w:w="0" w:type="dxa"/>
          <w:bottom w:w="0" w:type="dxa"/>
          <w:right w:w="0" w:type="dxa"/>
        </w:tblCellMar>
      </w:tblPr>
      <w:tr>
        <w:trPr>
          <w:trHeight w:val="254"/>
        </w:trPr>
        <w:tc>
          <w:tcPr>
            <w:tcW w:w="6320" w:type="dxa"/>
            <w:vAlign w:val="bottom"/>
          </w:tcPr>
          <w:p>
            <w:pPr>
              <w:spacing w:after="0"/>
              <w:rPr>
                <w:sz w:val="22"/>
                <w:szCs w:val="22"/>
                <w:color w:val="auto"/>
              </w:rPr>
            </w:pPr>
          </w:p>
        </w:tc>
        <w:tc>
          <w:tcPr>
            <w:tcW w:w="260" w:type="dxa"/>
            <w:vAlign w:val="bottom"/>
            <w:shd w:val="clear" w:color="auto" w:fill="0063A6"/>
          </w:tcPr>
          <w:p>
            <w:pPr>
              <w:spacing w:after="0"/>
              <w:rPr>
                <w:sz w:val="22"/>
                <w:szCs w:val="22"/>
                <w:color w:val="auto"/>
              </w:rPr>
            </w:pPr>
          </w:p>
        </w:tc>
        <w:tc>
          <w:tcPr>
            <w:tcW w:w="820" w:type="dxa"/>
            <w:vAlign w:val="bottom"/>
            <w:shd w:val="clear" w:color="auto" w:fill="0063A6"/>
          </w:tcPr>
          <w:p>
            <w:pPr>
              <w:spacing w:after="0"/>
              <w:rPr>
                <w:sz w:val="22"/>
                <w:szCs w:val="22"/>
                <w:color w:val="auto"/>
              </w:rPr>
            </w:pPr>
          </w:p>
        </w:tc>
        <w:tc>
          <w:tcPr>
            <w:tcW w:w="580" w:type="dxa"/>
            <w:vAlign w:val="bottom"/>
            <w:shd w:val="clear" w:color="auto" w:fill="0063A6"/>
          </w:tcPr>
          <w:p>
            <w:pPr>
              <w:jc w:val="right"/>
              <w:ind w:right="128"/>
              <w:spacing w:after="0"/>
              <w:rPr>
                <w:sz w:val="20"/>
                <w:szCs w:val="20"/>
                <w:color w:val="auto"/>
              </w:rPr>
            </w:pPr>
            <w:r>
              <w:rPr>
                <w:rFonts w:ascii="Arial" w:cs="Arial" w:eastAsia="Arial" w:hAnsi="Arial"/>
                <w:sz w:val="14"/>
                <w:szCs w:val="14"/>
                <w:b w:val="1"/>
                <w:bCs w:val="1"/>
                <w:color w:val="FFFFFF"/>
              </w:rPr>
              <w:t>2025</w:t>
            </w:r>
          </w:p>
        </w:tc>
        <w:tc>
          <w:tcPr>
            <w:tcW w:w="840" w:type="dxa"/>
            <w:vAlign w:val="bottom"/>
            <w:shd w:val="clear" w:color="auto" w:fill="0063A6"/>
          </w:tcPr>
          <w:p>
            <w:pPr>
              <w:spacing w:after="0"/>
              <w:rPr>
                <w:sz w:val="22"/>
                <w:szCs w:val="22"/>
                <w:color w:val="auto"/>
              </w:rPr>
            </w:pPr>
          </w:p>
        </w:tc>
      </w:tr>
      <w:tr>
        <w:trPr>
          <w:trHeight w:val="155"/>
        </w:trPr>
        <w:tc>
          <w:tcPr>
            <w:tcW w:w="6320" w:type="dxa"/>
            <w:vAlign w:val="bottom"/>
          </w:tcPr>
          <w:p>
            <w:pPr>
              <w:spacing w:after="0"/>
              <w:rPr>
                <w:sz w:val="13"/>
                <w:szCs w:val="13"/>
                <w:color w:val="auto"/>
              </w:rPr>
            </w:pPr>
          </w:p>
        </w:tc>
        <w:tc>
          <w:tcPr>
            <w:tcW w:w="260" w:type="dxa"/>
            <w:vAlign w:val="bottom"/>
            <w:shd w:val="clear" w:color="auto" w:fill="0063A6"/>
          </w:tcPr>
          <w:p>
            <w:pPr>
              <w:spacing w:after="0"/>
              <w:rPr>
                <w:sz w:val="13"/>
                <w:szCs w:val="13"/>
                <w:color w:val="auto"/>
              </w:rPr>
            </w:pPr>
          </w:p>
        </w:tc>
        <w:tc>
          <w:tcPr>
            <w:tcW w:w="820" w:type="dxa"/>
            <w:vAlign w:val="bottom"/>
            <w:shd w:val="clear" w:color="auto" w:fill="0063A6"/>
          </w:tcPr>
          <w:p>
            <w:pPr>
              <w:jc w:val="right"/>
              <w:ind w:right="8"/>
              <w:spacing w:after="0" w:line="155" w:lineRule="exact"/>
              <w:rPr>
                <w:sz w:val="20"/>
                <w:szCs w:val="20"/>
                <w:color w:val="auto"/>
              </w:rPr>
            </w:pPr>
            <w:r>
              <w:rPr>
                <w:rFonts w:ascii="Arial" w:cs="Arial" w:eastAsia="Arial" w:hAnsi="Arial"/>
                <w:sz w:val="14"/>
                <w:szCs w:val="14"/>
                <w:b w:val="1"/>
                <w:bCs w:val="1"/>
                <w:color w:val="FFFFFF"/>
              </w:rPr>
              <w:t>Thomas L.</w:t>
            </w:r>
          </w:p>
        </w:tc>
        <w:tc>
          <w:tcPr>
            <w:tcW w:w="1420" w:type="dxa"/>
            <w:vAlign w:val="bottom"/>
            <w:gridSpan w:val="2"/>
            <w:shd w:val="clear" w:color="auto" w:fill="0063A6"/>
          </w:tcPr>
          <w:p>
            <w:pPr>
              <w:jc w:val="right"/>
              <w:spacing w:after="0" w:line="155" w:lineRule="exact"/>
              <w:rPr>
                <w:sz w:val="20"/>
                <w:szCs w:val="20"/>
                <w:color w:val="auto"/>
              </w:rPr>
            </w:pPr>
            <w:r>
              <w:rPr>
                <w:rFonts w:ascii="Arial" w:cs="Arial" w:eastAsia="Arial" w:hAnsi="Arial"/>
                <w:sz w:val="14"/>
                <w:szCs w:val="14"/>
                <w:b w:val="1"/>
                <w:bCs w:val="1"/>
                <w:color w:val="FFFFFF"/>
              </w:rPr>
              <w:t>Average Non-</w:t>
            </w:r>
          </w:p>
        </w:tc>
      </w:tr>
      <w:tr>
        <w:trPr>
          <w:trHeight w:val="197"/>
        </w:trPr>
        <w:tc>
          <w:tcPr>
            <w:tcW w:w="6320" w:type="dxa"/>
            <w:vAlign w:val="bottom"/>
            <w:tcBorders>
              <w:bottom w:val="single" w:sz="8" w:color="0063A6"/>
            </w:tcBorders>
          </w:tcPr>
          <w:p>
            <w:pPr>
              <w:spacing w:after="0"/>
              <w:rPr>
                <w:sz w:val="17"/>
                <w:szCs w:val="17"/>
                <w:color w:val="auto"/>
              </w:rPr>
            </w:pPr>
          </w:p>
        </w:tc>
        <w:tc>
          <w:tcPr>
            <w:tcW w:w="260" w:type="dxa"/>
            <w:vAlign w:val="bottom"/>
            <w:tcBorders>
              <w:bottom w:val="single" w:sz="8" w:color="0063A6"/>
            </w:tcBorders>
            <w:shd w:val="clear" w:color="auto" w:fill="0063A6"/>
          </w:tcPr>
          <w:p>
            <w:pPr>
              <w:spacing w:after="0"/>
              <w:rPr>
                <w:sz w:val="17"/>
                <w:szCs w:val="17"/>
                <w:color w:val="auto"/>
              </w:rPr>
            </w:pPr>
          </w:p>
        </w:tc>
        <w:tc>
          <w:tcPr>
            <w:tcW w:w="8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Deitrich</w:t>
            </w:r>
          </w:p>
        </w:tc>
        <w:tc>
          <w:tcPr>
            <w:tcW w:w="580" w:type="dxa"/>
            <w:vAlign w:val="bottom"/>
            <w:tcBorders>
              <w:bottom w:val="single" w:sz="8" w:color="0063A6"/>
            </w:tcBorders>
            <w:shd w:val="clear" w:color="auto" w:fill="0063A6"/>
          </w:tcPr>
          <w:p>
            <w:pPr>
              <w:spacing w:after="0"/>
              <w:rPr>
                <w:sz w:val="17"/>
                <w:szCs w:val="17"/>
                <w:color w:val="auto"/>
              </w:rPr>
            </w:pPr>
          </w:p>
        </w:tc>
        <w:tc>
          <w:tcPr>
            <w:tcW w:w="8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CEO NEOs</w:t>
            </w:r>
          </w:p>
        </w:tc>
      </w:tr>
      <w:tr>
        <w:trPr>
          <w:trHeight w:val="210"/>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Total Compensation from Summary Compensation Table</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11,208,405</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b w:val="1"/>
                <w:bCs w:val="1"/>
                <w:color w:val="auto"/>
              </w:rPr>
              <w:t>2,598,143</w:t>
            </w:r>
          </w:p>
        </w:tc>
      </w:tr>
      <w:tr>
        <w:trPr>
          <w:trHeight w:val="196"/>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Adjustments for Pension</w:t>
            </w:r>
          </w:p>
        </w:tc>
        <w:tc>
          <w:tcPr>
            <w:tcW w:w="260" w:type="dxa"/>
            <w:vAlign w:val="bottom"/>
            <w:tcBorders>
              <w:bottom w:val="single" w:sz="8" w:color="5D6673"/>
            </w:tcBorders>
          </w:tcPr>
          <w:p>
            <w:pPr>
              <w:spacing w:after="0"/>
              <w:rPr>
                <w:sz w:val="17"/>
                <w:szCs w:val="17"/>
                <w:color w:val="auto"/>
              </w:rPr>
            </w:pPr>
          </w:p>
        </w:tc>
        <w:tc>
          <w:tcPr>
            <w:tcW w:w="820" w:type="dxa"/>
            <w:vAlign w:val="bottom"/>
            <w:tcBorders>
              <w:bottom w:val="single" w:sz="8" w:color="5D6673"/>
            </w:tcBorders>
          </w:tcPr>
          <w:p>
            <w:pPr>
              <w:spacing w:after="0"/>
              <w:rPr>
                <w:sz w:val="17"/>
                <w:szCs w:val="17"/>
                <w:color w:val="auto"/>
              </w:rPr>
            </w:pPr>
          </w:p>
        </w:tc>
        <w:tc>
          <w:tcPr>
            <w:tcW w:w="58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spacing w:after="0"/>
              <w:rPr>
                <w:sz w:val="17"/>
                <w:szCs w:val="17"/>
                <w:color w:val="auto"/>
              </w:rPr>
            </w:pPr>
          </w:p>
        </w:tc>
      </w:tr>
      <w:tr>
        <w:trPr>
          <w:trHeight w:val="193"/>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Adjustment Summary Compensation Table Pension</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Amount added for current year service cost</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Amount added for prior service cost impacting current year</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Total Adjustments for Pension</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6"/>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Adjustments for Equity Awards</w:t>
            </w:r>
          </w:p>
        </w:tc>
        <w:tc>
          <w:tcPr>
            <w:tcW w:w="260" w:type="dxa"/>
            <w:vAlign w:val="bottom"/>
            <w:tcBorders>
              <w:bottom w:val="single" w:sz="8" w:color="5D6673"/>
            </w:tcBorders>
          </w:tcPr>
          <w:p>
            <w:pPr>
              <w:spacing w:after="0"/>
              <w:rPr>
                <w:sz w:val="17"/>
                <w:szCs w:val="17"/>
                <w:color w:val="auto"/>
              </w:rPr>
            </w:pPr>
          </w:p>
        </w:tc>
        <w:tc>
          <w:tcPr>
            <w:tcW w:w="820" w:type="dxa"/>
            <w:vAlign w:val="bottom"/>
            <w:tcBorders>
              <w:bottom w:val="single" w:sz="8" w:color="5D6673"/>
            </w:tcBorders>
          </w:tcPr>
          <w:p>
            <w:pPr>
              <w:spacing w:after="0"/>
              <w:rPr>
                <w:sz w:val="17"/>
                <w:szCs w:val="17"/>
                <w:color w:val="auto"/>
              </w:rPr>
            </w:pPr>
          </w:p>
        </w:tc>
        <w:tc>
          <w:tcPr>
            <w:tcW w:w="58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spacing w:after="0"/>
              <w:rPr>
                <w:sz w:val="17"/>
                <w:szCs w:val="17"/>
                <w:color w:val="auto"/>
              </w:rPr>
            </w:pPr>
          </w:p>
        </w:tc>
      </w:tr>
      <w:tr>
        <w:trPr>
          <w:trHeight w:val="193"/>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Adjustment for grant date values in the Summary Compensation Table</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(8,900,720)</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(1,688,729)</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Year-end fair value of unvested awards granted in the current year</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8,778,298</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1,691,349</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Year-over-year difference of year-end fair values for unvested awards granted in prior years</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212,325</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1,820</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Fair values at vest date for awards granted and vested in current year</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64"/>
        </w:trPr>
        <w:tc>
          <w:tcPr>
            <w:tcW w:w="6320" w:type="dxa"/>
            <w:vAlign w:val="bottom"/>
          </w:tcPr>
          <w:p>
            <w:pPr>
              <w:ind w:left="240"/>
              <w:spacing w:after="0"/>
              <w:rPr>
                <w:sz w:val="20"/>
                <w:szCs w:val="20"/>
                <w:color w:val="auto"/>
              </w:rPr>
            </w:pPr>
            <w:r>
              <w:rPr>
                <w:rFonts w:ascii="Arial" w:cs="Arial" w:eastAsia="Arial" w:hAnsi="Arial"/>
                <w:sz w:val="14"/>
                <w:szCs w:val="14"/>
                <w:color w:val="auto"/>
              </w:rPr>
              <w:t>Difference in fair values between prior year-end fair values and vest date fair values for</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4"/>
        </w:trPr>
        <w:tc>
          <w:tcPr>
            <w:tcW w:w="63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awards granted in prior years</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79,715</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(27,913)</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Forfeitures during current year equal to prior year-end fair value</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Dividends or dividend equivalents not otherwise included in total compensation</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Total Adjustments for Equity Awards</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b w:val="1"/>
                <w:bCs w:val="1"/>
                <w:color w:val="auto"/>
              </w:rPr>
              <w:t>169,618</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b w:val="1"/>
                <w:bCs w:val="1"/>
                <w:color w:val="auto"/>
              </w:rPr>
              <w:t>(23,473)</w:t>
            </w:r>
          </w:p>
        </w:tc>
      </w:tr>
      <w:tr>
        <w:trPr>
          <w:trHeight w:val="184"/>
        </w:trPr>
        <w:tc>
          <w:tcPr>
            <w:tcW w:w="63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Compensation Actually Paid (as calculated)</w:t>
            </w:r>
          </w:p>
        </w:tc>
        <w:tc>
          <w:tcPr>
            <w:tcW w:w="26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0063A6"/>
            </w:tcBorders>
          </w:tcPr>
          <w:p>
            <w:pPr>
              <w:ind w:left="20"/>
              <w:spacing w:after="0"/>
              <w:rPr>
                <w:sz w:val="20"/>
                <w:szCs w:val="20"/>
                <w:color w:val="auto"/>
              </w:rPr>
            </w:pPr>
            <w:r>
              <w:rPr>
                <w:rFonts w:ascii="Arial" w:cs="Arial" w:eastAsia="Arial" w:hAnsi="Arial"/>
                <w:sz w:val="14"/>
                <w:szCs w:val="14"/>
                <w:b w:val="1"/>
                <w:bCs w:val="1"/>
                <w:color w:val="auto"/>
              </w:rPr>
              <w:t>11,378,023</w:t>
            </w:r>
          </w:p>
        </w:tc>
        <w:tc>
          <w:tcPr>
            <w:tcW w:w="58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063A6"/>
            </w:tcBorders>
          </w:tcPr>
          <w:p>
            <w:pPr>
              <w:jc w:val="right"/>
              <w:ind w:right="108"/>
              <w:spacing w:after="0"/>
              <w:rPr>
                <w:sz w:val="20"/>
                <w:szCs w:val="20"/>
                <w:color w:val="auto"/>
              </w:rPr>
            </w:pPr>
            <w:r>
              <w:rPr>
                <w:rFonts w:ascii="Arial" w:cs="Arial" w:eastAsia="Arial" w:hAnsi="Arial"/>
                <w:sz w:val="14"/>
                <w:szCs w:val="14"/>
                <w:b w:val="1"/>
                <w:bCs w:val="1"/>
                <w:color w:val="auto"/>
              </w:rPr>
              <w:t>2,574,670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-2536825</wp:posOffset>
            </wp:positionV>
            <wp:extent cx="1440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79" w:lineRule="exact"/>
        <w:rPr>
          <w:sz w:val="20"/>
          <w:szCs w:val="20"/>
          <w:color w:val="auto"/>
        </w:rPr>
      </w:pPr>
    </w:p>
    <w:p>
      <w:pPr>
        <w:ind w:left="346" w:right="20" w:hanging="346"/>
        <w:spacing w:after="0" w:line="263"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Assumptions used in the valuation of equity awards for purposes of calculating Compensation Actually Paid were materially the same as at grant date, except for adjusting for expected performance of PRSUs at each measurement date. Additionally, for CAP calculation purposes, adjustments have been made to reflect fair values of equity awards as of each measurement date.</w:t>
      </w:r>
    </w:p>
    <w:p>
      <w:pPr>
        <w:spacing w:after="0" w:line="24" w:lineRule="exact"/>
        <w:rPr>
          <w:rFonts w:ascii="Arial" w:cs="Arial" w:eastAsia="Arial" w:hAnsi="Arial"/>
          <w:sz w:val="14"/>
          <w:szCs w:val="14"/>
          <w:color w:val="auto"/>
        </w:rPr>
      </w:pPr>
    </w:p>
    <w:p>
      <w:pPr>
        <w:ind w:left="346" w:right="180" w:hanging="346"/>
        <w:spacing w:after="0" w:line="285"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Non-CEO NEOs reflect the average Summary Compensation Table total compensation and average Compensation Actually Paid for the following executives by year:</w:t>
      </w:r>
    </w:p>
    <w:p>
      <w:pPr>
        <w:spacing w:after="0" w:line="36" w:lineRule="exact"/>
        <w:rPr>
          <w:sz w:val="20"/>
          <w:szCs w:val="20"/>
          <w:color w:val="auto"/>
        </w:rPr>
      </w:pPr>
    </w:p>
    <w:p>
      <w:pPr>
        <w:ind w:left="726"/>
        <w:spacing w:after="0"/>
        <w:rPr>
          <w:sz w:val="20"/>
          <w:szCs w:val="20"/>
          <w:color w:val="auto"/>
        </w:rPr>
      </w:pPr>
      <w:r>
        <w:rPr>
          <w:rFonts w:ascii="Arial" w:cs="Arial" w:eastAsia="Arial" w:hAnsi="Arial"/>
          <w:sz w:val="14"/>
          <w:szCs w:val="14"/>
          <w:color w:val="auto"/>
        </w:rPr>
        <w:t>2023-2025: Hooper, Joan S.; Reeves, Donald L.; Marcolini, John F.; Patrick, Justin K.</w:t>
      </w:r>
    </w:p>
    <w:p>
      <w:pPr>
        <w:spacing w:after="0" w:line="96" w:lineRule="exact"/>
        <w:rPr>
          <w:sz w:val="20"/>
          <w:szCs w:val="20"/>
          <w:color w:val="auto"/>
        </w:rPr>
      </w:pPr>
    </w:p>
    <w:p>
      <w:pPr>
        <w:ind w:left="726"/>
        <w:spacing w:after="0"/>
        <w:rPr>
          <w:sz w:val="20"/>
          <w:szCs w:val="20"/>
          <w:color w:val="auto"/>
        </w:rPr>
      </w:pPr>
      <w:r>
        <w:rPr>
          <w:rFonts w:ascii="Arial" w:cs="Arial" w:eastAsia="Arial" w:hAnsi="Arial"/>
          <w:sz w:val="14"/>
          <w:szCs w:val="14"/>
          <w:color w:val="auto"/>
        </w:rPr>
        <w:t>2022: Hooper, Joan S.; Cadieux, Michel C.; Reeves, Donald L.; Marcolini, John F.</w:t>
      </w:r>
    </w:p>
    <w:p>
      <w:pPr>
        <w:spacing w:after="0" w:line="82" w:lineRule="exact"/>
        <w:rPr>
          <w:sz w:val="20"/>
          <w:szCs w:val="20"/>
          <w:color w:val="auto"/>
        </w:rPr>
      </w:pPr>
    </w:p>
    <w:p>
      <w:pPr>
        <w:ind w:left="726"/>
        <w:spacing w:after="0"/>
        <w:rPr>
          <w:sz w:val="20"/>
          <w:szCs w:val="20"/>
          <w:color w:val="auto"/>
        </w:rPr>
      </w:pPr>
      <w:r>
        <w:rPr>
          <w:rFonts w:ascii="Arial" w:cs="Arial" w:eastAsia="Arial" w:hAnsi="Arial"/>
          <w:sz w:val="14"/>
          <w:szCs w:val="14"/>
          <w:color w:val="auto"/>
        </w:rPr>
        <w:t>2021: Hooper, Joan S.; Cadieux, Michel C.; Reeves, Donald L.; Hlavinka, Sarah E.</w:t>
      </w:r>
    </w:p>
    <w:p>
      <w:pPr>
        <w:spacing w:after="0" w:line="82" w:lineRule="exact"/>
        <w:rPr>
          <w:sz w:val="20"/>
          <w:szCs w:val="20"/>
          <w:color w:val="auto"/>
        </w:rPr>
      </w:pPr>
    </w:p>
    <w:p>
      <w:pPr>
        <w:ind w:left="346" w:right="500" w:hanging="346"/>
        <w:spacing w:after="0" w:line="285"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Years 2021 to 2025 reflect the 2025 peer group as disclosed in our 2025 Form 10-K: LM Ericsson Telephone Company; Xylem Inc.; Landis+Gyr Group AG; Advanced Energy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9" w:name="page60"/>
    <w:bookmarkEnd w:id="5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82" w:lineRule="exact"/>
        <w:rPr>
          <w:sz w:val="20"/>
          <w:szCs w:val="20"/>
          <w:color w:val="auto"/>
        </w:rPr>
      </w:pPr>
    </w:p>
    <w:p>
      <w:pPr>
        <w:ind w:left="366" w:right="40"/>
        <w:spacing w:after="0" w:line="285" w:lineRule="auto"/>
        <w:rPr>
          <w:sz w:val="20"/>
          <w:szCs w:val="20"/>
          <w:color w:val="auto"/>
        </w:rPr>
      </w:pPr>
      <w:r>
        <w:rPr>
          <w:rFonts w:ascii="Arial" w:cs="Arial" w:eastAsia="Arial" w:hAnsi="Arial"/>
          <w:sz w:val="14"/>
          <w:szCs w:val="14"/>
          <w:color w:val="auto"/>
        </w:rPr>
        <w:t>Peer group TSR represents the weighted peer group TSR, weighted according to respective companies’ stock market capitalization at the beginning of each period for which a return is indicated.</w:t>
      </w:r>
    </w:p>
    <w:p>
      <w:pPr>
        <w:spacing w:after="0" w:line="9" w:lineRule="exact"/>
        <w:rPr>
          <w:sz w:val="20"/>
          <w:szCs w:val="20"/>
          <w:color w:val="auto"/>
        </w:rPr>
      </w:pPr>
    </w:p>
    <w:p>
      <w:pPr>
        <w:ind w:left="346" w:right="100" w:hanging="346"/>
        <w:spacing w:after="0" w:line="263"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represent net income reflected in the Company’s audited financial statements for the applicable year. Net income figures for 2021-2024 were corrected from the corresponding amounts reported in the prior year’s proxy statement, which reflected net income after deducting income attributable to non-controlling interests.</w:t>
      </w:r>
    </w:p>
    <w:p>
      <w:pPr>
        <w:spacing w:after="0" w:line="37" w:lineRule="exact"/>
        <w:rPr>
          <w:rFonts w:ascii="Arial" w:cs="Arial" w:eastAsia="Arial" w:hAnsi="Arial"/>
          <w:sz w:val="14"/>
          <w:szCs w:val="14"/>
          <w:color w:val="auto"/>
        </w:rPr>
      </w:pPr>
    </w:p>
    <w:p>
      <w:pPr>
        <w:ind w:left="346" w:right="40" w:hanging="346"/>
        <w:spacing w:after="0" w:line="252"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the Company’s assessment, Adjusted EBITDA represents the most important financial performance measure (not otherwise required to be disclosed in the table) used by the Company to link Compensation Actually Paid to the NEOs to Company performance for the most recently completed fiscal year. We define adjusted EBITDA as net income (a) minus interest income, (b) plus interest expense, depreciation and amortization, restructuring, loss on sale of business, strategic initiative expenses, acquisition and integration related expenses, and (c) excluding income tax provision or benefit.</w:t>
      </w:r>
    </w:p>
    <w:p>
      <w:pPr>
        <w:spacing w:after="0" w:line="22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Most Important Performance Measures</w:t>
      </w:r>
    </w:p>
    <w:p>
      <w:pPr>
        <w:spacing w:after="0" w:line="63"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 xml:space="preserve">In our assessment, the most important performance measures used to link CAP to Company performance are listed in the table below, not ranked in order of importance. The role of each of these performance measures in our executive compensation program is discussed under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xml:space="preserve"> in this proxy statement.</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Performance Measures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Adjusted EBITDA</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6"/>
          <w:szCs w:val="16"/>
          <w:color w:val="auto"/>
        </w:rPr>
        <w:t>Revenue</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6"/>
          <w:szCs w:val="16"/>
          <w:color w:val="auto"/>
        </w:rPr>
        <w:t>Non-GAAP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56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6"/>
          </w:cols>
          <w:pgMar w:left="1354" w:top="114" w:right="1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4"/>
          <w:szCs w:val="14"/>
          <w:color w:val="0063A6"/>
        </w:rPr>
        <w:t>Executive Compensation Tables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Descriptions of the Information Presented in the Pay Versus Performance Table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illustrations below compare CAP and the following measures:</w:t>
      </w:r>
    </w:p>
    <w:p>
      <w:pPr>
        <w:spacing w:after="0" w:line="59" w:lineRule="exact"/>
        <w:rPr>
          <w:sz w:val="20"/>
          <w:szCs w:val="20"/>
          <w:color w:val="auto"/>
        </w:rPr>
      </w:pPr>
    </w:p>
    <w:p>
      <w:pPr>
        <w:ind w:left="560" w:hanging="206"/>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Company’s cumulative TSR and the peer group’s cumulative TSR;</w:t>
      </w:r>
    </w:p>
    <w:p>
      <w:pPr>
        <w:spacing w:after="0" w:line="59" w:lineRule="exact"/>
        <w:rPr>
          <w:rFonts w:ascii="Arial" w:cs="Arial" w:eastAsia="Arial" w:hAnsi="Arial"/>
          <w:sz w:val="16"/>
          <w:szCs w:val="16"/>
          <w:color w:val="auto"/>
        </w:rPr>
      </w:pPr>
    </w:p>
    <w:p>
      <w:pPr>
        <w:ind w:left="560" w:hanging="206"/>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Company’s Net income (loss) attributable to Itron, Inc.; and</w:t>
      </w:r>
    </w:p>
    <w:p>
      <w:pPr>
        <w:spacing w:after="0" w:line="59" w:lineRule="exact"/>
        <w:rPr>
          <w:rFonts w:ascii="Arial" w:cs="Arial" w:eastAsia="Arial" w:hAnsi="Arial"/>
          <w:sz w:val="16"/>
          <w:szCs w:val="16"/>
          <w:color w:val="auto"/>
        </w:rPr>
      </w:pPr>
    </w:p>
    <w:p>
      <w:pPr>
        <w:ind w:left="560" w:hanging="206"/>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217805</wp:posOffset>
            </wp:positionV>
            <wp:extent cx="3566160" cy="2048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56616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1170305</wp:posOffset>
            </wp:positionH>
            <wp:positionV relativeFrom="paragraph">
              <wp:posOffset>217805</wp:posOffset>
            </wp:positionV>
            <wp:extent cx="3488690" cy="18599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8869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217805</wp:posOffset>
            </wp:positionV>
            <wp:extent cx="3497580" cy="19030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9758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6"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right="1100"/>
        <w:spacing w:after="0" w:line="309" w:lineRule="auto"/>
        <w:rPr>
          <w:sz w:val="20"/>
          <w:szCs w:val="20"/>
          <w:color w:val="auto"/>
        </w:rPr>
      </w:pPr>
      <w:r>
        <w:rPr>
          <w:rFonts w:ascii="Arial" w:cs="Arial" w:eastAsia="Arial" w:hAnsi="Arial"/>
          <w:sz w:val="23"/>
          <w:szCs w:val="23"/>
          <w:b w:val="1"/>
          <w:bCs w:val="1"/>
          <w:color w:val="0063A6"/>
        </w:rPr>
        <w:t>PROPOSAL 3 – RATIFICATION OF INDEPENDENT REGISTERED PUBLIC ACCOUNTANT</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Board, upon the recommendation of its Audit/Finance Committee, has selected Deloitte &amp; Touche LLP to serve as the Company’s independent registered public accountant for the 2026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 Representatives of Deloitte &amp; Touche LLP are expected to be present at the annual meeting, will have the opportunity to make a statement, if they desire to do so, and will be available to respond to appropriate questions.</w:t>
      </w:r>
    </w:p>
    <w:p>
      <w:pPr>
        <w:spacing w:after="0" w:line="335"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80010</wp:posOffset>
            </wp:positionV>
            <wp:extent cx="248285" cy="7200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8285" cy="720090"/>
                    </a:xfrm>
                    <a:prstGeom prst="rect">
                      <a:avLst/>
                    </a:prstGeom>
                    <a:noFill/>
                  </pic:spPr>
                </pic:pic>
              </a:graphicData>
            </a:graphic>
          </wp:anchor>
        </w:drawing>
      </w:r>
    </w:p>
    <w:p>
      <w:pPr>
        <w:spacing w:after="0" w:line="308"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recommends that shareholders</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vote “FOR” the ratification of Deloitte &amp;</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Touche LLP as our independent registered</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public accountant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58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62" w:name="page63"/>
    <w:bookmarkEnd w:id="6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right="460"/>
        <w:spacing w:after="0" w:line="309" w:lineRule="auto"/>
        <w:rPr>
          <w:sz w:val="20"/>
          <w:szCs w:val="20"/>
          <w:color w:val="auto"/>
        </w:rPr>
      </w:pPr>
      <w:r>
        <w:rPr>
          <w:rFonts w:ascii="Arial" w:cs="Arial" w:eastAsia="Arial" w:hAnsi="Arial"/>
          <w:sz w:val="23"/>
          <w:szCs w:val="23"/>
          <w:b w:val="1"/>
          <w:bCs w:val="1"/>
          <w:color w:val="0063A6"/>
        </w:rPr>
        <w:t>INDEPENDENT REGISTERED PUBLIC ACCOUNTING FIRM’S AUDIT FEES AND SERVICES</w:t>
      </w:r>
    </w:p>
    <w:p>
      <w:pPr>
        <w:spacing w:after="0" w:line="67"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color w:val="auto"/>
        </w:rPr>
        <w:t>For the years ended December 31, 2024 and 2025, professional services were performed by Deloitte &amp; Touche LLP and their respective affiliates (collectively, Deloitte). The aggregate fees billed by Deloitte for the years ended December 31, 2024 and 2025 were as follows:</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674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Services Rendered</w:t>
            </w:r>
          </w:p>
        </w:tc>
        <w:tc>
          <w:tcPr>
            <w:tcW w:w="1280" w:type="dxa"/>
            <w:vAlign w:val="bottom"/>
            <w:tcBorders>
              <w:bottom w:val="single" w:sz="8" w:color="0063A6"/>
            </w:tcBorders>
            <w:shd w:val="clear" w:color="auto" w:fill="0063A6"/>
          </w:tcPr>
          <w:p>
            <w:pPr>
              <w:jc w:val="right"/>
              <w:ind w:right="120"/>
              <w:spacing w:after="0"/>
              <w:rPr>
                <w:sz w:val="20"/>
                <w:szCs w:val="20"/>
                <w:color w:val="auto"/>
              </w:rPr>
            </w:pPr>
            <w:r>
              <w:rPr>
                <w:rFonts w:ascii="Arial" w:cs="Arial" w:eastAsia="Arial" w:hAnsi="Arial"/>
                <w:sz w:val="14"/>
                <w:szCs w:val="14"/>
                <w:b w:val="1"/>
                <w:bCs w:val="1"/>
                <w:color w:val="FFFFFF"/>
              </w:rPr>
              <w:t>2024</w:t>
            </w:r>
          </w:p>
        </w:tc>
        <w:tc>
          <w:tcPr>
            <w:tcW w:w="11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2025</w:t>
            </w:r>
          </w:p>
        </w:tc>
      </w:tr>
      <w:tr>
        <w:trPr>
          <w:trHeight w:val="311"/>
        </w:trPr>
        <w:tc>
          <w:tcPr>
            <w:tcW w:w="674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280" w:type="dxa"/>
            <w:vAlign w:val="bottom"/>
            <w:tcBorders>
              <w:bottom w:val="single" w:sz="8" w:color="5D6673"/>
            </w:tcBorders>
          </w:tcPr>
          <w:p>
            <w:pPr>
              <w:jc w:val="right"/>
              <w:ind w:right="120"/>
              <w:spacing w:after="0"/>
              <w:rPr>
                <w:sz w:val="20"/>
                <w:szCs w:val="20"/>
                <w:color w:val="auto"/>
              </w:rPr>
            </w:pPr>
            <w:r>
              <w:rPr>
                <w:rFonts w:ascii="Arial" w:cs="Arial" w:eastAsia="Arial" w:hAnsi="Arial"/>
                <w:sz w:val="16"/>
                <w:szCs w:val="16"/>
                <w:color w:val="auto"/>
              </w:rPr>
              <w:t>$ 7,803,252</w:t>
            </w:r>
          </w:p>
        </w:tc>
        <w:tc>
          <w:tcPr>
            <w:tcW w:w="116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 7,973,911</w:t>
            </w:r>
          </w:p>
        </w:tc>
      </w:tr>
      <w:tr>
        <w:trPr>
          <w:trHeight w:val="304"/>
        </w:trPr>
        <w:tc>
          <w:tcPr>
            <w:tcW w:w="674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1280" w:type="dxa"/>
            <w:vAlign w:val="bottom"/>
            <w:tcBorders>
              <w:bottom w:val="single" w:sz="8" w:color="5D6673"/>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627,330</w:t>
            </w:r>
          </w:p>
        </w:tc>
      </w:tr>
      <w:tr>
        <w:trPr>
          <w:trHeight w:val="234"/>
        </w:trPr>
        <w:tc>
          <w:tcPr>
            <w:tcW w:w="6740" w:type="dxa"/>
            <w:vAlign w:val="bottom"/>
          </w:tcPr>
          <w:p>
            <w:pPr>
              <w:ind w:left="260"/>
              <w:spacing w:after="0"/>
              <w:rPr>
                <w:sz w:val="20"/>
                <w:szCs w:val="20"/>
                <w:color w:val="auto"/>
              </w:rPr>
            </w:pPr>
            <w:r>
              <w:rPr>
                <w:rFonts w:ascii="Arial" w:cs="Arial" w:eastAsia="Arial" w:hAnsi="Arial"/>
                <w:sz w:val="16"/>
                <w:szCs w:val="16"/>
                <w:color w:val="auto"/>
              </w:rPr>
              <w:t>Total Audit and Audit-Related Fees</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7,803,252</w:t>
            </w:r>
          </w:p>
        </w:tc>
        <w:tc>
          <w:tcPr>
            <w:tcW w:w="1160" w:type="dxa"/>
            <w:vAlign w:val="bottom"/>
          </w:tcPr>
          <w:p>
            <w:pPr>
              <w:jc w:val="right"/>
              <w:spacing w:after="0"/>
              <w:rPr>
                <w:sz w:val="20"/>
                <w:szCs w:val="20"/>
                <w:color w:val="auto"/>
              </w:rPr>
            </w:pPr>
            <w:r>
              <w:rPr>
                <w:rFonts w:ascii="Arial" w:cs="Arial" w:eastAsia="Arial" w:hAnsi="Arial"/>
                <w:sz w:val="16"/>
                <w:szCs w:val="16"/>
                <w:color w:val="auto"/>
              </w:rPr>
              <w:t>8,601,241</w:t>
            </w:r>
          </w:p>
        </w:tc>
      </w:tr>
      <w:tr>
        <w:trPr>
          <w:trHeight w:val="29"/>
        </w:trPr>
        <w:tc>
          <w:tcPr>
            <w:tcW w:w="6740" w:type="dxa"/>
            <w:vAlign w:val="bottom"/>
            <w:tcBorders>
              <w:bottom w:val="single" w:sz="8" w:color="5D6673"/>
            </w:tcBorders>
          </w:tcPr>
          <w:p>
            <w:pPr>
              <w:spacing w:after="0"/>
              <w:rPr>
                <w:sz w:val="2"/>
                <w:szCs w:val="2"/>
                <w:color w:val="auto"/>
              </w:rPr>
            </w:pPr>
          </w:p>
        </w:tc>
        <w:tc>
          <w:tcPr>
            <w:tcW w:w="1280" w:type="dxa"/>
            <w:vAlign w:val="bottom"/>
            <w:tcBorders>
              <w:bottom w:val="single" w:sz="8" w:color="5D6673"/>
            </w:tcBorders>
          </w:tcPr>
          <w:p>
            <w:pPr>
              <w:spacing w:after="0"/>
              <w:rPr>
                <w:sz w:val="2"/>
                <w:szCs w:val="2"/>
                <w:color w:val="auto"/>
              </w:rPr>
            </w:pPr>
          </w:p>
        </w:tc>
        <w:tc>
          <w:tcPr>
            <w:tcW w:w="1160" w:type="dxa"/>
            <w:vAlign w:val="bottom"/>
            <w:tcBorders>
              <w:bottom w:val="single" w:sz="8" w:color="5D6673"/>
            </w:tcBorders>
          </w:tcPr>
          <w:p>
            <w:pPr>
              <w:spacing w:after="0"/>
              <w:rPr>
                <w:sz w:val="2"/>
                <w:szCs w:val="2"/>
                <w:color w:val="auto"/>
              </w:rPr>
            </w:pPr>
          </w:p>
        </w:tc>
      </w:tr>
      <w:tr>
        <w:trPr>
          <w:trHeight w:val="304"/>
        </w:trPr>
        <w:tc>
          <w:tcPr>
            <w:tcW w:w="674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1280" w:type="dxa"/>
            <w:vAlign w:val="bottom"/>
            <w:tcBorders>
              <w:bottom w:val="single" w:sz="8" w:color="5D6673"/>
            </w:tcBorders>
          </w:tcPr>
          <w:p>
            <w:pPr>
              <w:jc w:val="right"/>
              <w:ind w:right="140"/>
              <w:spacing w:after="0"/>
              <w:rPr>
                <w:sz w:val="20"/>
                <w:szCs w:val="20"/>
                <w:color w:val="auto"/>
              </w:rPr>
            </w:pPr>
            <w:r>
              <w:rPr>
                <w:rFonts w:ascii="Arial" w:cs="Arial" w:eastAsia="Arial" w:hAnsi="Arial"/>
                <w:sz w:val="16"/>
                <w:szCs w:val="16"/>
                <w:color w:val="auto"/>
              </w:rPr>
              <w:t>2,688,011</w:t>
            </w:r>
          </w:p>
        </w:tc>
        <w:tc>
          <w:tcPr>
            <w:tcW w:w="11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3,888,500</w:t>
            </w:r>
          </w:p>
        </w:tc>
      </w:tr>
      <w:tr>
        <w:trPr>
          <w:trHeight w:val="304"/>
        </w:trPr>
        <w:tc>
          <w:tcPr>
            <w:tcW w:w="6740" w:type="dxa"/>
            <w:vAlign w:val="bottom"/>
            <w:tcBorders>
              <w:bottom w:val="single" w:sz="8" w:color="5D6673"/>
            </w:tcBorders>
          </w:tcPr>
          <w:p>
            <w:pPr>
              <w:ind w:left="80"/>
              <w:spacing w:after="0"/>
              <w:rPr>
                <w:sz w:val="20"/>
                <w:szCs w:val="20"/>
                <w:color w:val="auto"/>
              </w:rPr>
            </w:pPr>
            <w:r>
              <w:rPr>
                <w:rFonts w:ascii="Arial" w:cs="Arial" w:eastAsia="Arial" w:hAnsi="Arial"/>
                <w:sz w:val="16"/>
                <w:szCs w:val="16"/>
                <w:color w:val="auto"/>
              </w:rPr>
              <w:t>Other Fees</w:t>
            </w:r>
            <w:r>
              <w:rPr>
                <w:rFonts w:ascii="Arial" w:cs="Arial" w:eastAsia="Arial" w:hAnsi="Arial"/>
                <w:sz w:val="26"/>
                <w:szCs w:val="26"/>
                <w:color w:val="auto"/>
                <w:vertAlign w:val="superscript"/>
              </w:rPr>
              <w:t>(4)</w:t>
            </w:r>
          </w:p>
        </w:tc>
        <w:tc>
          <w:tcPr>
            <w:tcW w:w="1280" w:type="dxa"/>
            <w:vAlign w:val="bottom"/>
            <w:tcBorders>
              <w:bottom w:val="single" w:sz="8" w:color="5D6673"/>
            </w:tcBorders>
          </w:tcPr>
          <w:p>
            <w:pPr>
              <w:jc w:val="right"/>
              <w:ind w:right="120"/>
              <w:spacing w:after="0"/>
              <w:rPr>
                <w:sz w:val="20"/>
                <w:szCs w:val="20"/>
                <w:color w:val="auto"/>
              </w:rPr>
            </w:pPr>
            <w:r>
              <w:rPr>
                <w:rFonts w:ascii="Arial" w:cs="Arial" w:eastAsia="Arial" w:hAnsi="Arial"/>
                <w:sz w:val="16"/>
                <w:szCs w:val="16"/>
                <w:color w:val="auto"/>
              </w:rPr>
              <w:t>2,064</w:t>
            </w:r>
          </w:p>
        </w:tc>
        <w:tc>
          <w:tcPr>
            <w:tcW w:w="11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2,066</w:t>
            </w:r>
          </w:p>
        </w:tc>
      </w:tr>
      <w:tr>
        <w:trPr>
          <w:trHeight w:val="236"/>
        </w:trPr>
        <w:tc>
          <w:tcPr>
            <w:tcW w:w="6740" w:type="dxa"/>
            <w:vAlign w:val="bottom"/>
            <w:tcBorders>
              <w:bottom w:val="single" w:sz="8" w:color="0063A6"/>
            </w:tcBorders>
          </w:tcPr>
          <w:p>
            <w:pPr>
              <w:ind w:left="80"/>
              <w:spacing w:after="0"/>
              <w:rPr>
                <w:sz w:val="20"/>
                <w:szCs w:val="20"/>
                <w:color w:val="auto"/>
              </w:rPr>
            </w:pPr>
            <w:r>
              <w:rPr>
                <w:rFonts w:ascii="Arial" w:cs="Arial" w:eastAsia="Arial" w:hAnsi="Arial"/>
                <w:sz w:val="16"/>
                <w:szCs w:val="16"/>
                <w:color w:val="auto"/>
              </w:rPr>
              <w:t>Total Fees</w:t>
            </w:r>
          </w:p>
        </w:tc>
        <w:tc>
          <w:tcPr>
            <w:tcW w:w="1280" w:type="dxa"/>
            <w:vAlign w:val="bottom"/>
            <w:tcBorders>
              <w:bottom w:val="single" w:sz="8" w:color="0063A6"/>
            </w:tcBorders>
          </w:tcPr>
          <w:p>
            <w:pPr>
              <w:jc w:val="right"/>
              <w:ind w:right="120"/>
              <w:spacing w:after="0"/>
              <w:rPr>
                <w:sz w:val="20"/>
                <w:szCs w:val="20"/>
                <w:color w:val="auto"/>
              </w:rPr>
            </w:pPr>
            <w:r>
              <w:rPr>
                <w:rFonts w:ascii="Arial" w:cs="Arial" w:eastAsia="Arial" w:hAnsi="Arial"/>
                <w:sz w:val="16"/>
                <w:szCs w:val="16"/>
                <w:color w:val="auto"/>
              </w:rPr>
              <w:t>$10,493,326</w:t>
            </w:r>
          </w:p>
        </w:tc>
        <w:tc>
          <w:tcPr>
            <w:tcW w:w="11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$12,491,807</w:t>
            </w:r>
          </w:p>
        </w:tc>
      </w:tr>
    </w:tbl>
    <w:p>
      <w:pPr>
        <w:spacing w:after="0" w:line="99" w:lineRule="exact"/>
        <w:rPr>
          <w:sz w:val="20"/>
          <w:szCs w:val="20"/>
          <w:color w:val="auto"/>
        </w:rPr>
      </w:pPr>
    </w:p>
    <w:p>
      <w:pPr>
        <w:ind w:left="346" w:right="200" w:hanging="346"/>
        <w:spacing w:after="0" w:line="256" w:lineRule="auto"/>
        <w:tabs>
          <w:tab w:leader="none" w:pos="34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 services include fees for professional services rendered for the audit of the Company’s annual financial statements and internal controls over financial reporting for the years ended December 31, 2024 and 2025, including out of pocket expenses, and reviews of the financial statements included in the Company’s Quarterly Reports on Form 10-Q. In addition, services include statutory audits required, and accounting consultations on matters related to the annual audits or interim reviews.</w:t>
      </w:r>
    </w:p>
    <w:p>
      <w:pPr>
        <w:spacing w:after="0" w:line="28" w:lineRule="exact"/>
        <w:rPr>
          <w:rFonts w:ascii="Arial" w:cs="Arial" w:eastAsia="Arial" w:hAnsi="Arial"/>
          <w:sz w:val="14"/>
          <w:szCs w:val="14"/>
          <w:color w:val="auto"/>
        </w:rPr>
      </w:pPr>
    </w:p>
    <w:p>
      <w:pPr>
        <w:ind w:left="346" w:right="440" w:hanging="346"/>
        <w:spacing w:after="0" w:line="285" w:lineRule="auto"/>
        <w:tabs>
          <w:tab w:leader="none" w:pos="34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Audit-related services are disclosed in the year incurred, based on when the work is performed. These services typically include due diligence in connection with acquisitions, accounting process advice, and agreed-upon procedures.</w:t>
      </w:r>
    </w:p>
    <w:p>
      <w:pPr>
        <w:spacing w:after="0" w:line="9" w:lineRule="exact"/>
        <w:rPr>
          <w:rFonts w:ascii="Arial" w:cs="Arial" w:eastAsia="Arial" w:hAnsi="Arial"/>
          <w:sz w:val="14"/>
          <w:szCs w:val="14"/>
          <w:color w:val="auto"/>
        </w:rPr>
      </w:pPr>
    </w:p>
    <w:p>
      <w:pPr>
        <w:ind w:left="346" w:right="60" w:hanging="346"/>
        <w:spacing w:after="0" w:line="285" w:lineRule="auto"/>
        <w:tabs>
          <w:tab w:leader="none" w:pos="34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Tax services are disclosed in the year incurred, based on when the work is performed. These services include tax consulting, tax advisory, and tax planning during the years ended December 31, 2024 and 2025.</w:t>
      </w:r>
    </w:p>
    <w:p>
      <w:pPr>
        <w:spacing w:after="0" w:line="22" w:lineRule="exact"/>
        <w:rPr>
          <w:rFonts w:ascii="Arial" w:cs="Arial" w:eastAsia="Arial" w:hAnsi="Arial"/>
          <w:sz w:val="14"/>
          <w:szCs w:val="14"/>
          <w:color w:val="auto"/>
        </w:rPr>
      </w:pPr>
    </w:p>
    <w:p>
      <w:pPr>
        <w:ind w:left="346" w:right="40" w:hanging="346"/>
        <w:spacing w:after="0" w:line="285" w:lineRule="auto"/>
        <w:tabs>
          <w:tab w:leader="none" w:pos="346"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Services performed by Deloitte qualifying as “Other” for the years ended December 31, 2024 and 2025, are related to accounting research tools.</w:t>
      </w:r>
    </w:p>
    <w:p>
      <w:pPr>
        <w:spacing w:after="0" w:line="112" w:lineRule="exact"/>
        <w:rPr>
          <w:sz w:val="20"/>
          <w:szCs w:val="20"/>
          <w:color w:val="auto"/>
        </w:rPr>
      </w:pPr>
    </w:p>
    <w:p>
      <w:pPr>
        <w:ind w:left="6" w:right="200"/>
        <w:spacing w:after="0" w:line="254" w:lineRule="auto"/>
        <w:rPr>
          <w:sz w:val="20"/>
          <w:szCs w:val="20"/>
          <w:color w:val="auto"/>
        </w:rPr>
      </w:pPr>
      <w:r>
        <w:rPr>
          <w:rFonts w:ascii="Arial" w:cs="Arial" w:eastAsia="Arial" w:hAnsi="Arial"/>
          <w:sz w:val="16"/>
          <w:szCs w:val="16"/>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2024 and 2025, all services were pre-approved in accordance with the charter of the Audit/Finance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8293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3" w:name="page64"/>
    <w:bookmarkEnd w:id="6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2025 AUDIT/FINANCE COMMITTEE REPORT</w:t>
      </w:r>
    </w:p>
    <w:p>
      <w:pPr>
        <w:spacing w:after="0" w:line="200" w:lineRule="exact"/>
        <w:rPr>
          <w:sz w:val="20"/>
          <w:szCs w:val="20"/>
          <w:color w:val="auto"/>
        </w:rPr>
      </w:pPr>
    </w:p>
    <w:p>
      <w:pPr>
        <w:ind w:left="6"/>
        <w:spacing w:after="0" w:line="253" w:lineRule="auto"/>
        <w:rPr>
          <w:sz w:val="20"/>
          <w:szCs w:val="20"/>
          <w:color w:val="auto"/>
        </w:rPr>
      </w:pPr>
      <w:r>
        <w:rPr>
          <w:rFonts w:ascii="Arial" w:cs="Arial" w:eastAsia="Arial" w:hAnsi="Arial"/>
          <w:sz w:val="16"/>
          <w:szCs w:val="16"/>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2025,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connection with the December 31, 2025 financial statements, the Audit/Finance Committee hereby reports as follows:</w:t>
      </w:r>
    </w:p>
    <w:p>
      <w:pPr>
        <w:spacing w:after="0" w:line="181" w:lineRule="exact"/>
        <w:rPr>
          <w:sz w:val="20"/>
          <w:szCs w:val="20"/>
          <w:color w:val="auto"/>
        </w:rPr>
      </w:pPr>
    </w:p>
    <w:p>
      <w:pPr>
        <w:ind w:left="346" w:right="160" w:hanging="346"/>
        <w:spacing w:after="0" w:line="286" w:lineRule="auto"/>
        <w:tabs>
          <w:tab w:leader="none" w:pos="3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Audit/Finance Committee has reviewed and discussed the audited financial statements and report on internal control over financial reporting with management.</w:t>
      </w:r>
    </w:p>
    <w:p>
      <w:pPr>
        <w:spacing w:after="0" w:line="128" w:lineRule="exact"/>
        <w:rPr>
          <w:rFonts w:ascii="Arial" w:cs="Arial" w:eastAsia="Arial" w:hAnsi="Arial"/>
          <w:sz w:val="16"/>
          <w:szCs w:val="16"/>
          <w:color w:val="auto"/>
        </w:rPr>
      </w:pPr>
    </w:p>
    <w:p>
      <w:pPr>
        <w:ind w:left="346" w:right="680" w:hanging="346"/>
        <w:spacing w:after="0" w:line="286" w:lineRule="auto"/>
        <w:tabs>
          <w:tab w:leader="none" w:pos="3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Audit/Finance Committee has discussed with the independent auditors the matters required by the applicable requirements of the PCAOB and the SEC.</w:t>
      </w:r>
    </w:p>
    <w:p>
      <w:pPr>
        <w:spacing w:after="0" w:line="115" w:lineRule="exact"/>
        <w:rPr>
          <w:rFonts w:ascii="Arial" w:cs="Arial" w:eastAsia="Arial" w:hAnsi="Arial"/>
          <w:sz w:val="16"/>
          <w:szCs w:val="16"/>
          <w:color w:val="auto"/>
        </w:rPr>
      </w:pPr>
    </w:p>
    <w:p>
      <w:pPr>
        <w:ind w:left="346" w:right="300" w:hanging="346"/>
        <w:spacing w:after="0" w:line="266" w:lineRule="auto"/>
        <w:tabs>
          <w:tab w:leader="none" w:pos="3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Audit/Finance Committee has received the written disclosures and the letter from the auditors, as required by applicable requirements of the PCAOB regarding the independent accountant’s communications with the Audit/Finance Committee concerning independence and discussed with the auditors the auditors’ independence.</w:t>
      </w:r>
    </w:p>
    <w:p>
      <w:pPr>
        <w:spacing w:after="0" w:line="130" w:lineRule="exact"/>
        <w:rPr>
          <w:rFonts w:ascii="Arial" w:cs="Arial" w:eastAsia="Arial" w:hAnsi="Arial"/>
          <w:sz w:val="16"/>
          <w:szCs w:val="16"/>
          <w:color w:val="auto"/>
        </w:rPr>
      </w:pPr>
    </w:p>
    <w:p>
      <w:pPr>
        <w:ind w:left="346" w:right="40" w:hanging="346"/>
        <w:spacing w:after="0" w:line="266" w:lineRule="auto"/>
        <w:tabs>
          <w:tab w:leader="none" w:pos="3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upon these reviews and discussions, the Audit/Finance Committee has recommended to the Board of Directors and the Board has approved, that the Company’s audited financial statements be included in its Annual Report on Form 10-K for the year ended December 31, 2025 and filed with the SEC.</w:t>
      </w:r>
    </w:p>
    <w:p>
      <w:pPr>
        <w:spacing w:after="0" w:line="173" w:lineRule="exact"/>
        <w:rPr>
          <w:sz w:val="20"/>
          <w:szCs w:val="20"/>
          <w:color w:val="auto"/>
        </w:rPr>
      </w:pPr>
    </w:p>
    <w:p>
      <w:pPr>
        <w:ind w:left="106"/>
        <w:spacing w:after="0"/>
        <w:rPr>
          <w:sz w:val="20"/>
          <w:szCs w:val="20"/>
          <w:color w:val="auto"/>
        </w:rPr>
      </w:pPr>
      <w:r>
        <w:rPr>
          <w:rFonts w:ascii="Arial" w:cs="Arial" w:eastAsia="Arial" w:hAnsi="Arial"/>
          <w:sz w:val="16"/>
          <w:szCs w:val="16"/>
          <w:i w:val="1"/>
          <w:iCs w:val="1"/>
          <w:color w:val="auto"/>
        </w:rPr>
        <w:t>Audit/Finance Committee</w:t>
      </w:r>
    </w:p>
    <w:p>
      <w:pPr>
        <w:spacing w:after="0" w:line="354" w:lineRule="exact"/>
        <w:rPr>
          <w:sz w:val="20"/>
          <w:szCs w:val="20"/>
          <w:color w:val="auto"/>
        </w:rPr>
      </w:pPr>
    </w:p>
    <w:p>
      <w:pPr>
        <w:ind w:left="106"/>
        <w:spacing w:after="0"/>
        <w:rPr>
          <w:sz w:val="20"/>
          <w:szCs w:val="20"/>
          <w:color w:val="auto"/>
        </w:rPr>
      </w:pPr>
      <w:r>
        <w:rPr>
          <w:rFonts w:ascii="Arial" w:cs="Arial" w:eastAsia="Arial" w:hAnsi="Arial"/>
          <w:sz w:val="16"/>
          <w:szCs w:val="16"/>
          <w:color w:val="auto"/>
        </w:rPr>
        <w:t>Timothy M. Leyden, Chair</w:t>
      </w:r>
    </w:p>
    <w:p>
      <w:pPr>
        <w:spacing w:after="0" w:line="21" w:lineRule="exact"/>
        <w:rPr>
          <w:sz w:val="20"/>
          <w:szCs w:val="20"/>
          <w:color w:val="auto"/>
        </w:rPr>
      </w:pPr>
    </w:p>
    <w:p>
      <w:pPr>
        <w:ind w:left="106"/>
        <w:spacing w:after="0"/>
        <w:rPr>
          <w:sz w:val="20"/>
          <w:szCs w:val="20"/>
          <w:color w:val="auto"/>
        </w:rPr>
      </w:pPr>
      <w:r>
        <w:rPr>
          <w:rFonts w:ascii="Arial" w:cs="Arial" w:eastAsia="Arial" w:hAnsi="Arial"/>
          <w:sz w:val="16"/>
          <w:szCs w:val="16"/>
          <w:color w:val="auto"/>
        </w:rPr>
        <w:t>Jerome J. Lande</w:t>
      </w:r>
    </w:p>
    <w:p>
      <w:pPr>
        <w:spacing w:after="0" w:line="5" w:lineRule="exact"/>
        <w:rPr>
          <w:sz w:val="20"/>
          <w:szCs w:val="20"/>
          <w:color w:val="auto"/>
        </w:rPr>
      </w:pPr>
    </w:p>
    <w:p>
      <w:pPr>
        <w:ind w:left="106"/>
        <w:spacing w:after="0"/>
        <w:rPr>
          <w:sz w:val="20"/>
          <w:szCs w:val="20"/>
          <w:color w:val="auto"/>
        </w:rPr>
      </w:pPr>
      <w:r>
        <w:rPr>
          <w:rFonts w:ascii="Arial" w:cs="Arial" w:eastAsia="Arial" w:hAnsi="Arial"/>
          <w:sz w:val="16"/>
          <w:szCs w:val="16"/>
          <w:color w:val="auto"/>
        </w:rPr>
        <w:t>Sanjay Mirchandani</w:t>
      </w:r>
    </w:p>
    <w:p>
      <w:pPr>
        <w:spacing w:after="0" w:line="5" w:lineRule="exact"/>
        <w:rPr>
          <w:sz w:val="20"/>
          <w:szCs w:val="20"/>
          <w:color w:val="auto"/>
        </w:rPr>
      </w:pPr>
    </w:p>
    <w:p>
      <w:pPr>
        <w:ind w:left="106"/>
        <w:spacing w:after="0"/>
        <w:rPr>
          <w:sz w:val="20"/>
          <w:szCs w:val="20"/>
          <w:color w:val="auto"/>
        </w:rPr>
      </w:pPr>
      <w:r>
        <w:rPr>
          <w:rFonts w:ascii="Arial" w:cs="Arial" w:eastAsia="Arial" w:hAnsi="Arial"/>
          <w:sz w:val="16"/>
          <w:szCs w:val="16"/>
          <w:color w:val="auto"/>
        </w:rPr>
        <w:t>Sheri L. Savage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58293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4"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60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64" w:name="page65"/>
    <w:bookmarkEnd w:id="6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EQUITY COMPENSATION PLAN INFORMATION</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gives certain information about our equity compensation plans in effect as of December 31, 2025.</w:t>
      </w:r>
    </w:p>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2920" w:type="dxa"/>
            <w:vAlign w:val="bottom"/>
          </w:tcPr>
          <w:p>
            <w:pPr>
              <w:spacing w:after="0"/>
              <w:rPr>
                <w:sz w:val="19"/>
                <w:szCs w:val="19"/>
                <w:color w:val="auto"/>
              </w:rPr>
            </w:pPr>
          </w:p>
        </w:tc>
        <w:tc>
          <w:tcPr>
            <w:tcW w:w="2280" w:type="dxa"/>
            <w:vAlign w:val="bottom"/>
            <w:shd w:val="clear" w:color="auto" w:fill="0063A6"/>
          </w:tcPr>
          <w:p>
            <w:pPr>
              <w:spacing w:after="0"/>
              <w:rPr>
                <w:sz w:val="19"/>
                <w:szCs w:val="19"/>
                <w:color w:val="auto"/>
              </w:rPr>
            </w:pPr>
          </w:p>
        </w:tc>
        <w:tc>
          <w:tcPr>
            <w:tcW w:w="1960" w:type="dxa"/>
            <w:vAlign w:val="bottom"/>
            <w:shd w:val="clear" w:color="auto" w:fill="0063A6"/>
          </w:tcPr>
          <w:p>
            <w:pPr>
              <w:spacing w:after="0"/>
              <w:rPr>
                <w:sz w:val="19"/>
                <w:szCs w:val="19"/>
                <w:color w:val="auto"/>
              </w:rPr>
            </w:pP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Number of Shares</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Number of Shares to</w:t>
            </w:r>
          </w:p>
        </w:tc>
        <w:tc>
          <w:tcPr>
            <w:tcW w:w="1960" w:type="dxa"/>
            <w:vAlign w:val="bottom"/>
            <w:shd w:val="clear" w:color="auto" w:fill="0063A6"/>
          </w:tcPr>
          <w:p>
            <w:pPr>
              <w:spacing w:after="0"/>
              <w:rPr>
                <w:sz w:val="14"/>
                <w:szCs w:val="14"/>
                <w:color w:val="auto"/>
              </w:rPr>
            </w:pP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Be Issued Upon</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Weighted-Average</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for Issuance Under</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Exercise of</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Exercise Price of</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Equity Compensation</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Outstanding Options,</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Outstanding Options,</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Plans (excluding shares</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Warrants and Rights</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Warrants and Rights</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reflected in column (a))</w:t>
            </w:r>
          </w:p>
        </w:tc>
      </w:tr>
      <w:tr>
        <w:trPr>
          <w:trHeight w:val="205"/>
        </w:trPr>
        <w:tc>
          <w:tcPr>
            <w:tcW w:w="29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Plan Category</w:t>
            </w:r>
          </w:p>
        </w:tc>
        <w:tc>
          <w:tcPr>
            <w:tcW w:w="2280" w:type="dxa"/>
            <w:vAlign w:val="bottom"/>
            <w:tcBorders>
              <w:bottom w:val="single" w:sz="8" w:color="0063A6"/>
            </w:tcBorders>
            <w:shd w:val="clear" w:color="auto" w:fill="0063A6"/>
          </w:tcPr>
          <w:p>
            <w:pPr>
              <w:jc w:val="right"/>
              <w:ind w:right="205"/>
              <w:spacing w:after="0"/>
              <w:rPr>
                <w:sz w:val="20"/>
                <w:szCs w:val="20"/>
                <w:color w:val="auto"/>
              </w:rPr>
            </w:pPr>
            <w:r>
              <w:rPr>
                <w:rFonts w:ascii="Arial" w:cs="Arial" w:eastAsia="Arial" w:hAnsi="Arial"/>
                <w:sz w:val="14"/>
                <w:szCs w:val="14"/>
                <w:b w:val="1"/>
                <w:bCs w:val="1"/>
                <w:color w:val="FFFFFF"/>
              </w:rPr>
              <w:t>(a)</w:t>
            </w:r>
          </w:p>
        </w:tc>
        <w:tc>
          <w:tcPr>
            <w:tcW w:w="1960" w:type="dxa"/>
            <w:vAlign w:val="bottom"/>
            <w:tcBorders>
              <w:bottom w:val="single" w:sz="8" w:color="0063A6"/>
            </w:tcBorders>
            <w:shd w:val="clear" w:color="auto" w:fill="0063A6"/>
          </w:tcPr>
          <w:p>
            <w:pPr>
              <w:jc w:val="right"/>
              <w:ind w:right="105"/>
              <w:spacing w:after="0"/>
              <w:rPr>
                <w:sz w:val="20"/>
                <w:szCs w:val="20"/>
                <w:color w:val="auto"/>
              </w:rPr>
            </w:pPr>
            <w:r>
              <w:rPr>
                <w:rFonts w:ascii="Arial" w:cs="Arial" w:eastAsia="Arial" w:hAnsi="Arial"/>
                <w:sz w:val="14"/>
                <w:szCs w:val="14"/>
                <w:b w:val="1"/>
                <w:bCs w:val="1"/>
                <w:color w:val="FFFFFF"/>
              </w:rPr>
              <w:t>(b)</w:t>
            </w:r>
          </w:p>
        </w:tc>
        <w:tc>
          <w:tcPr>
            <w:tcW w:w="2020" w:type="dxa"/>
            <w:vAlign w:val="bottom"/>
            <w:tcBorders>
              <w:bottom w:val="single" w:sz="8" w:color="0063A6"/>
            </w:tcBorders>
            <w:shd w:val="clear" w:color="auto" w:fill="0063A6"/>
          </w:tcPr>
          <w:p>
            <w:pPr>
              <w:jc w:val="right"/>
              <w:ind w:right="85"/>
              <w:spacing w:after="0"/>
              <w:rPr>
                <w:sz w:val="20"/>
                <w:szCs w:val="20"/>
                <w:color w:val="auto"/>
              </w:rPr>
            </w:pPr>
            <w:r>
              <w:rPr>
                <w:rFonts w:ascii="Arial" w:cs="Arial" w:eastAsia="Arial" w:hAnsi="Arial"/>
                <w:sz w:val="14"/>
                <w:szCs w:val="14"/>
                <w:b w:val="1"/>
                <w:bCs w:val="1"/>
                <w:color w:val="FFFFFF"/>
              </w:rPr>
              <w:t>(c)</w:t>
            </w:r>
          </w:p>
        </w:tc>
      </w:tr>
      <w:tr>
        <w:trPr>
          <w:trHeight w:val="217"/>
        </w:trPr>
        <w:tc>
          <w:tcPr>
            <w:tcW w:w="2920" w:type="dxa"/>
            <w:vAlign w:val="bottom"/>
          </w:tcPr>
          <w:p>
            <w:pPr>
              <w:ind w:left="60"/>
              <w:spacing w:after="0"/>
              <w:rPr>
                <w:sz w:val="20"/>
                <w:szCs w:val="20"/>
                <w:color w:val="auto"/>
              </w:rPr>
            </w:pPr>
            <w:r>
              <w:rPr>
                <w:rFonts w:ascii="Arial" w:cs="Arial" w:eastAsia="Arial" w:hAnsi="Arial"/>
                <w:sz w:val="16"/>
                <w:szCs w:val="16"/>
                <w:color w:val="auto"/>
              </w:rPr>
              <w:t>Equity Compensation Plans Approved</w:t>
            </w:r>
          </w:p>
        </w:tc>
        <w:tc>
          <w:tcPr>
            <w:tcW w:w="2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83"/>
        </w:trPr>
        <w:tc>
          <w:tcPr>
            <w:tcW w:w="2920" w:type="dxa"/>
            <w:vAlign w:val="bottom"/>
            <w:tcBorders>
              <w:bottom w:val="single" w:sz="8" w:color="5D6673"/>
            </w:tcBorders>
          </w:tcPr>
          <w:p>
            <w:pPr>
              <w:ind w:left="60"/>
              <w:spacing w:after="0" w:line="282" w:lineRule="exact"/>
              <w:rPr>
                <w:sz w:val="20"/>
                <w:szCs w:val="20"/>
                <w:color w:val="auto"/>
              </w:rPr>
            </w:pPr>
            <w:r>
              <w:rPr>
                <w:rFonts w:ascii="Arial" w:cs="Arial" w:eastAsia="Arial" w:hAnsi="Arial"/>
                <w:sz w:val="16"/>
                <w:szCs w:val="16"/>
                <w:color w:val="auto"/>
              </w:rPr>
              <w:t>by Shareholders</w:t>
            </w:r>
            <w:r>
              <w:rPr>
                <w:rFonts w:ascii="Arial" w:cs="Arial" w:eastAsia="Arial" w:hAnsi="Arial"/>
                <w:sz w:val="26"/>
                <w:szCs w:val="26"/>
                <w:color w:val="auto"/>
                <w:vertAlign w:val="superscript"/>
              </w:rPr>
              <w:t>(1)</w:t>
            </w:r>
          </w:p>
        </w:tc>
        <w:tc>
          <w:tcPr>
            <w:tcW w:w="2280" w:type="dxa"/>
            <w:vAlign w:val="bottom"/>
            <w:tcBorders>
              <w:bottom w:val="single" w:sz="8" w:color="5D6673"/>
            </w:tcBorders>
          </w:tcPr>
          <w:p>
            <w:pPr>
              <w:jc w:val="right"/>
              <w:ind w:right="225"/>
              <w:spacing w:after="0" w:line="282" w:lineRule="exact"/>
              <w:rPr>
                <w:sz w:val="20"/>
                <w:szCs w:val="20"/>
                <w:color w:val="auto"/>
              </w:rPr>
            </w:pPr>
            <w:r>
              <w:rPr>
                <w:rFonts w:ascii="Arial" w:cs="Arial" w:eastAsia="Arial" w:hAnsi="Arial"/>
                <w:sz w:val="16"/>
                <w:szCs w:val="16"/>
                <w:color w:val="auto"/>
              </w:rPr>
              <w:t xml:space="preserve">978,878 </w:t>
            </w:r>
            <w:r>
              <w:rPr>
                <w:rFonts w:ascii="Arial" w:cs="Arial" w:eastAsia="Arial" w:hAnsi="Arial"/>
                <w:sz w:val="26"/>
                <w:szCs w:val="26"/>
                <w:color w:val="auto"/>
                <w:vertAlign w:val="superscript"/>
              </w:rPr>
              <w:t>(1)</w:t>
            </w:r>
          </w:p>
        </w:tc>
        <w:tc>
          <w:tcPr>
            <w:tcW w:w="1960" w:type="dxa"/>
            <w:vAlign w:val="bottom"/>
            <w:tcBorders>
              <w:bottom w:val="single" w:sz="8" w:color="5D6673"/>
            </w:tcBorders>
          </w:tcPr>
          <w:p>
            <w:pPr>
              <w:jc w:val="right"/>
              <w:ind w:right="125"/>
              <w:spacing w:after="0" w:line="282" w:lineRule="exact"/>
              <w:rPr>
                <w:sz w:val="20"/>
                <w:szCs w:val="20"/>
                <w:color w:val="auto"/>
              </w:rPr>
            </w:pPr>
            <w:r>
              <w:rPr>
                <w:rFonts w:ascii="Arial" w:cs="Arial" w:eastAsia="Arial" w:hAnsi="Arial"/>
                <w:sz w:val="16"/>
                <w:szCs w:val="16"/>
                <w:color w:val="auto"/>
              </w:rPr>
              <w:t xml:space="preserve">$75.89 </w:t>
            </w:r>
            <w:r>
              <w:rPr>
                <w:rFonts w:ascii="Arial" w:cs="Arial" w:eastAsia="Arial" w:hAnsi="Arial"/>
                <w:sz w:val="26"/>
                <w:szCs w:val="26"/>
                <w:color w:val="auto"/>
                <w:vertAlign w:val="superscript"/>
              </w:rPr>
              <w:t>(2)</w:t>
            </w:r>
          </w:p>
        </w:tc>
        <w:tc>
          <w:tcPr>
            <w:tcW w:w="2020" w:type="dxa"/>
            <w:vAlign w:val="bottom"/>
            <w:tcBorders>
              <w:bottom w:val="single" w:sz="8" w:color="5D6673"/>
            </w:tcBorders>
          </w:tcPr>
          <w:p>
            <w:pPr>
              <w:jc w:val="right"/>
              <w:ind w:right="85"/>
              <w:spacing w:after="0" w:line="282" w:lineRule="exact"/>
              <w:rPr>
                <w:sz w:val="20"/>
                <w:szCs w:val="20"/>
                <w:color w:val="auto"/>
              </w:rPr>
            </w:pPr>
            <w:r>
              <w:rPr>
                <w:rFonts w:ascii="Arial" w:cs="Arial" w:eastAsia="Arial" w:hAnsi="Arial"/>
                <w:sz w:val="16"/>
                <w:szCs w:val="16"/>
                <w:color w:val="auto"/>
              </w:rPr>
              <w:t xml:space="preserve">4,250,467 </w:t>
            </w:r>
            <w:r>
              <w:rPr>
                <w:rFonts w:ascii="Arial" w:cs="Arial" w:eastAsia="Arial" w:hAnsi="Arial"/>
                <w:sz w:val="26"/>
                <w:szCs w:val="26"/>
                <w:color w:val="auto"/>
                <w:vertAlign w:val="superscript"/>
              </w:rPr>
              <w:t>(3)</w:t>
            </w:r>
          </w:p>
        </w:tc>
      </w:tr>
      <w:tr>
        <w:trPr>
          <w:trHeight w:val="209"/>
        </w:trPr>
        <w:tc>
          <w:tcPr>
            <w:tcW w:w="2920" w:type="dxa"/>
            <w:vAlign w:val="bottom"/>
          </w:tcPr>
          <w:p>
            <w:pPr>
              <w:ind w:left="60"/>
              <w:spacing w:after="0"/>
              <w:rPr>
                <w:sz w:val="20"/>
                <w:szCs w:val="20"/>
                <w:color w:val="auto"/>
              </w:rPr>
            </w:pPr>
            <w:r>
              <w:rPr>
                <w:rFonts w:ascii="Arial" w:cs="Arial" w:eastAsia="Arial" w:hAnsi="Arial"/>
                <w:sz w:val="16"/>
                <w:szCs w:val="16"/>
                <w:color w:val="auto"/>
              </w:rPr>
              <w:t>Equity Compensation Plans Not</w:t>
            </w:r>
          </w:p>
        </w:tc>
        <w:tc>
          <w:tcPr>
            <w:tcW w:w="2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5"/>
        </w:trPr>
        <w:tc>
          <w:tcPr>
            <w:tcW w:w="2920" w:type="dxa"/>
            <w:vAlign w:val="bottom"/>
          </w:tcPr>
          <w:p>
            <w:pPr>
              <w:ind w:left="60"/>
              <w:spacing w:after="0"/>
              <w:rPr>
                <w:sz w:val="20"/>
                <w:szCs w:val="20"/>
                <w:color w:val="auto"/>
              </w:rPr>
            </w:pPr>
            <w:r>
              <w:rPr>
                <w:rFonts w:ascii="Arial" w:cs="Arial" w:eastAsia="Arial" w:hAnsi="Arial"/>
                <w:sz w:val="16"/>
                <w:szCs w:val="16"/>
                <w:color w:val="auto"/>
              </w:rPr>
              <w:t>Approved by Shareholders</w:t>
            </w:r>
          </w:p>
        </w:tc>
        <w:tc>
          <w:tcPr>
            <w:tcW w:w="2280" w:type="dxa"/>
            <w:vAlign w:val="bottom"/>
          </w:tcPr>
          <w:p>
            <w:pPr>
              <w:jc w:val="right"/>
              <w:ind w:right="425"/>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305"/>
              <w:spacing w:after="0"/>
              <w:rPr>
                <w:sz w:val="20"/>
                <w:szCs w:val="20"/>
                <w:color w:val="auto"/>
              </w:rPr>
            </w:pPr>
            <w:r>
              <w:rPr>
                <w:rFonts w:ascii="Arial" w:cs="Arial" w:eastAsia="Arial" w:hAnsi="Arial"/>
                <w:sz w:val="16"/>
                <w:szCs w:val="16"/>
                <w:color w:val="auto"/>
              </w:rPr>
              <w:t>—</w:t>
            </w:r>
          </w:p>
        </w:tc>
      </w:tr>
      <w:tr>
        <w:trPr>
          <w:trHeight w:val="29"/>
        </w:trPr>
        <w:tc>
          <w:tcPr>
            <w:tcW w:w="2920" w:type="dxa"/>
            <w:vAlign w:val="bottom"/>
            <w:tcBorders>
              <w:bottom w:val="single" w:sz="8" w:color="5D6673"/>
            </w:tcBorders>
          </w:tcPr>
          <w:p>
            <w:pPr>
              <w:spacing w:after="0"/>
              <w:rPr>
                <w:sz w:val="2"/>
                <w:szCs w:val="2"/>
                <w:color w:val="auto"/>
              </w:rPr>
            </w:pPr>
          </w:p>
        </w:tc>
        <w:tc>
          <w:tcPr>
            <w:tcW w:w="2280" w:type="dxa"/>
            <w:vAlign w:val="bottom"/>
            <w:tcBorders>
              <w:bottom w:val="single" w:sz="8" w:color="5D6673"/>
            </w:tcBorders>
          </w:tcPr>
          <w:p>
            <w:pPr>
              <w:spacing w:after="0"/>
              <w:rPr>
                <w:sz w:val="2"/>
                <w:szCs w:val="2"/>
                <w:color w:val="auto"/>
              </w:rPr>
            </w:pPr>
          </w:p>
        </w:tc>
        <w:tc>
          <w:tcPr>
            <w:tcW w:w="1960" w:type="dxa"/>
            <w:vAlign w:val="bottom"/>
            <w:tcBorders>
              <w:bottom w:val="single" w:sz="8" w:color="5D6673"/>
            </w:tcBorders>
          </w:tcPr>
          <w:p>
            <w:pPr>
              <w:spacing w:after="0"/>
              <w:rPr>
                <w:sz w:val="2"/>
                <w:szCs w:val="2"/>
                <w:color w:val="auto"/>
              </w:rPr>
            </w:pPr>
          </w:p>
        </w:tc>
        <w:tc>
          <w:tcPr>
            <w:tcW w:w="2020" w:type="dxa"/>
            <w:vAlign w:val="bottom"/>
            <w:tcBorders>
              <w:bottom w:val="single" w:sz="8" w:color="5D6673"/>
            </w:tcBorders>
          </w:tcPr>
          <w:p>
            <w:pPr>
              <w:spacing w:after="0"/>
              <w:rPr>
                <w:sz w:val="2"/>
                <w:szCs w:val="2"/>
                <w:color w:val="auto"/>
              </w:rPr>
            </w:pPr>
          </w:p>
        </w:tc>
      </w:tr>
      <w:tr>
        <w:trPr>
          <w:trHeight w:val="277"/>
        </w:trPr>
        <w:tc>
          <w:tcPr>
            <w:tcW w:w="2920" w:type="dxa"/>
            <w:vAlign w:val="bottom"/>
            <w:tcBorders>
              <w:bottom w:val="single" w:sz="8" w:color="0063A6"/>
            </w:tcBorders>
          </w:tcPr>
          <w:p>
            <w:pPr>
              <w:ind w:left="60"/>
              <w:spacing w:after="0"/>
              <w:rPr>
                <w:sz w:val="20"/>
                <w:szCs w:val="20"/>
                <w:color w:val="auto"/>
              </w:rPr>
            </w:pPr>
            <w:r>
              <w:rPr>
                <w:rFonts w:ascii="Arial" w:cs="Arial" w:eastAsia="Arial" w:hAnsi="Arial"/>
                <w:sz w:val="16"/>
                <w:szCs w:val="16"/>
                <w:color w:val="auto"/>
              </w:rPr>
              <w:t>Total</w:t>
            </w:r>
          </w:p>
        </w:tc>
        <w:tc>
          <w:tcPr>
            <w:tcW w:w="2280" w:type="dxa"/>
            <w:vAlign w:val="bottom"/>
            <w:tcBorders>
              <w:bottom w:val="single" w:sz="8" w:color="0063A6"/>
            </w:tcBorders>
          </w:tcPr>
          <w:p>
            <w:pPr>
              <w:jc w:val="right"/>
              <w:ind w:right="225"/>
              <w:spacing w:after="0" w:line="277" w:lineRule="exact"/>
              <w:rPr>
                <w:sz w:val="20"/>
                <w:szCs w:val="20"/>
                <w:color w:val="auto"/>
              </w:rPr>
            </w:pPr>
            <w:r>
              <w:rPr>
                <w:rFonts w:ascii="Arial" w:cs="Arial" w:eastAsia="Arial" w:hAnsi="Arial"/>
                <w:sz w:val="16"/>
                <w:szCs w:val="16"/>
                <w:color w:val="auto"/>
              </w:rPr>
              <w:t xml:space="preserve">978,878 </w:t>
            </w:r>
            <w:r>
              <w:rPr>
                <w:rFonts w:ascii="Arial" w:cs="Arial" w:eastAsia="Arial" w:hAnsi="Arial"/>
                <w:sz w:val="26"/>
                <w:szCs w:val="26"/>
                <w:color w:val="auto"/>
                <w:vertAlign w:val="superscript"/>
              </w:rPr>
              <w:t>(1)</w:t>
            </w:r>
          </w:p>
        </w:tc>
        <w:tc>
          <w:tcPr>
            <w:tcW w:w="1960" w:type="dxa"/>
            <w:vAlign w:val="bottom"/>
            <w:tcBorders>
              <w:bottom w:val="single" w:sz="8" w:color="0063A6"/>
            </w:tcBorders>
          </w:tcPr>
          <w:p>
            <w:pPr>
              <w:jc w:val="right"/>
              <w:ind w:right="125"/>
              <w:spacing w:after="0" w:line="277" w:lineRule="exact"/>
              <w:rPr>
                <w:sz w:val="20"/>
                <w:szCs w:val="20"/>
                <w:color w:val="auto"/>
              </w:rPr>
            </w:pPr>
            <w:r>
              <w:rPr>
                <w:rFonts w:ascii="Arial" w:cs="Arial" w:eastAsia="Arial" w:hAnsi="Arial"/>
                <w:sz w:val="16"/>
                <w:szCs w:val="16"/>
                <w:color w:val="auto"/>
              </w:rPr>
              <w:t xml:space="preserve">$75.89 </w:t>
            </w:r>
            <w:r>
              <w:rPr>
                <w:rFonts w:ascii="Arial" w:cs="Arial" w:eastAsia="Arial" w:hAnsi="Arial"/>
                <w:sz w:val="26"/>
                <w:szCs w:val="26"/>
                <w:color w:val="auto"/>
                <w:vertAlign w:val="superscript"/>
              </w:rPr>
              <w:t>(2)</w:t>
            </w:r>
          </w:p>
        </w:tc>
        <w:tc>
          <w:tcPr>
            <w:tcW w:w="2020" w:type="dxa"/>
            <w:vAlign w:val="bottom"/>
            <w:tcBorders>
              <w:bottom w:val="single" w:sz="8" w:color="0063A6"/>
            </w:tcBorders>
          </w:tcPr>
          <w:p>
            <w:pPr>
              <w:jc w:val="right"/>
              <w:ind w:right="85"/>
              <w:spacing w:after="0" w:line="277" w:lineRule="exact"/>
              <w:rPr>
                <w:sz w:val="20"/>
                <w:szCs w:val="20"/>
                <w:color w:val="auto"/>
              </w:rPr>
            </w:pPr>
            <w:r>
              <w:rPr>
                <w:rFonts w:ascii="Arial" w:cs="Arial" w:eastAsia="Arial" w:hAnsi="Arial"/>
                <w:sz w:val="16"/>
                <w:szCs w:val="16"/>
                <w:color w:val="auto"/>
              </w:rPr>
              <w:t xml:space="preserve">4,250,467 </w:t>
            </w:r>
            <w:r>
              <w:rPr>
                <w:rFonts w:ascii="Arial" w:cs="Arial" w:eastAsia="Arial" w:hAnsi="Arial"/>
                <w:sz w:val="26"/>
                <w:szCs w:val="26"/>
                <w:color w:val="auto"/>
                <w:vertAlign w:val="superscript"/>
              </w:rPr>
              <w:t>(3)</w:t>
            </w:r>
          </w:p>
        </w:tc>
      </w:tr>
    </w:tbl>
    <w:p>
      <w:pPr>
        <w:spacing w:after="0" w:line="99" w:lineRule="exact"/>
        <w:rPr>
          <w:sz w:val="20"/>
          <w:szCs w:val="20"/>
          <w:color w:val="auto"/>
        </w:rPr>
      </w:pPr>
    </w:p>
    <w:p>
      <w:pPr>
        <w:ind w:left="346" w:right="400" w:hanging="346"/>
        <w:spacing w:after="0" w:line="263" w:lineRule="auto"/>
        <w:tabs>
          <w:tab w:leader="none" w:pos="3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Under the provisions of the Second A&amp;R 2010 Plan, the Company may grant stock awards, stock units, performance shares, stock appreciation rights, and performance units (collectively Awards) in addition to stock options. For purposes of this table, the number of PRSUs included are determined based on achievement of target performance goals.</w:t>
      </w:r>
    </w:p>
    <w:p>
      <w:pPr>
        <w:spacing w:after="0" w:line="24" w:lineRule="exact"/>
        <w:rPr>
          <w:rFonts w:ascii="Arial" w:cs="Arial" w:eastAsia="Arial" w:hAnsi="Arial"/>
          <w:sz w:val="14"/>
          <w:szCs w:val="14"/>
          <w:color w:val="auto"/>
        </w:rPr>
      </w:pPr>
    </w:p>
    <w:p>
      <w:pPr>
        <w:ind w:left="346" w:hanging="346"/>
        <w:spacing w:after="0"/>
        <w:tabs>
          <w:tab w:leader="none" w:pos="3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weighted-average exercise price pertains only to outstanding options.</w:t>
      </w:r>
    </w:p>
    <w:p>
      <w:pPr>
        <w:spacing w:after="0" w:line="68" w:lineRule="exact"/>
        <w:rPr>
          <w:rFonts w:ascii="Arial" w:cs="Arial" w:eastAsia="Arial" w:hAnsi="Arial"/>
          <w:sz w:val="14"/>
          <w:szCs w:val="14"/>
          <w:color w:val="auto"/>
        </w:rPr>
      </w:pPr>
    </w:p>
    <w:p>
      <w:pPr>
        <w:ind w:left="346" w:right="560" w:hanging="346"/>
        <w:spacing w:after="0" w:line="285" w:lineRule="auto"/>
        <w:tabs>
          <w:tab w:leader="none" w:pos="3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number includes 3,808,654 shares available for issuance under the Second A&amp;R 2010 Plan and 441,813 shares available for issuance under the 2012 Employee Stock Purchase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5" w:name="page66"/>
    <w:bookmarkEnd w:id="6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SECURITY OWNERSHIP OF CERTAIN BENEFICIAL OWNERS AND MANAGEMENT</w:t>
      </w:r>
    </w:p>
    <w:p>
      <w:pPr>
        <w:spacing w:after="0" w:line="25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Directors and Executive Officers</w:t>
      </w:r>
    </w:p>
    <w:p>
      <w:pPr>
        <w:spacing w:after="0" w:line="99" w:lineRule="exact"/>
        <w:rPr>
          <w:sz w:val="20"/>
          <w:szCs w:val="20"/>
          <w:color w:val="auto"/>
        </w:rPr>
      </w:pPr>
    </w:p>
    <w:p>
      <w:pPr>
        <w:ind w:left="6" w:right="160"/>
        <w:spacing w:after="0" w:line="250" w:lineRule="auto"/>
        <w:rPr>
          <w:sz w:val="20"/>
          <w:szCs w:val="20"/>
          <w:color w:val="auto"/>
        </w:rPr>
      </w:pPr>
      <w:r>
        <w:rPr>
          <w:rFonts w:ascii="Arial" w:cs="Arial" w:eastAsia="Arial" w:hAnsi="Arial"/>
          <w:sz w:val="16"/>
          <w:szCs w:val="16"/>
          <w:color w:val="auto"/>
        </w:rPr>
        <w:t>The following table provides information with respect to the beneficial ownership of our common stock as of March 3, 2026 by each of our directors, each of our named executive officers listed in the Summary Compensation Table, and our director nominee, directors, and executive officers as a group. The percentage ownership data is based on 44,319,803 shares of our common stock outstanding as of March 3, 2026. Under SEC rules, beneficial ownership includes shares over that which the indicated beneficial owner exercises voting and/or investment power. Shares of common stock subject to options that are currently exercisable or will become exercisable within 60 days or shares of restricted stock units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 The address of each person named in the table, unless otherwise indicated, is c/o Itron, Inc., 2111 N. Molter Road, Liberty Lake, WA 99019.</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254"/>
        </w:trPr>
        <w:tc>
          <w:tcPr>
            <w:tcW w:w="5760" w:type="dxa"/>
            <w:vAlign w:val="bottom"/>
          </w:tcPr>
          <w:p>
            <w:pPr>
              <w:spacing w:after="0"/>
              <w:rPr>
                <w:sz w:val="22"/>
                <w:szCs w:val="22"/>
                <w:color w:val="auto"/>
              </w:rPr>
            </w:pPr>
          </w:p>
        </w:tc>
        <w:tc>
          <w:tcPr>
            <w:tcW w:w="440" w:type="dxa"/>
            <w:vAlign w:val="bottom"/>
            <w:shd w:val="clear" w:color="auto" w:fill="0063A6"/>
          </w:tcPr>
          <w:p>
            <w:pPr>
              <w:spacing w:after="0"/>
              <w:rPr>
                <w:sz w:val="22"/>
                <w:szCs w:val="22"/>
                <w:color w:val="auto"/>
              </w:rPr>
            </w:pPr>
          </w:p>
        </w:tc>
        <w:tc>
          <w:tcPr>
            <w:tcW w:w="340" w:type="dxa"/>
            <w:vAlign w:val="bottom"/>
            <w:shd w:val="clear" w:color="auto" w:fill="0063A6"/>
          </w:tcPr>
          <w:p>
            <w:pPr>
              <w:spacing w:after="0"/>
              <w:rPr>
                <w:sz w:val="22"/>
                <w:szCs w:val="22"/>
                <w:color w:val="auto"/>
              </w:rPr>
            </w:pPr>
          </w:p>
        </w:tc>
        <w:tc>
          <w:tcPr>
            <w:tcW w:w="2640" w:type="dxa"/>
            <w:vAlign w:val="bottom"/>
            <w:gridSpan w:val="2"/>
            <w:shd w:val="clear" w:color="auto" w:fill="0063A6"/>
          </w:tcPr>
          <w:p>
            <w:pPr>
              <w:jc w:val="right"/>
              <w:ind w:right="620"/>
              <w:spacing w:after="0"/>
              <w:rPr>
                <w:sz w:val="20"/>
                <w:szCs w:val="20"/>
                <w:color w:val="auto"/>
              </w:rPr>
            </w:pPr>
            <w:r>
              <w:rPr>
                <w:rFonts w:ascii="Arial" w:cs="Arial" w:eastAsia="Arial" w:hAnsi="Arial"/>
                <w:sz w:val="14"/>
                <w:szCs w:val="14"/>
                <w:b w:val="1"/>
                <w:bCs w:val="1"/>
                <w:color w:val="FFFFFF"/>
              </w:rPr>
              <w:t>Shares Beneficially Owned</w:t>
            </w:r>
          </w:p>
        </w:tc>
      </w:tr>
      <w:tr>
        <w:trPr>
          <w:trHeight w:val="231"/>
        </w:trPr>
        <w:tc>
          <w:tcPr>
            <w:tcW w:w="576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440" w:type="dxa"/>
            <w:vAlign w:val="bottom"/>
            <w:tcBorders>
              <w:bottom w:val="single" w:sz="8" w:color="0063A6"/>
            </w:tcBorders>
            <w:shd w:val="clear" w:color="auto" w:fill="0063A6"/>
          </w:tcPr>
          <w:p>
            <w:pPr>
              <w:spacing w:after="0"/>
              <w:rPr>
                <w:sz w:val="20"/>
                <w:szCs w:val="20"/>
                <w:color w:val="auto"/>
              </w:rPr>
            </w:pPr>
          </w:p>
        </w:tc>
        <w:tc>
          <w:tcPr>
            <w:tcW w:w="340" w:type="dxa"/>
            <w:vAlign w:val="bottom"/>
            <w:tcBorders>
              <w:bottom w:val="single" w:sz="8" w:color="0063A6"/>
            </w:tcBorders>
            <w:shd w:val="clear" w:color="auto" w:fill="0063A6"/>
          </w:tcPr>
          <w:p>
            <w:pPr>
              <w:spacing w:after="0"/>
              <w:rPr>
                <w:sz w:val="20"/>
                <w:szCs w:val="20"/>
                <w:color w:val="auto"/>
              </w:rPr>
            </w:pPr>
          </w:p>
        </w:tc>
        <w:tc>
          <w:tcPr>
            <w:tcW w:w="1200" w:type="dxa"/>
            <w:vAlign w:val="bottom"/>
            <w:tcBorders>
              <w:bottom w:val="single" w:sz="8" w:color="0063A6"/>
            </w:tcBorders>
            <w:shd w:val="clear" w:color="auto" w:fill="0063A6"/>
          </w:tcPr>
          <w:p>
            <w:pPr>
              <w:jc w:val="right"/>
              <w:ind w:right="582"/>
              <w:spacing w:after="0"/>
              <w:rPr>
                <w:sz w:val="20"/>
                <w:szCs w:val="20"/>
                <w:color w:val="auto"/>
              </w:rPr>
            </w:pPr>
            <w:r>
              <w:rPr>
                <w:rFonts w:ascii="Arial" w:cs="Arial" w:eastAsia="Arial" w:hAnsi="Arial"/>
                <w:sz w:val="14"/>
                <w:szCs w:val="14"/>
                <w:b w:val="1"/>
                <w:bCs w:val="1"/>
                <w:color w:val="FFFFFF"/>
                <w:w w:val="98"/>
              </w:rPr>
              <w:t>Number</w:t>
            </w:r>
          </w:p>
        </w:tc>
        <w:tc>
          <w:tcPr>
            <w:tcW w:w="1440" w:type="dxa"/>
            <w:vAlign w:val="bottom"/>
            <w:tcBorders>
              <w:bottom w:val="single" w:sz="8" w:color="0063A6"/>
            </w:tcBorders>
            <w:shd w:val="clear" w:color="auto" w:fill="0063A6"/>
          </w:tcPr>
          <w:p>
            <w:pPr>
              <w:jc w:val="right"/>
              <w:ind w:right="160"/>
              <w:spacing w:after="0"/>
              <w:rPr>
                <w:sz w:val="20"/>
                <w:szCs w:val="20"/>
                <w:color w:val="auto"/>
              </w:rPr>
            </w:pPr>
            <w:r>
              <w:rPr>
                <w:rFonts w:ascii="Arial" w:cs="Arial" w:eastAsia="Arial" w:hAnsi="Arial"/>
                <w:sz w:val="14"/>
                <w:szCs w:val="14"/>
                <w:b w:val="1"/>
                <w:bCs w:val="1"/>
                <w:color w:val="FFFFFF"/>
              </w:rPr>
              <w:t>Percent</w:t>
            </w:r>
          </w:p>
        </w:tc>
      </w:tr>
      <w:tr>
        <w:trPr>
          <w:trHeight w:val="234"/>
        </w:trPr>
        <w:tc>
          <w:tcPr>
            <w:tcW w:w="620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auto"/>
              </w:rPr>
              <w:t>Directors and Executive Officers:</w:t>
            </w:r>
          </w:p>
        </w:tc>
        <w:tc>
          <w:tcPr>
            <w:tcW w:w="340" w:type="dxa"/>
            <w:vAlign w:val="bottom"/>
            <w:tcBorders>
              <w:bottom w:val="single" w:sz="8" w:color="5D6673"/>
            </w:tcBorders>
          </w:tcPr>
          <w:p>
            <w:pPr>
              <w:spacing w:after="0"/>
              <w:rPr>
                <w:sz w:val="20"/>
                <w:szCs w:val="20"/>
                <w:color w:val="auto"/>
              </w:rPr>
            </w:pPr>
          </w:p>
        </w:tc>
        <w:tc>
          <w:tcPr>
            <w:tcW w:w="1200" w:type="dxa"/>
            <w:vAlign w:val="bottom"/>
            <w:tcBorders>
              <w:bottom w:val="single" w:sz="8" w:color="5D6673"/>
            </w:tcBorders>
          </w:tcPr>
          <w:p>
            <w:pPr>
              <w:spacing w:after="0"/>
              <w:rPr>
                <w:sz w:val="20"/>
                <w:szCs w:val="20"/>
                <w:color w:val="auto"/>
              </w:rPr>
            </w:pPr>
          </w:p>
        </w:tc>
        <w:tc>
          <w:tcPr>
            <w:tcW w:w="1440" w:type="dxa"/>
            <w:vAlign w:val="bottom"/>
            <w:tcBorders>
              <w:bottom w:val="single" w:sz="8" w:color="5D6673"/>
            </w:tcBorders>
          </w:tcPr>
          <w:p>
            <w:pPr>
              <w:spacing w:after="0"/>
              <w:rPr>
                <w:sz w:val="20"/>
                <w:szCs w:val="20"/>
                <w:color w:val="auto"/>
              </w:rPr>
            </w:pPr>
          </w:p>
        </w:tc>
      </w:tr>
      <w:tr>
        <w:trPr>
          <w:trHeight w:val="281"/>
        </w:trPr>
        <w:tc>
          <w:tcPr>
            <w:tcW w:w="6200" w:type="dxa"/>
            <w:vAlign w:val="bottom"/>
            <w:tcBorders>
              <w:bottom w:val="single" w:sz="8" w:color="5D6673"/>
            </w:tcBorders>
            <w:gridSpan w:val="2"/>
          </w:tcPr>
          <w:p>
            <w:pPr>
              <w:ind w:left="60"/>
              <w:spacing w:after="0" w:line="281" w:lineRule="exact"/>
              <w:rPr>
                <w:sz w:val="20"/>
                <w:szCs w:val="20"/>
                <w:color w:val="auto"/>
              </w:rPr>
            </w:pPr>
            <w:r>
              <w:rPr>
                <w:rFonts w:ascii="Arial" w:cs="Arial" w:eastAsia="Arial" w:hAnsi="Arial"/>
                <w:sz w:val="16"/>
                <w:szCs w:val="16"/>
                <w:b w:val="1"/>
                <w:bCs w:val="1"/>
                <w:color w:val="0063A6"/>
              </w:rPr>
              <w:t>Thomas L. Deitrich</w:t>
            </w:r>
            <w:r>
              <w:rPr>
                <w:rFonts w:ascii="Arial" w:cs="Arial" w:eastAsia="Arial" w:hAnsi="Arial"/>
                <w:sz w:val="26"/>
                <w:szCs w:val="26"/>
                <w:b w:val="1"/>
                <w:bCs w:val="1"/>
                <w:color w:val="0063A6"/>
                <w:vertAlign w:val="superscript"/>
              </w:rPr>
              <w:t>(1)</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491,365</w:t>
            </w:r>
          </w:p>
        </w:tc>
        <w:tc>
          <w:tcPr>
            <w:tcW w:w="1440" w:type="dxa"/>
            <w:vAlign w:val="bottom"/>
            <w:tcBorders>
              <w:bottom w:val="single" w:sz="8" w:color="5D6673"/>
            </w:tcBorders>
          </w:tcPr>
          <w:p>
            <w:pPr>
              <w:ind w:left="720"/>
              <w:spacing w:after="0"/>
              <w:rPr>
                <w:sz w:val="20"/>
                <w:szCs w:val="20"/>
                <w:color w:val="auto"/>
              </w:rPr>
            </w:pPr>
            <w:r>
              <w:rPr>
                <w:rFonts w:ascii="Arial" w:cs="Arial" w:eastAsia="Arial" w:hAnsi="Arial"/>
                <w:sz w:val="16"/>
                <w:szCs w:val="16"/>
                <w:color w:val="auto"/>
              </w:rPr>
              <w:t>1​.11</w:t>
            </w:r>
          </w:p>
        </w:tc>
      </w:tr>
      <w:tr>
        <w:trPr>
          <w:trHeight w:val="277"/>
        </w:trPr>
        <w:tc>
          <w:tcPr>
            <w:tcW w:w="620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Joan S. Hooper</w:t>
            </w:r>
            <w:r>
              <w:rPr>
                <w:rFonts w:ascii="Arial" w:cs="Arial" w:eastAsia="Arial" w:hAnsi="Arial"/>
                <w:sz w:val="26"/>
                <w:szCs w:val="26"/>
                <w:b w:val="1"/>
                <w:bCs w:val="1"/>
                <w:color w:val="0063A6"/>
                <w:vertAlign w:val="superscript"/>
              </w:rPr>
              <w:t>(2)</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132,464</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33"/>
        </w:trPr>
        <w:tc>
          <w:tcPr>
            <w:tcW w:w="620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Donald L. Reeves</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16,714</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37"/>
        </w:trPr>
        <w:tc>
          <w:tcPr>
            <w:tcW w:w="620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John F. Marcolini</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11,930</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81"/>
        </w:trPr>
        <w:tc>
          <w:tcPr>
            <w:tcW w:w="6200" w:type="dxa"/>
            <w:vAlign w:val="bottom"/>
            <w:tcBorders>
              <w:bottom w:val="single" w:sz="8" w:color="5D6673"/>
            </w:tcBorders>
            <w:gridSpan w:val="2"/>
          </w:tcPr>
          <w:p>
            <w:pPr>
              <w:ind w:left="60"/>
              <w:spacing w:after="0" w:line="281" w:lineRule="exact"/>
              <w:rPr>
                <w:sz w:val="20"/>
                <w:szCs w:val="20"/>
                <w:color w:val="auto"/>
              </w:rPr>
            </w:pPr>
            <w:r>
              <w:rPr>
                <w:rFonts w:ascii="Arial" w:cs="Arial" w:eastAsia="Arial" w:hAnsi="Arial"/>
                <w:sz w:val="16"/>
                <w:szCs w:val="16"/>
                <w:b w:val="1"/>
                <w:bCs w:val="1"/>
                <w:color w:val="0063A6"/>
              </w:rPr>
              <w:t>Justin K. Patrick</w:t>
            </w:r>
            <w:r>
              <w:rPr>
                <w:rFonts w:ascii="Arial" w:cs="Arial" w:eastAsia="Arial" w:hAnsi="Arial"/>
                <w:sz w:val="26"/>
                <w:szCs w:val="26"/>
                <w:b w:val="1"/>
                <w:bCs w:val="1"/>
                <w:color w:val="0063A6"/>
                <w:vertAlign w:val="superscript"/>
              </w:rPr>
              <w:t>(3)</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23,391</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77"/>
        </w:trPr>
        <w:tc>
          <w:tcPr>
            <w:tcW w:w="620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Scott D. Drury</w:t>
            </w:r>
            <w:r>
              <w:rPr>
                <w:rFonts w:ascii="Arial" w:cs="Arial" w:eastAsia="Arial" w:hAnsi="Arial"/>
                <w:sz w:val="26"/>
                <w:szCs w:val="26"/>
                <w:b w:val="1"/>
                <w:bCs w:val="1"/>
                <w:color w:val="0063A6"/>
                <w:vertAlign w:val="superscript"/>
              </w:rPr>
              <w:t>(4)</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jc w:val="right"/>
              <w:ind w:right="582"/>
              <w:spacing w:after="0"/>
              <w:rPr>
                <w:sz w:val="20"/>
                <w:szCs w:val="20"/>
                <w:color w:val="auto"/>
              </w:rPr>
            </w:pPr>
            <w:r>
              <w:rPr>
                <w:rFonts w:ascii="Arial" w:cs="Arial" w:eastAsia="Arial" w:hAnsi="Arial"/>
                <w:sz w:val="16"/>
                <w:szCs w:val="16"/>
                <w:color w:val="auto"/>
              </w:rPr>
              <w:t>1,143</w:t>
            </w:r>
          </w:p>
        </w:tc>
        <w:tc>
          <w:tcPr>
            <w:tcW w:w="1440" w:type="dxa"/>
            <w:vAlign w:val="bottom"/>
            <w:tcBorders>
              <w:bottom w:val="single" w:sz="8" w:color="5D6673"/>
            </w:tcBorders>
          </w:tcPr>
          <w:p>
            <w:pPr>
              <w:spacing w:after="0"/>
              <w:rPr>
                <w:sz w:val="24"/>
                <w:szCs w:val="24"/>
                <w:color w:val="auto"/>
              </w:rPr>
            </w:pPr>
          </w:p>
        </w:tc>
      </w:tr>
      <w:tr>
        <w:trPr>
          <w:trHeight w:val="277"/>
        </w:trPr>
        <w:tc>
          <w:tcPr>
            <w:tcW w:w="6200" w:type="dxa"/>
            <w:vAlign w:val="bottom"/>
            <w:tcBorders>
              <w:bottom w:val="single" w:sz="8" w:color="5D6673"/>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Frank M. Jaehnert</w:t>
            </w:r>
            <w:r>
              <w:rPr>
                <w:rFonts w:ascii="Arial" w:cs="Arial" w:eastAsia="Arial" w:hAnsi="Arial"/>
                <w:sz w:val="26"/>
                <w:szCs w:val="26"/>
                <w:b w:val="1"/>
                <w:bCs w:val="1"/>
                <w:color w:val="0063A6"/>
                <w:vertAlign w:val="superscript"/>
              </w:rPr>
              <w:t>(5)</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21,917</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33"/>
        </w:trPr>
        <w:tc>
          <w:tcPr>
            <w:tcW w:w="620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Jerome J. Lande</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jc w:val="right"/>
              <w:ind w:right="582"/>
              <w:spacing w:after="0"/>
              <w:rPr>
                <w:sz w:val="20"/>
                <w:szCs w:val="20"/>
                <w:color w:val="auto"/>
              </w:rPr>
            </w:pPr>
            <w:r>
              <w:rPr>
                <w:rFonts w:ascii="Arial" w:cs="Arial" w:eastAsia="Arial" w:hAnsi="Arial"/>
                <w:sz w:val="16"/>
                <w:szCs w:val="16"/>
                <w:color w:val="auto"/>
              </w:rPr>
              <w:t>6,505</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81"/>
        </w:trPr>
        <w:tc>
          <w:tcPr>
            <w:tcW w:w="6200" w:type="dxa"/>
            <w:vAlign w:val="bottom"/>
            <w:tcBorders>
              <w:bottom w:val="single" w:sz="8" w:color="5D6673"/>
            </w:tcBorders>
            <w:gridSpan w:val="2"/>
          </w:tcPr>
          <w:p>
            <w:pPr>
              <w:ind w:left="60"/>
              <w:spacing w:after="0" w:line="281" w:lineRule="exact"/>
              <w:rPr>
                <w:sz w:val="20"/>
                <w:szCs w:val="20"/>
                <w:color w:val="auto"/>
              </w:rPr>
            </w:pPr>
            <w:r>
              <w:rPr>
                <w:rFonts w:ascii="Arial" w:cs="Arial" w:eastAsia="Arial" w:hAnsi="Arial"/>
                <w:sz w:val="16"/>
                <w:szCs w:val="16"/>
                <w:b w:val="1"/>
                <w:bCs w:val="1"/>
                <w:color w:val="0063A6"/>
              </w:rPr>
              <w:t>Timothy M. Leyden</w:t>
            </w:r>
            <w:r>
              <w:rPr>
                <w:rFonts w:ascii="Arial" w:cs="Arial" w:eastAsia="Arial" w:hAnsi="Arial"/>
                <w:sz w:val="26"/>
                <w:szCs w:val="26"/>
                <w:b w:val="1"/>
                <w:bCs w:val="1"/>
                <w:color w:val="0063A6"/>
                <w:vertAlign w:val="superscript"/>
              </w:rPr>
              <w:t>(6)</w:t>
            </w:r>
          </w:p>
        </w:tc>
        <w:tc>
          <w:tcPr>
            <w:tcW w:w="340" w:type="dxa"/>
            <w:vAlign w:val="bottom"/>
            <w:tcBorders>
              <w:bottom w:val="single" w:sz="8" w:color="5D6673"/>
            </w:tcBorders>
          </w:tcPr>
          <w:p>
            <w:pPr>
              <w:spacing w:after="0"/>
              <w:rPr>
                <w:sz w:val="24"/>
                <w:szCs w:val="24"/>
                <w:color w:val="auto"/>
              </w:rPr>
            </w:pPr>
          </w:p>
        </w:tc>
        <w:tc>
          <w:tcPr>
            <w:tcW w:w="1200" w:type="dxa"/>
            <w:vAlign w:val="bottom"/>
            <w:tcBorders>
              <w:bottom w:val="single" w:sz="8" w:color="5D6673"/>
            </w:tcBorders>
          </w:tcPr>
          <w:p>
            <w:pPr>
              <w:jc w:val="right"/>
              <w:ind w:right="602"/>
              <w:spacing w:after="0"/>
              <w:rPr>
                <w:sz w:val="20"/>
                <w:szCs w:val="20"/>
                <w:color w:val="auto"/>
              </w:rPr>
            </w:pPr>
            <w:r>
              <w:rPr>
                <w:rFonts w:ascii="Arial" w:cs="Arial" w:eastAsia="Arial" w:hAnsi="Arial"/>
                <w:sz w:val="16"/>
                <w:szCs w:val="16"/>
                <w:color w:val="auto"/>
              </w:rPr>
              <w:t>15,773</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33"/>
        </w:trPr>
        <w:tc>
          <w:tcPr>
            <w:tcW w:w="620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Sanjay Mirchandani</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jc w:val="right"/>
              <w:ind w:right="582"/>
              <w:spacing w:after="0"/>
              <w:rPr>
                <w:sz w:val="20"/>
                <w:szCs w:val="20"/>
                <w:color w:val="auto"/>
              </w:rPr>
            </w:pPr>
            <w:r>
              <w:rPr>
                <w:rFonts w:ascii="Arial" w:cs="Arial" w:eastAsia="Arial" w:hAnsi="Arial"/>
                <w:sz w:val="16"/>
                <w:szCs w:val="16"/>
                <w:color w:val="auto"/>
              </w:rPr>
              <w:t>5,623</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36"/>
        </w:trPr>
        <w:tc>
          <w:tcPr>
            <w:tcW w:w="620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Santiago Perez</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11,318</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37"/>
        </w:trPr>
        <w:tc>
          <w:tcPr>
            <w:tcW w:w="620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Sheri L. Savage</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jc w:val="right"/>
              <w:ind w:right="582"/>
              <w:spacing w:after="0"/>
              <w:rPr>
                <w:sz w:val="20"/>
                <w:szCs w:val="20"/>
                <w:color w:val="auto"/>
              </w:rPr>
            </w:pPr>
            <w:r>
              <w:rPr>
                <w:rFonts w:ascii="Arial" w:cs="Arial" w:eastAsia="Arial" w:hAnsi="Arial"/>
                <w:sz w:val="16"/>
                <w:szCs w:val="16"/>
                <w:color w:val="auto"/>
              </w:rPr>
              <w:t>1,186</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36"/>
        </w:trPr>
        <w:tc>
          <w:tcPr>
            <w:tcW w:w="620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Diana D. Tremblay</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23,244</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67"/>
        </w:trPr>
        <w:tc>
          <w:tcPr>
            <w:tcW w:w="6200" w:type="dxa"/>
            <w:vAlign w:val="bottom"/>
            <w:tcBorders>
              <w:bottom w:val="single" w:sz="8" w:color="0063A6"/>
            </w:tcBorders>
            <w:gridSpan w:val="2"/>
          </w:tcPr>
          <w:p>
            <w:pPr>
              <w:ind w:left="60"/>
              <w:spacing w:after="0" w:line="267" w:lineRule="exact"/>
              <w:rPr>
                <w:sz w:val="20"/>
                <w:szCs w:val="20"/>
                <w:color w:val="auto"/>
              </w:rPr>
            </w:pPr>
            <w:r>
              <w:rPr>
                <w:rFonts w:ascii="Arial" w:cs="Arial" w:eastAsia="Arial" w:hAnsi="Arial"/>
                <w:sz w:val="16"/>
                <w:szCs w:val="16"/>
                <w:b w:val="1"/>
                <w:bCs w:val="1"/>
                <w:color w:val="0063A6"/>
              </w:rPr>
              <w:t>All directors and executive officers as a group (16 persons)</w:t>
            </w:r>
            <w:r>
              <w:rPr>
                <w:rFonts w:ascii="Arial" w:cs="Arial" w:eastAsia="Arial" w:hAnsi="Arial"/>
                <w:sz w:val="26"/>
                <w:szCs w:val="26"/>
                <w:b w:val="1"/>
                <w:bCs w:val="1"/>
                <w:color w:val="0063A6"/>
                <w:vertAlign w:val="superscript"/>
              </w:rPr>
              <w:t>(7)</w:t>
            </w:r>
          </w:p>
        </w:tc>
        <w:tc>
          <w:tcPr>
            <w:tcW w:w="1540" w:type="dxa"/>
            <w:vAlign w:val="bottom"/>
            <w:tcBorders>
              <w:bottom w:val="single" w:sz="8" w:color="0063A6"/>
            </w:tcBorders>
            <w:gridSpan w:val="2"/>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789,171</w:t>
            </w:r>
          </w:p>
        </w:tc>
        <w:tc>
          <w:tcPr>
            <w:tcW w:w="1440" w:type="dxa"/>
            <w:vAlign w:val="bottom"/>
            <w:tcBorders>
              <w:bottom w:val="single" w:sz="8" w:color="0063A6"/>
            </w:tcBorders>
          </w:tcPr>
          <w:p>
            <w:pPr>
              <w:ind w:left="720"/>
              <w:spacing w:after="0"/>
              <w:rPr>
                <w:sz w:val="20"/>
                <w:szCs w:val="20"/>
                <w:color w:val="auto"/>
              </w:rPr>
            </w:pPr>
            <w:r>
              <w:rPr>
                <w:rFonts w:ascii="Arial" w:cs="Arial" w:eastAsia="Arial" w:hAnsi="Arial"/>
                <w:sz w:val="16"/>
                <w:szCs w:val="16"/>
                <w:color w:val="auto"/>
              </w:rPr>
              <w:t>1​.77%</w:t>
            </w:r>
          </w:p>
        </w:tc>
      </w:tr>
    </w:tbl>
    <w:p>
      <w:pPr>
        <w:spacing w:after="0" w:line="99" w:lineRule="exact"/>
        <w:rPr>
          <w:sz w:val="20"/>
          <w:szCs w:val="20"/>
          <w:color w:val="auto"/>
        </w:rPr>
      </w:pPr>
    </w:p>
    <w:p>
      <w:pPr>
        <w:ind w:left="346" w:hanging="346"/>
        <w:spacing w:after="0"/>
        <w:tabs>
          <w:tab w:leader="none" w:pos="346" w:val="left"/>
        </w:tabs>
        <w:numPr>
          <w:ilvl w:val="0"/>
          <w:numId w:val="5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sz w:val="20"/>
          <w:szCs w:val="20"/>
          <w:color w:val="auto"/>
        </w:rPr>
      </w:pPr>
    </w:p>
    <w:p>
      <w:pPr>
        <w:ind w:left="346" w:right="480" w:hanging="346"/>
        <w:spacing w:after="0" w:line="281" w:lineRule="auto"/>
        <w:tabs>
          <w:tab w:leader="none" w:pos="346"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Mr. Deitrich, includes 147,223 shares issuable on exercise of outstanding options exercisable within 60 days and 25,000 shares indirectly held in trust for the benefit of Mr. Deitrich’s son, of which Mr. Deitrich is a trustee.</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Ms. Hooper, includes 33,268 shares issuable on exercise of outstanding options exercisable within 60 days.</w:t>
      </w:r>
    </w:p>
    <w:p>
      <w:pPr>
        <w:spacing w:after="0" w:line="55" w:lineRule="exact"/>
        <w:rPr>
          <w:rFonts w:ascii="Arial" w:cs="Arial" w:eastAsia="Arial" w:hAnsi="Arial"/>
          <w:sz w:val="14"/>
          <w:szCs w:val="14"/>
          <w:color w:val="auto"/>
        </w:rPr>
      </w:pPr>
    </w:p>
    <w:p>
      <w:pPr>
        <w:ind w:left="346" w:hanging="346"/>
        <w:spacing w:after="0"/>
        <w:tabs>
          <w:tab w:leader="none" w:pos="346"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Mr. Patrick, includes 3,274 shares issuable on exercise of outstanding options exercisable within 60 days.</w:t>
      </w:r>
    </w:p>
    <w:p>
      <w:pPr>
        <w:spacing w:after="0" w:line="55" w:lineRule="exact"/>
        <w:rPr>
          <w:rFonts w:ascii="Arial" w:cs="Arial" w:eastAsia="Arial" w:hAnsi="Arial"/>
          <w:sz w:val="14"/>
          <w:szCs w:val="14"/>
          <w:color w:val="auto"/>
        </w:rPr>
      </w:pPr>
    </w:p>
    <w:p>
      <w:pPr>
        <w:ind w:left="346" w:hanging="346"/>
        <w:spacing w:after="0"/>
        <w:tabs>
          <w:tab w:leader="none" w:pos="346"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Mr. Drury, includes 555 shares of which Mr. Drury has deferred receipt of pursuant to Itron’s Executive Deferred Compensation Plan.</w:t>
      </w:r>
    </w:p>
    <w:p>
      <w:pPr>
        <w:spacing w:after="0" w:line="55" w:lineRule="exact"/>
        <w:rPr>
          <w:rFonts w:ascii="Arial" w:cs="Arial" w:eastAsia="Arial" w:hAnsi="Arial"/>
          <w:sz w:val="14"/>
          <w:szCs w:val="14"/>
          <w:color w:val="auto"/>
        </w:rPr>
      </w:pPr>
    </w:p>
    <w:p>
      <w:pPr>
        <w:ind w:left="346" w:right="880" w:hanging="346"/>
        <w:spacing w:after="0" w:line="281" w:lineRule="auto"/>
        <w:tabs>
          <w:tab w:leader="none" w:pos="346"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Mr. Jaehnert, includes 15,504 shares of which Mr. Jaehnert has deferred receipt of pursuant to Itron’s Executive Deferred Compensation Plan.</w:t>
      </w:r>
    </w:p>
    <w:p>
      <w:pPr>
        <w:spacing w:after="0" w:line="1" w:lineRule="exact"/>
        <w:rPr>
          <w:rFonts w:ascii="Arial" w:cs="Arial" w:eastAsia="Arial" w:hAnsi="Arial"/>
          <w:sz w:val="14"/>
          <w:szCs w:val="14"/>
          <w:color w:val="auto"/>
        </w:rPr>
      </w:pPr>
    </w:p>
    <w:p>
      <w:pPr>
        <w:ind w:left="346" w:right="160" w:hanging="346"/>
        <w:spacing w:after="0" w:line="285" w:lineRule="auto"/>
        <w:tabs>
          <w:tab w:leader="none" w:pos="346"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Mr. Leyden, includes 1,592 shares of which Mr. Leyden has deferred receipt of pursuant to Itron’s Executive Deferred Compensation Plan.</w:t>
      </w:r>
    </w:p>
    <w:p>
      <w:pPr>
        <w:spacing w:after="0" w:line="9" w:lineRule="exact"/>
        <w:rPr>
          <w:rFonts w:ascii="Arial" w:cs="Arial" w:eastAsia="Arial" w:hAnsi="Arial"/>
          <w:sz w:val="14"/>
          <w:szCs w:val="14"/>
          <w:color w:val="auto"/>
        </w:rPr>
      </w:pPr>
    </w:p>
    <w:p>
      <w:pPr>
        <w:ind w:left="346" w:right="220" w:hanging="346"/>
        <w:spacing w:after="0" w:line="263" w:lineRule="auto"/>
        <w:tabs>
          <w:tab w:leader="none" w:pos="346"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183,765 shares issuable on exercise of outstanding options that are held by all current directors and executive officers and are exercisable within 60 days and 17,651 shares of which certain directors have deferred receipt pursuant to Itron's Executive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8293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3"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62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6" w:name="page67"/>
    <w:bookmarkEnd w:id="6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SECURITY OWNERSHIP OF CERTAIN BENEFICIAL OWNERS AND MANAGEMENT</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Principal Shareholders</w:t>
      </w:r>
    </w:p>
    <w:p>
      <w:pPr>
        <w:spacing w:after="0" w:line="85"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color w:val="auto"/>
        </w:rPr>
        <w:t>The following table provides information with respect to the beneficial ownership of our common stock as of March 3, 2026 by each person that we know beneficially owns more than five percent (5%) of our common stock. We have based percentage ownership of our common stock 44,319,803 shares of our common stock outstanding as of the measurement date.</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6780" w:type="dxa"/>
            <w:vAlign w:val="bottom"/>
          </w:tcPr>
          <w:p>
            <w:pPr>
              <w:spacing w:after="0"/>
              <w:rPr>
                <w:sz w:val="19"/>
                <w:szCs w:val="19"/>
                <w:color w:val="auto"/>
              </w:rPr>
            </w:pPr>
          </w:p>
        </w:tc>
        <w:tc>
          <w:tcPr>
            <w:tcW w:w="2400" w:type="dxa"/>
            <w:vAlign w:val="bottom"/>
            <w:gridSpan w:val="2"/>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of Common Stock</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2400" w:type="dxa"/>
            <w:vAlign w:val="bottom"/>
            <w:gridSpan w:val="2"/>
            <w:shd w:val="clear" w:color="auto" w:fill="0063A6"/>
          </w:tcPr>
          <w:p>
            <w:pPr>
              <w:jc w:val="center"/>
              <w:spacing w:after="0"/>
              <w:rPr>
                <w:sz w:val="20"/>
                <w:szCs w:val="20"/>
                <w:color w:val="auto"/>
              </w:rPr>
            </w:pPr>
            <w:r>
              <w:rPr>
                <w:rFonts w:ascii="Arial" w:cs="Arial" w:eastAsia="Arial" w:hAnsi="Arial"/>
                <w:sz w:val="14"/>
                <w:szCs w:val="14"/>
                <w:b w:val="1"/>
                <w:bCs w:val="1"/>
                <w:color w:val="FFFFFF"/>
              </w:rPr>
              <w:t>Beneficially Owned</w:t>
            </w:r>
          </w:p>
        </w:tc>
        <w:tc>
          <w:tcPr>
            <w:tcW w:w="0" w:type="dxa"/>
            <w:vAlign w:val="bottom"/>
          </w:tcPr>
          <w:p>
            <w:pPr>
              <w:spacing w:after="0"/>
              <w:rPr>
                <w:sz w:val="1"/>
                <w:szCs w:val="1"/>
                <w:color w:val="auto"/>
              </w:rPr>
            </w:pPr>
          </w:p>
        </w:tc>
      </w:tr>
      <w:tr>
        <w:trPr>
          <w:trHeight w:val="245"/>
        </w:trPr>
        <w:tc>
          <w:tcPr>
            <w:tcW w:w="678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 and Address</w:t>
            </w:r>
          </w:p>
        </w:tc>
        <w:tc>
          <w:tcPr>
            <w:tcW w:w="1420" w:type="dxa"/>
            <w:vAlign w:val="bottom"/>
            <w:tcBorders>
              <w:bottom w:val="single" w:sz="8" w:color="0063A6"/>
            </w:tcBorders>
            <w:shd w:val="clear" w:color="auto" w:fill="0063A6"/>
          </w:tcPr>
          <w:p>
            <w:pPr>
              <w:jc w:val="right"/>
              <w:ind w:right="224"/>
              <w:spacing w:after="0"/>
              <w:rPr>
                <w:sz w:val="20"/>
                <w:szCs w:val="20"/>
                <w:color w:val="auto"/>
              </w:rPr>
            </w:pPr>
            <w:r>
              <w:rPr>
                <w:rFonts w:ascii="Arial" w:cs="Arial" w:eastAsia="Arial" w:hAnsi="Arial"/>
                <w:sz w:val="14"/>
                <w:szCs w:val="14"/>
                <w:b w:val="1"/>
                <w:bCs w:val="1"/>
                <w:color w:val="FFFFFF"/>
              </w:rPr>
              <w:t>Number</w:t>
            </w:r>
          </w:p>
        </w:tc>
        <w:tc>
          <w:tcPr>
            <w:tcW w:w="980" w:type="dxa"/>
            <w:vAlign w:val="bottom"/>
            <w:tcBorders>
              <w:bottom w:val="single" w:sz="8" w:color="0063A6"/>
            </w:tcBorders>
            <w:shd w:val="clear" w:color="auto" w:fill="0063A6"/>
          </w:tcPr>
          <w:p>
            <w:pPr>
              <w:ind w:left="340"/>
              <w:spacing w:after="0"/>
              <w:rPr>
                <w:sz w:val="20"/>
                <w:szCs w:val="20"/>
                <w:color w:val="auto"/>
              </w:rPr>
            </w:pPr>
            <w:r>
              <w:rPr>
                <w:rFonts w:ascii="Arial" w:cs="Arial" w:eastAsia="Arial" w:hAnsi="Arial"/>
                <w:sz w:val="14"/>
                <w:szCs w:val="14"/>
                <w:b w:val="1"/>
                <w:bCs w:val="1"/>
                <w:color w:val="FFFFFF"/>
              </w:rPr>
              <w:t>Percent</w:t>
            </w:r>
          </w:p>
        </w:tc>
        <w:tc>
          <w:tcPr>
            <w:tcW w:w="0" w:type="dxa"/>
            <w:vAlign w:val="bottom"/>
          </w:tcPr>
          <w:p>
            <w:pPr>
              <w:spacing w:after="0"/>
              <w:rPr>
                <w:sz w:val="1"/>
                <w:szCs w:val="1"/>
                <w:color w:val="auto"/>
              </w:rPr>
            </w:pPr>
          </w:p>
        </w:tc>
      </w:tr>
      <w:tr>
        <w:trPr>
          <w:trHeight w:val="222"/>
        </w:trPr>
        <w:tc>
          <w:tcPr>
            <w:tcW w:w="6780" w:type="dxa"/>
            <w:vAlign w:val="bottom"/>
          </w:tcPr>
          <w:p>
            <w:pPr>
              <w:ind w:left="60"/>
              <w:spacing w:after="0" w:line="222" w:lineRule="exact"/>
              <w:rPr>
                <w:sz w:val="20"/>
                <w:szCs w:val="20"/>
                <w:color w:val="auto"/>
              </w:rPr>
            </w:pPr>
            <w:r>
              <w:rPr>
                <w:rFonts w:ascii="Arial" w:cs="Arial" w:eastAsia="Arial" w:hAnsi="Arial"/>
                <w:sz w:val="16"/>
                <w:szCs w:val="16"/>
                <w:color w:val="auto"/>
              </w:rPr>
              <w:t>BlackRock, Inc.</w:t>
            </w:r>
            <w:r>
              <w:rPr>
                <w:rFonts w:ascii="Arial" w:cs="Arial" w:eastAsia="Arial" w:hAnsi="Arial"/>
                <w:sz w:val="25"/>
                <w:szCs w:val="25"/>
                <w:color w:val="auto"/>
                <w:vertAlign w:val="superscript"/>
              </w:rPr>
              <w:t>(1)</w:t>
            </w:r>
          </w:p>
        </w:tc>
        <w:tc>
          <w:tcPr>
            <w:tcW w:w="1420" w:type="dxa"/>
            <w:vAlign w:val="bottom"/>
          </w:tcPr>
          <w:p>
            <w:pPr>
              <w:jc w:val="right"/>
              <w:ind w:right="224"/>
              <w:spacing w:after="0"/>
              <w:rPr>
                <w:sz w:val="20"/>
                <w:szCs w:val="20"/>
                <w:color w:val="auto"/>
              </w:rPr>
            </w:pPr>
            <w:r>
              <w:rPr>
                <w:rFonts w:ascii="Arial" w:cs="Arial" w:eastAsia="Arial" w:hAnsi="Arial"/>
                <w:sz w:val="16"/>
                <w:szCs w:val="16"/>
                <w:color w:val="auto"/>
              </w:rPr>
              <w:t>6,915,998</w:t>
            </w:r>
          </w:p>
        </w:tc>
        <w:tc>
          <w:tcPr>
            <w:tcW w:w="980" w:type="dxa"/>
            <w:vAlign w:val="bottom"/>
          </w:tcPr>
          <w:p>
            <w:pPr>
              <w:ind w:left="300"/>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50 Hudson Yards</w:t>
            </w: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5D6673"/>
            </w:tcBorders>
          </w:tcPr>
          <w:p>
            <w:pPr>
              <w:ind w:left="240"/>
              <w:spacing w:after="0"/>
              <w:rPr>
                <w:sz w:val="20"/>
                <w:szCs w:val="20"/>
                <w:color w:val="auto"/>
              </w:rPr>
            </w:pPr>
            <w:r>
              <w:rPr>
                <w:rFonts w:ascii="Arial" w:cs="Arial" w:eastAsia="Arial" w:hAnsi="Arial"/>
                <w:sz w:val="16"/>
                <w:szCs w:val="16"/>
                <w:color w:val="auto"/>
              </w:rPr>
              <w:t>New York, NY 10001</w:t>
            </w:r>
          </w:p>
        </w:tc>
        <w:tc>
          <w:tcPr>
            <w:tcW w:w="1420" w:type="dxa"/>
            <w:vAlign w:val="bottom"/>
            <w:tcBorders>
              <w:bottom w:val="single" w:sz="8" w:color="5D6673"/>
            </w:tcBorders>
          </w:tcPr>
          <w:p>
            <w:pPr>
              <w:spacing w:after="0"/>
              <w:rPr>
                <w:sz w:val="18"/>
                <w:szCs w:val="18"/>
                <w:color w:val="auto"/>
              </w:rPr>
            </w:pPr>
          </w:p>
        </w:tc>
        <w:tc>
          <w:tcPr>
            <w:tcW w:w="980" w:type="dxa"/>
            <w:vAlign w:val="bottom"/>
            <w:tcBorders>
              <w:bottom w:val="single" w:sz="8" w:color="5D6673"/>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60"/>
              <w:spacing w:after="0" w:line="237" w:lineRule="exact"/>
              <w:rPr>
                <w:sz w:val="20"/>
                <w:szCs w:val="20"/>
                <w:color w:val="auto"/>
              </w:rPr>
            </w:pPr>
            <w:r>
              <w:rPr>
                <w:rFonts w:ascii="Arial" w:cs="Arial" w:eastAsia="Arial" w:hAnsi="Arial"/>
                <w:sz w:val="16"/>
                <w:szCs w:val="16"/>
                <w:color w:val="auto"/>
              </w:rPr>
              <w:t>Vanguard Group</w:t>
            </w:r>
            <w:r>
              <w:rPr>
                <w:rFonts w:ascii="Arial" w:cs="Arial" w:eastAsia="Arial" w:hAnsi="Arial"/>
                <w:sz w:val="26"/>
                <w:szCs w:val="26"/>
                <w:color w:val="auto"/>
                <w:vertAlign w:val="superscript"/>
              </w:rPr>
              <w:t>(2)</w:t>
            </w:r>
          </w:p>
        </w:tc>
        <w:tc>
          <w:tcPr>
            <w:tcW w:w="1420" w:type="dxa"/>
            <w:vAlign w:val="bottom"/>
            <w:vMerge w:val="restart"/>
          </w:tcPr>
          <w:p>
            <w:pPr>
              <w:jc w:val="right"/>
              <w:ind w:right="224"/>
              <w:spacing w:after="0"/>
              <w:rPr>
                <w:sz w:val="20"/>
                <w:szCs w:val="20"/>
                <w:color w:val="auto"/>
              </w:rPr>
            </w:pPr>
            <w:r>
              <w:rPr>
                <w:rFonts w:ascii="Arial" w:cs="Arial" w:eastAsia="Arial" w:hAnsi="Arial"/>
                <w:sz w:val="16"/>
                <w:szCs w:val="16"/>
                <w:color w:val="auto"/>
              </w:rPr>
              <w:t>5,655,428</w:t>
            </w:r>
          </w:p>
        </w:tc>
        <w:tc>
          <w:tcPr>
            <w:tcW w:w="980" w:type="dxa"/>
            <w:vAlign w:val="bottom"/>
            <w:vMerge w:val="restart"/>
          </w:tcPr>
          <w:p>
            <w:pPr>
              <w:ind w:left="300"/>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100 Vanguard Blvd.</w:t>
            </w:r>
          </w:p>
        </w:tc>
        <w:tc>
          <w:tcPr>
            <w:tcW w:w="14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5D6673"/>
            </w:tcBorders>
          </w:tcPr>
          <w:p>
            <w:pPr>
              <w:ind w:left="240"/>
              <w:spacing w:after="0"/>
              <w:rPr>
                <w:sz w:val="20"/>
                <w:szCs w:val="20"/>
                <w:color w:val="auto"/>
              </w:rPr>
            </w:pPr>
            <w:r>
              <w:rPr>
                <w:rFonts w:ascii="Arial" w:cs="Arial" w:eastAsia="Arial" w:hAnsi="Arial"/>
                <w:sz w:val="16"/>
                <w:szCs w:val="16"/>
                <w:color w:val="auto"/>
              </w:rPr>
              <w:t>Malvern, PA 19355</w:t>
            </w:r>
          </w:p>
        </w:tc>
        <w:tc>
          <w:tcPr>
            <w:tcW w:w="1420" w:type="dxa"/>
            <w:vAlign w:val="bottom"/>
            <w:tcBorders>
              <w:bottom w:val="single" w:sz="8" w:color="5D6673"/>
            </w:tcBorders>
          </w:tcPr>
          <w:p>
            <w:pPr>
              <w:spacing w:after="0"/>
              <w:rPr>
                <w:sz w:val="18"/>
                <w:szCs w:val="18"/>
                <w:color w:val="auto"/>
              </w:rPr>
            </w:pPr>
          </w:p>
        </w:tc>
        <w:tc>
          <w:tcPr>
            <w:tcW w:w="980" w:type="dxa"/>
            <w:vAlign w:val="bottom"/>
            <w:tcBorders>
              <w:bottom w:val="single" w:sz="8" w:color="5D6673"/>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60"/>
              <w:spacing w:after="0" w:line="237" w:lineRule="exact"/>
              <w:rPr>
                <w:sz w:val="20"/>
                <w:szCs w:val="20"/>
                <w:color w:val="auto"/>
              </w:rPr>
            </w:pPr>
            <w:r>
              <w:rPr>
                <w:rFonts w:ascii="Arial" w:cs="Arial" w:eastAsia="Arial" w:hAnsi="Arial"/>
                <w:sz w:val="16"/>
                <w:szCs w:val="16"/>
                <w:color w:val="auto"/>
              </w:rPr>
              <w:t>Invesco Ltd</w:t>
            </w:r>
            <w:r>
              <w:rPr>
                <w:rFonts w:ascii="Arial" w:cs="Arial" w:eastAsia="Arial" w:hAnsi="Arial"/>
                <w:sz w:val="26"/>
                <w:szCs w:val="26"/>
                <w:color w:val="auto"/>
                <w:vertAlign w:val="superscript"/>
              </w:rPr>
              <w:t>(3)</w:t>
            </w:r>
          </w:p>
        </w:tc>
        <w:tc>
          <w:tcPr>
            <w:tcW w:w="1420" w:type="dxa"/>
            <w:vAlign w:val="bottom"/>
            <w:vMerge w:val="restart"/>
          </w:tcPr>
          <w:p>
            <w:pPr>
              <w:jc w:val="right"/>
              <w:ind w:right="224"/>
              <w:spacing w:after="0"/>
              <w:rPr>
                <w:sz w:val="20"/>
                <w:szCs w:val="20"/>
                <w:color w:val="auto"/>
              </w:rPr>
            </w:pPr>
            <w:r>
              <w:rPr>
                <w:rFonts w:ascii="Arial" w:cs="Arial" w:eastAsia="Arial" w:hAnsi="Arial"/>
                <w:sz w:val="16"/>
                <w:szCs w:val="16"/>
                <w:color w:val="auto"/>
              </w:rPr>
              <w:t>2,263,698</w:t>
            </w:r>
          </w:p>
        </w:tc>
        <w:tc>
          <w:tcPr>
            <w:tcW w:w="980" w:type="dxa"/>
            <w:vAlign w:val="bottom"/>
            <w:vMerge w:val="restart"/>
          </w:tcPr>
          <w:p>
            <w:pPr>
              <w:ind w:left="300"/>
              <w:spacing w:after="0"/>
              <w:rPr>
                <w:sz w:val="20"/>
                <w:szCs w:val="20"/>
                <w:color w:val="auto"/>
              </w:rPr>
            </w:pPr>
            <w:r>
              <w:rPr>
                <w:rFonts w:ascii="Arial" w:cs="Arial" w:eastAsia="Arial" w:hAnsi="Arial"/>
                <w:sz w:val="16"/>
                <w:szCs w:val="16"/>
                <w:color w:val="auto"/>
              </w:rPr>
              <w:t>​ 5.11%</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1331 Spring Street NW, Suite 2500</w:t>
            </w:r>
          </w:p>
        </w:tc>
        <w:tc>
          <w:tcPr>
            <w:tcW w:w="14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0063A6"/>
            </w:tcBorders>
          </w:tcPr>
          <w:p>
            <w:pPr>
              <w:ind w:left="240"/>
              <w:spacing w:after="0"/>
              <w:rPr>
                <w:sz w:val="20"/>
                <w:szCs w:val="20"/>
                <w:color w:val="auto"/>
              </w:rPr>
            </w:pPr>
            <w:r>
              <w:rPr>
                <w:rFonts w:ascii="Arial" w:cs="Arial" w:eastAsia="Arial" w:hAnsi="Arial"/>
                <w:sz w:val="16"/>
                <w:szCs w:val="16"/>
                <w:color w:val="auto"/>
              </w:rPr>
              <w:t>Atlanta, GA 30309</w:t>
            </w:r>
          </w:p>
        </w:tc>
        <w:tc>
          <w:tcPr>
            <w:tcW w:w="1420" w:type="dxa"/>
            <w:vAlign w:val="bottom"/>
            <w:tcBorders>
              <w:bottom w:val="single" w:sz="8" w:color="0063A6"/>
            </w:tcBorders>
          </w:tcPr>
          <w:p>
            <w:pPr>
              <w:spacing w:after="0"/>
              <w:rPr>
                <w:sz w:val="18"/>
                <w:szCs w:val="18"/>
                <w:color w:val="auto"/>
              </w:rPr>
            </w:pPr>
          </w:p>
        </w:tc>
        <w:tc>
          <w:tcPr>
            <w:tcW w:w="980" w:type="dxa"/>
            <w:vAlign w:val="bottom"/>
            <w:tcBorders>
              <w:bottom w:val="single" w:sz="8" w:color="0063A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hanging="346"/>
        <w:spacing w:after="0" w:line="247" w:lineRule="auto"/>
        <w:tabs>
          <w:tab w:leader="none" w:pos="346"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Information is based on Amendment No. 26 to a Schedule 13G/A filed with the SEC on April 29, 2025 by BlackRock, Inc., reporting beneficial ownership as of March 31, 2025 on behalf of its investment advisory subsidiaries, BlackRock (Netherlands) B.V., BlackRock Advisors, LLC, BlackRock Asset Management Canada Limited, BlackRock Asset Management Ireland Limited, BlackRock Asset Management Schweiz AG, BlackRock Financial Management, Inc., BlackRock Fund Advisors, BlackRock Fund Managers Ltd, BlackRock Institutional Trust Company, National Association, BlackRock Investment Management (Australia) Limited, BlackRock Investment Management (UK) Limited, BlackRock Investment Management, LLC, BlackRock Life Limited. The Schedule 13G indicates that BlackRock Fund Advisors beneficially owns 5 or greater of these shares reported, and that BlackRock, Inc. has sole voting power over 7,591,538 of these shares and sole dispositive power over all of these shares.</w:t>
      </w:r>
    </w:p>
    <w:p>
      <w:pPr>
        <w:spacing w:after="0" w:line="37" w:lineRule="exact"/>
        <w:rPr>
          <w:rFonts w:ascii="Arial" w:cs="Arial" w:eastAsia="Arial" w:hAnsi="Arial"/>
          <w:sz w:val="14"/>
          <w:szCs w:val="14"/>
          <w:color w:val="auto"/>
        </w:rPr>
      </w:pPr>
    </w:p>
    <w:p>
      <w:pPr>
        <w:ind w:left="346" w:right="80" w:hanging="346"/>
        <w:spacing w:after="0" w:line="256" w:lineRule="auto"/>
        <w:tabs>
          <w:tab w:leader="none" w:pos="346"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Information is based on Amendment No. 12 to a Schedule 13G/A filed with the SEC on February 13, 2024 by The Vanguard Group (Vanguard), reporting beneficial ownership as of December 29, 2023. The Schedule 13G indicates that Vanguard has sole dispositive power over 5,571,896 of these shares and shared dispositive power over 83,532 of these shares. Vanguard has shared voting power over 35,647 of these shares.</w:t>
      </w:r>
    </w:p>
    <w:p>
      <w:pPr>
        <w:spacing w:after="0" w:line="42" w:lineRule="exact"/>
        <w:rPr>
          <w:rFonts w:ascii="Arial" w:cs="Arial" w:eastAsia="Arial" w:hAnsi="Arial"/>
          <w:sz w:val="14"/>
          <w:szCs w:val="14"/>
          <w:color w:val="auto"/>
        </w:rPr>
      </w:pPr>
    </w:p>
    <w:p>
      <w:pPr>
        <w:ind w:left="346" w:hanging="346"/>
        <w:spacing w:after="0" w:line="256" w:lineRule="auto"/>
        <w:tabs>
          <w:tab w:leader="none" w:pos="346"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Information is based on Amendment No. 1 to a Schedule 13G filed with the SEC on November 6, 2025 by Invesco Ltd., reporting beneficial ownership as of September 30, 2025 on behalf of Invesco Advisors, Inc., Invesco Asset Management Deutschland GmbH, and Invesco Capital Management LLC. Invesco Ltd. has sole voting power over 2,170,013 of these shares and sole dispositive power over 2,263,698 of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LIST OF SHAREHOLDERS OF RECORD</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ANNUAL REPORT AND FINANCIAL STATEMENTS</w:t>
      </w:r>
    </w:p>
    <w:p>
      <w:pPr>
        <w:spacing w:after="0" w:line="20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 xml:space="preserve">A copy of our 2025 Annual Report to Shareholders, which includes our financial statements for the year ended December 31, 2025, accompanies this proxy statement. In addition, you may view the Annual Report and this proxy statement on our Company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and then “Financials and Filings.”</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SHAREHOLDER PROPOSALS FOR THE 2027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Shareholder Proposals to be Considered for Inclusion in Itron’s Proxy Materials.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the SEC’s proxy rules, shareholder proposals that meet specified conditions must be included in our proxy statement and proxy for the 2027 annual meeting. Under Exchange Act Rule 14a-8(e), shareholders that intend to present a proposal at our 2027 annual meeting must give us written notice of the proposal not later than November 23, 2026 for the proposal to be considered for inclusion in our proxy materials for that meeting.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Shareholder Proposals and Nominations to be Brought Before the Annual Meeting.</w:t>
      </w:r>
    </w:p>
    <w:p>
      <w:pPr>
        <w:spacing w:after="0" w:line="179"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Shareholders who wish to submit nominations for the election of directors or proposals that will not be included in our proxy materials must do so in accordance with the advance notice provisions and other applicable requirements set forth in our Amended and Restated Bylaws.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Amended and Restated Bylaws provide that the notice of proposals to be considered at our annual meeting must be received by Itron at least 90 days and not more than 120 days prior to the anniversary date of the prior year’s annual meeting. Accordingly, shareholders who intend to present proposals at the 2027 annual meeting that will not be included in our proxy materials must provide to our Corporate Secretary written notice of the business they wish to propose not later than February 6, 2027 and no sooner than January 7, 2027.</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Additionally, our Amended and Restated Bylaws provide that the notice of nominations for election of directors must be received at least 90 days and not more than 120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We anticipate that our 2027 Annual Meeting of Shareholders will be held on May 6, 2027. Based on the expected date of the 2027 annual meeting, shareholders who intend to present notice of nominations for election of directors at the 2027 annual meeting that will not be included in our proxy materials must provide to our Corporate Secretary written notice of the business they wish to propose not later than February 5, 2027 and no sooner than January 6, 2027.</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timely receipt of a proposal or nomination by a qualified shareholder will not guarantee inclusion in our proxy materials or presentation at the 2027 annual meeting. We reserve the right to reject, rule out of order, or take other appropriate action with respect to any proposal or nomination that does not comply with all applicable requirements of the SEC’s proxy rules, state law, and our Amended and Restated Bylaws.</w:t>
      </w:r>
    </w:p>
    <w:p>
      <w:pPr>
        <w:spacing w:after="0" w:line="15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Shareholders who intend to solicit proxies in reliance on the SEC’s universal proxy rule for director nominees submitted under the advance notice requirements of our Amended and Restated Bylaws must comply with the additional requirements of Rule 14a-19(b).</w:t>
      </w:r>
    </w:p>
    <w:p>
      <w:pPr>
        <w:spacing w:after="0" w:line="131"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Shareholder proposals should be directed to the attention of our Corporate Secretary, Itron, Inc., 2111 N. Molter Road, Liberty Lake, Washington 99019.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58293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1"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64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OTHER INFORMATION</w:t>
      </w:r>
    </w:p>
    <w:p>
      <w:pPr>
        <w:spacing w:after="0" w:line="20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and selecting “Investor Relations” and then “Financials and Filings.” Shareholders may submit a request for printed copies by e-mail through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and then “Contact” or by mail to the following address:</w:t>
      </w:r>
    </w:p>
    <w:p>
      <w:pPr>
        <w:spacing w:after="0" w:line="180"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Itron, Inc. – Attention: Investor Relations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2111 N. Molter Road</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Liberty Lake, Washington 99019</w:t>
      </w:r>
    </w:p>
    <w:p>
      <w:pPr>
        <w:spacing w:after="0" w:line="16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As permitted by SEC rules, we may send only one Annual Report and proxy statement or Notice of Internet Availability, as applicable, to that address, unless we received instructions to the contrary from any shareholder at that address. This practice, known as “householding,” is designed to reduce our printing and postage costs. However, if a shareholder of record residing at such address wishes to receive a separate Annual Report or proxy statement or Notice of Internet Availability, as applicable, for the 2026 annual meeting or in the future, they may contact our Investor Relations Department in writing at 2111 N. Molter Road Liberty Lake, Washington 99019, or by telephone at (509) 891-3283. Eligible shareholders of record receiving multiple copies of our Annual Report and proxy statement or Notice of Internet Availability, as applicable, can request householding by contacting us in the same manner. If you own shares through a bank, broker, or other nominee, you can request householding by contacting that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58293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0"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5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gridSpan w:val="4"/>
          </w:tcPr>
          <w:p>
            <w:pPr>
              <w:ind w:left="520"/>
              <w:spacing w:after="0"/>
              <w:rPr>
                <w:sz w:val="20"/>
                <w:szCs w:val="20"/>
                <w:color w:val="auto"/>
              </w:rPr>
            </w:pPr>
            <w:r>
              <w:rPr>
                <w:rFonts w:ascii="Arial" w:cs="Arial" w:eastAsia="Arial" w:hAnsi="Arial"/>
                <w:sz w:val="23"/>
                <w:szCs w:val="23"/>
                <w:b w:val="1"/>
                <w:bCs w:val="1"/>
                <w:color w:val="0063A6"/>
              </w:rPr>
              <w:t>APPENDIX A</w:t>
            </w:r>
          </w:p>
        </w:tc>
      </w:tr>
      <w:tr>
        <w:trPr>
          <w:trHeight w:val="459"/>
        </w:trPr>
        <w:tc>
          <w:tcPr>
            <w:tcW w:w="6320" w:type="dxa"/>
            <w:vAlign w:val="bottom"/>
            <w:gridSpan w:val="2"/>
          </w:tcPr>
          <w:p>
            <w:pPr>
              <w:ind w:left="2920"/>
              <w:spacing w:after="0"/>
              <w:rPr>
                <w:sz w:val="20"/>
                <w:szCs w:val="20"/>
                <w:color w:val="auto"/>
              </w:rPr>
            </w:pPr>
            <w:r>
              <w:rPr>
                <w:rFonts w:ascii="Arial" w:cs="Arial" w:eastAsia="Arial" w:hAnsi="Arial"/>
                <w:sz w:val="23"/>
                <w:szCs w:val="23"/>
                <w:b w:val="1"/>
                <w:bCs w:val="1"/>
                <w:color w:val="0063A6"/>
              </w:rPr>
              <w:t>NON-GAAP RECONCILIATION</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
        </w:trPr>
        <w:tc>
          <w:tcPr>
            <w:tcW w:w="5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gridSpan w:val="2"/>
          </w:tcPr>
          <w:p>
            <w:pPr>
              <w:spacing w:after="0"/>
              <w:rPr>
                <w:sz w:val="7"/>
                <w:szCs w:val="7"/>
                <w:color w:val="auto"/>
              </w:rPr>
            </w:pPr>
          </w:p>
        </w:tc>
        <w:tc>
          <w:tcPr>
            <w:tcW w:w="920" w:type="dxa"/>
            <w:vAlign w:val="bottom"/>
            <w:gridSpan w:val="2"/>
          </w:tcPr>
          <w:p>
            <w:pPr>
              <w:spacing w:after="0"/>
              <w:rPr>
                <w:sz w:val="7"/>
                <w:szCs w:val="7"/>
                <w:color w:val="auto"/>
              </w:rPr>
            </w:pPr>
          </w:p>
        </w:tc>
        <w:tc>
          <w:tcPr>
            <w:tcW w:w="60" w:type="dxa"/>
            <w:vAlign w:val="bottom"/>
          </w:tcPr>
          <w:p>
            <w:pPr>
              <w:spacing w:after="0"/>
              <w:rPr>
                <w:sz w:val="7"/>
                <w:szCs w:val="7"/>
                <w:color w:val="auto"/>
              </w:rPr>
            </w:pPr>
          </w:p>
        </w:tc>
      </w:tr>
      <w:tr>
        <w:trPr>
          <w:trHeight w:val="268"/>
        </w:trPr>
        <w:tc>
          <w:tcPr>
            <w:tcW w:w="5820" w:type="dxa"/>
            <w:vAlign w:val="bottom"/>
          </w:tcPr>
          <w:p>
            <w:pPr>
              <w:ind w:left="60"/>
              <w:spacing w:after="0"/>
              <w:rPr>
                <w:sz w:val="20"/>
                <w:szCs w:val="20"/>
                <w:color w:val="auto"/>
              </w:rPr>
            </w:pPr>
            <w:r>
              <w:rPr>
                <w:rFonts w:ascii="Arial" w:cs="Arial" w:eastAsia="Arial" w:hAnsi="Arial"/>
                <w:sz w:val="14"/>
                <w:szCs w:val="14"/>
                <w:b w:val="1"/>
                <w:bCs w:val="1"/>
                <w:color w:val="auto"/>
              </w:rPr>
              <w:t>TOTAL COMPANY RECONCILIATIONS</w:t>
            </w:r>
          </w:p>
        </w:tc>
        <w:tc>
          <w:tcPr>
            <w:tcW w:w="500" w:type="dxa"/>
            <w:vAlign w:val="bottom"/>
            <w:shd w:val="clear" w:color="auto" w:fill="0063A6"/>
          </w:tcPr>
          <w:p>
            <w:pPr>
              <w:spacing w:after="0"/>
              <w:rPr>
                <w:sz w:val="23"/>
                <w:szCs w:val="23"/>
                <w:color w:val="auto"/>
              </w:rPr>
            </w:pPr>
          </w:p>
        </w:tc>
        <w:tc>
          <w:tcPr>
            <w:tcW w:w="2860" w:type="dxa"/>
            <w:vAlign w:val="bottom"/>
            <w:gridSpan w:val="5"/>
            <w:shd w:val="clear" w:color="auto" w:fill="0063A6"/>
          </w:tcPr>
          <w:p>
            <w:pPr>
              <w:ind w:left="520"/>
              <w:spacing w:after="0"/>
              <w:rPr>
                <w:sz w:val="20"/>
                <w:szCs w:val="20"/>
                <w:color w:val="auto"/>
              </w:rPr>
            </w:pPr>
            <w:r>
              <w:rPr>
                <w:rFonts w:ascii="Arial" w:cs="Arial" w:eastAsia="Arial" w:hAnsi="Arial"/>
                <w:sz w:val="14"/>
                <w:szCs w:val="14"/>
                <w:b w:val="1"/>
                <w:bCs w:val="1"/>
                <w:color w:val="FFFFFF"/>
              </w:rPr>
              <w:t>Year Ended December 31,</w:t>
            </w:r>
          </w:p>
        </w:tc>
      </w:tr>
      <w:tr>
        <w:trPr>
          <w:trHeight w:val="252"/>
        </w:trPr>
        <w:tc>
          <w:tcPr>
            <w:tcW w:w="5820" w:type="dxa"/>
            <w:vAlign w:val="bottom"/>
            <w:tcBorders>
              <w:bottom w:val="single" w:sz="8" w:color="0063A6"/>
            </w:tcBorders>
          </w:tcPr>
          <w:p>
            <w:pPr>
              <w:ind w:left="60"/>
              <w:spacing w:after="0"/>
              <w:rPr>
                <w:sz w:val="20"/>
                <w:szCs w:val="20"/>
                <w:color w:val="auto"/>
              </w:rPr>
            </w:pPr>
            <w:r>
              <w:rPr>
                <w:rFonts w:ascii="Arial" w:cs="Arial" w:eastAsia="Arial" w:hAnsi="Arial"/>
                <w:sz w:val="14"/>
                <w:szCs w:val="14"/>
                <w:i w:val="1"/>
                <w:iCs w:val="1"/>
                <w:color w:val="auto"/>
              </w:rPr>
              <w:t>In thousands, except per share data</w:t>
            </w:r>
          </w:p>
        </w:tc>
        <w:tc>
          <w:tcPr>
            <w:tcW w:w="500" w:type="dxa"/>
            <w:vAlign w:val="bottom"/>
            <w:tcBorders>
              <w:bottom w:val="single" w:sz="8" w:color="0063A6"/>
            </w:tcBorders>
            <w:shd w:val="clear" w:color="auto" w:fill="0063A6"/>
          </w:tcPr>
          <w:p>
            <w:pPr>
              <w:spacing w:after="0"/>
              <w:rPr>
                <w:sz w:val="21"/>
                <w:szCs w:val="21"/>
                <w:color w:val="auto"/>
              </w:rPr>
            </w:pPr>
          </w:p>
        </w:tc>
        <w:tc>
          <w:tcPr>
            <w:tcW w:w="900" w:type="dxa"/>
            <w:vAlign w:val="bottom"/>
            <w:tcBorders>
              <w:bottom w:val="single" w:sz="8" w:color="0063A6"/>
            </w:tcBorders>
            <w:shd w:val="clear" w:color="auto" w:fill="0063A6"/>
          </w:tcPr>
          <w:p>
            <w:pPr>
              <w:ind w:left="300"/>
              <w:spacing w:after="0"/>
              <w:rPr>
                <w:sz w:val="20"/>
                <w:szCs w:val="20"/>
                <w:color w:val="auto"/>
              </w:rPr>
            </w:pPr>
            <w:r>
              <w:rPr>
                <w:rFonts w:ascii="Arial" w:cs="Arial" w:eastAsia="Arial" w:hAnsi="Arial"/>
                <w:sz w:val="14"/>
                <w:szCs w:val="14"/>
                <w:b w:val="1"/>
                <w:bCs w:val="1"/>
                <w:color w:val="FFFFFF"/>
              </w:rPr>
              <w:t>2025</w:t>
            </w:r>
          </w:p>
        </w:tc>
        <w:tc>
          <w:tcPr>
            <w:tcW w:w="980" w:type="dxa"/>
            <w:vAlign w:val="bottom"/>
            <w:tcBorders>
              <w:bottom w:val="single" w:sz="8" w:color="0063A6"/>
            </w:tcBorders>
            <w:shd w:val="clear" w:color="auto" w:fill="0063A6"/>
          </w:tcPr>
          <w:p>
            <w:pPr>
              <w:spacing w:after="0"/>
              <w:rPr>
                <w:sz w:val="21"/>
                <w:szCs w:val="21"/>
                <w:color w:val="auto"/>
              </w:rPr>
            </w:pPr>
          </w:p>
        </w:tc>
        <w:tc>
          <w:tcPr>
            <w:tcW w:w="260" w:type="dxa"/>
            <w:vAlign w:val="bottom"/>
            <w:tcBorders>
              <w:bottom w:val="single" w:sz="8" w:color="0063A6"/>
            </w:tcBorders>
            <w:shd w:val="clear" w:color="auto" w:fill="0063A6"/>
          </w:tcPr>
          <w:p>
            <w:pPr>
              <w:spacing w:after="0"/>
              <w:rPr>
                <w:sz w:val="21"/>
                <w:szCs w:val="21"/>
                <w:color w:val="auto"/>
              </w:rPr>
            </w:pPr>
          </w:p>
        </w:tc>
        <w:tc>
          <w:tcPr>
            <w:tcW w:w="660" w:type="dxa"/>
            <w:vAlign w:val="bottom"/>
            <w:tcBorders>
              <w:bottom w:val="single" w:sz="8" w:color="0063A6"/>
            </w:tcBorders>
            <w:shd w:val="clear" w:color="auto" w:fill="0063A6"/>
          </w:tcPr>
          <w:p>
            <w:pPr>
              <w:ind w:left="40"/>
              <w:spacing w:after="0"/>
              <w:rPr>
                <w:sz w:val="20"/>
                <w:szCs w:val="20"/>
                <w:color w:val="auto"/>
              </w:rPr>
            </w:pPr>
            <w:r>
              <w:rPr>
                <w:rFonts w:ascii="Arial" w:cs="Arial" w:eastAsia="Arial" w:hAnsi="Arial"/>
                <w:sz w:val="14"/>
                <w:szCs w:val="14"/>
                <w:b w:val="1"/>
                <w:bCs w:val="1"/>
                <w:color w:val="FFFFFF"/>
              </w:rPr>
              <w:t>2024</w:t>
            </w:r>
          </w:p>
        </w:tc>
        <w:tc>
          <w:tcPr>
            <w:tcW w:w="60" w:type="dxa"/>
            <w:vAlign w:val="bottom"/>
            <w:tcBorders>
              <w:bottom w:val="single" w:sz="8" w:color="0063A6"/>
            </w:tcBorders>
            <w:shd w:val="clear" w:color="auto" w:fill="0063A6"/>
          </w:tcPr>
          <w:p>
            <w:pPr>
              <w:spacing w:after="0"/>
              <w:rPr>
                <w:sz w:val="21"/>
                <w:szCs w:val="21"/>
                <w:color w:val="auto"/>
              </w:rPr>
            </w:pPr>
          </w:p>
        </w:tc>
      </w:tr>
      <w:tr>
        <w:trPr>
          <w:trHeight w:val="249"/>
        </w:trPr>
        <w:tc>
          <w:tcPr>
            <w:tcW w:w="6320" w:type="dxa"/>
            <w:vAlign w:val="bottom"/>
            <w:gridSpan w:val="2"/>
          </w:tcPr>
          <w:p>
            <w:pPr>
              <w:ind w:left="60"/>
              <w:spacing w:after="0"/>
              <w:rPr>
                <w:sz w:val="20"/>
                <w:szCs w:val="20"/>
                <w:color w:val="auto"/>
              </w:rPr>
            </w:pPr>
            <w:r>
              <w:rPr>
                <w:rFonts w:ascii="Arial" w:cs="Arial" w:eastAsia="Arial" w:hAnsi="Arial"/>
                <w:sz w:val="16"/>
                <w:szCs w:val="16"/>
                <w:b w:val="1"/>
                <w:bCs w:val="1"/>
                <w:color w:val="auto"/>
              </w:rPr>
              <w:t>NON-GAAP NET INCOME &amp; DILUTED EPS</w:t>
            </w: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5"/>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GAAP net income attributable to Itron, Inc.</w:t>
            </w:r>
          </w:p>
        </w:tc>
        <w:tc>
          <w:tcPr>
            <w:tcW w:w="900" w:type="dxa"/>
            <w:vAlign w:val="bottom"/>
          </w:tcPr>
          <w:p>
            <w:pPr>
              <w:jc w:val="right"/>
              <w:spacing w:after="0"/>
              <w:rPr>
                <w:sz w:val="20"/>
                <w:szCs w:val="20"/>
                <w:color w:val="auto"/>
              </w:rPr>
            </w:pPr>
            <w:r>
              <w:rPr>
                <w:rFonts w:ascii="Arial" w:cs="Arial" w:eastAsia="Arial" w:hAnsi="Arial"/>
                <w:sz w:val="16"/>
                <w:szCs w:val="16"/>
                <w:color w:val="auto"/>
              </w:rPr>
              <w:t>$301,055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6"/>
              </w:rPr>
              <w:t>239,105</w:t>
            </w:r>
          </w:p>
        </w:tc>
        <w:tc>
          <w:tcPr>
            <w:tcW w:w="60" w:type="dxa"/>
            <w:vAlign w:val="bottom"/>
          </w:tcPr>
          <w:p>
            <w:pPr>
              <w:spacing w:after="0"/>
              <w:rPr>
                <w:sz w:val="23"/>
                <w:szCs w:val="23"/>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Amortization of intangible assets</w:t>
            </w:r>
          </w:p>
        </w:tc>
        <w:tc>
          <w:tcPr>
            <w:tcW w:w="900" w:type="dxa"/>
            <w:vAlign w:val="bottom"/>
          </w:tcPr>
          <w:p>
            <w:pPr>
              <w:jc w:val="right"/>
              <w:spacing w:after="0"/>
              <w:rPr>
                <w:sz w:val="20"/>
                <w:szCs w:val="20"/>
                <w:color w:val="auto"/>
              </w:rPr>
            </w:pPr>
            <w:r>
              <w:rPr>
                <w:rFonts w:ascii="Arial" w:cs="Arial" w:eastAsia="Arial" w:hAnsi="Arial"/>
                <w:sz w:val="16"/>
                <w:szCs w:val="16"/>
                <w:color w:val="auto"/>
              </w:rPr>
              <w:t>19,112</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17,828</w:t>
            </w:r>
          </w:p>
        </w:tc>
        <w:tc>
          <w:tcPr>
            <w:tcW w:w="60" w:type="dxa"/>
            <w:vAlign w:val="bottom"/>
          </w:tcPr>
          <w:p>
            <w:pPr>
              <w:spacing w:after="0"/>
              <w:rPr>
                <w:sz w:val="24"/>
                <w:szCs w:val="24"/>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Amortization of debt placement fees</w:t>
            </w:r>
          </w:p>
        </w:tc>
        <w:tc>
          <w:tcPr>
            <w:tcW w:w="900" w:type="dxa"/>
            <w:vAlign w:val="bottom"/>
          </w:tcPr>
          <w:p>
            <w:pPr>
              <w:jc w:val="right"/>
              <w:spacing w:after="0"/>
              <w:rPr>
                <w:sz w:val="20"/>
                <w:szCs w:val="20"/>
                <w:color w:val="auto"/>
              </w:rPr>
            </w:pPr>
            <w:r>
              <w:rPr>
                <w:rFonts w:ascii="Arial" w:cs="Arial" w:eastAsia="Arial" w:hAnsi="Arial"/>
                <w:sz w:val="16"/>
                <w:szCs w:val="16"/>
                <w:color w:val="auto"/>
              </w:rPr>
              <w:t>6,928</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5,314</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Restructuring</w:t>
            </w:r>
          </w:p>
        </w:tc>
        <w:tc>
          <w:tcPr>
            <w:tcW w:w="900" w:type="dxa"/>
            <w:vAlign w:val="bottom"/>
          </w:tcPr>
          <w:p>
            <w:pPr>
              <w:jc w:val="right"/>
              <w:spacing w:after="0"/>
              <w:rPr>
                <w:sz w:val="20"/>
                <w:szCs w:val="20"/>
                <w:color w:val="auto"/>
              </w:rPr>
            </w:pPr>
            <w:r>
              <w:rPr>
                <w:rFonts w:ascii="Arial" w:cs="Arial" w:eastAsia="Arial" w:hAnsi="Arial"/>
                <w:sz w:val="16"/>
                <w:szCs w:val="16"/>
                <w:color w:val="auto"/>
              </w:rPr>
              <w:t>931</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2,679</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Loss on sale of business</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597</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Strategic initiative</w:t>
            </w:r>
          </w:p>
        </w:tc>
        <w:tc>
          <w:tcPr>
            <w:tcW w:w="900" w:type="dxa"/>
            <w:vAlign w:val="bottom"/>
          </w:tcPr>
          <w:p>
            <w:pPr>
              <w:jc w:val="right"/>
              <w:spacing w:after="0"/>
              <w:rPr>
                <w:sz w:val="20"/>
                <w:szCs w:val="20"/>
                <w:color w:val="auto"/>
              </w:rPr>
            </w:pPr>
            <w:r>
              <w:rPr>
                <w:rFonts w:ascii="Arial" w:cs="Arial" w:eastAsia="Arial" w:hAnsi="Arial"/>
                <w:sz w:val="16"/>
                <w:szCs w:val="16"/>
                <w:color w:val="auto"/>
              </w:rPr>
              <w:t>1,736</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Acquisition and integration</w:t>
            </w:r>
          </w:p>
        </w:tc>
        <w:tc>
          <w:tcPr>
            <w:tcW w:w="900" w:type="dxa"/>
            <w:vAlign w:val="bottom"/>
          </w:tcPr>
          <w:p>
            <w:pPr>
              <w:jc w:val="right"/>
              <w:spacing w:after="0"/>
              <w:rPr>
                <w:sz w:val="20"/>
                <w:szCs w:val="20"/>
                <w:color w:val="auto"/>
              </w:rPr>
            </w:pPr>
            <w:r>
              <w:rPr>
                <w:rFonts w:ascii="Arial" w:cs="Arial" w:eastAsia="Arial" w:hAnsi="Arial"/>
                <w:sz w:val="16"/>
                <w:szCs w:val="16"/>
                <w:color w:val="auto"/>
              </w:rPr>
              <w:t>7,433</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723</w:t>
            </w:r>
          </w:p>
        </w:tc>
        <w:tc>
          <w:tcPr>
            <w:tcW w:w="60" w:type="dxa"/>
            <w:vAlign w:val="bottom"/>
          </w:tcPr>
          <w:p>
            <w:pPr>
              <w:spacing w:after="0"/>
              <w:rPr>
                <w:sz w:val="24"/>
                <w:szCs w:val="24"/>
                <w:color w:val="auto"/>
              </w:rPr>
            </w:pPr>
          </w:p>
        </w:tc>
      </w:tr>
      <w:tr>
        <w:trPr>
          <w:trHeight w:val="340"/>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6"/>
                <w:szCs w:val="26"/>
                <w:color w:val="auto"/>
                <w:vertAlign w:val="superscript"/>
              </w:rPr>
              <w:t>(1)</w:t>
            </w:r>
          </w:p>
        </w:tc>
        <w:tc>
          <w:tcPr>
            <w:tcW w:w="90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(6,883)</w:t>
            </w:r>
          </w:p>
        </w:tc>
        <w:tc>
          <w:tcPr>
            <w:tcW w:w="980" w:type="dxa"/>
            <w:vAlign w:val="bottom"/>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(6,446)</w:t>
            </w:r>
          </w:p>
        </w:tc>
        <w:tc>
          <w:tcPr>
            <w:tcW w:w="60" w:type="dxa"/>
            <w:vAlign w:val="bottom"/>
          </w:tcPr>
          <w:p>
            <w:pPr>
              <w:spacing w:after="0"/>
              <w:rPr>
                <w:sz w:val="24"/>
                <w:szCs w:val="24"/>
                <w:color w:val="auto"/>
              </w:rPr>
            </w:pPr>
          </w:p>
        </w:tc>
      </w:tr>
      <w:tr>
        <w:trPr>
          <w:trHeight w:val="257"/>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Non-GAAP net income attributable to Itron, Inc.</w:t>
            </w:r>
          </w:p>
        </w:tc>
        <w:tc>
          <w:tcPr>
            <w:tcW w:w="90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$330,391</w:t>
            </w:r>
          </w:p>
        </w:tc>
        <w:tc>
          <w:tcPr>
            <w:tcW w:w="980" w:type="dxa"/>
            <w:vAlign w:val="bottom"/>
          </w:tcPr>
          <w:p>
            <w:pPr>
              <w:spacing w:after="0"/>
              <w:rPr>
                <w:sz w:val="22"/>
                <w:szCs w:val="22"/>
                <w:color w:val="auto"/>
              </w:rPr>
            </w:pPr>
          </w:p>
        </w:tc>
        <w:tc>
          <w:tcPr>
            <w:tcW w:w="2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w w:val="96"/>
              </w:rPr>
              <w:t>259,800</w:t>
            </w:r>
          </w:p>
        </w:tc>
        <w:tc>
          <w:tcPr>
            <w:tcW w:w="60" w:type="dxa"/>
            <w:vAlign w:val="bottom"/>
          </w:tcPr>
          <w:p>
            <w:pPr>
              <w:spacing w:after="0"/>
              <w:rPr>
                <w:sz w:val="22"/>
                <w:szCs w:val="22"/>
                <w:color w:val="auto"/>
              </w:rPr>
            </w:pPr>
          </w:p>
        </w:tc>
      </w:tr>
      <w:tr>
        <w:trPr>
          <w:trHeight w:val="547"/>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Non-GAAP diluted EPS</w:t>
            </w:r>
          </w:p>
        </w:tc>
        <w:tc>
          <w:tcPr>
            <w:tcW w:w="900" w:type="dxa"/>
            <w:vAlign w:val="bottom"/>
          </w:tcPr>
          <w:p>
            <w:pPr>
              <w:jc w:val="right"/>
              <w:spacing w:after="0"/>
              <w:rPr>
                <w:sz w:val="20"/>
                <w:szCs w:val="20"/>
                <w:color w:val="auto"/>
              </w:rPr>
            </w:pPr>
            <w:r>
              <w:rPr>
                <w:rFonts w:ascii="Arial" w:cs="Arial" w:eastAsia="Arial" w:hAnsi="Arial"/>
                <w:sz w:val="16"/>
                <w:szCs w:val="16"/>
                <w:color w:val="auto"/>
              </w:rPr>
              <w:t>$   7.13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5.62</w:t>
            </w:r>
          </w:p>
        </w:tc>
        <w:tc>
          <w:tcPr>
            <w:tcW w:w="60" w:type="dxa"/>
            <w:vAlign w:val="bottom"/>
          </w:tcPr>
          <w:p>
            <w:pPr>
              <w:spacing w:after="0"/>
              <w:rPr>
                <w:sz w:val="24"/>
                <w:szCs w:val="24"/>
                <w:color w:val="auto"/>
              </w:rPr>
            </w:pPr>
          </w:p>
        </w:tc>
      </w:tr>
      <w:tr>
        <w:trPr>
          <w:trHeight w:val="524"/>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GAAP weighted average common shares outstanding - Diluted</w:t>
            </w:r>
          </w:p>
        </w:tc>
        <w:tc>
          <w:tcPr>
            <w:tcW w:w="900" w:type="dxa"/>
            <w:vAlign w:val="bottom"/>
            <w:tcBorders>
              <w:top w:val="single" w:sz="8" w:color="0063A6"/>
            </w:tcBorders>
          </w:tcPr>
          <w:p>
            <w:pPr>
              <w:jc w:val="right"/>
              <w:spacing w:after="0"/>
              <w:rPr>
                <w:sz w:val="20"/>
                <w:szCs w:val="20"/>
                <w:color w:val="auto"/>
              </w:rPr>
            </w:pPr>
            <w:r>
              <w:rPr>
                <w:rFonts w:ascii="Arial" w:cs="Arial" w:eastAsia="Arial" w:hAnsi="Arial"/>
                <w:sz w:val="16"/>
                <w:szCs w:val="16"/>
                <w:color w:val="auto"/>
              </w:rPr>
              <w:t>46,323</w:t>
            </w:r>
          </w:p>
        </w:tc>
        <w:tc>
          <w:tcPr>
            <w:tcW w:w="980" w:type="dxa"/>
            <w:vAlign w:val="bottom"/>
          </w:tcPr>
          <w:p>
            <w:pPr>
              <w:spacing w:after="0"/>
              <w:rPr>
                <w:sz w:val="24"/>
                <w:szCs w:val="24"/>
                <w:color w:val="auto"/>
              </w:rPr>
            </w:pPr>
          </w:p>
        </w:tc>
        <w:tc>
          <w:tcPr>
            <w:tcW w:w="260" w:type="dxa"/>
            <w:vAlign w:val="bottom"/>
            <w:tcBorders>
              <w:top w:val="single" w:sz="8" w:color="0063A6"/>
            </w:tcBorders>
          </w:tcPr>
          <w:p>
            <w:pPr>
              <w:spacing w:after="0"/>
              <w:rPr>
                <w:sz w:val="24"/>
                <w:szCs w:val="24"/>
                <w:color w:val="auto"/>
              </w:rPr>
            </w:pPr>
          </w:p>
        </w:tc>
        <w:tc>
          <w:tcPr>
            <w:tcW w:w="660" w:type="dxa"/>
            <w:vAlign w:val="bottom"/>
            <w:tcBorders>
              <w:top w:val="single" w:sz="8" w:color="0063A6"/>
            </w:tcBorders>
          </w:tcPr>
          <w:p>
            <w:pPr>
              <w:jc w:val="right"/>
              <w:spacing w:after="0"/>
              <w:rPr>
                <w:sz w:val="20"/>
                <w:szCs w:val="20"/>
                <w:color w:val="auto"/>
              </w:rPr>
            </w:pPr>
            <w:r>
              <w:rPr>
                <w:rFonts w:ascii="Arial" w:cs="Arial" w:eastAsia="Arial" w:hAnsi="Arial"/>
                <w:sz w:val="16"/>
                <w:szCs w:val="16"/>
                <w:color w:val="auto"/>
              </w:rPr>
              <w:t>46,187</w:t>
            </w:r>
          </w:p>
        </w:tc>
        <w:tc>
          <w:tcPr>
            <w:tcW w:w="60" w:type="dxa"/>
            <w:vAlign w:val="bottom"/>
          </w:tcPr>
          <w:p>
            <w:pPr>
              <w:spacing w:after="0"/>
              <w:rPr>
                <w:sz w:val="24"/>
                <w:szCs w:val="24"/>
                <w:color w:val="auto"/>
              </w:rPr>
            </w:pPr>
          </w:p>
        </w:tc>
      </w:tr>
      <w:tr>
        <w:trPr>
          <w:trHeight w:val="306"/>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Effect of call option transaction -2021 Notes</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513"/>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Non-GAAP weighted average common shares outstanding - Diluted</w:t>
            </w:r>
          </w:p>
        </w:tc>
        <w:tc>
          <w:tcPr>
            <w:tcW w:w="900" w:type="dxa"/>
            <w:vAlign w:val="bottom"/>
            <w:tcBorders>
              <w:top w:val="single" w:sz="8" w:color="0063A6"/>
              <w:bottom w:val="single" w:sz="8" w:color="0063A6"/>
            </w:tcBorders>
          </w:tcPr>
          <w:p>
            <w:pPr>
              <w:jc w:val="right"/>
              <w:spacing w:after="0"/>
              <w:rPr>
                <w:sz w:val="20"/>
                <w:szCs w:val="20"/>
                <w:color w:val="auto"/>
              </w:rPr>
            </w:pPr>
            <w:r>
              <w:rPr>
                <w:rFonts w:ascii="Arial" w:cs="Arial" w:eastAsia="Arial" w:hAnsi="Arial"/>
                <w:sz w:val="16"/>
                <w:szCs w:val="16"/>
                <w:color w:val="auto"/>
              </w:rPr>
              <w:t>46,315</w:t>
            </w:r>
          </w:p>
        </w:tc>
        <w:tc>
          <w:tcPr>
            <w:tcW w:w="980" w:type="dxa"/>
            <w:vAlign w:val="bottom"/>
          </w:tcPr>
          <w:p>
            <w:pPr>
              <w:spacing w:after="0"/>
              <w:rPr>
                <w:sz w:val="24"/>
                <w:szCs w:val="24"/>
                <w:color w:val="auto"/>
              </w:rPr>
            </w:pPr>
          </w:p>
        </w:tc>
        <w:tc>
          <w:tcPr>
            <w:tcW w:w="260" w:type="dxa"/>
            <w:vAlign w:val="bottom"/>
            <w:tcBorders>
              <w:top w:val="single" w:sz="8" w:color="0063A6"/>
              <w:bottom w:val="single" w:sz="8" w:color="0063A6"/>
            </w:tcBorders>
          </w:tcPr>
          <w:p>
            <w:pPr>
              <w:spacing w:after="0"/>
              <w:rPr>
                <w:sz w:val="24"/>
                <w:szCs w:val="24"/>
                <w:color w:val="auto"/>
              </w:rPr>
            </w:pPr>
          </w:p>
        </w:tc>
        <w:tc>
          <w:tcPr>
            <w:tcW w:w="660" w:type="dxa"/>
            <w:vAlign w:val="bottom"/>
            <w:tcBorders>
              <w:top w:val="single" w:sz="8" w:color="0063A6"/>
              <w:bottom w:val="single" w:sz="8" w:color="0063A6"/>
            </w:tcBorders>
          </w:tcPr>
          <w:p>
            <w:pPr>
              <w:jc w:val="right"/>
              <w:spacing w:after="0"/>
              <w:rPr>
                <w:sz w:val="20"/>
                <w:szCs w:val="20"/>
                <w:color w:val="auto"/>
              </w:rPr>
            </w:pPr>
            <w:r>
              <w:rPr>
                <w:rFonts w:ascii="Arial" w:cs="Arial" w:eastAsia="Arial" w:hAnsi="Arial"/>
                <w:sz w:val="16"/>
                <w:szCs w:val="16"/>
                <w:color w:val="auto"/>
              </w:rPr>
              <w:t>46,187</w:t>
            </w:r>
          </w:p>
        </w:tc>
        <w:tc>
          <w:tcPr>
            <w:tcW w:w="60" w:type="dxa"/>
            <w:vAlign w:val="bottom"/>
          </w:tcPr>
          <w:p>
            <w:pPr>
              <w:spacing w:after="0"/>
              <w:rPr>
                <w:sz w:val="24"/>
                <w:szCs w:val="24"/>
                <w:color w:val="auto"/>
              </w:rPr>
            </w:pPr>
          </w:p>
        </w:tc>
      </w:tr>
      <w:tr>
        <w:trPr>
          <w:trHeight w:val="20"/>
        </w:trPr>
        <w:tc>
          <w:tcPr>
            <w:tcW w:w="5820" w:type="dxa"/>
            <w:vAlign w:val="bottom"/>
            <w:tcBorders>
              <w:bottom w:val="single" w:sz="8" w:color="0063A6"/>
            </w:tcBorders>
          </w:tcPr>
          <w:p>
            <w:pPr>
              <w:spacing w:after="0" w:line="20" w:lineRule="exact"/>
              <w:rPr>
                <w:sz w:val="1"/>
                <w:szCs w:val="1"/>
                <w:color w:val="auto"/>
              </w:rPr>
            </w:pPr>
          </w:p>
        </w:tc>
        <w:tc>
          <w:tcPr>
            <w:tcW w:w="500" w:type="dxa"/>
            <w:vAlign w:val="bottom"/>
            <w:tcBorders>
              <w:bottom w:val="single" w:sz="8" w:color="0063A6"/>
            </w:tcBorders>
          </w:tcPr>
          <w:p>
            <w:pPr>
              <w:spacing w:after="0" w:line="20" w:lineRule="exact"/>
              <w:rPr>
                <w:sz w:val="1"/>
                <w:szCs w:val="1"/>
                <w:color w:val="auto"/>
              </w:rPr>
            </w:pPr>
          </w:p>
        </w:tc>
        <w:tc>
          <w:tcPr>
            <w:tcW w:w="900" w:type="dxa"/>
            <w:vAlign w:val="bottom"/>
            <w:tcBorders>
              <w:bottom w:val="single" w:sz="8" w:color="0063A6"/>
            </w:tcBorders>
          </w:tcPr>
          <w:p>
            <w:pPr>
              <w:spacing w:after="0" w:line="20" w:lineRule="exact"/>
              <w:rPr>
                <w:sz w:val="1"/>
                <w:szCs w:val="1"/>
                <w:color w:val="auto"/>
              </w:rPr>
            </w:pPr>
          </w:p>
        </w:tc>
        <w:tc>
          <w:tcPr>
            <w:tcW w:w="980" w:type="dxa"/>
            <w:vAlign w:val="bottom"/>
            <w:tcBorders>
              <w:bottom w:val="single" w:sz="8" w:color="0063A6"/>
            </w:tcBorders>
          </w:tcPr>
          <w:p>
            <w:pPr>
              <w:spacing w:after="0" w:line="20" w:lineRule="exact"/>
              <w:rPr>
                <w:sz w:val="1"/>
                <w:szCs w:val="1"/>
                <w:color w:val="auto"/>
              </w:rPr>
            </w:pPr>
          </w:p>
        </w:tc>
        <w:tc>
          <w:tcPr>
            <w:tcW w:w="260" w:type="dxa"/>
            <w:vAlign w:val="bottom"/>
            <w:tcBorders>
              <w:bottom w:val="single" w:sz="8" w:color="0063A6"/>
            </w:tcBorders>
          </w:tcPr>
          <w:p>
            <w:pPr>
              <w:spacing w:after="0" w:line="20" w:lineRule="exact"/>
              <w:rPr>
                <w:sz w:val="1"/>
                <w:szCs w:val="1"/>
                <w:color w:val="auto"/>
              </w:rPr>
            </w:pPr>
          </w:p>
        </w:tc>
        <w:tc>
          <w:tcPr>
            <w:tcW w:w="6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r>
      <w:tr>
        <w:trPr>
          <w:trHeight w:val="156"/>
        </w:trPr>
        <w:tc>
          <w:tcPr>
            <w:tcW w:w="6320" w:type="dxa"/>
            <w:vAlign w:val="bottom"/>
            <w:gridSpan w:val="2"/>
          </w:tcPr>
          <w:p>
            <w:pPr>
              <w:spacing w:after="0"/>
              <w:rPr>
                <w:sz w:val="13"/>
                <w:szCs w:val="13"/>
                <w:color w:val="auto"/>
              </w:rPr>
            </w:pPr>
          </w:p>
        </w:tc>
        <w:tc>
          <w:tcPr>
            <w:tcW w:w="2860" w:type="dxa"/>
            <w:vAlign w:val="bottom"/>
            <w:gridSpan w:val="5"/>
          </w:tcPr>
          <w:p>
            <w:pPr>
              <w:spacing w:after="0"/>
              <w:rPr>
                <w:sz w:val="13"/>
                <w:szCs w:val="13"/>
                <w:color w:val="auto"/>
              </w:rPr>
            </w:pPr>
          </w:p>
        </w:tc>
      </w:tr>
      <w:tr>
        <w:trPr>
          <w:trHeight w:val="268"/>
        </w:trPr>
        <w:tc>
          <w:tcPr>
            <w:tcW w:w="5820" w:type="dxa"/>
            <w:vAlign w:val="bottom"/>
          </w:tcPr>
          <w:p>
            <w:pPr>
              <w:ind w:left="60"/>
              <w:spacing w:after="0"/>
              <w:rPr>
                <w:sz w:val="20"/>
                <w:szCs w:val="20"/>
                <w:color w:val="auto"/>
              </w:rPr>
            </w:pPr>
            <w:r>
              <w:rPr>
                <w:rFonts w:ascii="Arial" w:cs="Arial" w:eastAsia="Arial" w:hAnsi="Arial"/>
                <w:sz w:val="14"/>
                <w:szCs w:val="14"/>
                <w:b w:val="1"/>
                <w:bCs w:val="1"/>
                <w:color w:val="auto"/>
              </w:rPr>
              <w:t>TOTAL COMPANY RECONCILIATIONS</w:t>
            </w:r>
          </w:p>
        </w:tc>
        <w:tc>
          <w:tcPr>
            <w:tcW w:w="500" w:type="dxa"/>
            <w:vAlign w:val="bottom"/>
            <w:shd w:val="clear" w:color="auto" w:fill="0063A6"/>
          </w:tcPr>
          <w:p>
            <w:pPr>
              <w:spacing w:after="0"/>
              <w:rPr>
                <w:sz w:val="23"/>
                <w:szCs w:val="23"/>
                <w:color w:val="auto"/>
              </w:rPr>
            </w:pPr>
          </w:p>
        </w:tc>
        <w:tc>
          <w:tcPr>
            <w:tcW w:w="2860" w:type="dxa"/>
            <w:vAlign w:val="bottom"/>
            <w:gridSpan w:val="5"/>
            <w:shd w:val="clear" w:color="auto" w:fill="0063A6"/>
          </w:tcPr>
          <w:p>
            <w:pPr>
              <w:ind w:left="520"/>
              <w:spacing w:after="0"/>
              <w:rPr>
                <w:sz w:val="20"/>
                <w:szCs w:val="20"/>
                <w:color w:val="auto"/>
              </w:rPr>
            </w:pPr>
            <w:r>
              <w:rPr>
                <w:rFonts w:ascii="Arial" w:cs="Arial" w:eastAsia="Arial" w:hAnsi="Arial"/>
                <w:sz w:val="14"/>
                <w:szCs w:val="14"/>
                <w:b w:val="1"/>
                <w:bCs w:val="1"/>
                <w:color w:val="FFFFFF"/>
              </w:rPr>
              <w:t>Year Ended December 31,</w:t>
            </w:r>
          </w:p>
        </w:tc>
      </w:tr>
      <w:tr>
        <w:trPr>
          <w:trHeight w:val="252"/>
        </w:trPr>
        <w:tc>
          <w:tcPr>
            <w:tcW w:w="5820" w:type="dxa"/>
            <w:vAlign w:val="bottom"/>
            <w:tcBorders>
              <w:bottom w:val="single" w:sz="8" w:color="0063A6"/>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0063A6"/>
            </w:tcBorders>
            <w:shd w:val="clear" w:color="auto" w:fill="0063A6"/>
          </w:tcPr>
          <w:p>
            <w:pPr>
              <w:spacing w:after="0"/>
              <w:rPr>
                <w:sz w:val="21"/>
                <w:szCs w:val="21"/>
                <w:color w:val="auto"/>
              </w:rPr>
            </w:pPr>
          </w:p>
        </w:tc>
        <w:tc>
          <w:tcPr>
            <w:tcW w:w="900" w:type="dxa"/>
            <w:vAlign w:val="bottom"/>
            <w:tcBorders>
              <w:bottom w:val="single" w:sz="8" w:color="0063A6"/>
            </w:tcBorders>
            <w:shd w:val="clear" w:color="auto" w:fill="0063A6"/>
          </w:tcPr>
          <w:p>
            <w:pPr>
              <w:ind w:left="300"/>
              <w:spacing w:after="0"/>
              <w:rPr>
                <w:sz w:val="20"/>
                <w:szCs w:val="20"/>
                <w:color w:val="auto"/>
              </w:rPr>
            </w:pPr>
            <w:r>
              <w:rPr>
                <w:rFonts w:ascii="Arial" w:cs="Arial" w:eastAsia="Arial" w:hAnsi="Arial"/>
                <w:sz w:val="14"/>
                <w:szCs w:val="14"/>
                <w:b w:val="1"/>
                <w:bCs w:val="1"/>
                <w:color w:val="FFFFFF"/>
              </w:rPr>
              <w:t>2025</w:t>
            </w:r>
          </w:p>
        </w:tc>
        <w:tc>
          <w:tcPr>
            <w:tcW w:w="980" w:type="dxa"/>
            <w:vAlign w:val="bottom"/>
            <w:tcBorders>
              <w:bottom w:val="single" w:sz="8" w:color="0063A6"/>
            </w:tcBorders>
            <w:shd w:val="clear" w:color="auto" w:fill="0063A6"/>
          </w:tcPr>
          <w:p>
            <w:pPr>
              <w:spacing w:after="0"/>
              <w:rPr>
                <w:sz w:val="21"/>
                <w:szCs w:val="21"/>
                <w:color w:val="auto"/>
              </w:rPr>
            </w:pPr>
          </w:p>
        </w:tc>
        <w:tc>
          <w:tcPr>
            <w:tcW w:w="260" w:type="dxa"/>
            <w:vAlign w:val="bottom"/>
            <w:tcBorders>
              <w:bottom w:val="single" w:sz="8" w:color="0063A6"/>
            </w:tcBorders>
            <w:shd w:val="clear" w:color="auto" w:fill="0063A6"/>
          </w:tcPr>
          <w:p>
            <w:pPr>
              <w:spacing w:after="0"/>
              <w:rPr>
                <w:sz w:val="21"/>
                <w:szCs w:val="21"/>
                <w:color w:val="auto"/>
              </w:rPr>
            </w:pPr>
          </w:p>
        </w:tc>
        <w:tc>
          <w:tcPr>
            <w:tcW w:w="660" w:type="dxa"/>
            <w:vAlign w:val="bottom"/>
            <w:tcBorders>
              <w:bottom w:val="single" w:sz="8" w:color="0063A6"/>
            </w:tcBorders>
            <w:shd w:val="clear" w:color="auto" w:fill="0063A6"/>
          </w:tcPr>
          <w:p>
            <w:pPr>
              <w:ind w:left="40"/>
              <w:spacing w:after="0"/>
              <w:rPr>
                <w:sz w:val="20"/>
                <w:szCs w:val="20"/>
                <w:color w:val="auto"/>
              </w:rPr>
            </w:pPr>
            <w:r>
              <w:rPr>
                <w:rFonts w:ascii="Arial" w:cs="Arial" w:eastAsia="Arial" w:hAnsi="Arial"/>
                <w:sz w:val="14"/>
                <w:szCs w:val="14"/>
                <w:b w:val="1"/>
                <w:bCs w:val="1"/>
                <w:color w:val="FFFFFF"/>
              </w:rPr>
              <w:t>2024</w:t>
            </w:r>
          </w:p>
        </w:tc>
        <w:tc>
          <w:tcPr>
            <w:tcW w:w="60" w:type="dxa"/>
            <w:vAlign w:val="bottom"/>
            <w:tcBorders>
              <w:bottom w:val="single" w:sz="8" w:color="0063A6"/>
            </w:tcBorders>
            <w:shd w:val="clear" w:color="auto" w:fill="0063A6"/>
          </w:tcPr>
          <w:p>
            <w:pPr>
              <w:spacing w:after="0"/>
              <w:rPr>
                <w:sz w:val="21"/>
                <w:szCs w:val="21"/>
                <w:color w:val="auto"/>
              </w:rPr>
            </w:pPr>
          </w:p>
        </w:tc>
      </w:tr>
      <w:tr>
        <w:trPr>
          <w:trHeight w:val="249"/>
        </w:trPr>
        <w:tc>
          <w:tcPr>
            <w:tcW w:w="632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ADJUSTED EBITDA</w:t>
            </w: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
        </w:trPr>
        <w:tc>
          <w:tcPr>
            <w:tcW w:w="6320" w:type="dxa"/>
            <w:vAlign w:val="bottom"/>
            <w:tcBorders>
              <w:bottom w:val="single" w:sz="8" w:color="5D6673"/>
            </w:tcBorders>
            <w:gridSpan w:val="2"/>
          </w:tcPr>
          <w:p>
            <w:pPr>
              <w:spacing w:after="0" w:line="20" w:lineRule="exact"/>
              <w:rPr>
                <w:sz w:val="1"/>
                <w:szCs w:val="1"/>
                <w:color w:val="auto"/>
              </w:rPr>
            </w:pPr>
          </w:p>
        </w:tc>
        <w:tc>
          <w:tcPr>
            <w:tcW w:w="90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gridSpan w:val="2"/>
          </w:tcPr>
          <w:p>
            <w:pPr>
              <w:spacing w:after="0" w:line="20" w:lineRule="exact"/>
              <w:rPr>
                <w:sz w:val="1"/>
                <w:szCs w:val="1"/>
                <w:color w:val="auto"/>
              </w:rPr>
            </w:pPr>
          </w:p>
        </w:tc>
        <w:tc>
          <w:tcPr>
            <w:tcW w:w="660" w:type="dxa"/>
            <w:vAlign w:val="bottom"/>
            <w:tcBorders>
              <w:bottom w:val="single" w:sz="8" w:color="5D6673"/>
            </w:tcBorders>
          </w:tcPr>
          <w:p>
            <w:pPr>
              <w:spacing w:after="0" w:line="20" w:lineRule="exact"/>
              <w:rPr>
                <w:sz w:val="1"/>
                <w:szCs w:val="1"/>
                <w:color w:val="auto"/>
              </w:rPr>
            </w:pPr>
          </w:p>
        </w:tc>
        <w:tc>
          <w:tcPr>
            <w:tcW w:w="60" w:type="dxa"/>
            <w:vAlign w:val="bottom"/>
            <w:tcBorders>
              <w:bottom w:val="single" w:sz="8" w:color="5D6673"/>
            </w:tcBorders>
          </w:tcPr>
          <w:p>
            <w:pPr>
              <w:spacing w:after="0" w:line="20" w:lineRule="exact"/>
              <w:rPr>
                <w:sz w:val="1"/>
                <w:szCs w:val="1"/>
                <w:color w:val="auto"/>
              </w:rPr>
            </w:pPr>
          </w:p>
        </w:tc>
      </w:tr>
      <w:tr>
        <w:trPr>
          <w:trHeight w:val="235"/>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GAAP net income attributable to Itron, Inc.</w:t>
            </w:r>
          </w:p>
        </w:tc>
        <w:tc>
          <w:tcPr>
            <w:tcW w:w="900" w:type="dxa"/>
            <w:vAlign w:val="bottom"/>
          </w:tcPr>
          <w:p>
            <w:pPr>
              <w:jc w:val="right"/>
              <w:spacing w:after="0"/>
              <w:rPr>
                <w:sz w:val="20"/>
                <w:szCs w:val="20"/>
                <w:color w:val="auto"/>
              </w:rPr>
            </w:pPr>
            <w:r>
              <w:rPr>
                <w:rFonts w:ascii="Arial" w:cs="Arial" w:eastAsia="Arial" w:hAnsi="Arial"/>
                <w:sz w:val="16"/>
                <w:szCs w:val="16"/>
                <w:color w:val="auto"/>
              </w:rPr>
              <w:t>$301,055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6"/>
              </w:rPr>
              <w:t>239,105</w:t>
            </w:r>
          </w:p>
        </w:tc>
        <w:tc>
          <w:tcPr>
            <w:tcW w:w="60" w:type="dxa"/>
            <w:vAlign w:val="bottom"/>
          </w:tcPr>
          <w:p>
            <w:pPr>
              <w:spacing w:after="0"/>
              <w:rPr>
                <w:sz w:val="20"/>
                <w:szCs w:val="20"/>
                <w:color w:val="auto"/>
              </w:rPr>
            </w:pPr>
          </w:p>
        </w:tc>
      </w:tr>
      <w:tr>
        <w:trPr>
          <w:trHeight w:val="29"/>
        </w:trPr>
        <w:tc>
          <w:tcPr>
            <w:tcW w:w="6320" w:type="dxa"/>
            <w:vAlign w:val="bottom"/>
            <w:tcBorders>
              <w:bottom w:val="single" w:sz="8" w:color="5D6673"/>
            </w:tcBorders>
            <w:gridSpan w:val="2"/>
          </w:tcPr>
          <w:p>
            <w:pPr>
              <w:spacing w:after="0"/>
              <w:rPr>
                <w:sz w:val="2"/>
                <w:szCs w:val="2"/>
                <w:color w:val="auto"/>
              </w:rPr>
            </w:pPr>
          </w:p>
        </w:tc>
        <w:tc>
          <w:tcPr>
            <w:tcW w:w="900" w:type="dxa"/>
            <w:vAlign w:val="bottom"/>
            <w:tcBorders>
              <w:bottom w:val="single" w:sz="8" w:color="5D6673"/>
            </w:tcBorders>
          </w:tcPr>
          <w:p>
            <w:pPr>
              <w:spacing w:after="0"/>
              <w:rPr>
                <w:sz w:val="2"/>
                <w:szCs w:val="2"/>
                <w:color w:val="auto"/>
              </w:rPr>
            </w:pPr>
          </w:p>
        </w:tc>
        <w:tc>
          <w:tcPr>
            <w:tcW w:w="980" w:type="dxa"/>
            <w:vAlign w:val="bottom"/>
            <w:tcBorders>
              <w:bottom w:val="single" w:sz="8" w:color="5D6673"/>
            </w:tcBorders>
          </w:tcPr>
          <w:p>
            <w:pPr>
              <w:spacing w:after="0"/>
              <w:rPr>
                <w:sz w:val="2"/>
                <w:szCs w:val="2"/>
                <w:color w:val="auto"/>
              </w:rPr>
            </w:pPr>
          </w:p>
        </w:tc>
        <w:tc>
          <w:tcPr>
            <w:tcW w:w="260" w:type="dxa"/>
            <w:vAlign w:val="bottom"/>
            <w:tcBorders>
              <w:bottom w:val="single" w:sz="8" w:color="5D6673"/>
            </w:tcBorders>
          </w:tcPr>
          <w:p>
            <w:pPr>
              <w:spacing w:after="0"/>
              <w:rPr>
                <w:sz w:val="2"/>
                <w:szCs w:val="2"/>
                <w:color w:val="auto"/>
              </w:rPr>
            </w:pPr>
          </w:p>
        </w:tc>
        <w:tc>
          <w:tcPr>
            <w:tcW w:w="66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r>
      <w:tr>
        <w:trPr>
          <w:trHeight w:val="235"/>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Interest income</w:t>
            </w:r>
          </w:p>
        </w:tc>
        <w:tc>
          <w:tcPr>
            <w:tcW w:w="900" w:type="dxa"/>
            <w:vAlign w:val="bottom"/>
          </w:tcPr>
          <w:p>
            <w:pPr>
              <w:ind w:left="300"/>
              <w:spacing w:after="0"/>
              <w:rPr>
                <w:sz w:val="20"/>
                <w:szCs w:val="20"/>
                <w:color w:val="auto"/>
              </w:rPr>
            </w:pPr>
            <w:r>
              <w:rPr>
                <w:rFonts w:ascii="Arial" w:cs="Arial" w:eastAsia="Arial" w:hAnsi="Arial"/>
                <w:sz w:val="16"/>
                <w:szCs w:val="16"/>
                <w:color w:val="auto"/>
                <w:w w:val="97"/>
              </w:rPr>
              <w:t>(48,376)</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(34,577)</w:t>
            </w:r>
          </w:p>
        </w:tc>
        <w:tc>
          <w:tcPr>
            <w:tcW w:w="60" w:type="dxa"/>
            <w:vAlign w:val="bottom"/>
          </w:tcPr>
          <w:p>
            <w:pPr>
              <w:spacing w:after="0"/>
              <w:rPr>
                <w:sz w:val="20"/>
                <w:szCs w:val="20"/>
                <w:color w:val="auto"/>
              </w:rPr>
            </w:pPr>
          </w:p>
        </w:tc>
      </w:tr>
      <w:tr>
        <w:trPr>
          <w:trHeight w:val="29"/>
        </w:trPr>
        <w:tc>
          <w:tcPr>
            <w:tcW w:w="6320" w:type="dxa"/>
            <w:vAlign w:val="bottom"/>
            <w:tcBorders>
              <w:bottom w:val="single" w:sz="8" w:color="5D6673"/>
            </w:tcBorders>
            <w:gridSpan w:val="2"/>
          </w:tcPr>
          <w:p>
            <w:pPr>
              <w:spacing w:after="0"/>
              <w:rPr>
                <w:sz w:val="2"/>
                <w:szCs w:val="2"/>
                <w:color w:val="auto"/>
              </w:rPr>
            </w:pPr>
          </w:p>
        </w:tc>
        <w:tc>
          <w:tcPr>
            <w:tcW w:w="900" w:type="dxa"/>
            <w:vAlign w:val="bottom"/>
            <w:tcBorders>
              <w:bottom w:val="single" w:sz="8" w:color="5D6673"/>
            </w:tcBorders>
          </w:tcPr>
          <w:p>
            <w:pPr>
              <w:spacing w:after="0"/>
              <w:rPr>
                <w:sz w:val="2"/>
                <w:szCs w:val="2"/>
                <w:color w:val="auto"/>
              </w:rPr>
            </w:pPr>
          </w:p>
        </w:tc>
        <w:tc>
          <w:tcPr>
            <w:tcW w:w="980" w:type="dxa"/>
            <w:vAlign w:val="bottom"/>
            <w:tcBorders>
              <w:bottom w:val="single" w:sz="8" w:color="5D6673"/>
            </w:tcBorders>
          </w:tcPr>
          <w:p>
            <w:pPr>
              <w:spacing w:after="0"/>
              <w:rPr>
                <w:sz w:val="2"/>
                <w:szCs w:val="2"/>
                <w:color w:val="auto"/>
              </w:rPr>
            </w:pPr>
          </w:p>
        </w:tc>
        <w:tc>
          <w:tcPr>
            <w:tcW w:w="260" w:type="dxa"/>
            <w:vAlign w:val="bottom"/>
            <w:tcBorders>
              <w:bottom w:val="single" w:sz="8" w:color="5D6673"/>
            </w:tcBorders>
          </w:tcPr>
          <w:p>
            <w:pPr>
              <w:spacing w:after="0"/>
              <w:rPr>
                <w:sz w:val="2"/>
                <w:szCs w:val="2"/>
                <w:color w:val="auto"/>
              </w:rPr>
            </w:pPr>
          </w:p>
        </w:tc>
        <w:tc>
          <w:tcPr>
            <w:tcW w:w="66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r>
      <w:tr>
        <w:trPr>
          <w:trHeight w:val="235"/>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22,451</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15,379</w:t>
            </w:r>
          </w:p>
        </w:tc>
        <w:tc>
          <w:tcPr>
            <w:tcW w:w="60" w:type="dxa"/>
            <w:vAlign w:val="bottom"/>
          </w:tcPr>
          <w:p>
            <w:pPr>
              <w:spacing w:after="0"/>
              <w:rPr>
                <w:sz w:val="20"/>
                <w:szCs w:val="20"/>
                <w:color w:val="auto"/>
              </w:rPr>
            </w:pPr>
          </w:p>
        </w:tc>
      </w:tr>
      <w:tr>
        <w:trPr>
          <w:trHeight w:val="29"/>
        </w:trPr>
        <w:tc>
          <w:tcPr>
            <w:tcW w:w="6320" w:type="dxa"/>
            <w:vAlign w:val="bottom"/>
            <w:tcBorders>
              <w:bottom w:val="single" w:sz="8" w:color="5D6673"/>
            </w:tcBorders>
            <w:gridSpan w:val="2"/>
          </w:tcPr>
          <w:p>
            <w:pPr>
              <w:spacing w:after="0"/>
              <w:rPr>
                <w:sz w:val="2"/>
                <w:szCs w:val="2"/>
                <w:color w:val="auto"/>
              </w:rPr>
            </w:pPr>
          </w:p>
        </w:tc>
        <w:tc>
          <w:tcPr>
            <w:tcW w:w="900" w:type="dxa"/>
            <w:vAlign w:val="bottom"/>
            <w:tcBorders>
              <w:bottom w:val="single" w:sz="8" w:color="5D6673"/>
            </w:tcBorders>
          </w:tcPr>
          <w:p>
            <w:pPr>
              <w:spacing w:after="0"/>
              <w:rPr>
                <w:sz w:val="2"/>
                <w:szCs w:val="2"/>
                <w:color w:val="auto"/>
              </w:rPr>
            </w:pPr>
          </w:p>
        </w:tc>
        <w:tc>
          <w:tcPr>
            <w:tcW w:w="980" w:type="dxa"/>
            <w:vAlign w:val="bottom"/>
            <w:tcBorders>
              <w:bottom w:val="single" w:sz="8" w:color="5D6673"/>
            </w:tcBorders>
          </w:tcPr>
          <w:p>
            <w:pPr>
              <w:spacing w:after="0"/>
              <w:rPr>
                <w:sz w:val="2"/>
                <w:szCs w:val="2"/>
                <w:color w:val="auto"/>
              </w:rPr>
            </w:pPr>
          </w:p>
        </w:tc>
        <w:tc>
          <w:tcPr>
            <w:tcW w:w="260" w:type="dxa"/>
            <w:vAlign w:val="bottom"/>
            <w:tcBorders>
              <w:bottom w:val="single" w:sz="8" w:color="5D6673"/>
            </w:tcBorders>
          </w:tcPr>
          <w:p>
            <w:pPr>
              <w:spacing w:after="0"/>
              <w:rPr>
                <w:sz w:val="2"/>
                <w:szCs w:val="2"/>
                <w:color w:val="auto"/>
              </w:rPr>
            </w:pPr>
          </w:p>
        </w:tc>
        <w:tc>
          <w:tcPr>
            <w:tcW w:w="66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r>
      <w:tr>
        <w:trPr>
          <w:trHeight w:val="235"/>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Income tax provision</w:t>
            </w:r>
          </w:p>
        </w:tc>
        <w:tc>
          <w:tcPr>
            <w:tcW w:w="900" w:type="dxa"/>
            <w:vAlign w:val="bottom"/>
          </w:tcPr>
          <w:p>
            <w:pPr>
              <w:jc w:val="right"/>
              <w:spacing w:after="0"/>
              <w:rPr>
                <w:sz w:val="20"/>
                <w:szCs w:val="20"/>
                <w:color w:val="auto"/>
              </w:rPr>
            </w:pPr>
            <w:r>
              <w:rPr>
                <w:rFonts w:ascii="Arial" w:cs="Arial" w:eastAsia="Arial" w:hAnsi="Arial"/>
                <w:sz w:val="16"/>
                <w:szCs w:val="16"/>
                <w:color w:val="auto"/>
              </w:rPr>
              <w:t>38,932</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43,407</w:t>
            </w:r>
          </w:p>
        </w:tc>
        <w:tc>
          <w:tcPr>
            <w:tcW w:w="60" w:type="dxa"/>
            <w:vAlign w:val="bottom"/>
          </w:tcPr>
          <w:p>
            <w:pPr>
              <w:spacing w:after="0"/>
              <w:rPr>
                <w:sz w:val="20"/>
                <w:szCs w:val="20"/>
                <w:color w:val="auto"/>
              </w:rPr>
            </w:pPr>
          </w:p>
        </w:tc>
      </w:tr>
      <w:tr>
        <w:trPr>
          <w:trHeight w:val="29"/>
        </w:trPr>
        <w:tc>
          <w:tcPr>
            <w:tcW w:w="6320" w:type="dxa"/>
            <w:vAlign w:val="bottom"/>
            <w:tcBorders>
              <w:bottom w:val="single" w:sz="8" w:color="5D6673"/>
            </w:tcBorders>
            <w:gridSpan w:val="2"/>
          </w:tcPr>
          <w:p>
            <w:pPr>
              <w:spacing w:after="0"/>
              <w:rPr>
                <w:sz w:val="2"/>
                <w:szCs w:val="2"/>
                <w:color w:val="auto"/>
              </w:rPr>
            </w:pPr>
          </w:p>
        </w:tc>
        <w:tc>
          <w:tcPr>
            <w:tcW w:w="900" w:type="dxa"/>
            <w:vAlign w:val="bottom"/>
            <w:tcBorders>
              <w:bottom w:val="single" w:sz="8" w:color="5D6673"/>
            </w:tcBorders>
          </w:tcPr>
          <w:p>
            <w:pPr>
              <w:spacing w:after="0"/>
              <w:rPr>
                <w:sz w:val="2"/>
                <w:szCs w:val="2"/>
                <w:color w:val="auto"/>
              </w:rPr>
            </w:pPr>
          </w:p>
        </w:tc>
        <w:tc>
          <w:tcPr>
            <w:tcW w:w="980" w:type="dxa"/>
            <w:vAlign w:val="bottom"/>
            <w:tcBorders>
              <w:bottom w:val="single" w:sz="8" w:color="5D6673"/>
            </w:tcBorders>
          </w:tcPr>
          <w:p>
            <w:pPr>
              <w:spacing w:after="0"/>
              <w:rPr>
                <w:sz w:val="2"/>
                <w:szCs w:val="2"/>
                <w:color w:val="auto"/>
              </w:rPr>
            </w:pPr>
          </w:p>
        </w:tc>
        <w:tc>
          <w:tcPr>
            <w:tcW w:w="260" w:type="dxa"/>
            <w:vAlign w:val="bottom"/>
            <w:tcBorders>
              <w:bottom w:val="single" w:sz="8" w:color="5D6673"/>
            </w:tcBorders>
          </w:tcPr>
          <w:p>
            <w:pPr>
              <w:spacing w:after="0"/>
              <w:rPr>
                <w:sz w:val="2"/>
                <w:szCs w:val="2"/>
                <w:color w:val="auto"/>
              </w:rPr>
            </w:pPr>
          </w:p>
        </w:tc>
        <w:tc>
          <w:tcPr>
            <w:tcW w:w="66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r>
      <w:tr>
        <w:trPr>
          <w:trHeight w:val="235"/>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6"/>
                <w:szCs w:val="16"/>
                <w:color w:val="auto"/>
              </w:rPr>
              <w:t>49,517</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56,277</w:t>
            </w:r>
          </w:p>
        </w:tc>
        <w:tc>
          <w:tcPr>
            <w:tcW w:w="60" w:type="dxa"/>
            <w:vAlign w:val="bottom"/>
          </w:tcPr>
          <w:p>
            <w:pPr>
              <w:spacing w:after="0"/>
              <w:rPr>
                <w:sz w:val="20"/>
                <w:szCs w:val="20"/>
                <w:color w:val="auto"/>
              </w:rPr>
            </w:pPr>
          </w:p>
        </w:tc>
      </w:tr>
      <w:tr>
        <w:trPr>
          <w:trHeight w:val="29"/>
        </w:trPr>
        <w:tc>
          <w:tcPr>
            <w:tcW w:w="6320" w:type="dxa"/>
            <w:vAlign w:val="bottom"/>
            <w:tcBorders>
              <w:bottom w:val="single" w:sz="8" w:color="5D6673"/>
            </w:tcBorders>
            <w:gridSpan w:val="2"/>
          </w:tcPr>
          <w:p>
            <w:pPr>
              <w:spacing w:after="0"/>
              <w:rPr>
                <w:sz w:val="2"/>
                <w:szCs w:val="2"/>
                <w:color w:val="auto"/>
              </w:rPr>
            </w:pPr>
          </w:p>
        </w:tc>
        <w:tc>
          <w:tcPr>
            <w:tcW w:w="900" w:type="dxa"/>
            <w:vAlign w:val="bottom"/>
            <w:tcBorders>
              <w:bottom w:val="single" w:sz="8" w:color="5D6673"/>
            </w:tcBorders>
          </w:tcPr>
          <w:p>
            <w:pPr>
              <w:spacing w:after="0"/>
              <w:rPr>
                <w:sz w:val="2"/>
                <w:szCs w:val="2"/>
                <w:color w:val="auto"/>
              </w:rPr>
            </w:pPr>
          </w:p>
        </w:tc>
        <w:tc>
          <w:tcPr>
            <w:tcW w:w="980" w:type="dxa"/>
            <w:vAlign w:val="bottom"/>
            <w:tcBorders>
              <w:bottom w:val="single" w:sz="8" w:color="5D6673"/>
            </w:tcBorders>
          </w:tcPr>
          <w:p>
            <w:pPr>
              <w:spacing w:after="0"/>
              <w:rPr>
                <w:sz w:val="2"/>
                <w:szCs w:val="2"/>
                <w:color w:val="auto"/>
              </w:rPr>
            </w:pPr>
          </w:p>
        </w:tc>
        <w:tc>
          <w:tcPr>
            <w:tcW w:w="260" w:type="dxa"/>
            <w:vAlign w:val="bottom"/>
            <w:tcBorders>
              <w:bottom w:val="single" w:sz="8" w:color="5D6673"/>
            </w:tcBorders>
          </w:tcPr>
          <w:p>
            <w:pPr>
              <w:spacing w:after="0"/>
              <w:rPr>
                <w:sz w:val="2"/>
                <w:szCs w:val="2"/>
                <w:color w:val="auto"/>
              </w:rPr>
            </w:pPr>
          </w:p>
        </w:tc>
        <w:tc>
          <w:tcPr>
            <w:tcW w:w="66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r>
      <w:tr>
        <w:trPr>
          <w:trHeight w:val="235"/>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Restructuring</w:t>
            </w:r>
          </w:p>
        </w:tc>
        <w:tc>
          <w:tcPr>
            <w:tcW w:w="900" w:type="dxa"/>
            <w:vAlign w:val="bottom"/>
          </w:tcPr>
          <w:p>
            <w:pPr>
              <w:jc w:val="right"/>
              <w:spacing w:after="0"/>
              <w:rPr>
                <w:sz w:val="20"/>
                <w:szCs w:val="20"/>
                <w:color w:val="auto"/>
              </w:rPr>
            </w:pPr>
            <w:r>
              <w:rPr>
                <w:rFonts w:ascii="Arial" w:cs="Arial" w:eastAsia="Arial" w:hAnsi="Arial"/>
                <w:sz w:val="16"/>
                <w:szCs w:val="16"/>
                <w:color w:val="auto"/>
              </w:rPr>
              <w:t>931</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2,679</w:t>
            </w:r>
          </w:p>
        </w:tc>
        <w:tc>
          <w:tcPr>
            <w:tcW w:w="60" w:type="dxa"/>
            <w:vAlign w:val="bottom"/>
          </w:tcPr>
          <w:p>
            <w:pPr>
              <w:spacing w:after="0"/>
              <w:rPr>
                <w:sz w:val="20"/>
                <w:szCs w:val="20"/>
                <w:color w:val="auto"/>
              </w:rPr>
            </w:pPr>
          </w:p>
        </w:tc>
      </w:tr>
      <w:tr>
        <w:trPr>
          <w:trHeight w:val="29"/>
        </w:trPr>
        <w:tc>
          <w:tcPr>
            <w:tcW w:w="6320" w:type="dxa"/>
            <w:vAlign w:val="bottom"/>
            <w:tcBorders>
              <w:bottom w:val="single" w:sz="8" w:color="5D6673"/>
            </w:tcBorders>
            <w:gridSpan w:val="2"/>
          </w:tcPr>
          <w:p>
            <w:pPr>
              <w:spacing w:after="0"/>
              <w:rPr>
                <w:sz w:val="2"/>
                <w:szCs w:val="2"/>
                <w:color w:val="auto"/>
              </w:rPr>
            </w:pPr>
          </w:p>
        </w:tc>
        <w:tc>
          <w:tcPr>
            <w:tcW w:w="900" w:type="dxa"/>
            <w:vAlign w:val="bottom"/>
            <w:tcBorders>
              <w:bottom w:val="single" w:sz="8" w:color="5D6673"/>
            </w:tcBorders>
          </w:tcPr>
          <w:p>
            <w:pPr>
              <w:spacing w:after="0"/>
              <w:rPr>
                <w:sz w:val="2"/>
                <w:szCs w:val="2"/>
                <w:color w:val="auto"/>
              </w:rPr>
            </w:pPr>
          </w:p>
        </w:tc>
        <w:tc>
          <w:tcPr>
            <w:tcW w:w="980" w:type="dxa"/>
            <w:vAlign w:val="bottom"/>
            <w:tcBorders>
              <w:bottom w:val="single" w:sz="8" w:color="5D6673"/>
            </w:tcBorders>
          </w:tcPr>
          <w:p>
            <w:pPr>
              <w:spacing w:after="0"/>
              <w:rPr>
                <w:sz w:val="2"/>
                <w:szCs w:val="2"/>
                <w:color w:val="auto"/>
              </w:rPr>
            </w:pPr>
          </w:p>
        </w:tc>
        <w:tc>
          <w:tcPr>
            <w:tcW w:w="260" w:type="dxa"/>
            <w:vAlign w:val="bottom"/>
            <w:tcBorders>
              <w:bottom w:val="single" w:sz="8" w:color="5D6673"/>
            </w:tcBorders>
          </w:tcPr>
          <w:p>
            <w:pPr>
              <w:spacing w:after="0"/>
              <w:rPr>
                <w:sz w:val="2"/>
                <w:szCs w:val="2"/>
                <w:color w:val="auto"/>
              </w:rPr>
            </w:pPr>
          </w:p>
        </w:tc>
        <w:tc>
          <w:tcPr>
            <w:tcW w:w="66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r>
      <w:tr>
        <w:trPr>
          <w:trHeight w:val="235"/>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Loss on sale of business</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597</w:t>
            </w:r>
          </w:p>
        </w:tc>
        <w:tc>
          <w:tcPr>
            <w:tcW w:w="60" w:type="dxa"/>
            <w:vAlign w:val="bottom"/>
          </w:tcPr>
          <w:p>
            <w:pPr>
              <w:spacing w:after="0"/>
              <w:rPr>
                <w:sz w:val="20"/>
                <w:szCs w:val="20"/>
                <w:color w:val="auto"/>
              </w:rPr>
            </w:pPr>
          </w:p>
        </w:tc>
      </w:tr>
      <w:tr>
        <w:trPr>
          <w:trHeight w:val="29"/>
        </w:trPr>
        <w:tc>
          <w:tcPr>
            <w:tcW w:w="6320" w:type="dxa"/>
            <w:vAlign w:val="bottom"/>
            <w:tcBorders>
              <w:bottom w:val="single" w:sz="8" w:color="5D6673"/>
            </w:tcBorders>
            <w:gridSpan w:val="2"/>
          </w:tcPr>
          <w:p>
            <w:pPr>
              <w:spacing w:after="0"/>
              <w:rPr>
                <w:sz w:val="2"/>
                <w:szCs w:val="2"/>
                <w:color w:val="auto"/>
              </w:rPr>
            </w:pPr>
          </w:p>
        </w:tc>
        <w:tc>
          <w:tcPr>
            <w:tcW w:w="900" w:type="dxa"/>
            <w:vAlign w:val="bottom"/>
            <w:tcBorders>
              <w:bottom w:val="single" w:sz="8" w:color="5D6673"/>
            </w:tcBorders>
          </w:tcPr>
          <w:p>
            <w:pPr>
              <w:spacing w:after="0"/>
              <w:rPr>
                <w:sz w:val="2"/>
                <w:szCs w:val="2"/>
                <w:color w:val="auto"/>
              </w:rPr>
            </w:pPr>
          </w:p>
        </w:tc>
        <w:tc>
          <w:tcPr>
            <w:tcW w:w="980" w:type="dxa"/>
            <w:vAlign w:val="bottom"/>
            <w:tcBorders>
              <w:bottom w:val="single" w:sz="8" w:color="5D6673"/>
            </w:tcBorders>
          </w:tcPr>
          <w:p>
            <w:pPr>
              <w:spacing w:after="0"/>
              <w:rPr>
                <w:sz w:val="2"/>
                <w:szCs w:val="2"/>
                <w:color w:val="auto"/>
              </w:rPr>
            </w:pPr>
          </w:p>
        </w:tc>
        <w:tc>
          <w:tcPr>
            <w:tcW w:w="260" w:type="dxa"/>
            <w:vAlign w:val="bottom"/>
            <w:tcBorders>
              <w:bottom w:val="single" w:sz="8" w:color="5D6673"/>
            </w:tcBorders>
          </w:tcPr>
          <w:p>
            <w:pPr>
              <w:spacing w:after="0"/>
              <w:rPr>
                <w:sz w:val="2"/>
                <w:szCs w:val="2"/>
                <w:color w:val="auto"/>
              </w:rPr>
            </w:pPr>
          </w:p>
        </w:tc>
        <w:tc>
          <w:tcPr>
            <w:tcW w:w="720" w:type="dxa"/>
            <w:vAlign w:val="bottom"/>
            <w:tcBorders>
              <w:bottom w:val="single" w:sz="8" w:color="5D6673"/>
            </w:tcBorders>
            <w:gridSpan w:val="2"/>
          </w:tcPr>
          <w:p>
            <w:pPr>
              <w:spacing w:after="0"/>
              <w:rPr>
                <w:sz w:val="2"/>
                <w:szCs w:val="2"/>
                <w:color w:val="auto"/>
              </w:rPr>
            </w:pPr>
          </w:p>
        </w:tc>
      </w:tr>
      <w:tr>
        <w:trPr>
          <w:trHeight w:val="235"/>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Strategic initiative</w:t>
            </w:r>
          </w:p>
        </w:tc>
        <w:tc>
          <w:tcPr>
            <w:tcW w:w="900" w:type="dxa"/>
            <w:vAlign w:val="bottom"/>
          </w:tcPr>
          <w:p>
            <w:pPr>
              <w:jc w:val="right"/>
              <w:spacing w:after="0"/>
              <w:rPr>
                <w:sz w:val="20"/>
                <w:szCs w:val="20"/>
                <w:color w:val="auto"/>
              </w:rPr>
            </w:pPr>
            <w:r>
              <w:rPr>
                <w:rFonts w:ascii="Arial" w:cs="Arial" w:eastAsia="Arial" w:hAnsi="Arial"/>
                <w:sz w:val="16"/>
                <w:szCs w:val="16"/>
                <w:color w:val="auto"/>
              </w:rPr>
              <w:t>1,736</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9"/>
        </w:trPr>
        <w:tc>
          <w:tcPr>
            <w:tcW w:w="6320" w:type="dxa"/>
            <w:vAlign w:val="bottom"/>
            <w:tcBorders>
              <w:bottom w:val="single" w:sz="8" w:color="5D6673"/>
            </w:tcBorders>
            <w:gridSpan w:val="2"/>
          </w:tcPr>
          <w:p>
            <w:pPr>
              <w:spacing w:after="0"/>
              <w:rPr>
                <w:sz w:val="2"/>
                <w:szCs w:val="2"/>
                <w:color w:val="auto"/>
              </w:rPr>
            </w:pPr>
          </w:p>
        </w:tc>
        <w:tc>
          <w:tcPr>
            <w:tcW w:w="900" w:type="dxa"/>
            <w:vAlign w:val="bottom"/>
            <w:tcBorders>
              <w:bottom w:val="single" w:sz="8" w:color="5D6673"/>
            </w:tcBorders>
          </w:tcPr>
          <w:p>
            <w:pPr>
              <w:spacing w:after="0"/>
              <w:rPr>
                <w:sz w:val="2"/>
                <w:szCs w:val="2"/>
                <w:color w:val="auto"/>
              </w:rPr>
            </w:pPr>
          </w:p>
        </w:tc>
        <w:tc>
          <w:tcPr>
            <w:tcW w:w="980" w:type="dxa"/>
            <w:vAlign w:val="bottom"/>
            <w:tcBorders>
              <w:bottom w:val="single" w:sz="8" w:color="5D6673"/>
            </w:tcBorders>
          </w:tcPr>
          <w:p>
            <w:pPr>
              <w:spacing w:after="0"/>
              <w:rPr>
                <w:sz w:val="2"/>
                <w:szCs w:val="2"/>
                <w:color w:val="auto"/>
              </w:rPr>
            </w:pPr>
          </w:p>
        </w:tc>
        <w:tc>
          <w:tcPr>
            <w:tcW w:w="260" w:type="dxa"/>
            <w:vAlign w:val="bottom"/>
            <w:tcBorders>
              <w:bottom w:val="single" w:sz="8" w:color="5D6673"/>
            </w:tcBorders>
          </w:tcPr>
          <w:p>
            <w:pPr>
              <w:spacing w:after="0"/>
              <w:rPr>
                <w:sz w:val="2"/>
                <w:szCs w:val="2"/>
                <w:color w:val="auto"/>
              </w:rPr>
            </w:pPr>
          </w:p>
        </w:tc>
        <w:tc>
          <w:tcPr>
            <w:tcW w:w="66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r>
      <w:tr>
        <w:trPr>
          <w:trHeight w:val="23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Acquisition and integration</w:t>
            </w:r>
          </w:p>
        </w:tc>
        <w:tc>
          <w:tcPr>
            <w:tcW w:w="900" w:type="dxa"/>
            <w:vAlign w:val="bottom"/>
          </w:tcPr>
          <w:p>
            <w:pPr>
              <w:jc w:val="right"/>
              <w:spacing w:after="0"/>
              <w:rPr>
                <w:sz w:val="20"/>
                <w:szCs w:val="20"/>
                <w:color w:val="auto"/>
              </w:rPr>
            </w:pPr>
            <w:r>
              <w:rPr>
                <w:rFonts w:ascii="Arial" w:cs="Arial" w:eastAsia="Arial" w:hAnsi="Arial"/>
                <w:sz w:val="16"/>
                <w:szCs w:val="16"/>
                <w:color w:val="auto"/>
              </w:rPr>
              <w:t>7,433</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723</w:t>
            </w:r>
          </w:p>
        </w:tc>
        <w:tc>
          <w:tcPr>
            <w:tcW w:w="60" w:type="dxa"/>
            <w:vAlign w:val="bottom"/>
          </w:tcPr>
          <w:p>
            <w:pPr>
              <w:spacing w:after="0"/>
              <w:rPr>
                <w:sz w:val="20"/>
                <w:szCs w:val="20"/>
                <w:color w:val="auto"/>
              </w:rPr>
            </w:pPr>
          </w:p>
        </w:tc>
      </w:tr>
      <w:tr>
        <w:trPr>
          <w:trHeight w:val="29"/>
        </w:trPr>
        <w:tc>
          <w:tcPr>
            <w:tcW w:w="5820" w:type="dxa"/>
            <w:vAlign w:val="bottom"/>
            <w:tcBorders>
              <w:bottom w:val="single" w:sz="8" w:color="5D6673"/>
            </w:tcBorders>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Borders>
              <w:bottom w:val="single" w:sz="8" w:color="0063A6"/>
            </w:tcBorders>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Borders>
              <w:bottom w:val="single" w:sz="8" w:color="0063A6"/>
            </w:tcBorders>
          </w:tcPr>
          <w:p>
            <w:pPr>
              <w:spacing w:after="0"/>
              <w:rPr>
                <w:sz w:val="2"/>
                <w:szCs w:val="2"/>
                <w:color w:val="auto"/>
              </w:rPr>
            </w:pPr>
          </w:p>
        </w:tc>
        <w:tc>
          <w:tcPr>
            <w:tcW w:w="660" w:type="dxa"/>
            <w:vAlign w:val="bottom"/>
            <w:tcBorders>
              <w:bottom w:val="single" w:sz="8" w:color="0063A6"/>
            </w:tcBorders>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320" w:type="dxa"/>
            <w:vAlign w:val="bottom"/>
            <w:tcBorders>
              <w:bottom w:val="single" w:sz="8" w:color="0063A6"/>
            </w:tcBorders>
            <w:gridSpan w:val="2"/>
          </w:tcPr>
          <w:p>
            <w:pPr>
              <w:ind w:left="240"/>
              <w:spacing w:after="0"/>
              <w:rPr>
                <w:sz w:val="20"/>
                <w:szCs w:val="20"/>
                <w:color w:val="auto"/>
              </w:rPr>
            </w:pPr>
            <w:r>
              <w:rPr>
                <w:rFonts w:ascii="Arial" w:cs="Arial" w:eastAsia="Arial" w:hAnsi="Arial"/>
                <w:sz w:val="16"/>
                <w:szCs w:val="16"/>
                <w:color w:val="auto"/>
              </w:rPr>
              <w:t>Adjusted EBITDA</w:t>
            </w:r>
          </w:p>
        </w:tc>
        <w:tc>
          <w:tcPr>
            <w:tcW w:w="90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$373,758</w:t>
            </w:r>
          </w:p>
        </w:tc>
        <w:tc>
          <w:tcPr>
            <w:tcW w:w="1240" w:type="dxa"/>
            <w:vAlign w:val="bottom"/>
            <w:tcBorders>
              <w:bottom w:val="single" w:sz="8" w:color="0063A6"/>
            </w:tcBorders>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w w:val="96"/>
              </w:rPr>
              <w:t>323,590</w:t>
            </w:r>
          </w:p>
        </w:tc>
        <w:tc>
          <w:tcPr>
            <w:tcW w:w="60" w:type="dxa"/>
            <w:vAlign w:val="bottom"/>
            <w:tcBorders>
              <w:bottom w:val="single" w:sz="8" w:color="0063A6"/>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8229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40" w:right="400"/>
        <w:spacing w:after="0" w:line="264" w:lineRule="auto"/>
        <w:rPr>
          <w:sz w:val="20"/>
          <w:szCs w:val="20"/>
          <w:color w:val="auto"/>
        </w:rPr>
      </w:pPr>
      <w:r>
        <w:rPr>
          <w:rFonts w:ascii="Arial" w:cs="Arial" w:eastAsia="Arial" w:hAnsi="Arial"/>
          <w:sz w:val="14"/>
          <w:szCs w:val="14"/>
          <w:color w:val="auto"/>
        </w:rPr>
        <w:t>The income tax effect of non-GAAP adjustments is calculated using the statutory tax rates for the relevant jurisdictions if no valuation allowance exists for each reconciling item. If a valuation allowance exists, there is no tax impact to the non-GAAP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58293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2" w:lineRule="exact"/>
        <w:rPr>
          <w:sz w:val="20"/>
          <w:szCs w:val="20"/>
          <w:color w:val="auto"/>
        </w:rPr>
      </w:pPr>
    </w:p>
    <w:p>
      <w:pPr>
        <w:ind w:left="40"/>
        <w:spacing w:after="0"/>
        <w:tabs>
          <w:tab w:leader="none" w:pos="3040" w:val="left"/>
          <w:tab w:leader="none" w:pos="8860" w:val="left"/>
        </w:tabs>
        <w:rPr>
          <w:sz w:val="20"/>
          <w:szCs w:val="20"/>
          <w:color w:val="auto"/>
        </w:rPr>
      </w:pPr>
      <w:r>
        <w:rPr>
          <w:rFonts w:ascii="Arial" w:cs="Arial" w:eastAsia="Arial" w:hAnsi="Arial"/>
          <w:sz w:val="16"/>
          <w:szCs w:val="16"/>
          <w:color w:val="5D6673"/>
        </w:rPr>
        <w:t>2026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7029450" cy="90265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29450" cy="902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135255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488950</wp:posOffset>
            </wp:positionV>
            <wp:extent cx="5949315" cy="76981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488950</wp:posOffset>
            </wp:positionV>
            <wp:extent cx="5949315" cy="76981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488950</wp:posOffset>
            </wp:positionV>
            <wp:extent cx="5949315" cy="76981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488950</wp:posOffset>
            </wp:positionV>
            <wp:extent cx="5949315" cy="76981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lvl w:ilvl="1">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lvl>
    <w:lvl w:ilvl="1">
      <w:lvlJc w:val="left"/>
      <w:lvlText w:val="•"/>
      <w:numFmt w:val="bullet"/>
      <w:start w:val="1"/>
    </w:lvl>
  </w:abstractNum>
  <w:abstractNum w:abstractNumId="18">
    <w:nsid w:val="440BADFC"/>
    <w:multiLevelType w:val="hybridMultilevel"/>
    <w:lvl w:ilvl="0">
      <w:lvlJc w:val="left"/>
      <w:lvlText w:val="(%1)"/>
      <w:numFmt w:val="decimal"/>
      <w:start w:val="3"/>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lvl w:ilvl="1">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2"/>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lvl w:ilvl="1">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2"/>
    </w:lvl>
  </w:abstractNum>
  <w:abstractNum w:abstractNumId="43">
    <w:nsid w:val="7644A45C"/>
    <w:multiLevelType w:val="hybridMultilevel"/>
    <w:lvl w:ilvl="0">
      <w:lvlJc w:val="left"/>
      <w:lvlText w:val="(%1)"/>
      <w:numFmt w:val="decimal"/>
      <w:start w:val="4"/>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2026-03-23T11:43:03Z</dcterms:created>
  <dcterms:modified xsi:type="dcterms:W3CDTF">2026-03-23T11:43:03Z</dcterms:modified>
</cp:coreProperties>
</file>