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22860</wp:posOffset>
            </wp:positionV>
            <wp:extent cx="49891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000-22418</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302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0"/>
              </w:rPr>
              <w:t>(State or Other Jurisdiction</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93"/>
              </w:rPr>
              <w:t>of Incorporation)</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Arial" w:cs="Arial" w:eastAsia="Arial" w:hAnsi="Arial"/>
                <w:sz w:val="18"/>
                <w:szCs w:val="18"/>
                <w:color w:val="auto"/>
                <w:w w:val="93"/>
              </w:rPr>
              <w:t>(Commission File No.)</w:t>
            </w:r>
          </w:p>
        </w:tc>
        <w:tc>
          <w:tcPr>
            <w:tcW w:w="286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2"/>
              </w:rPr>
              <w:t>2111 N. Molter Road, Liberty Lake, Washington 99019</w:t>
            </w: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color w:val="auto"/>
                <w:w w:val="92"/>
              </w:rPr>
              <w:t>(Address of Principal Executive Offices, Zip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0"/>
              </w:rPr>
              <w:t>(509) 924-9900</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color w:val="auto"/>
                <w:w w:val="90"/>
              </w:rPr>
              <w:t>(Registrant's Telephone Number, Including Area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53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860" w:type="dxa"/>
            <w:vAlign w:val="bottom"/>
          </w:tcPr>
          <w:p>
            <w:pPr>
              <w:spacing w:after="0"/>
              <w:rPr>
                <w:sz w:val="20"/>
                <w:szCs w:val="20"/>
                <w:color w:val="auto"/>
              </w:rPr>
            </w:pPr>
          </w:p>
        </w:tc>
      </w:tr>
    </w:tbl>
    <w:p>
      <w:pPr>
        <w:spacing w:after="0" w:line="200" w:lineRule="exact"/>
        <w:rPr>
          <w:sz w:val="24"/>
          <w:szCs w:val="24"/>
          <w:color w:val="auto"/>
        </w:rPr>
      </w:pPr>
    </w:p>
    <w:p>
      <w:pPr>
        <w:spacing w:after="0" w:line="25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29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rPr>
              <w:t>ITRI</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1" w:name="page2"/>
    <w:bookmarkEnd w:id="1"/>
    <w:p>
      <w:pPr>
        <w:ind w:left="60"/>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1260"/>
        <w:spacing w:after="0" w:line="277" w:lineRule="auto"/>
        <w:rPr>
          <w:sz w:val="20"/>
          <w:szCs w:val="20"/>
          <w:color w:val="auto"/>
        </w:rPr>
      </w:pPr>
      <w:r>
        <w:rPr>
          <w:rFonts w:ascii="Arial" w:cs="Arial" w:eastAsia="Arial" w:hAnsi="Arial"/>
          <w:sz w:val="18"/>
          <w:szCs w:val="18"/>
          <w:color w:val="auto"/>
        </w:rPr>
        <w:t>On August 5, 2021, Itron, Inc. issued a press release announcing its financial results for the three and six months ended June 30, 2021. A copy of this press release and accompanying financial statements are attached as Exhibit 99.1.</w:t>
      </w:r>
    </w:p>
    <w:p>
      <w:pPr>
        <w:spacing w:after="0" w:line="166"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260" w:hanging="721"/>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118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hyperlink w:anchor="page5">
        <w:r>
          <w:rPr>
            <w:rFonts w:ascii="Arial" w:cs="Arial" w:eastAsia="Arial" w:hAnsi="Arial"/>
            <w:sz w:val="16"/>
            <w:szCs w:val="16"/>
            <w:u w:val="single" w:color="auto"/>
            <w:color w:val="0000EE"/>
          </w:rPr>
          <w:t>Press Release Dated August 5, 2021.</w:t>
        </w:r>
      </w:hyperlink>
      <w:r>
        <w:rPr>
          <w:rFonts w:ascii="Arial" w:cs="Arial" w:eastAsia="Arial" w:hAnsi="Arial"/>
          <w:sz w:val="16"/>
          <w:szCs w:val="16"/>
          <w:color w:val="000000"/>
        </w:rPr>
        <w:t>*</w:t>
      </w:r>
    </w:p>
    <w:p>
      <w:pPr>
        <w:spacing w:after="0" w:line="23" w:lineRule="exact"/>
        <w:rPr>
          <w:sz w:val="20"/>
          <w:szCs w:val="20"/>
          <w:color w:val="auto"/>
        </w:rPr>
      </w:pPr>
    </w:p>
    <w:p>
      <w:pPr>
        <w:ind w:left="1200" w:hanging="1192"/>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1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*This exhibit is intended to be furnished and shall not be deemed "filed" for purposes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2020 Annual Report and other reports on file with the SEC. We undertake no obligation to update or revise any forward-looking statement, whether written or oral.</w:t>
      </w:r>
    </w:p>
    <w:p>
      <w:pPr>
        <w:spacing w:after="0" w:line="3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impact caused by the ongoing COVID-19 pandemic includes uncertainty as to the duration, spread, severity, and any resurgence of the COVID-19 pandemic including other factors contributing to infection rates, such as reinfection or mutation of the virus, the effectiveness or widespread availability and application of vaccines, the duration and scope of related government orders and restrictions, impact on overall demand, impact on our customers’ businesses and workforce levels, disruptions of our business and operations, including the impact on our employees, limitations on, or closures of, our facilities, or the business and operations of our customers or suppliers. Our estimates and statements regarding the impact of COVID-19 are made in good faith to provide insight to our current and future operating and financial environment and any of these may materially change due to factors outside our control. For more information on risks associated with the COVID-19 pandemic, please see our risk in Part I, Item 1A: Risk Factors in our 2020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1880" w:type="dxa"/>
            <w:vAlign w:val="bottom"/>
            <w:gridSpan w:val="2"/>
          </w:tcPr>
          <w:p>
            <w:pPr>
              <w:ind w:left="500"/>
              <w:spacing w:after="0"/>
              <w:rPr>
                <w:sz w:val="20"/>
                <w:szCs w:val="20"/>
                <w:color w:val="auto"/>
              </w:rPr>
            </w:pPr>
            <w:r>
              <w:rPr>
                <w:rFonts w:ascii="Arial" w:cs="Arial" w:eastAsia="Arial" w:hAnsi="Arial"/>
                <w:sz w:val="18"/>
                <w:szCs w:val="18"/>
                <w:color w:val="auto"/>
              </w:rPr>
              <w:t>ITRON, INC.</w:t>
            </w:r>
          </w:p>
        </w:tc>
        <w:tc>
          <w:tcPr>
            <w:tcW w:w="5180" w:type="dxa"/>
            <w:vAlign w:val="bottom"/>
          </w:tcPr>
          <w:p>
            <w:pPr>
              <w:spacing w:after="0"/>
              <w:rPr>
                <w:sz w:val="20"/>
                <w:szCs w:val="20"/>
                <w:color w:val="auto"/>
              </w:rPr>
            </w:pPr>
          </w:p>
        </w:tc>
      </w:tr>
      <w:tr>
        <w:trPr>
          <w:trHeight w:val="439"/>
        </w:trPr>
        <w:tc>
          <w:tcPr>
            <w:tcW w:w="4180" w:type="dxa"/>
            <w:vAlign w:val="bottom"/>
          </w:tcPr>
          <w:p>
            <w:pPr>
              <w:spacing w:after="0"/>
              <w:rPr>
                <w:sz w:val="24"/>
                <w:szCs w:val="24"/>
                <w:color w:val="auto"/>
              </w:rPr>
            </w:pPr>
          </w:p>
        </w:tc>
        <w:tc>
          <w:tcPr>
            <w:tcW w:w="1880" w:type="dxa"/>
            <w:vAlign w:val="bottom"/>
            <w:gridSpan w:val="2"/>
          </w:tcPr>
          <w:p>
            <w:pPr>
              <w:ind w:left="500"/>
              <w:spacing w:after="0"/>
              <w:rPr>
                <w:sz w:val="20"/>
                <w:szCs w:val="20"/>
                <w:color w:val="auto"/>
              </w:rPr>
            </w:pPr>
            <w:r>
              <w:rPr>
                <w:rFonts w:ascii="Arial" w:cs="Arial" w:eastAsia="Arial" w:hAnsi="Arial"/>
                <w:sz w:val="18"/>
                <w:szCs w:val="18"/>
                <w:color w:val="auto"/>
              </w:rPr>
              <w:t>By:</w:t>
            </w:r>
          </w:p>
        </w:tc>
        <w:tc>
          <w:tcPr>
            <w:tcW w:w="5180" w:type="dxa"/>
            <w:vAlign w:val="bottom"/>
          </w:tcPr>
          <w:p>
            <w:pPr>
              <w:jc w:val="center"/>
              <w:ind w:right="730"/>
              <w:spacing w:after="0"/>
              <w:rPr>
                <w:sz w:val="20"/>
                <w:szCs w:val="20"/>
                <w:color w:val="auto"/>
              </w:rPr>
            </w:pPr>
            <w:r>
              <w:rPr>
                <w:rFonts w:ascii="Arial" w:cs="Arial" w:eastAsia="Arial" w:hAnsi="Arial"/>
                <w:sz w:val="18"/>
                <w:szCs w:val="18"/>
                <w:color w:val="auto"/>
                <w:w w:val="92"/>
              </w:rPr>
              <w:t>/s/ JOAN S. HOOPER</w:t>
            </w:r>
          </w:p>
        </w:tc>
      </w:tr>
      <w:tr>
        <w:trPr>
          <w:trHeight w:val="223"/>
        </w:trPr>
        <w:tc>
          <w:tcPr>
            <w:tcW w:w="5240" w:type="dxa"/>
            <w:vAlign w:val="bottom"/>
            <w:gridSpan w:val="2"/>
          </w:tcPr>
          <w:p>
            <w:pPr>
              <w:jc w:val="center"/>
              <w:ind w:right="970"/>
              <w:spacing w:after="0"/>
              <w:rPr>
                <w:sz w:val="20"/>
                <w:szCs w:val="20"/>
                <w:color w:val="auto"/>
              </w:rPr>
            </w:pPr>
            <w:r>
              <w:rPr>
                <w:rFonts w:ascii="Arial" w:cs="Arial" w:eastAsia="Arial" w:hAnsi="Arial"/>
                <w:sz w:val="18"/>
                <w:szCs w:val="18"/>
                <w:color w:val="auto"/>
                <w:w w:val="90"/>
              </w:rPr>
              <w:t>August 5, 2021</w:t>
            </w:r>
          </w:p>
        </w:tc>
        <w:tc>
          <w:tcPr>
            <w:tcW w:w="820" w:type="dxa"/>
            <w:vAlign w:val="bottom"/>
            <w:tcBorders>
              <w:top w:val="single" w:sz="8" w:color="auto"/>
            </w:tcBorders>
          </w:tcPr>
          <w:p>
            <w:pPr>
              <w:spacing w:after="0"/>
              <w:rPr>
                <w:sz w:val="19"/>
                <w:szCs w:val="19"/>
                <w:color w:val="auto"/>
              </w:rPr>
            </w:pPr>
          </w:p>
        </w:tc>
        <w:tc>
          <w:tcPr>
            <w:tcW w:w="51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87"/>
              </w:rPr>
              <w:t>Joan S. Hooper</w:t>
            </w:r>
          </w:p>
        </w:tc>
      </w:tr>
      <w:tr>
        <w:trPr>
          <w:trHeight w:val="230"/>
        </w:trPr>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880" w:type="dxa"/>
            <w:vAlign w:val="bottom"/>
            <w:gridSpan w:val="2"/>
          </w:tcPr>
          <w:p>
            <w:pPr>
              <w:spacing w:after="0"/>
              <w:rPr>
                <w:sz w:val="20"/>
                <w:szCs w:val="20"/>
                <w:color w:val="auto"/>
              </w:rPr>
            </w:pPr>
          </w:p>
        </w:tc>
        <w:tc>
          <w:tcPr>
            <w:tcW w:w="5180" w:type="dxa"/>
            <w:vAlign w:val="bottom"/>
          </w:tcPr>
          <w:p>
            <w:pPr>
              <w:jc w:val="center"/>
              <w:ind w:right="750"/>
              <w:spacing w:after="0"/>
              <w:rPr>
                <w:sz w:val="20"/>
                <w:szCs w:val="20"/>
                <w:color w:val="auto"/>
              </w:rPr>
            </w:pPr>
            <w:r>
              <w:rPr>
                <w:rFonts w:ascii="Arial" w:cs="Arial" w:eastAsia="Arial" w:hAnsi="Arial"/>
                <w:sz w:val="18"/>
                <w:szCs w:val="18"/>
                <w:color w:val="auto"/>
                <w:w w:val="91"/>
              </w:rPr>
              <w:t>Senior Vice President and Chief Financial Officer</w:t>
            </w:r>
          </w:p>
        </w:tc>
      </w:tr>
    </w:tbl>
    <w:p>
      <w:pPr>
        <w:sectPr>
          <w:pgSz w:w="11900" w:h="16838" w:orient="portrait"/>
          <w:cols w:equalWidth="0" w:num="1">
            <w:col w:w="11240"/>
          </w:cols>
          <w:pgMar w:left="320" w:top="33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Itron Announces Second Quarter 2021 Financial Results and Updated Full-Year 2021 Guidance</w:t>
      </w:r>
    </w:p>
    <w:p>
      <w:pPr>
        <w:spacing w:after="0" w:line="227"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LIBERTY LAKE, Wash.--(BUSINESS WIRE)--August 5, 2021--Itron, Inc. (NASDAQ:ITRI) announced today financial results for its second quarter ended June 30, 2021. Key results for the quarter include (compared with the second quarter of 2020):</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of $489 million, compared with $510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Gross margin of 30.6%; compared with 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GAAP net loss of $(33) million, compared with $(63)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GAAP loss per share (EPS) of $(0.73), compared with $(1.56);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Non-GAAP diluted EPS of $0.28, compared with $0.03;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Adjusted EBITDA of $36 million, compared with $31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Free cash flow of $64 million compared with $(10)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Total backlog of $3.5 billion, compared with $2.9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"While we saw demand recovery in the second quarter, our results were negatively impacted by component constraints, which affected both our ability to meet customer demand and our cost structure," said Tom Deitrich, Itron's president and chief executive officer.</w:t>
      </w:r>
    </w:p>
    <w:p>
      <w:pPr>
        <w:spacing w:after="0" w:line="18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"We anticipate that the component supply will remain constrained in the second half of the year and into 2022. Despite these near-term challenges, we remain positive on the overall outlook for the company as we continued to execute on our strategy and see demand recovery from the COVID-19 pandemic. With our strong balance sheet, I believe we are well positioned to drive our business forward."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Second Quarter Consolidated Financial Results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made are against the prior year period unless otherwise noted)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w:t>
      </w:r>
    </w:p>
    <w:p>
      <w:pPr>
        <w:spacing w:after="0" w:line="8"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Total second quarter revenue decreased 4% to $489 million, or 7%, excluding the impact of changes in foreign currency exchange rates. The decrease was primarily due to component constraints, which negatively impacted revenue by approximately $40-$50 million.</w:t>
      </w:r>
    </w:p>
    <w:p>
      <w:pPr>
        <w:spacing w:after="0" w:line="187"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Device Solutions revenue increased 26% and Outcomes revenue increased 10%. Networked Solutions revenue decreased 18% with the majority of the decline due to component constraints in the quarter.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Gross Margin</w:t>
      </w:r>
    </w:p>
    <w:p>
      <w:pPr>
        <w:spacing w:after="0" w:line="8"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Consolidated company gross margin of 30.6% increased 340 basis points from the prior year, primarily due to product mix and the reduced impact of COVID-19 related manufacturing inefficiencies that impacted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Operating Expenses and Operating Income</w:t>
      </w:r>
    </w:p>
    <w:p>
      <w:pPr>
        <w:spacing w:after="0" w:line="8"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GAAP operating expenses of $157 million decreased $27 million from the prior year, primarily due to lower loss on sale of business compared with the prior year. Non-GAAP operating expenses of $123 million increased $5 million from the prior year due to higher sales, general and administrative expenses in part due to higher variable compensation.</w:t>
      </w:r>
    </w:p>
    <w:p>
      <w:pPr>
        <w:spacing w:after="0" w:line="143"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GAAP operating loss of $(7) million was $38 million lower than the prior year due to lower operating expenses. Non-GAAP operating income of $27 million was $7 million higher than last year due to higher gross profit.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Income (loss) and Earnings per Share</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net loss attributable to Itron, Inc. for the quarter was $(33) million, or $(0.73) per diluted share, an improvement from a net loss of $(63) million, or $(1.56) per diluted share in 2020. The improvement was driven by a lower GAAP operating loss related to the 2020 sale of our Latin America operations.</w:t>
      </w:r>
    </w:p>
    <w:p>
      <w:pPr>
        <w:spacing w:after="0" w:line="187"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Non-GAAP net income, which excludes certain charges including amortization of intangible assets, amortization of debt placement fees, debt extinguishment, restructuring, loss on sale of business, corporate transition cost, acquisition and integration related expenses and the income tax effect of those adjustments, was $13 million, or $0.28 per diluted share, compared with $1 million, or $0.03 per diluted share, in 2020. The higher year over year results were due to higher non-GAAP operating income and lower interest expense.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Cash Flow</w:t>
      </w:r>
    </w:p>
    <w:p>
      <w:pPr>
        <w:spacing w:after="0" w:line="8"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Net cash provided by operating activities was $73 million in the second quarter compared with $7 million in the same quarter of 2020. Free cash flow was $64 million in the second quarter compared with $(10) million in the prior year. The year over year improvement in cash flow was primarily due to improved working capital and lower interest expense.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Total backlog was a record $3.5 billion and 12-month backlog was $1.4 billion, compared with $2.9 billion and $1.3 billion, respectively, in the prior year. Bookings in the quarter totaled $596 million.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 Update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Itron's guidance for the full year 2021 has been updated to reflect the impact of component constraints and is as follows:</w:t>
      </w:r>
    </w:p>
    <w:p>
      <w:pPr>
        <w:spacing w:after="0" w:line="241" w:lineRule="exact"/>
        <w:rPr>
          <w:sz w:val="20"/>
          <w:szCs w:val="20"/>
          <w:color w:val="auto"/>
        </w:rPr>
      </w:pPr>
    </w:p>
    <w:p>
      <w:pPr>
        <w:ind w:left="540" w:right="2900"/>
        <w:spacing w:after="0" w:line="328" w:lineRule="auto"/>
        <w:rPr>
          <w:sz w:val="20"/>
          <w:szCs w:val="20"/>
          <w:color w:val="auto"/>
        </w:rPr>
      </w:pPr>
      <w:r>
        <w:rPr>
          <w:rFonts w:ascii="Arial" w:cs="Arial" w:eastAsia="Arial" w:hAnsi="Arial"/>
          <w:sz w:val="19"/>
          <w:szCs w:val="19"/>
          <w:color w:val="auto"/>
        </w:rPr>
        <w:t>Revenue between $2.05 to $2.15 billion vs. previous guidance of $2.23 to $2.33 billion Non-GAAP diluted EPS between $1.00 to $1.50 vs. previous guidance of $2.30 to $2.70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-163195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The guidance assumes a Euro to U.S. dollar foreign currency exchange rate of 1.20 on average in the second half of 2021, average fully diluted shares outstanding of approximately 44.7 million for the full year, non-GAAP effective tax rate for the full year of approximately 32-34% and total non-GAAP interest expense of approximately $11 million for the full year. The updated guidance also assumes that component constraints lowers revenue by $150 to $200 million. A reconciliation of forward-looking non-GAAP diluted EPS to the GAAP diluted EPS has not been provided because we are unable to predict with reasonable certainty the potential amount or timing of restructuring and acquisition and integration-related expenses and their related tax effects without unreasonable effort. These items are uncertain, depend on various factors and could have a material impact on GAAP results for the guidance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4" w:right="4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color w:val="auto"/>
        </w:rPr>
        <w:t xml:space="preserve">Itron will host a conference call to discuss the financial results and guidance contained in this release at 10 a.m. EDT on Aug. 5, 2021. The call will be webcast in a listen-only mode. Webcast information and conference call materials will be made available 10 minutes before the start of the call and will be accessible on Itron’s website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xml:space="preserve">. A replay of the audio webcast will be made available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A telephone replay of the conference call will be available through Aug. 10, 2021. To access the telephone replay, dial 888-203-1112 or 719-457-0820 and enter passcode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3115180.</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06" w:lineRule="exact"/>
        <w:rPr>
          <w:sz w:val="20"/>
          <w:szCs w:val="20"/>
          <w:color w:val="auto"/>
        </w:rPr>
      </w:pPr>
    </w:p>
    <w:p>
      <w:pPr>
        <w:ind w:right="300"/>
        <w:spacing w:after="0" w:line="233" w:lineRule="auto"/>
        <w:rPr>
          <w:sz w:val="20"/>
          <w:szCs w:val="20"/>
          <w:color w:val="auto"/>
        </w:rPr>
      </w:pPr>
      <w:r>
        <w:rPr>
          <w:rFonts w:ascii="Arial" w:cs="Arial" w:eastAsia="Arial" w:hAnsi="Arial"/>
          <w:sz w:val="20"/>
          <w:szCs w:val="20"/>
          <w:color w:val="auto"/>
        </w:rPr>
        <w:t>Itron</w:t>
      </w:r>
      <w:r>
        <w:rPr>
          <w:rFonts w:ascii="Arial" w:cs="Arial" w:eastAsia="Arial" w:hAnsi="Arial"/>
          <w:sz w:val="32"/>
          <w:szCs w:val="32"/>
          <w:color w:val="auto"/>
          <w:vertAlign w:val="superscript"/>
        </w:rPr>
        <w:t>®</w:t>
      </w:r>
      <w:r>
        <w:rPr>
          <w:rFonts w:ascii="Arial" w:cs="Arial" w:eastAsia="Arial" w:hAnsi="Arial"/>
          <w:sz w:val="20"/>
          <w:szCs w:val="20"/>
          <w:color w:val="auto"/>
        </w:rPr>
        <w:t xml:space="preserve"> enables utilities and cities to safely, securely and reliably deliver critical infrastructure services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t>
      </w:r>
      <w:r>
        <w:rPr>
          <w:rFonts w:ascii="Arial" w:cs="Arial" w:eastAsia="Arial" w:hAnsi="Arial"/>
          <w:sz w:val="20"/>
          <w:szCs w:val="20"/>
          <w:u w:val="single" w:color="auto"/>
          <w:color w:val="auto"/>
        </w:rPr>
        <w:t>www.itron.com</w:t>
      </w:r>
      <w:r>
        <w:rPr>
          <w:rFonts w:ascii="Arial" w:cs="Arial" w:eastAsia="Arial" w:hAnsi="Arial"/>
          <w:sz w:val="20"/>
          <w:szCs w:val="20"/>
          <w:color w:val="auto"/>
        </w:rPr>
        <w:t>.</w:t>
      </w:r>
    </w:p>
    <w:p>
      <w:pPr>
        <w:spacing w:after="0" w:line="187" w:lineRule="exact"/>
        <w:rPr>
          <w:sz w:val="20"/>
          <w:szCs w:val="20"/>
          <w:color w:val="auto"/>
        </w:rPr>
      </w:pPr>
    </w:p>
    <w:p>
      <w:pPr>
        <w:ind w:right="300"/>
        <w:spacing w:after="0" w:line="328" w:lineRule="auto"/>
        <w:rPr>
          <w:sz w:val="20"/>
          <w:szCs w:val="20"/>
          <w:color w:val="auto"/>
        </w:rPr>
      </w:pPr>
      <w:r>
        <w:rPr>
          <w:rFonts w:ascii="Arial" w:cs="Arial" w:eastAsia="Arial" w:hAnsi="Arial"/>
          <w:sz w:val="19"/>
          <w:szCs w:val="19"/>
          <w:color w:val="auto"/>
        </w:rPr>
        <w:t>Itron® is a registered trademark of Itron, Inc. All third-party trademarks are property of their respective owners and any usage herein does not suggest or imply any relationship between Itron and the third party unless expressly stated.</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 Looking Statements</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2020 Annual Report and other reports on file with the SEC. We undertake no obligation to update or revise any forward-looking statement, whether written or 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 w:name="page8"/>
    <w:bookmarkEnd w:id="7"/>
    <w:p>
      <w:pPr>
        <w:spacing w:after="0" w:line="274" w:lineRule="auto"/>
        <w:rPr>
          <w:sz w:val="20"/>
          <w:szCs w:val="20"/>
          <w:color w:val="auto"/>
        </w:rPr>
      </w:pPr>
      <w:r>
        <w:rPr>
          <w:rFonts w:ascii="Arial" w:cs="Arial" w:eastAsia="Arial" w:hAnsi="Arial"/>
          <w:sz w:val="19"/>
          <w:szCs w:val="19"/>
          <w:color w:val="auto"/>
        </w:rPr>
        <w:t>The impact caused by the ongoing COVID-19 pandemic includes uncertainty as to the duration, spread, severity, and any resurgence of the COVID-19 pandemic including other factors contributing to infection rates, such as reinfection or mutation of the virus, the effectiveness or widespread availability and application of vaccines, the duration and scope of related government orders and restrictions, impact on overall demand, impact on our customers’ businesses and workforce levels, disruptions of our business and operations, including the impact on our employees, limitations on, or closures of, our facilities, or the business and operations of our customers or suppliers. Our estimates and statements regarding the impact of COVID-19 are made in good faith to provide insight to our current and future operating and financial environment and any of these may materially change due to factors outside our control. For more information on risks associated with the COVID-19 pandemic, please see our risk in Part I, Item 1A: Risk Factors in our 2020 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 w:name="page9"/>
    <w:bookmarkEnd w:id="8"/>
    <w:p>
      <w:pPr>
        <w:jc w:val="center"/>
        <w:ind w:right="258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258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(Unaudited, in thousands, except per share data)</w:t>
      </w:r>
    </w:p>
    <w:p>
      <w:pPr>
        <w:sectPr>
          <w:pgSz w:w="11900" w:h="16838" w:orient="portrait"/>
          <w:cols w:equalWidth="0" w:num="1">
            <w:col w:w="11240"/>
          </w:cols>
          <w:pgMar w:left="320" w:top="135" w:right="339" w:bottom="1440" w:gutter="0" w:footer="0" w:header="0"/>
        </w:sectPr>
      </w:pPr>
    </w:p>
    <w:p>
      <w:pPr>
        <w:spacing w:after="0" w:line="32"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40640</wp:posOffset>
            </wp:positionV>
            <wp:extent cx="1482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53" w:lineRule="exact"/>
        <w:rPr>
          <w:sz w:val="20"/>
          <w:szCs w:val="20"/>
          <w:color w:val="auto"/>
        </w:rPr>
      </w:pPr>
    </w:p>
    <w:p>
      <w:pPr>
        <w:ind w:left="4500"/>
        <w:spacing w:after="0"/>
        <w:tabs>
          <w:tab w:leader="none" w:pos="57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260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40640</wp:posOffset>
            </wp:positionV>
            <wp:extent cx="13455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53" w:lineRule="exact"/>
        <w:rPr>
          <w:sz w:val="20"/>
          <w:szCs w:val="20"/>
          <w:color w:val="auto"/>
        </w:rPr>
      </w:pPr>
    </w:p>
    <w:p>
      <w:pPr>
        <w:ind w:left="320"/>
        <w:spacing w:after="0"/>
        <w:tabs>
          <w:tab w:leader="none" w:pos="14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7" w:lineRule="exact"/>
        <w:rPr>
          <w:sz w:val="20"/>
          <w:szCs w:val="20"/>
          <w:color w:val="auto"/>
        </w:rPr>
      </w:pPr>
    </w:p>
    <w:p>
      <w:pPr>
        <w:sectPr>
          <w:pgSz w:w="11900" w:h="16838" w:orient="portrait"/>
          <w:cols w:equalWidth="0" w:num="2">
            <w:col w:w="6460" w:space="80"/>
            <w:col w:w="470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414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580" w:type="dxa"/>
            <w:vAlign w:val="bottom"/>
          </w:tcPr>
          <w:p>
            <w:pPr>
              <w:spacing w:after="0"/>
              <w:rPr>
                <w:sz w:val="21"/>
                <w:szCs w:val="21"/>
                <w:color w:val="auto"/>
              </w:rPr>
            </w:pPr>
          </w:p>
        </w:tc>
      </w:tr>
      <w:tr>
        <w:trPr>
          <w:trHeight w:val="230"/>
        </w:trPr>
        <w:tc>
          <w:tcPr>
            <w:tcW w:w="4140" w:type="dxa"/>
            <w:vAlign w:val="bottom"/>
          </w:tcPr>
          <w:p>
            <w:pPr>
              <w:ind w:left="220"/>
              <w:spacing w:after="0"/>
              <w:rPr>
                <w:sz w:val="20"/>
                <w:szCs w:val="20"/>
                <w:color w:val="auto"/>
              </w:rPr>
            </w:pPr>
            <w:r>
              <w:rPr>
                <w:rFonts w:ascii="Arial" w:cs="Arial" w:eastAsia="Arial" w:hAnsi="Arial"/>
                <w:sz w:val="18"/>
                <w:szCs w:val="18"/>
                <w:color w:val="auto"/>
              </w:rPr>
              <w:t>Product revenues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411,719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438,985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854,523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967,122</w:t>
            </w:r>
          </w:p>
        </w:tc>
        <w:tc>
          <w:tcPr>
            <w:tcW w:w="2580" w:type="dxa"/>
            <w:vAlign w:val="bottom"/>
          </w:tcPr>
          <w:p>
            <w:pPr>
              <w:spacing w:after="0"/>
              <w:rPr>
                <w:sz w:val="20"/>
                <w:szCs w:val="20"/>
                <w:color w:val="auto"/>
              </w:rPr>
            </w:pPr>
          </w:p>
        </w:tc>
      </w:tr>
      <w:tr>
        <w:trPr>
          <w:trHeight w:val="256"/>
        </w:trPr>
        <w:tc>
          <w:tcPr>
            <w:tcW w:w="4140" w:type="dxa"/>
            <w:vAlign w:val="bottom"/>
          </w:tcPr>
          <w:p>
            <w:pPr>
              <w:ind w:left="220"/>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77,693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70,609</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154,463</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140,887</w:t>
            </w:r>
          </w:p>
        </w:tc>
        <w:tc>
          <w:tcPr>
            <w:tcW w:w="2580" w:type="dxa"/>
            <w:vAlign w:val="bottom"/>
          </w:tcPr>
          <w:p>
            <w:pPr>
              <w:spacing w:after="0"/>
              <w:rPr>
                <w:sz w:val="22"/>
                <w:szCs w:val="22"/>
                <w:color w:val="auto"/>
              </w:rPr>
            </w:pPr>
          </w:p>
        </w:tc>
      </w:tr>
      <w:tr>
        <w:trPr>
          <w:trHeight w:val="224"/>
        </w:trPr>
        <w:tc>
          <w:tcPr>
            <w:tcW w:w="414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489,412</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509,594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1,008,986</w:t>
            </w:r>
          </w:p>
        </w:tc>
        <w:tc>
          <w:tcPr>
            <w:tcW w:w="2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1,108,009</w:t>
            </w:r>
          </w:p>
        </w:tc>
        <w:tc>
          <w:tcPr>
            <w:tcW w:w="2580" w:type="dxa"/>
            <w:vAlign w:val="bottom"/>
          </w:tcPr>
          <w:p>
            <w:pPr>
              <w:spacing w:after="0"/>
              <w:rPr>
                <w:sz w:val="19"/>
                <w:szCs w:val="19"/>
                <w:color w:val="auto"/>
              </w:rPr>
            </w:pPr>
          </w:p>
        </w:tc>
      </w:tr>
      <w:tr>
        <w:trPr>
          <w:trHeight w:val="242"/>
        </w:trPr>
        <w:tc>
          <w:tcPr>
            <w:tcW w:w="414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43"/>
        </w:trPr>
        <w:tc>
          <w:tcPr>
            <w:tcW w:w="4140" w:type="dxa"/>
            <w:vAlign w:val="bottom"/>
          </w:tcPr>
          <w:p>
            <w:pPr>
              <w:ind w:left="220"/>
              <w:spacing w:after="0"/>
              <w:rPr>
                <w:sz w:val="20"/>
                <w:szCs w:val="20"/>
                <w:color w:val="auto"/>
              </w:rPr>
            </w:pPr>
            <w:r>
              <w:rPr>
                <w:rFonts w:ascii="Arial" w:cs="Arial" w:eastAsia="Arial" w:hAnsi="Arial"/>
                <w:sz w:val="18"/>
                <w:szCs w:val="18"/>
                <w:color w:val="auto"/>
              </w:rPr>
              <w:t>Product cost of revenues</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295,064</w:t>
            </w: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329,293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602,755</w:t>
            </w: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713,974</w:t>
            </w:r>
          </w:p>
        </w:tc>
        <w:tc>
          <w:tcPr>
            <w:tcW w:w="2580" w:type="dxa"/>
            <w:vAlign w:val="bottom"/>
          </w:tcPr>
          <w:p>
            <w:pPr>
              <w:spacing w:after="0"/>
              <w:rPr>
                <w:sz w:val="21"/>
                <w:szCs w:val="21"/>
                <w:color w:val="auto"/>
              </w:rPr>
            </w:pPr>
          </w:p>
        </w:tc>
      </w:tr>
      <w:tr>
        <w:trPr>
          <w:trHeight w:val="257"/>
        </w:trPr>
        <w:tc>
          <w:tcPr>
            <w:tcW w:w="4140" w:type="dxa"/>
            <w:vAlign w:val="bottom"/>
          </w:tcPr>
          <w:p>
            <w:pPr>
              <w:ind w:left="220"/>
              <w:spacing w:after="0"/>
              <w:rPr>
                <w:sz w:val="20"/>
                <w:szCs w:val="20"/>
                <w:color w:val="auto"/>
              </w:rPr>
            </w:pPr>
            <w:r>
              <w:rPr>
                <w:rFonts w:ascii="Arial" w:cs="Arial" w:eastAsia="Arial" w:hAnsi="Arial"/>
                <w:sz w:val="18"/>
                <w:szCs w:val="18"/>
                <w:color w:val="auto"/>
              </w:rPr>
              <w:t>Service cost of revenues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44,473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41,784</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89,312</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83,952</w:t>
            </w:r>
          </w:p>
        </w:tc>
        <w:tc>
          <w:tcPr>
            <w:tcW w:w="2580" w:type="dxa"/>
            <w:vAlign w:val="bottom"/>
          </w:tcPr>
          <w:p>
            <w:pPr>
              <w:spacing w:after="0"/>
              <w:rPr>
                <w:sz w:val="22"/>
                <w:szCs w:val="22"/>
                <w:color w:val="auto"/>
              </w:rPr>
            </w:pPr>
          </w:p>
        </w:tc>
      </w:tr>
      <w:tr>
        <w:trPr>
          <w:trHeight w:val="236"/>
        </w:trPr>
        <w:tc>
          <w:tcPr>
            <w:tcW w:w="4140" w:type="dxa"/>
            <w:vAlign w:val="bottom"/>
          </w:tcPr>
          <w:p>
            <w:pPr>
              <w:ind w:left="420"/>
              <w:spacing w:after="0"/>
              <w:rPr>
                <w:sz w:val="20"/>
                <w:szCs w:val="20"/>
                <w:color w:val="auto"/>
              </w:rPr>
            </w:pPr>
            <w:r>
              <w:rPr>
                <w:rFonts w:ascii="Arial" w:cs="Arial" w:eastAsia="Arial" w:hAnsi="Arial"/>
                <w:sz w:val="18"/>
                <w:szCs w:val="18"/>
                <w:color w:val="auto"/>
              </w:rPr>
              <w:t>Total cost of revenues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339,537</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371,077</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692,067</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797,926</w:t>
            </w:r>
          </w:p>
        </w:tc>
        <w:tc>
          <w:tcPr>
            <w:tcW w:w="2580" w:type="dxa"/>
            <w:vAlign w:val="bottom"/>
          </w:tcPr>
          <w:p>
            <w:pPr>
              <w:spacing w:after="0"/>
              <w:rPr>
                <w:sz w:val="20"/>
                <w:szCs w:val="20"/>
                <w:color w:val="auto"/>
              </w:rPr>
            </w:pPr>
          </w:p>
        </w:tc>
      </w:tr>
      <w:tr>
        <w:trPr>
          <w:trHeight w:val="224"/>
        </w:trPr>
        <w:tc>
          <w:tcPr>
            <w:tcW w:w="41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149,875</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138,517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316,919</w:t>
            </w:r>
          </w:p>
        </w:tc>
        <w:tc>
          <w:tcPr>
            <w:tcW w:w="2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310,083</w:t>
            </w:r>
          </w:p>
        </w:tc>
        <w:tc>
          <w:tcPr>
            <w:tcW w:w="2580" w:type="dxa"/>
            <w:vAlign w:val="bottom"/>
          </w:tcPr>
          <w:p>
            <w:pPr>
              <w:spacing w:after="0"/>
              <w:rPr>
                <w:sz w:val="19"/>
                <w:szCs w:val="19"/>
                <w:color w:val="auto"/>
              </w:rPr>
            </w:pPr>
          </w:p>
        </w:tc>
      </w:tr>
      <w:tr>
        <w:trPr>
          <w:trHeight w:val="485"/>
        </w:trPr>
        <w:tc>
          <w:tcPr>
            <w:tcW w:w="41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43"/>
        </w:trPr>
        <w:tc>
          <w:tcPr>
            <w:tcW w:w="4140" w:type="dxa"/>
            <w:vAlign w:val="bottom"/>
          </w:tcPr>
          <w:p>
            <w:pPr>
              <w:ind w:left="220"/>
              <w:spacing w:after="0"/>
              <w:rPr>
                <w:sz w:val="20"/>
                <w:szCs w:val="20"/>
                <w:color w:val="auto"/>
              </w:rPr>
            </w:pPr>
            <w:r>
              <w:rPr>
                <w:rFonts w:ascii="Arial" w:cs="Arial" w:eastAsia="Arial" w:hAnsi="Arial"/>
                <w:sz w:val="18"/>
                <w:szCs w:val="18"/>
                <w:color w:val="auto"/>
              </w:rPr>
              <w:t>Sales, general and administrative</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74,144</w:t>
            </w: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69,538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150,136</w:t>
            </w: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150,036</w:t>
            </w:r>
          </w:p>
        </w:tc>
        <w:tc>
          <w:tcPr>
            <w:tcW w:w="2580" w:type="dxa"/>
            <w:vAlign w:val="bottom"/>
          </w:tcPr>
          <w:p>
            <w:pPr>
              <w:spacing w:after="0"/>
              <w:rPr>
                <w:sz w:val="21"/>
                <w:szCs w:val="21"/>
                <w:color w:val="auto"/>
              </w:rPr>
            </w:pPr>
          </w:p>
        </w:tc>
      </w:tr>
      <w:tr>
        <w:trPr>
          <w:trHeight w:val="243"/>
        </w:trPr>
        <w:tc>
          <w:tcPr>
            <w:tcW w:w="41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48,763</w:t>
            </w: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48,994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100,490</w:t>
            </w: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102,775</w:t>
            </w:r>
          </w:p>
        </w:tc>
        <w:tc>
          <w:tcPr>
            <w:tcW w:w="2580" w:type="dxa"/>
            <w:vAlign w:val="bottom"/>
          </w:tcPr>
          <w:p>
            <w:pPr>
              <w:spacing w:after="0"/>
              <w:rPr>
                <w:sz w:val="21"/>
                <w:szCs w:val="21"/>
                <w:color w:val="auto"/>
              </w:rPr>
            </w:pPr>
          </w:p>
        </w:tc>
      </w:tr>
      <w:tr>
        <w:trPr>
          <w:trHeight w:val="243"/>
        </w:trPr>
        <w:tc>
          <w:tcPr>
            <w:tcW w:w="414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8,997</w:t>
            </w: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11,140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17,970</w:t>
            </w: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22,305</w:t>
            </w:r>
          </w:p>
        </w:tc>
        <w:tc>
          <w:tcPr>
            <w:tcW w:w="2580" w:type="dxa"/>
            <w:vAlign w:val="bottom"/>
          </w:tcPr>
          <w:p>
            <w:pPr>
              <w:spacing w:after="0"/>
              <w:rPr>
                <w:sz w:val="21"/>
                <w:szCs w:val="21"/>
                <w:color w:val="auto"/>
              </w:rPr>
            </w:pPr>
          </w:p>
        </w:tc>
      </w:tr>
      <w:tr>
        <w:trPr>
          <w:trHeight w:val="243"/>
        </w:trPr>
        <w:tc>
          <w:tcPr>
            <w:tcW w:w="414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(2,931)</w:t>
            </w:r>
          </w:p>
        </w:tc>
        <w:tc>
          <w:tcPr>
            <w:tcW w:w="2580" w:type="dxa"/>
            <w:vAlign w:val="bottom"/>
          </w:tcPr>
          <w:p>
            <w:pPr>
              <w:spacing w:after="0"/>
              <w:rPr>
                <w:sz w:val="21"/>
                <w:szCs w:val="21"/>
                <w:color w:val="auto"/>
              </w:rPr>
            </w:pPr>
          </w:p>
        </w:tc>
      </w:tr>
      <w:tr>
        <w:trPr>
          <w:trHeight w:val="256"/>
        </w:trPr>
        <w:tc>
          <w:tcPr>
            <w:tcW w:w="4140" w:type="dxa"/>
            <w:vAlign w:val="bottom"/>
          </w:tcPr>
          <w:p>
            <w:pPr>
              <w:ind w:left="220"/>
              <w:spacing w:after="0"/>
              <w:rPr>
                <w:sz w:val="20"/>
                <w:szCs w:val="20"/>
                <w:color w:val="auto"/>
              </w:rPr>
            </w:pPr>
            <w:r>
              <w:rPr>
                <w:rFonts w:ascii="Arial" w:cs="Arial" w:eastAsia="Arial" w:hAnsi="Arial"/>
                <w:sz w:val="18"/>
                <w:szCs w:val="18"/>
                <w:color w:val="auto"/>
              </w:rPr>
              <w:t>Loss on sale of business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24,711</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56,915</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26,103</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56,915</w:t>
            </w:r>
          </w:p>
        </w:tc>
        <w:tc>
          <w:tcPr>
            <w:tcW w:w="2580" w:type="dxa"/>
            <w:vAlign w:val="bottom"/>
          </w:tcPr>
          <w:p>
            <w:pPr>
              <w:spacing w:after="0"/>
              <w:rPr>
                <w:sz w:val="22"/>
                <w:szCs w:val="22"/>
                <w:color w:val="auto"/>
              </w:rPr>
            </w:pPr>
          </w:p>
        </w:tc>
      </w:tr>
      <w:tr>
        <w:trPr>
          <w:trHeight w:val="237"/>
        </w:trPr>
        <w:tc>
          <w:tcPr>
            <w:tcW w:w="414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156,807</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183,904</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292,911</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329,100</w:t>
            </w:r>
          </w:p>
        </w:tc>
        <w:tc>
          <w:tcPr>
            <w:tcW w:w="2580" w:type="dxa"/>
            <w:vAlign w:val="bottom"/>
          </w:tcPr>
          <w:p>
            <w:pPr>
              <w:spacing w:after="0"/>
              <w:rPr>
                <w:sz w:val="20"/>
                <w:szCs w:val="20"/>
                <w:color w:val="auto"/>
              </w:rPr>
            </w:pPr>
          </w:p>
        </w:tc>
      </w:tr>
      <w:tr>
        <w:trPr>
          <w:trHeight w:val="466"/>
        </w:trPr>
        <w:tc>
          <w:tcPr>
            <w:tcW w:w="41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(6,932)</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(45,387)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24,008</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(19,017)</w:t>
            </w:r>
          </w:p>
        </w:tc>
        <w:tc>
          <w:tcPr>
            <w:tcW w:w="2580" w:type="dxa"/>
            <w:vAlign w:val="bottom"/>
          </w:tcPr>
          <w:p>
            <w:pPr>
              <w:spacing w:after="0"/>
              <w:rPr>
                <w:sz w:val="24"/>
                <w:szCs w:val="24"/>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43"/>
        </w:trPr>
        <w:tc>
          <w:tcPr>
            <w:tcW w:w="41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432</w:t>
            </w: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1,258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1,811</w:t>
            </w:r>
          </w:p>
        </w:tc>
        <w:tc>
          <w:tcPr>
            <w:tcW w:w="2580" w:type="dxa"/>
            <w:vAlign w:val="bottom"/>
          </w:tcPr>
          <w:p>
            <w:pPr>
              <w:spacing w:after="0"/>
              <w:rPr>
                <w:sz w:val="21"/>
                <w:szCs w:val="21"/>
                <w:color w:val="auto"/>
              </w:rPr>
            </w:pPr>
          </w:p>
        </w:tc>
      </w:tr>
      <w:tr>
        <w:trPr>
          <w:trHeight w:val="243"/>
        </w:trPr>
        <w:tc>
          <w:tcPr>
            <w:tcW w:w="41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(14,004)</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(11,684)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(24,479)</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(22,961)</w:t>
            </w:r>
          </w:p>
        </w:tc>
        <w:tc>
          <w:tcPr>
            <w:tcW w:w="2580" w:type="dxa"/>
            <w:vAlign w:val="bottom"/>
          </w:tcPr>
          <w:p>
            <w:pPr>
              <w:spacing w:after="0"/>
              <w:rPr>
                <w:sz w:val="21"/>
                <w:szCs w:val="21"/>
                <w:color w:val="auto"/>
              </w:rPr>
            </w:pPr>
          </w:p>
        </w:tc>
      </w:tr>
      <w:tr>
        <w:trPr>
          <w:trHeight w:val="256"/>
        </w:trPr>
        <w:tc>
          <w:tcPr>
            <w:tcW w:w="414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(12,157)</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(14,923)</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580" w:type="dxa"/>
            <w:vAlign w:val="bottom"/>
          </w:tcPr>
          <w:p>
            <w:pPr>
              <w:spacing w:after="0"/>
              <w:rPr>
                <w:sz w:val="22"/>
                <w:szCs w:val="22"/>
                <w:color w:val="auto"/>
              </w:rPr>
            </w:pPr>
          </w:p>
        </w:tc>
      </w:tr>
      <w:tr>
        <w:trPr>
          <w:trHeight w:val="237"/>
        </w:trPr>
        <w:tc>
          <w:tcPr>
            <w:tcW w:w="4140" w:type="dxa"/>
            <w:vAlign w:val="bottom"/>
          </w:tcPr>
          <w:p>
            <w:pPr>
              <w:ind w:left="420"/>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(25,729)</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(12,299)</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(38,428)</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(21,957)</w:t>
            </w:r>
          </w:p>
        </w:tc>
        <w:tc>
          <w:tcPr>
            <w:tcW w:w="2580" w:type="dxa"/>
            <w:vAlign w:val="bottom"/>
          </w:tcPr>
          <w:p>
            <w:pPr>
              <w:spacing w:after="0"/>
              <w:rPr>
                <w:sz w:val="20"/>
                <w:szCs w:val="20"/>
                <w:color w:val="auto"/>
              </w:rPr>
            </w:pPr>
          </w:p>
        </w:tc>
      </w:tr>
      <w:tr>
        <w:trPr>
          <w:trHeight w:val="466"/>
        </w:trPr>
        <w:tc>
          <w:tcPr>
            <w:tcW w:w="41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(32,661)</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(57,686)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(14,420)</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(40,974)</w:t>
            </w:r>
          </w:p>
        </w:tc>
        <w:tc>
          <w:tcPr>
            <w:tcW w:w="2580" w:type="dxa"/>
            <w:vAlign w:val="bottom"/>
          </w:tcPr>
          <w:p>
            <w:pPr>
              <w:spacing w:after="0"/>
              <w:rPr>
                <w:sz w:val="24"/>
                <w:szCs w:val="24"/>
                <w:color w:val="auto"/>
              </w:rPr>
            </w:pPr>
          </w:p>
        </w:tc>
      </w:tr>
      <w:tr>
        <w:trPr>
          <w:trHeight w:val="256"/>
        </w:trPr>
        <w:tc>
          <w:tcPr>
            <w:tcW w:w="41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216</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(12,351)</w:t>
            </w:r>
          </w:p>
        </w:tc>
        <w:tc>
          <w:tcPr>
            <w:tcW w:w="2580" w:type="dxa"/>
            <w:vAlign w:val="bottom"/>
          </w:tcPr>
          <w:p>
            <w:pPr>
              <w:spacing w:after="0"/>
              <w:rPr>
                <w:sz w:val="22"/>
                <w:szCs w:val="22"/>
                <w:color w:val="auto"/>
              </w:rPr>
            </w:pPr>
          </w:p>
        </w:tc>
      </w:tr>
      <w:tr>
        <w:trPr>
          <w:trHeight w:val="224"/>
        </w:trPr>
        <w:tc>
          <w:tcPr>
            <w:tcW w:w="414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(32,445)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(62,487)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(18,865)</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(53,325)</w:t>
            </w:r>
          </w:p>
        </w:tc>
        <w:tc>
          <w:tcPr>
            <w:tcW w:w="2580" w:type="dxa"/>
            <w:vAlign w:val="bottom"/>
          </w:tcPr>
          <w:p>
            <w:pPr>
              <w:spacing w:after="0"/>
              <w:rPr>
                <w:sz w:val="19"/>
                <w:szCs w:val="19"/>
                <w:color w:val="auto"/>
              </w:rPr>
            </w:pPr>
          </w:p>
        </w:tc>
      </w:tr>
      <w:tr>
        <w:trPr>
          <w:trHeight w:val="256"/>
        </w:trPr>
        <w:tc>
          <w:tcPr>
            <w:tcW w:w="4140" w:type="dxa"/>
            <w:vAlign w:val="bottom"/>
          </w:tcPr>
          <w:p>
            <w:pPr>
              <w:ind w:left="220"/>
              <w:spacing w:after="0"/>
              <w:rPr>
                <w:sz w:val="20"/>
                <w:szCs w:val="20"/>
                <w:color w:val="auto"/>
              </w:rPr>
            </w:pPr>
            <w:r>
              <w:rPr>
                <w:rFonts w:ascii="Arial" w:cs="Arial" w:eastAsia="Arial" w:hAnsi="Arial"/>
                <w:sz w:val="18"/>
                <w:szCs w:val="18"/>
                <w:color w:val="auto"/>
                <w:w w:val="98"/>
              </w:rPr>
              <w:t>Net income attributable to noncontrolling interests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678</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1,655</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793</w:t>
            </w:r>
          </w:p>
        </w:tc>
        <w:tc>
          <w:tcPr>
            <w:tcW w:w="2580" w:type="dxa"/>
            <w:vAlign w:val="bottom"/>
          </w:tcPr>
          <w:p>
            <w:pPr>
              <w:spacing w:after="0"/>
              <w:rPr>
                <w:sz w:val="22"/>
                <w:szCs w:val="22"/>
                <w:color w:val="auto"/>
              </w:rPr>
            </w:pPr>
          </w:p>
        </w:tc>
      </w:tr>
      <w:tr>
        <w:trPr>
          <w:trHeight w:val="236"/>
        </w:trPr>
        <w:tc>
          <w:tcPr>
            <w:tcW w:w="4140" w:type="dxa"/>
            <w:vAlign w:val="bottom"/>
          </w:tcPr>
          <w:p>
            <w:pPr>
              <w:spacing w:after="0"/>
              <w:rPr>
                <w:sz w:val="20"/>
                <w:szCs w:val="20"/>
                <w:color w:val="auto"/>
              </w:rPr>
            </w:pPr>
            <w:r>
              <w:rPr>
                <w:rFonts w:ascii="Arial" w:cs="Arial" w:eastAsia="Arial" w:hAnsi="Arial"/>
                <w:sz w:val="18"/>
                <w:szCs w:val="18"/>
                <w:color w:val="auto"/>
              </w:rPr>
              <w:t>Net loss attributable to Itron, Inc.</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(33,123)</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(62,802)</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(54,118)</w:t>
            </w:r>
          </w:p>
        </w:tc>
        <w:tc>
          <w:tcPr>
            <w:tcW w:w="2580" w:type="dxa"/>
            <w:vAlign w:val="bottom"/>
          </w:tcPr>
          <w:p>
            <w:pPr>
              <w:spacing w:after="0"/>
              <w:rPr>
                <w:sz w:val="20"/>
                <w:szCs w:val="20"/>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67"/>
        </w:trPr>
        <w:tc>
          <w:tcPr>
            <w:tcW w:w="4140" w:type="dxa"/>
            <w:vAlign w:val="bottom"/>
          </w:tcPr>
          <w:p>
            <w:pPr>
              <w:spacing w:after="0"/>
              <w:rPr>
                <w:sz w:val="20"/>
                <w:szCs w:val="20"/>
                <w:color w:val="auto"/>
              </w:rPr>
            </w:pPr>
            <w:r>
              <w:rPr>
                <w:rFonts w:ascii="Arial" w:cs="Arial" w:eastAsia="Arial" w:hAnsi="Arial"/>
                <w:sz w:val="18"/>
                <w:szCs w:val="18"/>
                <w:color w:val="auto"/>
              </w:rPr>
              <w:t>Net loss per common share - Basic</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580" w:type="dxa"/>
            <w:vAlign w:val="bottom"/>
          </w:tcPr>
          <w:p>
            <w:pPr>
              <w:spacing w:after="0"/>
              <w:rPr>
                <w:sz w:val="24"/>
                <w:szCs w:val="24"/>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Net loss per common share - Diluted</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58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53"/>
        </w:trPr>
        <w:tc>
          <w:tcPr>
            <w:tcW w:w="4140" w:type="dxa"/>
            <w:vAlign w:val="bottom"/>
          </w:tcPr>
          <w:p>
            <w:pPr>
              <w:spacing w:after="0"/>
              <w:rPr>
                <w:sz w:val="20"/>
                <w:szCs w:val="20"/>
                <w:color w:val="auto"/>
              </w:rPr>
            </w:pPr>
            <w:r>
              <w:rPr>
                <w:rFonts w:ascii="Arial" w:cs="Arial" w:eastAsia="Arial" w:hAnsi="Arial"/>
                <w:sz w:val="18"/>
                <w:szCs w:val="18"/>
                <w:color w:val="auto"/>
                <w:w w:val="94"/>
              </w:rPr>
              <w:t>Weighted average common shares outstanding - Basic</w:t>
            </w:r>
          </w:p>
        </w:tc>
        <w:tc>
          <w:tcPr>
            <w:tcW w:w="24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45,142</w:t>
            </w:r>
          </w:p>
        </w:tc>
        <w:tc>
          <w:tcPr>
            <w:tcW w:w="3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40,216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43,344</w:t>
            </w:r>
          </w:p>
        </w:tc>
        <w:tc>
          <w:tcPr>
            <w:tcW w:w="2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40,130</w:t>
            </w:r>
          </w:p>
        </w:tc>
        <w:tc>
          <w:tcPr>
            <w:tcW w:w="2580" w:type="dxa"/>
            <w:vAlign w:val="bottom"/>
          </w:tcPr>
          <w:p>
            <w:pPr>
              <w:spacing w:after="0"/>
              <w:rPr>
                <w:sz w:val="24"/>
                <w:szCs w:val="24"/>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w w:val="91"/>
              </w:rPr>
              <w:t>Weighted average common shares outstanding - Diluted</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45,142</w:t>
            </w: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40,216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43,344</w:t>
            </w: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40,130</w:t>
            </w:r>
          </w:p>
        </w:tc>
        <w:tc>
          <w:tcPr>
            <w:tcW w:w="2580" w:type="dxa"/>
            <w:vAlign w:val="bottom"/>
          </w:tcPr>
          <w:p>
            <w:pPr>
              <w:spacing w:after="0"/>
              <w:rPr>
                <w:sz w:val="21"/>
                <w:szCs w:val="21"/>
                <w:color w:val="auto"/>
              </w:rPr>
            </w:pPr>
          </w:p>
        </w:tc>
      </w:tr>
      <w:tr>
        <w:trPr>
          <w:trHeight w:val="196"/>
        </w:trPr>
        <w:tc>
          <w:tcPr>
            <w:tcW w:w="4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35" w:right="339" w:bottom="1440" w:gutter="0" w:footer="0" w:header="0"/>
          <w:type w:val="continuous"/>
        </w:sectPr>
      </w:pPr>
    </w:p>
    <w:bookmarkStart w:id="9" w:name="page10"/>
    <w:bookmarkEnd w:id="9"/>
    <w:p>
      <w:pPr>
        <w:jc w:val="center"/>
        <w:ind w:right="478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4780"/>
        <w:spacing w:after="0"/>
        <w:rPr>
          <w:sz w:val="20"/>
          <w:szCs w:val="20"/>
          <w:color w:val="auto"/>
        </w:rPr>
      </w:pPr>
      <w:r>
        <w:rPr>
          <w:rFonts w:ascii="Arial" w:cs="Arial" w:eastAsia="Arial" w:hAnsi="Arial"/>
          <w:sz w:val="18"/>
          <w:szCs w:val="18"/>
          <w:b w:val="1"/>
          <w:bCs w:val="1"/>
          <w:color w:val="auto"/>
        </w:rPr>
        <w:t>SEGMENT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(Unaudited, in thousands)</w:t>
      </w:r>
    </w:p>
    <w:p>
      <w:pPr>
        <w:sectPr>
          <w:pgSz w:w="11900" w:h="16838" w:orient="portrait"/>
          <w:cols w:equalWidth="0" w:num="1">
            <w:col w:w="11240"/>
          </w:cols>
          <w:pgMar w:left="320" w:top="135" w:right="339" w:bottom="1440" w:gutter="0" w:footer="0" w:header="0"/>
        </w:sectPr>
      </w:pPr>
    </w:p>
    <w:p>
      <w:pPr>
        <w:spacing w:after="0" w:line="32" w:lineRule="exact"/>
        <w:rPr>
          <w:sz w:val="20"/>
          <w:szCs w:val="20"/>
          <w:color w:val="auto"/>
        </w:rPr>
      </w:pPr>
    </w:p>
    <w:p>
      <w:pPr>
        <w:jc w:val="center"/>
        <w:ind w:left="194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40640</wp:posOffset>
            </wp:positionV>
            <wp:extent cx="1482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53" w:lineRule="exact"/>
        <w:rPr>
          <w:sz w:val="20"/>
          <w:szCs w:val="20"/>
          <w:color w:val="auto"/>
        </w:rPr>
      </w:pPr>
    </w:p>
    <w:p>
      <w:pPr>
        <w:ind w:left="2300"/>
        <w:spacing w:after="0"/>
        <w:tabs>
          <w:tab w:leader="none" w:pos="35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1345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53" w:lineRule="exact"/>
        <w:rPr>
          <w:sz w:val="20"/>
          <w:szCs w:val="20"/>
          <w:color w:val="auto"/>
        </w:rPr>
      </w:pPr>
    </w:p>
    <w:p>
      <w:pPr>
        <w:ind w:left="300"/>
        <w:spacing w:after="0"/>
        <w:tabs>
          <w:tab w:leader="none" w:pos="13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7" w:lineRule="exact"/>
        <w:rPr>
          <w:sz w:val="20"/>
          <w:szCs w:val="20"/>
          <w:color w:val="auto"/>
        </w:rPr>
      </w:pPr>
    </w:p>
    <w:p>
      <w:pPr>
        <w:sectPr>
          <w:pgSz w:w="11900" w:h="16838" w:orient="portrait"/>
          <w:cols w:equalWidth="0" w:num="2">
            <w:col w:w="4260" w:space="80"/>
            <w:col w:w="690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1940" w:type="dxa"/>
            <w:vAlign w:val="bottom"/>
          </w:tcPr>
          <w:p>
            <w:pPr>
              <w:spacing w:after="0"/>
              <w:rPr>
                <w:sz w:val="20"/>
                <w:szCs w:val="20"/>
                <w:color w:val="auto"/>
              </w:rPr>
            </w:pPr>
            <w:r>
              <w:rPr>
                <w:rFonts w:ascii="Arial" w:cs="Arial" w:eastAsia="Arial" w:hAnsi="Arial"/>
                <w:sz w:val="18"/>
                <w:szCs w:val="18"/>
                <w:b w:val="1"/>
                <w:bCs w:val="1"/>
                <w:color w:val="auto"/>
              </w:rPr>
              <w:t>Product revenues</w:t>
            </w: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160,647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126,950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330,978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327,118</w:t>
            </w: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235,167</w:t>
            </w:r>
          </w:p>
        </w:tc>
        <w:tc>
          <w:tcPr>
            <w:tcW w:w="3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300,351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493,870</w:t>
            </w: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615,788</w:t>
            </w: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40" w:type="dxa"/>
            <w:vAlign w:val="bottom"/>
          </w:tcPr>
          <w:p>
            <w:pPr>
              <w:ind w:left="220"/>
              <w:spacing w:after="0"/>
              <w:rPr>
                <w:sz w:val="20"/>
                <w:szCs w:val="20"/>
                <w:color w:val="auto"/>
              </w:rPr>
            </w:pPr>
            <w:r>
              <w:rPr>
                <w:rFonts w:ascii="Arial" w:cs="Arial" w:eastAsia="Arial" w:hAnsi="Arial"/>
                <w:sz w:val="18"/>
                <w:szCs w:val="18"/>
                <w:color w:val="auto"/>
              </w:rPr>
              <w:t>Outcomes</w:t>
            </w: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15,905</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11,684</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29,675</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24,216</w:t>
            </w: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411,719</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438,985</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854,523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967,122</w:t>
            </w: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rPr>
              <w:t>Service revenues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2,320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4,770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4,326</w:t>
            </w: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29,891</w:t>
            </w:r>
          </w:p>
        </w:tc>
        <w:tc>
          <w:tcPr>
            <w:tcW w:w="3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24,129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59,502</w:t>
            </w: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49,537</w:t>
            </w: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40" w:type="dxa"/>
            <w:vAlign w:val="bottom"/>
          </w:tcPr>
          <w:p>
            <w:pPr>
              <w:ind w:left="220"/>
              <w:spacing w:after="0"/>
              <w:rPr>
                <w:sz w:val="20"/>
                <w:szCs w:val="20"/>
                <w:color w:val="auto"/>
              </w:rPr>
            </w:pPr>
            <w:r>
              <w:rPr>
                <w:rFonts w:ascii="Arial" w:cs="Arial" w:eastAsia="Arial" w:hAnsi="Arial"/>
                <w:sz w:val="18"/>
                <w:szCs w:val="18"/>
                <w:color w:val="auto"/>
              </w:rPr>
              <w:t>Outcomes</w:t>
            </w: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45,482</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44,265</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90,191</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87,024</w:t>
            </w: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77,693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70,609</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154,463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140,887</w:t>
            </w: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162,967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129,165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335,748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331,444</w:t>
            </w: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265,058</w:t>
            </w:r>
          </w:p>
        </w:tc>
        <w:tc>
          <w:tcPr>
            <w:tcW w:w="3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324,480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553,372</w:t>
            </w: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665,325</w:t>
            </w: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40" w:type="dxa"/>
            <w:vAlign w:val="bottom"/>
          </w:tcPr>
          <w:p>
            <w:pPr>
              <w:ind w:left="220"/>
              <w:spacing w:after="0"/>
              <w:rPr>
                <w:sz w:val="20"/>
                <w:szCs w:val="20"/>
                <w:color w:val="auto"/>
              </w:rPr>
            </w:pPr>
            <w:r>
              <w:rPr>
                <w:rFonts w:ascii="Arial" w:cs="Arial" w:eastAsia="Arial" w:hAnsi="Arial"/>
                <w:sz w:val="18"/>
                <w:szCs w:val="18"/>
                <w:color w:val="auto"/>
              </w:rPr>
              <w:t>Outcomes</w:t>
            </w: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61,387</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55,949</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119,866</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111,240</w:t>
            </w: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489,412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509,594</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1,008,986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1,108,009</w:t>
            </w: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30,452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11,948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62,748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44,315</w:t>
            </w: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95,953</w:t>
            </w:r>
          </w:p>
        </w:tc>
        <w:tc>
          <w:tcPr>
            <w:tcW w:w="3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108,323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208,712</w:t>
            </w: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230,073</w:t>
            </w: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40" w:type="dxa"/>
            <w:vAlign w:val="bottom"/>
          </w:tcPr>
          <w:p>
            <w:pPr>
              <w:ind w:left="220"/>
              <w:spacing w:after="0"/>
              <w:rPr>
                <w:sz w:val="20"/>
                <w:szCs w:val="20"/>
                <w:color w:val="auto"/>
              </w:rPr>
            </w:pPr>
            <w:r>
              <w:rPr>
                <w:rFonts w:ascii="Arial" w:cs="Arial" w:eastAsia="Arial" w:hAnsi="Arial"/>
                <w:sz w:val="18"/>
                <w:szCs w:val="18"/>
                <w:color w:val="auto"/>
              </w:rPr>
              <w:t>Outcomes</w:t>
            </w: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23,470</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18,246</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45,459</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35,695</w:t>
            </w: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149,875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138,517</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316,919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310,083</w:t>
            </w: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w w:val="93"/>
              </w:rPr>
              <w:t>Operating income (loss)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19,988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41,689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17,078</w:t>
            </w: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64,630</w:t>
            </w:r>
          </w:p>
        </w:tc>
        <w:tc>
          <w:tcPr>
            <w:tcW w:w="3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77,382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143,921</w:t>
            </w: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166,062</w:t>
            </w: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20"/>
              <w:spacing w:after="0"/>
              <w:rPr>
                <w:sz w:val="20"/>
                <w:szCs w:val="20"/>
                <w:color w:val="auto"/>
              </w:rPr>
            </w:pPr>
            <w:r>
              <w:rPr>
                <w:rFonts w:ascii="Arial" w:cs="Arial" w:eastAsia="Arial" w:hAnsi="Arial"/>
                <w:sz w:val="18"/>
                <w:szCs w:val="18"/>
                <w:color w:val="auto"/>
              </w:rPr>
              <w:t>Outcomes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12,537</w:t>
            </w:r>
          </w:p>
        </w:tc>
        <w:tc>
          <w:tcPr>
            <w:tcW w:w="3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9,226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22,873</w:t>
            </w: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17,424</w:t>
            </w: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40" w:type="dxa"/>
            <w:vAlign w:val="bottom"/>
          </w:tcPr>
          <w:p>
            <w:pPr>
              <w:ind w:left="220"/>
              <w:spacing w:after="0"/>
              <w:rPr>
                <w:sz w:val="20"/>
                <w:szCs w:val="20"/>
                <w:color w:val="auto"/>
              </w:rPr>
            </w:pPr>
            <w:r>
              <w:rPr>
                <w:rFonts w:ascii="Arial" w:cs="Arial" w:eastAsia="Arial" w:hAnsi="Arial"/>
                <w:sz w:val="18"/>
                <w:szCs w:val="18"/>
                <w:color w:val="auto"/>
                <w:w w:val="95"/>
              </w:rPr>
              <w:t>Corporate unallocated</w:t>
            </w: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(104,087)</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(130,875)</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(184,475)</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(219,581)</w:t>
            </w: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94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(45,387)</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(19,017)</w:t>
            </w: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type w:val="continuous"/>
        </w:sectPr>
      </w:pPr>
    </w:p>
    <w:bookmarkStart w:id="10" w:name="page11"/>
    <w:bookmarkEnd w:id="10"/>
    <w:p>
      <w:pPr>
        <w:jc w:val="center"/>
        <w:ind w:right="518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5180"/>
        <w:spacing w:after="0"/>
        <w:rPr>
          <w:sz w:val="20"/>
          <w:szCs w:val="20"/>
          <w:color w:val="auto"/>
        </w:rPr>
      </w:pPr>
      <w:r>
        <w:rPr>
          <w:rFonts w:ascii="Arial" w:cs="Arial" w:eastAsia="Arial" w:hAnsi="Arial"/>
          <w:sz w:val="18"/>
          <w:szCs w:val="18"/>
          <w:b w:val="1"/>
          <w:bCs w:val="1"/>
          <w:color w:val="auto"/>
        </w:rPr>
        <w:t>CONSOLIDATED BALANCE 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60" w:type="dxa"/>
            <w:vAlign w:val="bottom"/>
          </w:tcPr>
          <w:p>
            <w:pPr>
              <w:spacing w:after="0"/>
              <w:rPr>
                <w:sz w:val="20"/>
                <w:szCs w:val="20"/>
                <w:color w:val="auto"/>
              </w:rPr>
            </w:pPr>
            <w:r>
              <w:rPr>
                <w:rFonts w:ascii="Arial" w:cs="Arial" w:eastAsia="Arial" w:hAnsi="Arial"/>
                <w:sz w:val="18"/>
                <w:szCs w:val="18"/>
                <w:color w:val="auto"/>
              </w:rPr>
              <w:t>(Unaudited, in thousands)</w:t>
            </w:r>
          </w:p>
        </w:tc>
        <w:tc>
          <w:tcPr>
            <w:tcW w:w="20" w:type="dxa"/>
            <w:vAlign w:val="bottom"/>
          </w:tcPr>
          <w:p>
            <w:pPr>
              <w:spacing w:after="0"/>
              <w:rPr>
                <w:sz w:val="21"/>
                <w:szCs w:val="21"/>
                <w:color w:val="auto"/>
              </w:rPr>
            </w:pPr>
          </w:p>
        </w:tc>
        <w:tc>
          <w:tcPr>
            <w:tcW w:w="2580" w:type="dxa"/>
            <w:vAlign w:val="bottom"/>
            <w:gridSpan w:val="5"/>
          </w:tcPr>
          <w:p>
            <w:pPr>
              <w:spacing w:after="0"/>
              <w:rPr>
                <w:sz w:val="20"/>
                <w:szCs w:val="20"/>
                <w:color w:val="auto"/>
              </w:rPr>
            </w:pPr>
            <w:r>
              <w:rPr>
                <w:rFonts w:ascii="Arial" w:cs="Arial" w:eastAsia="Arial" w:hAnsi="Arial"/>
                <w:sz w:val="18"/>
                <w:szCs w:val="18"/>
                <w:b w:val="1"/>
                <w:bCs w:val="1"/>
                <w:color w:val="auto"/>
                <w:w w:val="90"/>
              </w:rPr>
              <w:t>June 30, 2021 December 31, 2020</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134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207,131</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206,933</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336,071</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369,828</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179,347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182,377</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120,351</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171,124</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842,900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930,262</w:t>
            </w: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196,209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207,816</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99,297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76,142</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41,293</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51,656</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72,059</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76,276</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113,672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132,955</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1,123,155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1,131,916</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2,488,585</w:t>
            </w:r>
          </w:p>
        </w:tc>
        <w:tc>
          <w:tcPr>
            <w:tcW w:w="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2,607,023</w:t>
            </w: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175,546</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215,639</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70,525</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72,591</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Wages and benefits payable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103,642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86,249</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14,235</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15,804</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Current portion of debt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18,359</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Current portion of warranty</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20,299</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28,329</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60" w:type="dxa"/>
            <w:vAlign w:val="bottom"/>
          </w:tcPr>
          <w:p>
            <w:pPr>
              <w:ind w:left="220"/>
              <w:spacing w:after="0"/>
              <w:rPr>
                <w:sz w:val="20"/>
                <w:szCs w:val="20"/>
                <w:color w:val="auto"/>
              </w:rPr>
            </w:pPr>
            <w:r>
              <w:rPr>
                <w:rFonts w:ascii="Arial" w:cs="Arial" w:eastAsia="Arial" w:hAnsi="Arial"/>
                <w:sz w:val="18"/>
                <w:szCs w:val="18"/>
                <w:color w:val="auto"/>
              </w:rPr>
              <w:t>Unearned revenue</w:t>
            </w: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130,118</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112,928</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514,365</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549,899</w:t>
            </w: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60" w:type="dxa"/>
            <w:vAlign w:val="bottom"/>
          </w:tcPr>
          <w:p>
            <w:pPr>
              <w:spacing w:after="0"/>
              <w:rPr>
                <w:sz w:val="20"/>
                <w:szCs w:val="20"/>
                <w:color w:val="auto"/>
              </w:rPr>
            </w:pPr>
            <w:r>
              <w:rPr>
                <w:rFonts w:ascii="Arial" w:cs="Arial" w:eastAsia="Arial" w:hAnsi="Arial"/>
                <w:sz w:val="18"/>
                <w:szCs w:val="18"/>
                <w:color w:val="auto"/>
              </w:rPr>
              <w:t>Long-term debt, net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479,034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902,577</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Long-term warranty</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15,911</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13,061</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116,666</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119,457</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1,921</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62,785</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66,823</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6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97,334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113,012</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6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1,287,927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1,766,750</w:t>
            </w: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60" w:type="dxa"/>
            <w:vAlign w:val="bottom"/>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1,775,315</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1,389,419</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w w:val="92"/>
              </w:rPr>
              <w:t>Accumulated other comprehensive loss, net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(145,172)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(138,526)</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(454,865)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(434,345)</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60" w:type="dxa"/>
            <w:vAlign w:val="bottom"/>
          </w:tcPr>
          <w:p>
            <w:pPr>
              <w:ind w:left="420"/>
              <w:spacing w:after="0"/>
              <w:rPr>
                <w:sz w:val="20"/>
                <w:szCs w:val="20"/>
                <w:color w:val="auto"/>
              </w:rPr>
            </w:pPr>
            <w:r>
              <w:rPr>
                <w:rFonts w:ascii="Arial" w:cs="Arial" w:eastAsia="Arial" w:hAnsi="Arial"/>
                <w:sz w:val="18"/>
                <w:szCs w:val="18"/>
                <w:color w:val="auto"/>
              </w:rPr>
              <w:t>Total Itron, Inc. shareholders' equity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1,175,278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816,548</w:t>
            </w: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46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25,380</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23,725</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20"/>
              <w:spacing w:after="0"/>
              <w:rPr>
                <w:sz w:val="20"/>
                <w:szCs w:val="20"/>
                <w:color w:val="auto"/>
              </w:rPr>
            </w:pPr>
            <w:r>
              <w:rPr>
                <w:rFonts w:ascii="Arial" w:cs="Arial" w:eastAsia="Arial" w:hAnsi="Arial"/>
                <w:sz w:val="18"/>
                <w:szCs w:val="18"/>
                <w:color w:val="auto"/>
              </w:rPr>
              <w:t>Total equity</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1,200,658</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840,273</w:t>
            </w: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6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2,488,585</w:t>
            </w:r>
          </w:p>
        </w:tc>
        <w:tc>
          <w:tcPr>
            <w:tcW w:w="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2,607,023</w:t>
            </w: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sectPr>
      </w:pPr>
    </w:p>
    <w:bookmarkStart w:id="11" w:name="page12"/>
    <w:bookmarkEnd w:id="11"/>
    <w:p>
      <w:pPr>
        <w:jc w:val="center"/>
        <w:ind w:right="2139"/>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2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900" w:type="dxa"/>
            <w:vAlign w:val="bottom"/>
          </w:tcPr>
          <w:p>
            <w:pPr>
              <w:spacing w:after="0"/>
              <w:rPr>
                <w:sz w:val="20"/>
                <w:szCs w:val="20"/>
                <w:color w:val="auto"/>
              </w:rPr>
            </w:pPr>
            <w:r>
              <w:rPr>
                <w:rFonts w:ascii="Arial" w:cs="Arial" w:eastAsia="Arial" w:hAnsi="Arial"/>
                <w:sz w:val="18"/>
                <w:szCs w:val="18"/>
                <w:color w:val="auto"/>
              </w:rPr>
              <w:t>(Unaudited, in thousands)</w:t>
            </w: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28"/>
        </w:trPr>
        <w:tc>
          <w:tcPr>
            <w:tcW w:w="590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5715</wp:posOffset>
            </wp:positionV>
            <wp:extent cx="1346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ectPr>
          <w:pgSz w:w="11900" w:h="16838" w:orient="portrait"/>
          <w:cols w:equalWidth="0" w:num="1">
            <w:col w:w="10139"/>
          </w:cols>
          <w:pgMar w:left="320" w:top="135" w:right="1440"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loss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Adjustments to reconcile net loss to net cash provided by operating activities:</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Depreciation and amortization</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Non-cash operating lease expense</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of prepaid debt fees</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taxes,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Loss on sale of business</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Loss on extinguishment of debt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Restructuring, non-cash</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adjustments, net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 net of sale of business: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Inventories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current assets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long-term assets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payable, other current liabilities, and taxes payable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Wages and benefits payable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Unearned revenue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Warranty</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operating,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provided by operating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proceeds (payments) related to the sale of business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Acquisitions of property, plant, and equipment</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investing,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used in investing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borrowings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Payments on debt</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Issuance of common stock</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common stock offering</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sale of warrants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Purchases of convertible note hedge contracts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Prepaid debt fees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financing,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(used in) provided by financing activities</w:t>
      </w:r>
    </w:p>
    <w:p>
      <w:pPr>
        <w:spacing w:after="0" w:line="293" w:lineRule="exact"/>
        <w:rPr>
          <w:sz w:val="20"/>
          <w:szCs w:val="20"/>
          <w:color w:val="auto"/>
        </w:rPr>
      </w:pPr>
    </w:p>
    <w:p>
      <w:pPr>
        <w:ind w:right="800"/>
        <w:spacing w:after="0" w:line="289" w:lineRule="auto"/>
        <w:rPr>
          <w:sz w:val="20"/>
          <w:szCs w:val="20"/>
          <w:color w:val="auto"/>
        </w:rPr>
      </w:pPr>
      <w:r>
        <w:rPr>
          <w:rFonts w:ascii="Arial" w:cs="Arial" w:eastAsia="Arial" w:hAnsi="Arial"/>
          <w:sz w:val="18"/>
          <w:szCs w:val="18"/>
          <w:color w:val="auto"/>
        </w:rPr>
        <w:t>Effect of foreign exchange rate changes on cash and cash equivalents Increase in cash and cash equivalents</w:t>
      </w:r>
    </w:p>
    <w:p>
      <w:pPr>
        <w:spacing w:after="0" w:line="1" w:lineRule="exact"/>
        <w:rPr>
          <w:sz w:val="20"/>
          <w:szCs w:val="20"/>
          <w:color w:val="auto"/>
        </w:rPr>
      </w:pPr>
    </w:p>
    <w:p>
      <w:pPr>
        <w:ind w:right="2260"/>
        <w:spacing w:after="0" w:line="430" w:lineRule="auto"/>
        <w:rPr>
          <w:sz w:val="20"/>
          <w:szCs w:val="20"/>
          <w:color w:val="auto"/>
        </w:rPr>
      </w:pPr>
      <w:r>
        <w:rPr>
          <w:rFonts w:ascii="Arial" w:cs="Arial" w:eastAsia="Arial" w:hAnsi="Arial"/>
          <w:sz w:val="16"/>
          <w:szCs w:val="16"/>
          <w:color w:val="auto"/>
        </w:rPr>
        <w:t>Cash and cash equivalents at beginning of period 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tabs>
          <w:tab w:leader="none" w:pos="340" w:val="left"/>
          <w:tab w:leader="none" w:pos="1440" w:val="left"/>
        </w:tabs>
        <w:rPr>
          <w:sz w:val="20"/>
          <w:szCs w:val="20"/>
          <w:color w:val="auto"/>
        </w:rPr>
      </w:pPr>
      <w:r>
        <w:rPr>
          <w:rFonts w:ascii="Arial" w:cs="Arial" w:eastAsia="Arial" w:hAnsi="Arial"/>
          <w:sz w:val="18"/>
          <w:szCs w:val="18"/>
          <w:color w:val="auto"/>
        </w:rPr>
        <w:t>$</w:t>
        <w:tab/>
        <w:t>(18,865) $</w:t>
      </w:r>
      <w:r>
        <w:rPr>
          <w:sz w:val="20"/>
          <w:szCs w:val="20"/>
          <w:color w:val="auto"/>
        </w:rPr>
        <w:tab/>
      </w:r>
      <w:r>
        <w:rPr>
          <w:rFonts w:ascii="Arial" w:cs="Arial" w:eastAsia="Arial" w:hAnsi="Arial"/>
          <w:sz w:val="16"/>
          <w:szCs w:val="16"/>
          <w:color w:val="auto"/>
        </w:rPr>
        <w:t>(53,325)</w:t>
      </w:r>
    </w:p>
    <w:p>
      <w:pPr>
        <w:spacing w:after="0" w:line="279" w:lineRule="exact"/>
        <w:rPr>
          <w:sz w:val="20"/>
          <w:szCs w:val="20"/>
          <w:color w:val="auto"/>
        </w:rPr>
      </w:pPr>
    </w:p>
    <w:p>
      <w:pPr>
        <w:ind w:left="420"/>
        <w:spacing w:after="0"/>
        <w:tabs>
          <w:tab w:leader="none" w:pos="1500" w:val="left"/>
        </w:tabs>
        <w:rPr>
          <w:sz w:val="20"/>
          <w:szCs w:val="20"/>
          <w:color w:val="auto"/>
        </w:rPr>
      </w:pPr>
      <w:r>
        <w:rPr>
          <w:rFonts w:ascii="Arial" w:cs="Arial" w:eastAsia="Arial" w:hAnsi="Arial"/>
          <w:sz w:val="18"/>
          <w:szCs w:val="18"/>
          <w:color w:val="auto"/>
        </w:rPr>
        <w:t>42,919</w:t>
      </w:r>
      <w:r>
        <w:rPr>
          <w:sz w:val="20"/>
          <w:szCs w:val="20"/>
          <w:color w:val="auto"/>
        </w:rPr>
        <w:tab/>
      </w:r>
      <w:r>
        <w:rPr>
          <w:rFonts w:ascii="Arial" w:cs="Arial" w:eastAsia="Arial" w:hAnsi="Arial"/>
          <w:sz w:val="18"/>
          <w:szCs w:val="18"/>
          <w:color w:val="auto"/>
        </w:rPr>
        <w:t>48,230</w:t>
      </w:r>
    </w:p>
    <w:p>
      <w:pPr>
        <w:spacing w:after="0" w:line="36" w:lineRule="exact"/>
        <w:rPr>
          <w:sz w:val="20"/>
          <w:szCs w:val="20"/>
          <w:color w:val="auto"/>
        </w:rPr>
      </w:pPr>
    </w:p>
    <w:p>
      <w:pPr>
        <w:ind w:left="500"/>
        <w:spacing w:after="0"/>
        <w:tabs>
          <w:tab w:leader="none" w:pos="1600" w:val="left"/>
        </w:tabs>
        <w:rPr>
          <w:sz w:val="20"/>
          <w:szCs w:val="20"/>
          <w:color w:val="auto"/>
        </w:rPr>
      </w:pPr>
      <w:r>
        <w:rPr>
          <w:rFonts w:ascii="Arial" w:cs="Arial" w:eastAsia="Arial" w:hAnsi="Arial"/>
          <w:sz w:val="18"/>
          <w:szCs w:val="18"/>
          <w:color w:val="auto"/>
        </w:rPr>
        <w:t>8,647</w:t>
      </w:r>
      <w:r>
        <w:rPr>
          <w:sz w:val="20"/>
          <w:szCs w:val="20"/>
          <w:color w:val="auto"/>
        </w:rPr>
        <w:tab/>
      </w:r>
      <w:r>
        <w:rPr>
          <w:rFonts w:ascii="Arial" w:cs="Arial" w:eastAsia="Arial" w:hAnsi="Arial"/>
          <w:sz w:val="18"/>
          <w:szCs w:val="18"/>
          <w:color w:val="auto"/>
        </w:rPr>
        <w:t>9,909</w:t>
      </w:r>
    </w:p>
    <w:p>
      <w:pPr>
        <w:spacing w:after="0" w:line="36" w:lineRule="exact"/>
        <w:rPr>
          <w:sz w:val="20"/>
          <w:szCs w:val="20"/>
          <w:color w:val="auto"/>
        </w:rPr>
      </w:pPr>
    </w:p>
    <w:p>
      <w:pPr>
        <w:ind w:left="420"/>
        <w:spacing w:after="0"/>
        <w:tabs>
          <w:tab w:leader="none" w:pos="1500" w:val="left"/>
        </w:tabs>
        <w:rPr>
          <w:sz w:val="20"/>
          <w:szCs w:val="20"/>
          <w:color w:val="auto"/>
        </w:rPr>
      </w:pPr>
      <w:r>
        <w:rPr>
          <w:rFonts w:ascii="Arial" w:cs="Arial" w:eastAsia="Arial" w:hAnsi="Arial"/>
          <w:sz w:val="18"/>
          <w:szCs w:val="18"/>
          <w:color w:val="auto"/>
        </w:rPr>
        <w:t>12,586</w:t>
      </w:r>
      <w:r>
        <w:rPr>
          <w:sz w:val="20"/>
          <w:szCs w:val="20"/>
          <w:color w:val="auto"/>
        </w:rPr>
        <w:tab/>
      </w:r>
      <w:r>
        <w:rPr>
          <w:rFonts w:ascii="Arial" w:cs="Arial" w:eastAsia="Arial" w:hAnsi="Arial"/>
          <w:sz w:val="18"/>
          <w:szCs w:val="18"/>
          <w:color w:val="auto"/>
        </w:rPr>
        <w:t>15,581</w:t>
      </w:r>
    </w:p>
    <w:p>
      <w:pPr>
        <w:spacing w:after="0" w:line="36" w:lineRule="exact"/>
        <w:rPr>
          <w:sz w:val="20"/>
          <w:szCs w:val="20"/>
          <w:color w:val="auto"/>
        </w:rPr>
      </w:pPr>
    </w:p>
    <w:p>
      <w:pPr>
        <w:ind w:left="500"/>
        <w:spacing w:after="0"/>
        <w:tabs>
          <w:tab w:leader="none" w:pos="1600" w:val="left"/>
        </w:tabs>
        <w:rPr>
          <w:sz w:val="20"/>
          <w:szCs w:val="20"/>
          <w:color w:val="auto"/>
        </w:rPr>
      </w:pPr>
      <w:r>
        <w:rPr>
          <w:rFonts w:ascii="Arial" w:cs="Arial" w:eastAsia="Arial" w:hAnsi="Arial"/>
          <w:sz w:val="18"/>
          <w:szCs w:val="18"/>
          <w:color w:val="auto"/>
        </w:rPr>
        <w:t>4,315</w:t>
      </w:r>
      <w:r>
        <w:rPr>
          <w:sz w:val="20"/>
          <w:szCs w:val="20"/>
          <w:color w:val="auto"/>
        </w:rPr>
        <w:tab/>
      </w:r>
      <w:r>
        <w:rPr>
          <w:rFonts w:ascii="Arial" w:cs="Arial" w:eastAsia="Arial" w:hAnsi="Arial"/>
          <w:sz w:val="18"/>
          <w:szCs w:val="18"/>
          <w:color w:val="auto"/>
        </w:rPr>
        <w:t>2,013</w:t>
      </w:r>
    </w:p>
    <w:p>
      <w:pPr>
        <w:spacing w:after="0" w:line="36"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color w:val="auto"/>
        </w:rPr>
        <w:t>(2,942)</w:t>
      </w:r>
      <w:r>
        <w:rPr>
          <w:sz w:val="20"/>
          <w:szCs w:val="20"/>
          <w:color w:val="auto"/>
        </w:rPr>
        <w:tab/>
      </w:r>
      <w:r>
        <w:rPr>
          <w:rFonts w:ascii="Arial" w:cs="Arial" w:eastAsia="Arial" w:hAnsi="Arial"/>
          <w:sz w:val="18"/>
          <w:szCs w:val="18"/>
          <w:color w:val="auto"/>
        </w:rPr>
        <w:t>5,904</w:t>
      </w:r>
    </w:p>
    <w:p>
      <w:pPr>
        <w:spacing w:after="0" w:line="36" w:lineRule="exact"/>
        <w:rPr>
          <w:sz w:val="20"/>
          <w:szCs w:val="20"/>
          <w:color w:val="auto"/>
        </w:rPr>
      </w:pPr>
    </w:p>
    <w:p>
      <w:pPr>
        <w:ind w:left="420"/>
        <w:spacing w:after="0"/>
        <w:tabs>
          <w:tab w:leader="none" w:pos="1500" w:val="left"/>
        </w:tabs>
        <w:rPr>
          <w:sz w:val="20"/>
          <w:szCs w:val="20"/>
          <w:color w:val="auto"/>
        </w:rPr>
      </w:pPr>
      <w:r>
        <w:rPr>
          <w:rFonts w:ascii="Arial" w:cs="Arial" w:eastAsia="Arial" w:hAnsi="Arial"/>
          <w:sz w:val="18"/>
          <w:szCs w:val="18"/>
          <w:color w:val="auto"/>
        </w:rPr>
        <w:t>26,103</w:t>
      </w:r>
      <w:r>
        <w:rPr>
          <w:sz w:val="20"/>
          <w:szCs w:val="20"/>
          <w:color w:val="auto"/>
        </w:rPr>
        <w:tab/>
      </w:r>
      <w:r>
        <w:rPr>
          <w:rFonts w:ascii="Arial" w:cs="Arial" w:eastAsia="Arial" w:hAnsi="Arial"/>
          <w:sz w:val="18"/>
          <w:szCs w:val="18"/>
          <w:color w:val="auto"/>
        </w:rPr>
        <w:t>56,915</w:t>
      </w:r>
    </w:p>
    <w:p>
      <w:pPr>
        <w:spacing w:after="0" w:line="36" w:lineRule="exact"/>
        <w:rPr>
          <w:sz w:val="20"/>
          <w:szCs w:val="20"/>
          <w:color w:val="auto"/>
        </w:rPr>
      </w:pPr>
    </w:p>
    <w:p>
      <w:pPr>
        <w:ind w:left="420"/>
        <w:spacing w:after="0"/>
        <w:tabs>
          <w:tab w:leader="none" w:pos="1820" w:val="left"/>
        </w:tabs>
        <w:rPr>
          <w:sz w:val="20"/>
          <w:szCs w:val="20"/>
          <w:color w:val="auto"/>
        </w:rPr>
      </w:pPr>
      <w:r>
        <w:rPr>
          <w:rFonts w:ascii="Arial" w:cs="Arial" w:eastAsia="Arial" w:hAnsi="Arial"/>
          <w:sz w:val="18"/>
          <w:szCs w:val="18"/>
          <w:color w:val="auto"/>
        </w:rPr>
        <w:t>10,000</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1560" w:hanging="918"/>
        <w:spacing w:after="0"/>
        <w:tabs>
          <w:tab w:leader="none" w:pos="1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(1,146)</w:t>
      </w:r>
    </w:p>
    <w:p>
      <w:pPr>
        <w:spacing w:after="0" w:line="47"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13,913</w:t>
      </w:r>
      <w:r>
        <w:rPr>
          <w:rFonts w:ascii="Arial" w:cs="Arial" w:eastAsia="Arial" w:hAnsi="Arial"/>
          <w:sz w:val="16"/>
          <w:szCs w:val="16"/>
          <w:color w:val="auto"/>
        </w:rPr>
        <w:t>287</w:t>
      </w:r>
    </w:p>
    <w:p>
      <w:pPr>
        <w:spacing w:after="0" w:line="279" w:lineRule="exact"/>
        <w:rPr>
          <w:sz w:val="20"/>
          <w:szCs w:val="20"/>
          <w:color w:val="auto"/>
        </w:rPr>
      </w:pPr>
    </w:p>
    <w:p>
      <w:pPr>
        <w:ind w:left="420"/>
        <w:spacing w:after="0"/>
        <w:tabs>
          <w:tab w:leader="none" w:pos="1500" w:val="left"/>
        </w:tabs>
        <w:rPr>
          <w:sz w:val="20"/>
          <w:szCs w:val="20"/>
          <w:color w:val="auto"/>
        </w:rPr>
      </w:pPr>
      <w:r>
        <w:rPr>
          <w:rFonts w:ascii="Arial" w:cs="Arial" w:eastAsia="Arial" w:hAnsi="Arial"/>
          <w:sz w:val="18"/>
          <w:szCs w:val="18"/>
          <w:color w:val="auto"/>
        </w:rPr>
        <w:t>29,549</w:t>
      </w:r>
      <w:r>
        <w:rPr>
          <w:sz w:val="20"/>
          <w:szCs w:val="20"/>
          <w:color w:val="auto"/>
        </w:rPr>
        <w:tab/>
      </w:r>
      <w:r>
        <w:rPr>
          <w:rFonts w:ascii="Arial" w:cs="Arial" w:eastAsia="Arial" w:hAnsi="Arial"/>
          <w:sz w:val="18"/>
          <w:szCs w:val="18"/>
          <w:color w:val="auto"/>
        </w:rPr>
        <w:t>52,031</w:t>
      </w:r>
    </w:p>
    <w:p>
      <w:pPr>
        <w:spacing w:after="0" w:line="36" w:lineRule="exact"/>
        <w:rPr>
          <w:sz w:val="20"/>
          <w:szCs w:val="20"/>
          <w:color w:val="auto"/>
        </w:rPr>
      </w:pPr>
    </w:p>
    <w:p>
      <w:pPr>
        <w:ind w:left="1460" w:hanging="728"/>
        <w:spacing w:after="0"/>
        <w:tabs>
          <w:tab w:leader="none" w:pos="1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(16,529)</w:t>
      </w:r>
    </w:p>
    <w:p>
      <w:pPr>
        <w:spacing w:after="0" w:line="47"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22,164</w:t>
      </w:r>
      <w:r>
        <w:rPr>
          <w:rFonts w:ascii="Arial" w:cs="Arial" w:eastAsia="Arial" w:hAnsi="Arial"/>
          <w:sz w:val="16"/>
          <w:szCs w:val="16"/>
          <w:color w:val="auto"/>
        </w:rPr>
        <w:t>(7,861)</w:t>
      </w:r>
    </w:p>
    <w:p>
      <w:pPr>
        <w:spacing w:after="0" w:line="36"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6,207</w:t>
      </w:r>
      <w:r>
        <w:rPr>
          <w:rFonts w:ascii="Arial" w:cs="Arial" w:eastAsia="Arial" w:hAnsi="Arial"/>
          <w:sz w:val="16"/>
          <w:szCs w:val="16"/>
          <w:color w:val="auto"/>
        </w:rPr>
        <w:t>(3,919)</w:t>
      </w:r>
    </w:p>
    <w:p>
      <w:pPr>
        <w:spacing w:after="0" w:line="36"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7"/>
          <w:szCs w:val="17"/>
          <w:color w:val="auto"/>
        </w:rPr>
        <w:t>(43,115)</w:t>
      </w:r>
      <w:r>
        <w:rPr>
          <w:sz w:val="20"/>
          <w:szCs w:val="20"/>
          <w:color w:val="auto"/>
        </w:rPr>
        <w:tab/>
      </w:r>
      <w:r>
        <w:rPr>
          <w:rFonts w:ascii="Arial" w:cs="Arial" w:eastAsia="Arial" w:hAnsi="Arial"/>
          <w:sz w:val="17"/>
          <w:szCs w:val="17"/>
          <w:color w:val="auto"/>
        </w:rPr>
        <w:t>(76,144)</w:t>
      </w:r>
    </w:p>
    <w:p>
      <w:pPr>
        <w:spacing w:after="0" w:line="48" w:lineRule="exact"/>
        <w:rPr>
          <w:sz w:val="20"/>
          <w:szCs w:val="20"/>
          <w:color w:val="auto"/>
        </w:rPr>
      </w:pPr>
    </w:p>
    <w:p>
      <w:pPr>
        <w:ind w:left="420"/>
        <w:spacing w:after="0"/>
        <w:tabs>
          <w:tab w:leader="none" w:pos="1460" w:val="left"/>
        </w:tabs>
        <w:rPr>
          <w:sz w:val="20"/>
          <w:szCs w:val="20"/>
          <w:color w:val="auto"/>
        </w:rPr>
      </w:pPr>
      <w:r>
        <w:rPr>
          <w:rFonts w:ascii="Arial" w:cs="Arial" w:eastAsia="Arial" w:hAnsi="Arial"/>
          <w:sz w:val="17"/>
          <w:szCs w:val="17"/>
          <w:color w:val="auto"/>
        </w:rPr>
        <w:t>17,815</w:t>
      </w:r>
      <w:r>
        <w:rPr>
          <w:sz w:val="20"/>
          <w:szCs w:val="20"/>
          <w:color w:val="auto"/>
        </w:rPr>
        <w:tab/>
      </w:r>
      <w:r>
        <w:rPr>
          <w:rFonts w:ascii="Arial" w:cs="Arial" w:eastAsia="Arial" w:hAnsi="Arial"/>
          <w:sz w:val="17"/>
          <w:szCs w:val="17"/>
          <w:color w:val="auto"/>
        </w:rPr>
        <w:t>(11,145)</w:t>
      </w:r>
    </w:p>
    <w:p>
      <w:pPr>
        <w:spacing w:after="0" w:line="48" w:lineRule="exact"/>
        <w:rPr>
          <w:sz w:val="20"/>
          <w:szCs w:val="20"/>
          <w:color w:val="auto"/>
        </w:rPr>
      </w:pPr>
    </w:p>
    <w:p>
      <w:pPr>
        <w:ind w:left="420"/>
        <w:spacing w:after="0"/>
        <w:tabs>
          <w:tab w:leader="none" w:pos="1500" w:val="left"/>
        </w:tabs>
        <w:rPr>
          <w:sz w:val="20"/>
          <w:szCs w:val="20"/>
          <w:color w:val="auto"/>
        </w:rPr>
      </w:pPr>
      <w:r>
        <w:rPr>
          <w:rFonts w:ascii="Arial" w:cs="Arial" w:eastAsia="Arial" w:hAnsi="Arial"/>
          <w:sz w:val="18"/>
          <w:szCs w:val="18"/>
          <w:color w:val="auto"/>
        </w:rPr>
        <w:t>17,106</w:t>
      </w:r>
      <w:r>
        <w:rPr>
          <w:sz w:val="20"/>
          <w:szCs w:val="20"/>
          <w:color w:val="auto"/>
        </w:rPr>
        <w:tab/>
      </w:r>
      <w:r>
        <w:rPr>
          <w:rFonts w:ascii="Arial" w:cs="Arial" w:eastAsia="Arial" w:hAnsi="Arial"/>
          <w:sz w:val="18"/>
          <w:szCs w:val="18"/>
          <w:color w:val="auto"/>
        </w:rPr>
        <w:t>23,099</w:t>
      </w:r>
    </w:p>
    <w:p>
      <w:pPr>
        <w:spacing w:after="0" w:line="36"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7"/>
          <w:szCs w:val="17"/>
          <w:color w:val="auto"/>
        </w:rPr>
        <w:t>(4,744)</w:t>
      </w:r>
      <w:r>
        <w:rPr>
          <w:sz w:val="20"/>
          <w:szCs w:val="20"/>
          <w:color w:val="auto"/>
        </w:rPr>
        <w:tab/>
      </w:r>
      <w:r>
        <w:rPr>
          <w:rFonts w:ascii="Arial" w:cs="Arial" w:eastAsia="Arial" w:hAnsi="Arial"/>
          <w:sz w:val="17"/>
          <w:szCs w:val="17"/>
          <w:color w:val="auto"/>
        </w:rPr>
        <w:t>(8,417)</w:t>
      </w:r>
    </w:p>
    <w:p>
      <w:pPr>
        <w:spacing w:after="0" w:line="48"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7"/>
          <w:szCs w:val="17"/>
          <w:color w:val="auto"/>
        </w:rPr>
        <w:t>(19,926)</w:t>
      </w:r>
      <w:r>
        <w:rPr>
          <w:sz w:val="20"/>
          <w:szCs w:val="20"/>
          <w:color w:val="auto"/>
        </w:rPr>
        <w:tab/>
      </w:r>
      <w:r>
        <w:rPr>
          <w:rFonts w:ascii="Arial" w:cs="Arial" w:eastAsia="Arial" w:hAnsi="Arial"/>
          <w:sz w:val="17"/>
          <w:szCs w:val="17"/>
          <w:color w:val="auto"/>
        </w:rPr>
        <w:t>(9,697)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13462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41" w:lineRule="exact"/>
        <w:rPr>
          <w:sz w:val="20"/>
          <w:szCs w:val="20"/>
          <w:color w:val="auto"/>
        </w:rPr>
      </w:pPr>
    </w:p>
    <w:p>
      <w:pPr>
        <w:ind w:left="320"/>
        <w:spacing w:after="0"/>
        <w:tabs>
          <w:tab w:leader="none" w:pos="1500" w:val="left"/>
        </w:tabs>
        <w:rPr>
          <w:sz w:val="20"/>
          <w:szCs w:val="20"/>
          <w:color w:val="auto"/>
        </w:rPr>
      </w:pPr>
      <w:r>
        <w:rPr>
          <w:rFonts w:ascii="Arial" w:cs="Arial" w:eastAsia="Arial" w:hAnsi="Arial"/>
          <w:sz w:val="18"/>
          <w:szCs w:val="18"/>
          <w:color w:val="auto"/>
        </w:rPr>
        <w:t>122,680</w:t>
      </w:r>
      <w:r>
        <w:rPr>
          <w:sz w:val="20"/>
          <w:szCs w:val="20"/>
          <w:color w:val="auto"/>
        </w:rPr>
        <w:tab/>
      </w:r>
      <w:r>
        <w:rPr>
          <w:rFonts w:ascii="Arial" w:cs="Arial" w:eastAsia="Arial" w:hAnsi="Arial"/>
          <w:sz w:val="18"/>
          <w:szCs w:val="18"/>
          <w:color w:val="auto"/>
        </w:rPr>
        <w:t>25,786</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3,142</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(3,630)</w:t>
            </w:r>
          </w:p>
        </w:tc>
      </w:tr>
      <w:tr>
        <w:trPr>
          <w:trHeight w:val="243"/>
        </w:trPr>
        <w:tc>
          <w:tcPr>
            <w:tcW w:w="1020" w:type="dxa"/>
            <w:vAlign w:val="bottom"/>
          </w:tcPr>
          <w:p>
            <w:pPr>
              <w:jc w:val="right"/>
              <w:spacing w:after="0"/>
              <w:rPr>
                <w:sz w:val="20"/>
                <w:szCs w:val="20"/>
                <w:color w:val="auto"/>
              </w:rPr>
            </w:pPr>
            <w:r>
              <w:rPr>
                <w:rFonts w:ascii="Arial" w:cs="Arial" w:eastAsia="Arial" w:hAnsi="Arial"/>
                <w:sz w:val="18"/>
                <w:szCs w:val="18"/>
                <w:color w:val="auto"/>
              </w:rPr>
              <w:t>(20,476)</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(29,049)</w:t>
            </w:r>
          </w:p>
        </w:tc>
      </w:tr>
      <w:tr>
        <w:trPr>
          <w:trHeight w:val="250"/>
        </w:trPr>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2,819</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3,520</w:t>
            </w:r>
          </w:p>
        </w:tc>
      </w:tr>
      <w:tr>
        <w:trPr>
          <w:trHeight w:val="230"/>
        </w:trPr>
        <w:tc>
          <w:tcPr>
            <w:tcW w:w="1020" w:type="dxa"/>
            <w:vAlign w:val="bottom"/>
          </w:tcPr>
          <w:p>
            <w:pPr>
              <w:jc w:val="right"/>
              <w:spacing w:after="0"/>
              <w:rPr>
                <w:sz w:val="20"/>
                <w:szCs w:val="20"/>
                <w:color w:val="auto"/>
              </w:rPr>
            </w:pPr>
            <w:r>
              <w:rPr>
                <w:rFonts w:ascii="Arial" w:cs="Arial" w:eastAsia="Arial" w:hAnsi="Arial"/>
                <w:sz w:val="18"/>
                <w:szCs w:val="18"/>
                <w:color w:val="auto"/>
              </w:rPr>
              <w:t>(14,515)</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(29,159)</w:t>
            </w:r>
          </w:p>
        </w:tc>
      </w:tr>
      <w:tr>
        <w:trPr>
          <w:trHeight w:val="728"/>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460,000</w:t>
            </w:r>
          </w:p>
        </w:tc>
        <w:tc>
          <w:tcPr>
            <w:tcW w:w="28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400,000</w:t>
            </w:r>
          </w:p>
        </w:tc>
      </w:tr>
      <w:tr>
        <w:trPr>
          <w:trHeight w:val="243"/>
        </w:trPr>
        <w:tc>
          <w:tcPr>
            <w:tcW w:w="1020" w:type="dxa"/>
            <w:vAlign w:val="bottom"/>
          </w:tcPr>
          <w:p>
            <w:pPr>
              <w:jc w:val="right"/>
              <w:spacing w:after="0"/>
              <w:rPr>
                <w:sz w:val="20"/>
                <w:szCs w:val="20"/>
                <w:color w:val="auto"/>
              </w:rPr>
            </w:pPr>
            <w:r>
              <w:rPr>
                <w:rFonts w:ascii="Arial" w:cs="Arial" w:eastAsia="Arial" w:hAnsi="Arial"/>
                <w:sz w:val="18"/>
                <w:szCs w:val="18"/>
                <w:color w:val="auto"/>
              </w:rPr>
              <w:t>(915,000)</w:t>
            </w: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3,255</w:t>
            </w: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4,183</w:t>
            </w:r>
          </w:p>
        </w:tc>
      </w:tr>
      <w:tr>
        <w:trPr>
          <w:trHeight w:val="243"/>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389,419</w:t>
            </w: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45,349</w:t>
            </w: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20" w:type="dxa"/>
            <w:vAlign w:val="bottom"/>
          </w:tcPr>
          <w:p>
            <w:pPr>
              <w:jc w:val="right"/>
              <w:spacing w:after="0"/>
              <w:rPr>
                <w:sz w:val="20"/>
                <w:szCs w:val="20"/>
                <w:color w:val="auto"/>
              </w:rPr>
            </w:pPr>
            <w:r>
              <w:rPr>
                <w:rFonts w:ascii="Arial" w:cs="Arial" w:eastAsia="Arial" w:hAnsi="Arial"/>
                <w:sz w:val="18"/>
                <w:szCs w:val="18"/>
                <w:color w:val="auto"/>
              </w:rPr>
              <w:t>(84,139)</w:t>
            </w: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20" w:type="dxa"/>
            <w:vAlign w:val="bottom"/>
          </w:tcPr>
          <w:p>
            <w:pPr>
              <w:jc w:val="right"/>
              <w:spacing w:after="0"/>
              <w:rPr>
                <w:sz w:val="20"/>
                <w:szCs w:val="20"/>
                <w:color w:val="auto"/>
              </w:rPr>
            </w:pPr>
            <w:r>
              <w:rPr>
                <w:rFonts w:ascii="Arial" w:cs="Arial" w:eastAsia="Arial" w:hAnsi="Arial"/>
                <w:sz w:val="18"/>
                <w:szCs w:val="18"/>
                <w:color w:val="auto"/>
              </w:rPr>
              <w:t>(12,021)</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50"/>
        </w:trPr>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4,993</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w:t>
            </w:r>
          </w:p>
        </w:tc>
      </w:tr>
      <w:tr>
        <w:trPr>
          <w:trHeight w:val="230"/>
        </w:trPr>
        <w:tc>
          <w:tcPr>
            <w:tcW w:w="1020" w:type="dxa"/>
            <w:vAlign w:val="bottom"/>
          </w:tcPr>
          <w:p>
            <w:pPr>
              <w:jc w:val="right"/>
              <w:spacing w:after="0"/>
              <w:rPr>
                <w:sz w:val="20"/>
                <w:szCs w:val="20"/>
                <w:color w:val="auto"/>
              </w:rPr>
            </w:pPr>
            <w:r>
              <w:rPr>
                <w:rFonts w:ascii="Arial" w:cs="Arial" w:eastAsia="Arial" w:hAnsi="Arial"/>
                <w:sz w:val="18"/>
                <w:szCs w:val="18"/>
                <w:color w:val="auto"/>
              </w:rPr>
              <w:t>(108,144)</w:t>
            </w:r>
          </w:p>
        </w:tc>
        <w:tc>
          <w:tcPr>
            <w:tcW w:w="2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401,963</w:t>
            </w:r>
          </w:p>
        </w:tc>
      </w:tr>
      <w:tr>
        <w:trPr>
          <w:trHeight w:val="492"/>
        </w:trPr>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w:t>
            </w:r>
          </w:p>
        </w:tc>
      </w:tr>
      <w:tr>
        <w:trPr>
          <w:trHeight w:val="230"/>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394,919</w:t>
            </w:r>
          </w:p>
        </w:tc>
      </w:tr>
      <w:tr>
        <w:trPr>
          <w:trHeight w:val="249"/>
        </w:trPr>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206,933</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149,904</w:t>
            </w:r>
          </w:p>
        </w:tc>
      </w:tr>
      <w:tr>
        <w:trPr>
          <w:trHeight w:val="237"/>
        </w:trPr>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207,131</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544,823</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800" w:space="100"/>
            <w:col w:w="4239"/>
          </w:cols>
          <w:pgMar w:left="320" w:top="135" w:right="1440"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accompanying press release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the Most Directly Comparable GAAP Financial Measures.</w:t>
      </w:r>
    </w:p>
    <w:p>
      <w:pPr>
        <w:spacing w:after="0" w:line="15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loss on sale of business, or restructuring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55" w:lineRule="exact"/>
        <w:rPr>
          <w:sz w:val="20"/>
          <w:szCs w:val="20"/>
          <w:color w:val="auto"/>
        </w:rPr>
      </w:pPr>
    </w:p>
    <w:p>
      <w:pPr>
        <w:spacing w:after="0" w:line="270" w:lineRule="auto"/>
        <w:rPr>
          <w:sz w:val="20"/>
          <w:szCs w:val="20"/>
          <w:color w:val="auto"/>
        </w:rPr>
      </w:pPr>
      <w:r>
        <w:rPr>
          <w:rFonts w:ascii="Arial" w:cs="Arial" w:eastAsia="Arial" w:hAnsi="Arial"/>
          <w:sz w:val="19"/>
          <w:szCs w:val="19"/>
          <w:i w:val="1"/>
          <w:iCs w:val="1"/>
          <w:u w:val="single" w:color="auto"/>
          <w:color w:val="auto"/>
        </w:rPr>
        <w:t>Non-GAAP operating expenses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and</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non-GAAP operating income</w:t>
      </w:r>
      <w:r>
        <w:rPr>
          <w:rFonts w:ascii="Arial" w:cs="Arial" w:eastAsia="Arial" w:hAnsi="Arial"/>
          <w:sz w:val="19"/>
          <w:szCs w:val="19"/>
          <w:i w:val="1"/>
          <w:iCs w:val="1"/>
          <w:color w:val="auto"/>
        </w:rPr>
        <w:t xml:space="preserve"> </w:t>
      </w:r>
      <w:r>
        <w:rPr>
          <w:rFonts w:ascii="Arial" w:cs="Arial" w:eastAsia="Arial" w:hAnsi="Arial"/>
          <w:sz w:val="19"/>
          <w:szCs w:val="19"/>
          <w:color w:val="auto"/>
        </w:rPr>
        <w:t>– We define non-GAAP operating expenses as operating</w:t>
      </w:r>
      <w:r>
        <w:rPr>
          <w:rFonts w:ascii="Arial" w:cs="Arial" w:eastAsia="Arial" w:hAnsi="Arial"/>
          <w:sz w:val="19"/>
          <w:szCs w:val="19"/>
          <w:i w:val="1"/>
          <w:iCs w:val="1"/>
          <w:color w:val="auto"/>
        </w:rPr>
        <w:t xml:space="preserve"> </w:t>
      </w:r>
      <w:r>
        <w:rPr>
          <w:rFonts w:ascii="Arial" w:cs="Arial" w:eastAsia="Arial" w:hAnsi="Arial"/>
          <w:sz w:val="19"/>
          <w:szCs w:val="19"/>
          <w:color w:val="auto"/>
        </w:rPr>
        <w:t>expenses excluding certain expenses related to the amortization of intangible assets, restructuring, loss on sale of business, corporate transition cost, and acquisition and integration. We define non-GAAP operating income as operating income (loss) excluding the expenses related to the amortization of intangible assets, restructuring, loss on sale of business, corporate transition cost,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3" w:name="page14"/>
    <w:bookmarkEnd w:id="13"/>
    <w:p>
      <w:pPr>
        <w:ind w:right="40"/>
        <w:spacing w:after="0" w:line="273" w:lineRule="auto"/>
        <w:rPr>
          <w:sz w:val="20"/>
          <w:szCs w:val="20"/>
          <w:color w:val="auto"/>
        </w:rPr>
      </w:pPr>
      <w:r>
        <w:rPr>
          <w:rFonts w:ascii="Arial" w:cs="Arial" w:eastAsia="Arial" w:hAnsi="Arial"/>
          <w:sz w:val="19"/>
          <w:szCs w:val="19"/>
          <w:i w:val="1"/>
          <w:iCs w:val="1"/>
          <w:u w:val="single" w:color="auto"/>
          <w:color w:val="auto"/>
        </w:rPr>
        <w:t>Non-GAAP net income</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and</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non-GAAP diluted EPS</w:t>
      </w:r>
      <w:r>
        <w:rPr>
          <w:rFonts w:ascii="Arial" w:cs="Arial" w:eastAsia="Arial" w:hAnsi="Arial"/>
          <w:sz w:val="19"/>
          <w:szCs w:val="19"/>
          <w:i w:val="1"/>
          <w:iCs w:val="1"/>
          <w:color w:val="auto"/>
        </w:rPr>
        <w:t xml:space="preserve"> </w:t>
      </w:r>
      <w:r>
        <w:rPr>
          <w:rFonts w:ascii="Arial" w:cs="Arial" w:eastAsia="Arial" w:hAnsi="Arial"/>
          <w:sz w:val="19"/>
          <w:szCs w:val="19"/>
          <w:color w:val="auto"/>
        </w:rPr>
        <w:t>– We define non-GAAP net income as net income (loss) attributable to Itron,</w:t>
      </w:r>
      <w:r>
        <w:rPr>
          <w:rFonts w:ascii="Arial" w:cs="Arial" w:eastAsia="Arial" w:hAnsi="Arial"/>
          <w:sz w:val="19"/>
          <w:szCs w:val="19"/>
          <w:i w:val="1"/>
          <w:iCs w:val="1"/>
          <w:color w:val="auto"/>
        </w:rPr>
        <w:t xml:space="preserve"> </w:t>
      </w:r>
      <w:r>
        <w:rPr>
          <w:rFonts w:ascii="Arial" w:cs="Arial" w:eastAsia="Arial" w:hAnsi="Arial"/>
          <w:sz w:val="19"/>
          <w:szCs w:val="19"/>
          <w:color w:val="auto"/>
        </w:rPr>
        <w:t>Inc. excluding the expenses associated with amortization of intangible assets, amortization of debt placement fees, debt extinguishment, restructuring, loss on sale of business, corporate transition cost, acquisition and integration,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55"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187" w:lineRule="exact"/>
        <w:rPr>
          <w:sz w:val="20"/>
          <w:szCs w:val="20"/>
          <w:color w:val="auto"/>
        </w:rPr>
      </w:pPr>
    </w:p>
    <w:p>
      <w:pPr>
        <w:spacing w:after="0" w:line="246" w:lineRule="auto"/>
        <w:rPr>
          <w:sz w:val="20"/>
          <w:szCs w:val="20"/>
          <w:color w:val="auto"/>
        </w:rPr>
      </w:pPr>
      <w:r>
        <w:rPr>
          <w:rFonts w:ascii="Arial" w:cs="Arial" w:eastAsia="Arial" w:hAnsi="Arial"/>
          <w:sz w:val="21"/>
          <w:szCs w:val="21"/>
          <w:i w:val="1"/>
          <w:iCs w:val="1"/>
          <w:u w:val="single" w:color="auto"/>
          <w:color w:val="auto"/>
        </w:rPr>
        <w:t>Adjusted EBITDA</w:t>
      </w:r>
      <w:r>
        <w:rPr>
          <w:rFonts w:ascii="Arial" w:cs="Arial" w:eastAsia="Arial" w:hAnsi="Arial"/>
          <w:sz w:val="21"/>
          <w:szCs w:val="21"/>
          <w:i w:val="1"/>
          <w:iCs w:val="1"/>
          <w:color w:val="auto"/>
        </w:rPr>
        <w:t xml:space="preserve"> </w:t>
      </w:r>
      <w:r>
        <w:rPr>
          <w:rFonts w:ascii="Arial" w:cs="Arial" w:eastAsia="Arial" w:hAnsi="Arial"/>
          <w:sz w:val="21"/>
          <w:szCs w:val="21"/>
          <w:color w:val="auto"/>
        </w:rPr>
        <w:t>– We define adjusted EBITDA as net income (loss) (a) minus interest income, (b) plus interest expense,</w:t>
      </w:r>
      <w:r>
        <w:rPr>
          <w:rFonts w:ascii="Arial" w:cs="Arial" w:eastAsia="Arial" w:hAnsi="Arial"/>
          <w:sz w:val="21"/>
          <w:szCs w:val="21"/>
          <w:i w:val="1"/>
          <w:iCs w:val="1"/>
          <w:color w:val="auto"/>
        </w:rPr>
        <w:t xml:space="preserve"> </w:t>
      </w:r>
      <w:r>
        <w:rPr>
          <w:rFonts w:ascii="Arial" w:cs="Arial" w:eastAsia="Arial" w:hAnsi="Arial"/>
          <w:sz w:val="21"/>
          <w:szCs w:val="21"/>
          <w:color w:val="auto"/>
        </w:rPr>
        <w:t>depreciation and amortization, debt extinguishment, restructuring, loss on sale of business, corporate transition cost, acquisition and integration related expense,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180"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i w:val="1"/>
          <w:iCs w:val="1"/>
          <w:u w:val="single" w:color="auto"/>
          <w:color w:val="auto"/>
        </w:rPr>
        <w:t>Free cash flow</w:t>
      </w:r>
      <w:r>
        <w:rPr>
          <w:rFonts w:ascii="Arial" w:cs="Arial" w:eastAsia="Arial" w:hAnsi="Arial"/>
          <w:sz w:val="21"/>
          <w:szCs w:val="21"/>
          <w:i w:val="1"/>
          <w:iCs w:val="1"/>
          <w:color w:val="auto"/>
        </w:rPr>
        <w:t xml:space="preserve"> </w:t>
      </w:r>
      <w:r>
        <w:rPr>
          <w:rFonts w:ascii="Arial" w:cs="Arial" w:eastAsia="Arial" w:hAnsi="Arial"/>
          <w:sz w:val="21"/>
          <w:szCs w:val="21"/>
          <w:color w:val="auto"/>
        </w:rPr>
        <w:t>– We define free cash flow as net cash provided by operating activities less cash used for acquisitions of property,</w:t>
      </w:r>
      <w:r>
        <w:rPr>
          <w:rFonts w:ascii="Arial" w:cs="Arial" w:eastAsia="Arial" w:hAnsi="Arial"/>
          <w:sz w:val="21"/>
          <w:szCs w:val="21"/>
          <w:i w:val="1"/>
          <w:iCs w:val="1"/>
          <w:color w:val="auto"/>
        </w:rPr>
        <w:t xml:space="preserve"> </w:t>
      </w:r>
      <w:r>
        <w:rPr>
          <w:rFonts w:ascii="Arial" w:cs="Arial" w:eastAsia="Arial" w:hAnsi="Arial"/>
          <w:sz w:val="21"/>
          <w:szCs w:val="21"/>
          <w:color w:val="auto"/>
        </w:rPr>
        <w:t>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i w:val="1"/>
          <w:iCs w:val="1"/>
          <w:u w:val="single" w:color="auto"/>
          <w:color w:val="auto"/>
        </w:rPr>
        <w:t>Constant currency</w:t>
      </w:r>
      <w:r>
        <w:rPr>
          <w:rFonts w:ascii="Arial" w:cs="Arial" w:eastAsia="Arial" w:hAnsi="Arial"/>
          <w:sz w:val="19"/>
          <w:szCs w:val="19"/>
          <w:i w:val="1"/>
          <w:iCs w:val="1"/>
          <w:color w:val="auto"/>
        </w:rPr>
        <w:t xml:space="preserve"> </w:t>
      </w:r>
      <w:r>
        <w:rPr>
          <w:rFonts w:ascii="Arial" w:cs="Arial" w:eastAsia="Arial" w:hAnsi="Arial"/>
          <w:sz w:val="19"/>
          <w:szCs w:val="19"/>
          <w:color w:val="auto"/>
        </w:rPr>
        <w:t>– We refer to the impact of foreign currency exchange rate fluctuations in our discussions of financial results,</w:t>
      </w:r>
      <w:r>
        <w:rPr>
          <w:rFonts w:ascii="Arial" w:cs="Arial" w:eastAsia="Arial" w:hAnsi="Arial"/>
          <w:sz w:val="19"/>
          <w:szCs w:val="19"/>
          <w:i w:val="1"/>
          <w:iCs w:val="1"/>
          <w:color w:val="auto"/>
        </w:rPr>
        <w:t xml:space="preserve"> </w:t>
      </w:r>
      <w:r>
        <w:rPr>
          <w:rFonts w:ascii="Arial" w:cs="Arial" w:eastAsia="Arial" w:hAnsi="Arial"/>
          <w:sz w:val="19"/>
          <w:szCs w:val="19"/>
          <w:color w:val="auto"/>
        </w:rPr>
        <w:t>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 w:name="page15"/>
    <w:bookmarkEnd w:id="14"/>
    <w:p>
      <w:pPr>
        <w:spacing w:after="0" w:line="274" w:lineRule="auto"/>
        <w:rPr>
          <w:sz w:val="20"/>
          <w:szCs w:val="20"/>
          <w:color w:val="auto"/>
        </w:rPr>
      </w:pPr>
      <w:r>
        <w:rPr>
          <w:rFonts w:ascii="Arial" w:cs="Arial" w:eastAsia="Arial" w:hAnsi="Arial"/>
          <w:sz w:val="21"/>
          <w:szCs w:val="21"/>
          <w:color w:val="auto"/>
        </w:rPr>
        <w:t>The tables below reconcile the non-GAAP financial measures of operating expenses, operating income, net income, diluted EPS, adjusted EBITDA, and free cash flow with the most directly comparable GAAP financial measures.</w:t>
      </w:r>
    </w:p>
    <w:p>
      <w:pPr>
        <w:spacing w:after="0" w:line="16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THE MOST DIRECTLY COMPARABLE GAAP FINANCIAL MEASURES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(Unaudited, in thousands, except per share data)</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5340" w:type="dxa"/>
            <w:vAlign w:val="bottom"/>
          </w:tcPr>
          <w:p>
            <w:pPr>
              <w:spacing w:after="0"/>
              <w:rPr>
                <w:sz w:val="20"/>
                <w:szCs w:val="20"/>
                <w:color w:val="auto"/>
              </w:rPr>
            </w:pPr>
            <w:r>
              <w:rPr>
                <w:rFonts w:ascii="Arial" w:cs="Arial" w:eastAsia="Arial" w:hAnsi="Arial"/>
                <w:sz w:val="18"/>
                <w:szCs w:val="18"/>
                <w:b w:val="1"/>
                <w:bCs w:val="1"/>
                <w:color w:val="auto"/>
              </w:rPr>
              <w:t>TOTAL COMPANY RECONCILIATIONS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9"/>
          </w:tcPr>
          <w:p>
            <w:pPr>
              <w:spacing w:after="0"/>
              <w:rPr>
                <w:sz w:val="20"/>
                <w:szCs w:val="20"/>
                <w:color w:val="auto"/>
              </w:rPr>
            </w:pPr>
            <w:r>
              <w:rPr>
                <w:rFonts w:ascii="Arial" w:cs="Arial" w:eastAsia="Arial" w:hAnsi="Arial"/>
                <w:sz w:val="18"/>
                <w:szCs w:val="18"/>
                <w:b w:val="1"/>
                <w:bCs w:val="1"/>
                <w:color w:val="auto"/>
                <w:w w:val="90"/>
              </w:rPr>
              <w:t>Three Months Ended June 30, Six Months Ended June 30,</w:t>
            </w:r>
          </w:p>
        </w:tc>
        <w:tc>
          <w:tcPr>
            <w:tcW w:w="0" w:type="dxa"/>
            <w:vAlign w:val="bottom"/>
          </w:tcPr>
          <w:p>
            <w:pPr>
              <w:spacing w:after="0"/>
              <w:rPr>
                <w:sz w:val="1"/>
                <w:szCs w:val="1"/>
                <w:color w:val="auto"/>
              </w:rPr>
            </w:pPr>
          </w:p>
        </w:tc>
      </w:tr>
      <w:tr>
        <w:trPr>
          <w:trHeight w:val="237"/>
        </w:trPr>
        <w:tc>
          <w:tcPr>
            <w:tcW w:w="5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b w:val="1"/>
                <w:bCs w:val="1"/>
                <w:color w:val="auto"/>
              </w:rPr>
              <w:t>NON-GAAP OPERATING EXPENSES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20"/>
              <w:spacing w:after="0"/>
              <w:rPr>
                <w:sz w:val="20"/>
                <w:szCs w:val="20"/>
                <w:color w:val="auto"/>
              </w:rPr>
            </w:pPr>
            <w:r>
              <w:rPr>
                <w:rFonts w:ascii="Arial" w:cs="Arial" w:eastAsia="Arial" w:hAnsi="Arial"/>
                <w:sz w:val="18"/>
                <w:szCs w:val="18"/>
                <w:color w:val="auto"/>
              </w:rPr>
              <w:t>GAAP operating expenses</w:t>
            </w:r>
          </w:p>
        </w:tc>
        <w:tc>
          <w:tcPr>
            <w:tcW w:w="3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156,807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183,904</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292,911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329,100</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(8,997)</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(17,970)</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(22,305)</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2,683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1,788</w:t>
            </w:r>
          </w:p>
        </w:tc>
        <w:tc>
          <w:tcPr>
            <w:tcW w:w="2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Loss on sale of business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(24,711)</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(56,915)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(26,103)</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(56,915)</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Corporate transition cost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5340" w:type="dxa"/>
            <w:vAlign w:val="bottom"/>
          </w:tcPr>
          <w:p>
            <w:pPr>
              <w:ind w:left="620"/>
              <w:spacing w:after="0"/>
              <w:rPr>
                <w:sz w:val="20"/>
                <w:szCs w:val="20"/>
                <w:color w:val="auto"/>
              </w:rPr>
            </w:pPr>
            <w:r>
              <w:rPr>
                <w:rFonts w:ascii="Arial" w:cs="Arial" w:eastAsia="Arial" w:hAnsi="Arial"/>
                <w:sz w:val="18"/>
                <w:szCs w:val="18"/>
                <w:color w:val="auto"/>
              </w:rPr>
              <w:t>Acquisition and integration related expense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37"/>
        </w:trPr>
        <w:tc>
          <w:tcPr>
            <w:tcW w:w="5340" w:type="dxa"/>
            <w:vAlign w:val="bottom"/>
          </w:tcPr>
          <w:p>
            <w:pPr>
              <w:ind w:left="420"/>
              <w:spacing w:after="0"/>
              <w:rPr>
                <w:sz w:val="20"/>
                <w:szCs w:val="20"/>
                <w:color w:val="auto"/>
              </w:rPr>
            </w:pPr>
            <w:r>
              <w:rPr>
                <w:rFonts w:ascii="Arial" w:cs="Arial" w:eastAsia="Arial" w:hAnsi="Arial"/>
                <w:sz w:val="18"/>
                <w:szCs w:val="18"/>
                <w:color w:val="auto"/>
              </w:rPr>
              <w:t>Non-GAAP operating expenses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123,016</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118,187</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251,112</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251,234</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NON-GAAP OPERATING INCOME</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20"/>
              <w:spacing w:after="0"/>
              <w:rPr>
                <w:sz w:val="20"/>
                <w:szCs w:val="20"/>
                <w:color w:val="auto"/>
              </w:rPr>
            </w:pPr>
            <w:r>
              <w:rPr>
                <w:rFonts w:ascii="Arial" w:cs="Arial" w:eastAsia="Arial" w:hAnsi="Arial"/>
                <w:sz w:val="18"/>
                <w:szCs w:val="18"/>
                <w:color w:val="auto"/>
              </w:rPr>
              <w:t>GAAP operating income (loss)</w:t>
            </w:r>
          </w:p>
        </w:tc>
        <w:tc>
          <w:tcPr>
            <w:tcW w:w="3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(6,932)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(45,387)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24,008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(19,017)</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8,997</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11,140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17,970</w:t>
            </w:r>
          </w:p>
        </w:tc>
        <w:tc>
          <w:tcPr>
            <w:tcW w:w="2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22,305</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(1,788)</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Loss on sale of business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24,711</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56,915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26,103</w:t>
            </w:r>
          </w:p>
        </w:tc>
        <w:tc>
          <w:tcPr>
            <w:tcW w:w="2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56,915</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Corporate transition cost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6"/>
        </w:trPr>
        <w:tc>
          <w:tcPr>
            <w:tcW w:w="5340" w:type="dxa"/>
            <w:vAlign w:val="bottom"/>
          </w:tcPr>
          <w:p>
            <w:pPr>
              <w:ind w:left="620"/>
              <w:spacing w:after="0"/>
              <w:rPr>
                <w:sz w:val="20"/>
                <w:szCs w:val="20"/>
                <w:color w:val="auto"/>
              </w:rPr>
            </w:pPr>
            <w:r>
              <w:rPr>
                <w:rFonts w:ascii="Arial" w:cs="Arial" w:eastAsia="Arial" w:hAnsi="Arial"/>
                <w:sz w:val="18"/>
                <w:szCs w:val="18"/>
                <w:color w:val="auto"/>
              </w:rPr>
              <w:t>Acquisition and integration related expense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37"/>
        </w:trPr>
        <w:tc>
          <w:tcPr>
            <w:tcW w:w="5340" w:type="dxa"/>
            <w:vAlign w:val="bottom"/>
          </w:tcPr>
          <w:p>
            <w:pPr>
              <w:ind w:left="420"/>
              <w:spacing w:after="0"/>
              <w:rPr>
                <w:sz w:val="20"/>
                <w:szCs w:val="20"/>
                <w:color w:val="auto"/>
              </w:rPr>
            </w:pPr>
            <w:r>
              <w:rPr>
                <w:rFonts w:ascii="Arial" w:cs="Arial" w:eastAsia="Arial" w:hAnsi="Arial"/>
                <w:sz w:val="18"/>
                <w:szCs w:val="18"/>
                <w:color w:val="auto"/>
              </w:rPr>
              <w:t>Non-GAAP operating income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26,859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20,330</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65,807</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NON-GAAP NET INCOME &amp; DILUTED EPS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20"/>
              <w:spacing w:after="0"/>
              <w:rPr>
                <w:sz w:val="20"/>
                <w:szCs w:val="20"/>
                <w:color w:val="auto"/>
              </w:rPr>
            </w:pPr>
            <w:r>
              <w:rPr>
                <w:rFonts w:ascii="Arial" w:cs="Arial" w:eastAsia="Arial" w:hAnsi="Arial"/>
                <w:sz w:val="18"/>
                <w:szCs w:val="18"/>
                <w:color w:val="auto"/>
              </w:rPr>
              <w:t>GAAP net loss attributable to Itron, Inc.</w:t>
            </w:r>
          </w:p>
        </w:tc>
        <w:tc>
          <w:tcPr>
            <w:tcW w:w="3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(33,123)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(62,802)</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(20,520)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(54,118)</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8,997</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11,140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17,970</w:t>
            </w:r>
          </w:p>
        </w:tc>
        <w:tc>
          <w:tcPr>
            <w:tcW w:w="2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22,305</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Amortization of debt placement fees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12,695</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963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15,347</w:t>
            </w:r>
          </w:p>
        </w:tc>
        <w:tc>
          <w:tcPr>
            <w:tcW w:w="2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Debt extinguishment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11,681</w:t>
            </w:r>
          </w:p>
        </w:tc>
        <w:tc>
          <w:tcPr>
            <w:tcW w:w="2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(1,788)</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Loss on sale of business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24,711</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56,915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26,103</w:t>
            </w:r>
          </w:p>
        </w:tc>
        <w:tc>
          <w:tcPr>
            <w:tcW w:w="2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56,915</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Corporate transition cost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Acquisition and integration related expense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57"/>
        </w:trPr>
        <w:tc>
          <w:tcPr>
            <w:tcW w:w="5340" w:type="dxa"/>
            <w:vAlign w:val="bottom"/>
          </w:tcPr>
          <w:p>
            <w:pPr>
              <w:ind w:left="620"/>
              <w:spacing w:after="0"/>
              <w:rPr>
                <w:sz w:val="20"/>
                <w:szCs w:val="20"/>
                <w:color w:val="auto"/>
              </w:rPr>
            </w:pPr>
            <w:r>
              <w:rPr>
                <w:rFonts w:ascii="Arial" w:cs="Arial" w:eastAsia="Arial" w:hAnsi="Arial"/>
                <w:sz w:val="18"/>
                <w:szCs w:val="18"/>
                <w:color w:val="auto"/>
              </w:rPr>
              <w:t>Income tax effect of non-GAAP adjustments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(10,719)</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(13,716)</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36"/>
        </w:trPr>
        <w:tc>
          <w:tcPr>
            <w:tcW w:w="5340" w:type="dxa"/>
            <w:vAlign w:val="bottom"/>
          </w:tcPr>
          <w:p>
            <w:pPr>
              <w:ind w:left="420"/>
              <w:spacing w:after="0"/>
              <w:rPr>
                <w:sz w:val="20"/>
                <w:szCs w:val="20"/>
                <w:color w:val="auto"/>
              </w:rPr>
            </w:pPr>
            <w:r>
              <w:rPr>
                <w:rFonts w:ascii="Arial" w:cs="Arial" w:eastAsia="Arial" w:hAnsi="Arial"/>
                <w:sz w:val="18"/>
                <w:szCs w:val="18"/>
                <w:color w:val="auto"/>
              </w:rPr>
              <w:t>Non-GAAP net income attributable to Itron, Inc.</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12,644</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1,326</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34,591</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24,295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340" w:type="dxa"/>
            <w:vAlign w:val="bottom"/>
          </w:tcPr>
          <w:p>
            <w:pPr>
              <w:ind w:left="420"/>
              <w:spacing w:after="0"/>
              <w:rPr>
                <w:sz w:val="20"/>
                <w:szCs w:val="20"/>
                <w:color w:val="auto"/>
              </w:rPr>
            </w:pPr>
            <w:r>
              <w:rPr>
                <w:rFonts w:ascii="Arial" w:cs="Arial" w:eastAsia="Arial" w:hAnsi="Arial"/>
                <w:sz w:val="18"/>
                <w:szCs w:val="18"/>
                <w:color w:val="auto"/>
              </w:rPr>
              <w:t>Non-GAAP diluted EPS</w:t>
            </w:r>
          </w:p>
        </w:tc>
        <w:tc>
          <w:tcPr>
            <w:tcW w:w="3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0.28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0.79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340" w:type="dxa"/>
            <w:vAlign w:val="bottom"/>
          </w:tcPr>
          <w:p>
            <w:pPr>
              <w:ind w:left="420"/>
              <w:spacing w:after="0"/>
              <w:rPr>
                <w:sz w:val="20"/>
                <w:szCs w:val="20"/>
                <w:color w:val="auto"/>
              </w:rPr>
            </w:pPr>
            <w:r>
              <w:rPr>
                <w:rFonts w:ascii="Arial" w:cs="Arial" w:eastAsia="Arial" w:hAnsi="Arial"/>
                <w:sz w:val="18"/>
                <w:szCs w:val="18"/>
                <w:color w:val="auto"/>
                <w:w w:val="90"/>
              </w:rPr>
              <w:t>Non-GAAP weighted average common shares outstanding - Diluted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45,478</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40,488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43,731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40,481</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ADJUSTED EBITDA</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20"/>
              <w:spacing w:after="0"/>
              <w:rPr>
                <w:sz w:val="20"/>
                <w:szCs w:val="20"/>
                <w:color w:val="auto"/>
              </w:rPr>
            </w:pPr>
            <w:r>
              <w:rPr>
                <w:rFonts w:ascii="Arial" w:cs="Arial" w:eastAsia="Arial" w:hAnsi="Arial"/>
                <w:sz w:val="18"/>
                <w:szCs w:val="18"/>
                <w:color w:val="auto"/>
              </w:rPr>
              <w:t>GAAP net loss attributable to Itron, Inc.</w:t>
            </w:r>
          </w:p>
        </w:tc>
        <w:tc>
          <w:tcPr>
            <w:tcW w:w="3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(33,123)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(62,802)</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(20,520)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(54,118)</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(974)</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14,004</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11,684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24,479</w:t>
            </w:r>
          </w:p>
        </w:tc>
        <w:tc>
          <w:tcPr>
            <w:tcW w:w="2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22,961</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Income tax provision (benefit)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4,801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4,445</w:t>
            </w:r>
          </w:p>
        </w:tc>
        <w:tc>
          <w:tcPr>
            <w:tcW w:w="2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12,351</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Debt extinguishment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11,681</w:t>
            </w:r>
          </w:p>
        </w:tc>
        <w:tc>
          <w:tcPr>
            <w:tcW w:w="2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21,109</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24,199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42,919</w:t>
            </w:r>
          </w:p>
        </w:tc>
        <w:tc>
          <w:tcPr>
            <w:tcW w:w="2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48,230</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(1,788)</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Loss on sale of business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24,711</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56,915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26,103</w:t>
            </w:r>
          </w:p>
        </w:tc>
        <w:tc>
          <w:tcPr>
            <w:tcW w:w="2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56,915</w:t>
            </w: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Corporate transition cost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6"/>
        </w:trPr>
        <w:tc>
          <w:tcPr>
            <w:tcW w:w="5340" w:type="dxa"/>
            <w:vAlign w:val="bottom"/>
          </w:tcPr>
          <w:p>
            <w:pPr>
              <w:ind w:left="620"/>
              <w:spacing w:after="0"/>
              <w:rPr>
                <w:sz w:val="20"/>
                <w:szCs w:val="20"/>
                <w:color w:val="auto"/>
              </w:rPr>
            </w:pPr>
            <w:r>
              <w:rPr>
                <w:rFonts w:ascii="Arial" w:cs="Arial" w:eastAsia="Arial" w:hAnsi="Arial"/>
                <w:sz w:val="18"/>
                <w:szCs w:val="18"/>
                <w:color w:val="auto"/>
              </w:rPr>
              <w:t>Acquisition and integration related expense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37"/>
        </w:trPr>
        <w:tc>
          <w:tcPr>
            <w:tcW w:w="5340" w:type="dxa"/>
            <w:vAlign w:val="bottom"/>
          </w:tcPr>
          <w:p>
            <w:pPr>
              <w:ind w:left="420"/>
              <w:spacing w:after="0"/>
              <w:rPr>
                <w:sz w:val="20"/>
                <w:szCs w:val="20"/>
                <w:color w:val="auto"/>
              </w:rPr>
            </w:pPr>
            <w:r>
              <w:rPr>
                <w:rFonts w:ascii="Arial" w:cs="Arial" w:eastAsia="Arial" w:hAnsi="Arial"/>
                <w:sz w:val="18"/>
                <w:szCs w:val="18"/>
                <w:color w:val="auto"/>
              </w:rPr>
              <w:t>Adjusted EBITDA</w:t>
            </w:r>
          </w:p>
        </w:tc>
        <w:tc>
          <w:tcPr>
            <w:tcW w:w="100" w:type="dxa"/>
            <w:vAlign w:val="bottom"/>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36,136</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31,201</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85,859</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83,174</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FREE CASH FLOW</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72,725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6,892</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122,680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25,786</w:t>
            </w:r>
          </w:p>
        </w:tc>
        <w:tc>
          <w:tcPr>
            <w:tcW w:w="0" w:type="dxa"/>
            <w:vAlign w:val="bottom"/>
          </w:tcPr>
          <w:p>
            <w:pPr>
              <w:spacing w:after="0"/>
              <w:rPr>
                <w:sz w:val="1"/>
                <w:szCs w:val="1"/>
                <w:color w:val="auto"/>
              </w:rPr>
            </w:pPr>
          </w:p>
        </w:tc>
      </w:tr>
      <w:tr>
        <w:trPr>
          <w:trHeight w:val="256"/>
        </w:trPr>
        <w:tc>
          <w:tcPr>
            <w:tcW w:w="5340" w:type="dxa"/>
            <w:vAlign w:val="bottom"/>
          </w:tcPr>
          <w:p>
            <w:pPr>
              <w:ind w:left="620"/>
              <w:spacing w:after="0"/>
              <w:rPr>
                <w:sz w:val="20"/>
                <w:szCs w:val="20"/>
                <w:color w:val="auto"/>
              </w:rPr>
            </w:pPr>
            <w:r>
              <w:rPr>
                <w:rFonts w:ascii="Arial" w:cs="Arial" w:eastAsia="Arial" w:hAnsi="Arial"/>
                <w:sz w:val="18"/>
                <w:szCs w:val="18"/>
                <w:color w:val="auto"/>
              </w:rPr>
              <w:t>Acquisitions of property, plant, and equipment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(16,447)</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(20,476)</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(29,049)</w:t>
            </w:r>
          </w:p>
        </w:tc>
        <w:tc>
          <w:tcPr>
            <w:tcW w:w="0" w:type="dxa"/>
            <w:vAlign w:val="bottom"/>
          </w:tcPr>
          <w:p>
            <w:pPr>
              <w:spacing w:after="0"/>
              <w:rPr>
                <w:sz w:val="1"/>
                <w:szCs w:val="1"/>
                <w:color w:val="auto"/>
              </w:rPr>
            </w:pPr>
          </w:p>
        </w:tc>
      </w:tr>
      <w:tr>
        <w:trPr>
          <w:trHeight w:val="237"/>
        </w:trPr>
        <w:tc>
          <w:tcPr>
            <w:tcW w:w="5340" w:type="dxa"/>
            <w:vAlign w:val="bottom"/>
          </w:tcPr>
          <w:p>
            <w:pPr>
              <w:ind w:left="420"/>
              <w:spacing w:after="0"/>
              <w:rPr>
                <w:sz w:val="20"/>
                <w:szCs w:val="20"/>
                <w:color w:val="auto"/>
              </w:rPr>
            </w:pPr>
            <w:r>
              <w:rPr>
                <w:rFonts w:ascii="Arial" w:cs="Arial" w:eastAsia="Arial" w:hAnsi="Arial"/>
                <w:sz w:val="18"/>
                <w:szCs w:val="18"/>
                <w:color w:val="auto"/>
              </w:rPr>
              <w:t>Free Cash Flow</w:t>
            </w:r>
          </w:p>
        </w:tc>
        <w:tc>
          <w:tcPr>
            <w:tcW w:w="100" w:type="dxa"/>
            <w:vAlign w:val="bottom"/>
            <w:gridSpan w:val="2"/>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63,661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(9,555)</w:t>
            </w:r>
          </w:p>
        </w:tc>
        <w:tc>
          <w:tcPr>
            <w:tcW w:w="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102,204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60"/>
          </w:cols>
          <w:pgMar w:left="320" w:top="334" w:right="419" w:bottom="501"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Itron,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Kenneth P. Gianella</w:t>
      </w:r>
    </w:p>
    <w:p>
      <w:pPr>
        <w:spacing w:after="0"/>
        <w:rPr>
          <w:sz w:val="20"/>
          <w:szCs w:val="20"/>
          <w:color w:val="auto"/>
        </w:rPr>
      </w:pPr>
      <w:r>
        <w:rPr>
          <w:rFonts w:ascii="Arial" w:cs="Arial" w:eastAsia="Arial" w:hAnsi="Arial"/>
          <w:sz w:val="19"/>
          <w:szCs w:val="19"/>
          <w:color w:val="auto"/>
        </w:rPr>
        <w:t>Vice President, 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(669) 770-4643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David Means</w:t>
      </w:r>
    </w:p>
    <w:p>
      <w:pPr>
        <w:spacing w:after="0" w:line="238" w:lineRule="auto"/>
        <w:rPr>
          <w:sz w:val="20"/>
          <w:szCs w:val="20"/>
          <w:color w:val="auto"/>
        </w:rPr>
      </w:pPr>
      <w:r>
        <w:rPr>
          <w:rFonts w:ascii="Arial" w:cs="Arial" w:eastAsia="Arial" w:hAnsi="Arial"/>
          <w:sz w:val="22"/>
          <w:szCs w:val="22"/>
          <w:color w:val="auto"/>
        </w:rPr>
        <w:t>Director, Investor Relations</w:t>
      </w:r>
    </w:p>
    <w:p>
      <w:pPr>
        <w:spacing w:after="0"/>
        <w:rPr>
          <w:sz w:val="20"/>
          <w:szCs w:val="20"/>
          <w:color w:val="auto"/>
        </w:rPr>
      </w:pPr>
      <w:r>
        <w:rPr>
          <w:rFonts w:ascii="Arial" w:cs="Arial" w:eastAsia="Arial" w:hAnsi="Arial"/>
          <w:sz w:val="22"/>
          <w:szCs w:val="22"/>
          <w:color w:val="auto"/>
        </w:rPr>
        <w:t>(737) 242-8448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Rebecca Hussey</w:t>
      </w:r>
    </w:p>
    <w:p>
      <w:pPr>
        <w:spacing w:after="0" w:line="238" w:lineRule="auto"/>
        <w:rPr>
          <w:sz w:val="20"/>
          <w:szCs w:val="20"/>
          <w:color w:val="auto"/>
        </w:rPr>
      </w:pPr>
      <w:r>
        <w:rPr>
          <w:rFonts w:ascii="Arial" w:cs="Arial" w:eastAsia="Arial" w:hAnsi="Arial"/>
          <w:sz w:val="22"/>
          <w:szCs w:val="22"/>
          <w:color w:val="auto"/>
        </w:rPr>
        <w:t>Manager, Investor Relations</w:t>
      </w:r>
    </w:p>
    <w:p>
      <w:pPr>
        <w:spacing w:after="0"/>
        <w:rPr>
          <w:sz w:val="20"/>
          <w:szCs w:val="20"/>
          <w:color w:val="auto"/>
        </w:rPr>
      </w:pPr>
      <w:r>
        <w:rPr>
          <w:rFonts w:ascii="Arial" w:cs="Arial" w:eastAsia="Arial" w:hAnsi="Arial"/>
          <w:sz w:val="22"/>
          <w:szCs w:val="22"/>
          <w:color w:val="auto"/>
        </w:rPr>
        <w:t>(509) 891-3574</w:t>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1"/>
      <w:numFmt w:val="decimal"/>
      <w:start w:val="878"/>
    </w:lvl>
  </w:abstractNum>
  <w:abstractNum w:abstractNumId="4">
    <w:nsid w:val="46E87CCD"/>
    <w:multiLevelType w:val="hybridMultilevel"/>
    <w:lvl w:ilvl="0">
      <w:lvlJc w:val="left"/>
      <w:lvlText w:val="%1"/>
      <w:numFmt w:val="decimal"/>
      <w:start w:val="7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2021-08-05T07:37:07Z</dcterms:created>
  <dcterms:modified xsi:type="dcterms:W3CDTF">2021-08-05T07:37:07Z</dcterms:modified>
</cp:coreProperties>
</file>